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F021" w14:textId="36A7B130" w:rsidR="007A7977" w:rsidRPr="007A7977" w:rsidRDefault="007A7977" w:rsidP="007A7977">
      <w:pPr>
        <w:autoSpaceDE w:val="0"/>
        <w:autoSpaceDN w:val="0"/>
        <w:adjustRightInd w:val="0"/>
        <w:spacing w:after="240"/>
        <w:rPr>
          <w:b/>
          <w:sz w:val="36"/>
          <w:szCs w:val="36"/>
        </w:rPr>
      </w:pPr>
      <w:r w:rsidRPr="00427E95">
        <w:rPr>
          <w:color w:val="FF0000"/>
        </w:rPr>
        <w:t xml:space="preserve">An addendum to this </w:t>
      </w:r>
      <w:r>
        <w:rPr>
          <w:color w:val="FF0000"/>
        </w:rPr>
        <w:t>Public Summary Document</w:t>
      </w:r>
      <w:r w:rsidRPr="00427E95">
        <w:rPr>
          <w:color w:val="FF0000"/>
        </w:rPr>
        <w:t xml:space="preserve"> has been included at the end of the document.</w:t>
      </w:r>
    </w:p>
    <w:p w14:paraId="5B985595" w14:textId="5488752C" w:rsidR="005731B4" w:rsidRPr="00936A7A" w:rsidRDefault="005731B4" w:rsidP="00936A7A">
      <w:pPr>
        <w:pStyle w:val="1-MainHeading"/>
      </w:pPr>
      <w:r w:rsidRPr="00936A7A">
        <w:t>5.03</w:t>
      </w:r>
      <w:r w:rsidR="00936A7A">
        <w:tab/>
      </w:r>
      <w:r w:rsidRPr="00936A7A">
        <w:t>ELEXACAFTOR WITH TEZACAFTOR AND WITH IVACAFTOR, AND IVACAFTOR</w:t>
      </w:r>
      <w:r w:rsidR="00956750" w:rsidRPr="00936A7A">
        <w:br/>
      </w:r>
      <w:bookmarkStart w:id="0" w:name="_Toc112937992"/>
      <w:bookmarkStart w:id="1" w:name="_Toc114047627"/>
      <w:bookmarkStart w:id="2" w:name="_Toc114047703"/>
      <w:r w:rsidRPr="00936A7A">
        <w:t xml:space="preserve">Pack containing 56 tablets elexacaftor 100 mg with tezacaftor 50 mg and with ivacaftor 75 mg and </w:t>
      </w:r>
      <w:r w:rsidR="00956750" w:rsidRPr="00936A7A">
        <w:t>28 </w:t>
      </w:r>
      <w:r w:rsidRPr="00936A7A">
        <w:t xml:space="preserve">tablets ivacaftor 150 mg </w:t>
      </w:r>
      <w:r w:rsidRPr="00936A7A">
        <w:br/>
        <w:t xml:space="preserve">Pack containing 56 tablets elexacaftor 50 mg with tezacaftor 25 mg and with ivacaftor 37.5 mg and </w:t>
      </w:r>
      <w:r w:rsidR="00956750" w:rsidRPr="00936A7A">
        <w:t>28 </w:t>
      </w:r>
      <w:r w:rsidRPr="00936A7A">
        <w:t xml:space="preserve">tablets ivacaftor 75 mg </w:t>
      </w:r>
      <w:r w:rsidRPr="00936A7A">
        <w:br/>
        <w:t>Trikafta®</w:t>
      </w:r>
      <w:r w:rsidRPr="00936A7A">
        <w:br/>
        <w:t>VERTEX PHARMACEUTICALS (AUSTRALIA) PTY. LTD.</w:t>
      </w:r>
      <w:bookmarkEnd w:id="0"/>
      <w:bookmarkEnd w:id="1"/>
      <w:bookmarkEnd w:id="2"/>
    </w:p>
    <w:p w14:paraId="321328B9" w14:textId="0A73895C" w:rsidR="009619FE" w:rsidRPr="000C48F9" w:rsidRDefault="009619FE" w:rsidP="00B44292">
      <w:pPr>
        <w:pStyle w:val="2-SectionHeading"/>
      </w:pPr>
      <w:bookmarkStart w:id="3" w:name="_Toc114047705"/>
      <w:bookmarkStart w:id="4" w:name="_Hlk112768584"/>
      <w:r w:rsidRPr="000C48F9">
        <w:t>Purpose of submission</w:t>
      </w:r>
      <w:bookmarkEnd w:id="3"/>
    </w:p>
    <w:p w14:paraId="240E12F5" w14:textId="77777777" w:rsidR="009619FE" w:rsidRPr="000C48F9" w:rsidRDefault="009619FE" w:rsidP="00B44292">
      <w:pPr>
        <w:pStyle w:val="3-BodyText"/>
      </w:pPr>
      <w:r w:rsidRPr="000C48F9">
        <w:t>The submission requested a Section 100 (Highly Specialised Drugs Program) Authority Required listing for elexacaftor/tezacaftor/ivacaftor (ELX/TEZ/IVA) for the treatment of cystic fibrosis (CF) in patients who are aged 6 to 11 years and who have at least one F508del mutation on the cystic fibrosis transmembrane conductance regulator (CFTR) gene (F/any).</w:t>
      </w:r>
      <w:r w:rsidRPr="000C48F9">
        <w:rPr>
          <w:color w:val="0066FF"/>
        </w:rPr>
        <w:t xml:space="preserve"> </w:t>
      </w:r>
    </w:p>
    <w:p w14:paraId="4AF9FB00" w14:textId="5F264366" w:rsidR="009619FE" w:rsidRPr="000C48F9" w:rsidRDefault="009619FE" w:rsidP="002D5AE0">
      <w:pPr>
        <w:pStyle w:val="3-BodyText"/>
      </w:pPr>
      <w:r w:rsidRPr="000C48F9">
        <w:t>The submission identified six populations (aged 6 to 11 years old) who would be eligible for treatment with ELX/TEZ/IVA: (1) patients who are homozygous for F508del</w:t>
      </w:r>
      <w:r w:rsidR="00D8077E" w:rsidRPr="000C48F9">
        <w:t xml:space="preserve"> in the </w:t>
      </w:r>
      <w:r w:rsidRPr="000C48F9">
        <w:t xml:space="preserve">CFTR </w:t>
      </w:r>
      <w:r w:rsidR="00D8077E" w:rsidRPr="000C48F9">
        <w:t xml:space="preserve">gene </w:t>
      </w:r>
      <w:r w:rsidRPr="000C48F9">
        <w:t xml:space="preserve">(F/F); (2) patients who are heterozygous for F508del in the CFTR gene with a residual function mutation (F/RF); (3) patients who are heterozygous for F508del in the CFTR gene with a gating mutation (F/G); (4) patients who are heterozygous for F508del in the CFTR gene with a minimal function mutation (F/MF); (5) patients who are heterozygous for F508del in the CFTR gene with a R117H mutation (F/R117H) and (6) patients who are heterozygous for F508del in the CFTR gene with a second mutation that is unknown or not yet characterised as residual function or minimal function (F/not yet characterised). </w:t>
      </w:r>
    </w:p>
    <w:p w14:paraId="57A85BE3" w14:textId="4A13112D" w:rsidR="009619FE" w:rsidRPr="000C48F9" w:rsidRDefault="009619FE" w:rsidP="00B44292">
      <w:pPr>
        <w:pStyle w:val="3-BodyText"/>
      </w:pPr>
      <w:r w:rsidRPr="000C48F9">
        <w:t>Listing was requested on the basis of: (1) a cost-effectiveness analysis versus lumacaftor/ivacaftor (LUM/IVA) in the F/F population; (2) a cost-effectiveness analysis versus best supportive care (BSC) in the F/MF population</w:t>
      </w:r>
      <w:r w:rsidR="003F0ABF" w:rsidRPr="000C48F9">
        <w:t xml:space="preserve"> and </w:t>
      </w:r>
      <w:r w:rsidRPr="000C48F9">
        <w:t xml:space="preserve">(3) a cost comparison versus ivacaftor (IVA) in the F/G population. The key components </w:t>
      </w:r>
      <w:r w:rsidRPr="000C48F9">
        <w:rPr>
          <w:snapToGrid/>
        </w:rPr>
        <w:t xml:space="preserve">presented in the submission are provided in </w:t>
      </w:r>
      <w:r w:rsidR="006D46AE" w:rsidRPr="000C48F9">
        <w:rPr>
          <w:snapToGrid/>
        </w:rPr>
        <w:fldChar w:fldCharType="begin" w:fldLock="1"/>
      </w:r>
      <w:r w:rsidR="006D46AE" w:rsidRPr="000C48F9">
        <w:rPr>
          <w:snapToGrid/>
        </w:rPr>
        <w:instrText xml:space="preserve"> REF _Ref113957326 \h </w:instrText>
      </w:r>
      <w:r w:rsidR="006D46AE" w:rsidRPr="000C48F9">
        <w:rPr>
          <w:snapToGrid/>
        </w:rPr>
      </w:r>
      <w:r w:rsidR="006D46AE" w:rsidRPr="000C48F9">
        <w:rPr>
          <w:snapToGrid/>
        </w:rPr>
        <w:fldChar w:fldCharType="separate"/>
      </w:r>
      <w:r w:rsidR="009A1227" w:rsidRPr="000C48F9">
        <w:t xml:space="preserve">Table </w:t>
      </w:r>
      <w:r w:rsidR="009A1227">
        <w:rPr>
          <w:noProof/>
        </w:rPr>
        <w:t>1</w:t>
      </w:r>
      <w:r w:rsidR="006D46AE" w:rsidRPr="000C48F9">
        <w:rPr>
          <w:snapToGrid/>
        </w:rPr>
        <w:fldChar w:fldCharType="end"/>
      </w:r>
      <w:r w:rsidR="00B94535">
        <w:rPr>
          <w:snapToGrid/>
        </w:rPr>
        <w:t>.</w:t>
      </w:r>
    </w:p>
    <w:p w14:paraId="70D9E582" w14:textId="26B315A8" w:rsidR="009619FE" w:rsidRPr="000C48F9" w:rsidRDefault="009619FE" w:rsidP="00EA24CA">
      <w:pPr>
        <w:pStyle w:val="TableHeading0"/>
        <w:rPr>
          <w:rStyle w:val="CommentReference"/>
          <w:b/>
          <w:szCs w:val="24"/>
        </w:rPr>
      </w:pPr>
      <w:bookmarkStart w:id="5" w:name="_Ref113957326"/>
      <w:r w:rsidRPr="000C48F9">
        <w:lastRenderedPageBreak/>
        <w:t xml:space="preserve">Table </w:t>
      </w:r>
      <w:r w:rsidR="008E430C">
        <w:fldChar w:fldCharType="begin" w:fldLock="1"/>
      </w:r>
      <w:r w:rsidR="008E430C">
        <w:instrText xml:space="preserve"> SEQ Table \* ARABIC </w:instrText>
      </w:r>
      <w:r w:rsidR="008E430C">
        <w:fldChar w:fldCharType="separate"/>
      </w:r>
      <w:r w:rsidR="009A1227">
        <w:rPr>
          <w:noProof/>
        </w:rPr>
        <w:t>1</w:t>
      </w:r>
      <w:r w:rsidR="008E430C">
        <w:rPr>
          <w:noProof/>
        </w:rPr>
        <w:fldChar w:fldCharType="end"/>
      </w:r>
      <w:bookmarkEnd w:id="5"/>
      <w:r w:rsidRPr="000C48F9">
        <w:t>:</w:t>
      </w:r>
      <w:r w:rsidR="000C48F9">
        <w:t xml:space="preserve"> </w:t>
      </w:r>
      <w:r w:rsidRPr="000C48F9">
        <w:rPr>
          <w:rStyle w:val="CommentReference"/>
          <w:b/>
          <w:szCs w:val="24"/>
        </w:rPr>
        <w:t>Key components of the clinical issue addressed by the submission (as stated in the submission)</w:t>
      </w:r>
    </w:p>
    <w:tbl>
      <w:tblPr>
        <w:tblStyle w:val="TableHTAsimp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8"/>
        <w:gridCol w:w="7598"/>
      </w:tblGrid>
      <w:tr w:rsidR="009619FE" w:rsidRPr="00EA24CA" w14:paraId="3422F8DA" w14:textId="77777777" w:rsidTr="00B44292">
        <w:trPr>
          <w:cnfStyle w:val="100000000000" w:firstRow="1" w:lastRow="0" w:firstColumn="0" w:lastColumn="0" w:oddVBand="0" w:evenVBand="0" w:oddHBand="0" w:evenHBand="0" w:firstRowFirstColumn="0" w:firstRowLastColumn="0" w:lastRowFirstColumn="0" w:lastRowLastColumn="0"/>
        </w:trPr>
        <w:tc>
          <w:tcPr>
            <w:tcW w:w="1418" w:type="dxa"/>
            <w:shd w:val="clear" w:color="auto" w:fill="auto"/>
          </w:tcPr>
          <w:p w14:paraId="7246A874"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bCs/>
                <w:sz w:val="20"/>
                <w:lang w:val="en-AU"/>
              </w:rPr>
              <w:t>Component</w:t>
            </w:r>
          </w:p>
        </w:tc>
        <w:tc>
          <w:tcPr>
            <w:tcW w:w="7599" w:type="dxa"/>
            <w:shd w:val="clear" w:color="auto" w:fill="auto"/>
          </w:tcPr>
          <w:p w14:paraId="1BB970A4"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bCs/>
                <w:sz w:val="20"/>
                <w:lang w:val="en-AU"/>
              </w:rPr>
              <w:t>Description</w:t>
            </w:r>
          </w:p>
        </w:tc>
      </w:tr>
      <w:tr w:rsidR="009619FE" w:rsidRPr="00EA24CA" w14:paraId="439083BD" w14:textId="77777777" w:rsidTr="00B44292">
        <w:trPr>
          <w:cnfStyle w:val="000000100000" w:firstRow="0" w:lastRow="0" w:firstColumn="0" w:lastColumn="0" w:oddVBand="0" w:evenVBand="0" w:oddHBand="1" w:evenHBand="0" w:firstRowFirstColumn="0" w:firstRowLastColumn="0" w:lastRowFirstColumn="0" w:lastRowLastColumn="0"/>
        </w:trPr>
        <w:tc>
          <w:tcPr>
            <w:tcW w:w="1418" w:type="dxa"/>
            <w:shd w:val="clear" w:color="auto" w:fill="auto"/>
          </w:tcPr>
          <w:p w14:paraId="3CB1A2A8"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sz w:val="20"/>
                <w:lang w:val="en-AU"/>
              </w:rPr>
              <w:t>Population</w:t>
            </w:r>
          </w:p>
        </w:tc>
        <w:tc>
          <w:tcPr>
            <w:tcW w:w="7599" w:type="dxa"/>
            <w:shd w:val="clear" w:color="auto" w:fill="auto"/>
          </w:tcPr>
          <w:p w14:paraId="05B9CA3F" w14:textId="7777777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CF patients aged 6-11 years who have at least one F508del mutation in the CFTR gene (F/any)</w:t>
            </w:r>
          </w:p>
        </w:tc>
      </w:tr>
      <w:tr w:rsidR="009619FE" w:rsidRPr="00EA24CA" w14:paraId="3983F9B6" w14:textId="77777777" w:rsidTr="00B44292">
        <w:trPr>
          <w:cnfStyle w:val="000000010000" w:firstRow="0" w:lastRow="0" w:firstColumn="0" w:lastColumn="0" w:oddVBand="0" w:evenVBand="0" w:oddHBand="0" w:evenHBand="1" w:firstRowFirstColumn="0" w:firstRowLastColumn="0" w:lastRowFirstColumn="0" w:lastRowLastColumn="0"/>
        </w:trPr>
        <w:tc>
          <w:tcPr>
            <w:tcW w:w="1418" w:type="dxa"/>
          </w:tcPr>
          <w:p w14:paraId="1A1AD3FC"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sz w:val="20"/>
                <w:lang w:val="en-AU"/>
              </w:rPr>
              <w:t>Intervention</w:t>
            </w:r>
          </w:p>
        </w:tc>
        <w:tc>
          <w:tcPr>
            <w:tcW w:w="7599" w:type="dxa"/>
          </w:tcPr>
          <w:p w14:paraId="12433AB9" w14:textId="7777777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For CF patients 6-11 years inclusive weighing &lt; 30 kg: Two fixed-dose combination tablets containing 50 mg of elexacaftor, 25 mg of tezacaftor and 37.5 mg of ivacaftor in the morning. One tablet containing 75 mg ivacaftor in the evening, approximately 12 hours apart.</w:t>
            </w:r>
          </w:p>
          <w:p w14:paraId="38308C52" w14:textId="7777777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For CF patients 6-11 years inclusive weighing ≥ 30 kg: Two fixed-dose combination tablets containing 100 mg of elexacaftor, 50 mg of tezacaftor and 75 mg of ivacaftor in the morning. One tablet containing 150 mg ivacaftor in the evening, approximately 12 hours apart.</w:t>
            </w:r>
          </w:p>
        </w:tc>
      </w:tr>
      <w:tr w:rsidR="009619FE" w:rsidRPr="00EA24CA" w14:paraId="5EA1A12A" w14:textId="77777777" w:rsidTr="00B44292">
        <w:trPr>
          <w:cnfStyle w:val="000000100000" w:firstRow="0" w:lastRow="0" w:firstColumn="0" w:lastColumn="0" w:oddVBand="0" w:evenVBand="0" w:oddHBand="1" w:evenHBand="0" w:firstRowFirstColumn="0" w:firstRowLastColumn="0" w:lastRowFirstColumn="0" w:lastRowLastColumn="0"/>
        </w:trPr>
        <w:tc>
          <w:tcPr>
            <w:tcW w:w="1418" w:type="dxa"/>
          </w:tcPr>
          <w:p w14:paraId="170F7F61"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sz w:val="20"/>
                <w:lang w:val="en-AU"/>
              </w:rPr>
              <w:t>Comparator</w:t>
            </w:r>
          </w:p>
        </w:tc>
        <w:tc>
          <w:tcPr>
            <w:tcW w:w="7599" w:type="dxa"/>
          </w:tcPr>
          <w:p w14:paraId="489671EC" w14:textId="7777777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Three comparators:</w:t>
            </w:r>
          </w:p>
          <w:p w14:paraId="4E9D41BA" w14:textId="7FFBB590" w:rsidR="009619FE" w:rsidRPr="00EA24CA" w:rsidRDefault="009619FE" w:rsidP="00EA24CA">
            <w:pPr>
              <w:pStyle w:val="Tabletextleft"/>
              <w:keepNext/>
              <w:numPr>
                <w:ilvl w:val="0"/>
                <w:numId w:val="13"/>
              </w:numPr>
              <w:rPr>
                <w:rFonts w:ascii="Arial Narrow" w:hAnsi="Arial Narrow"/>
                <w:sz w:val="20"/>
                <w:lang w:val="en-AU"/>
              </w:rPr>
            </w:pPr>
            <w:r w:rsidRPr="00EA24CA">
              <w:rPr>
                <w:rFonts w:ascii="Arial Narrow" w:hAnsi="Arial Narrow"/>
                <w:sz w:val="20"/>
                <w:lang w:val="en-AU"/>
              </w:rPr>
              <w:t>BSC for CF patients aged 6 to 11 years inclusive who are heterozygous for F508del in the CFTR gene with a minimal function mutation (F/MF); or with a residual function mutation (F/RF); or with a R117H mutation (F/R117H); or with a mutation not yet characterised as RF or MF (F/not yet characterised)</w:t>
            </w:r>
          </w:p>
          <w:p w14:paraId="01EF51FE" w14:textId="0F6A263C" w:rsidR="009619FE" w:rsidRPr="00EA24CA" w:rsidRDefault="003E6D63" w:rsidP="00EA24CA">
            <w:pPr>
              <w:pStyle w:val="Tabletextleft"/>
              <w:keepNext/>
              <w:numPr>
                <w:ilvl w:val="0"/>
                <w:numId w:val="13"/>
              </w:numPr>
              <w:rPr>
                <w:rFonts w:ascii="Arial Narrow" w:hAnsi="Arial Narrow"/>
                <w:sz w:val="20"/>
                <w:lang w:val="en-AU"/>
              </w:rPr>
            </w:pPr>
            <w:r w:rsidRPr="00EA24CA">
              <w:rPr>
                <w:rFonts w:ascii="Arial Narrow" w:hAnsi="Arial Narrow"/>
                <w:sz w:val="20"/>
                <w:lang w:val="en-AU"/>
              </w:rPr>
              <w:t>LUM/ IVA</w:t>
            </w:r>
            <w:r w:rsidR="009619FE" w:rsidRPr="00EA24CA">
              <w:rPr>
                <w:rFonts w:ascii="Arial Narrow" w:hAnsi="Arial Narrow"/>
                <w:sz w:val="20"/>
                <w:lang w:val="en-AU"/>
              </w:rPr>
              <w:t xml:space="preserve"> plus BSC for CF patients aged 6 to 11 years inclusive who are homozygous for the F508del in the CFTR gene (F/F)</w:t>
            </w:r>
          </w:p>
          <w:p w14:paraId="567EEEF2" w14:textId="76497A2D" w:rsidR="009619FE" w:rsidRPr="00EA24CA" w:rsidRDefault="003E6D63" w:rsidP="00EA24CA">
            <w:pPr>
              <w:pStyle w:val="Tabletextleft"/>
              <w:keepNext/>
              <w:numPr>
                <w:ilvl w:val="0"/>
                <w:numId w:val="13"/>
              </w:numPr>
              <w:rPr>
                <w:rFonts w:ascii="Arial Narrow" w:hAnsi="Arial Narrow"/>
                <w:sz w:val="20"/>
                <w:lang w:val="en-AU"/>
              </w:rPr>
            </w:pPr>
            <w:r w:rsidRPr="00EA24CA">
              <w:rPr>
                <w:rFonts w:ascii="Arial Narrow" w:hAnsi="Arial Narrow"/>
                <w:sz w:val="20"/>
                <w:lang w:val="en-AU"/>
              </w:rPr>
              <w:t xml:space="preserve">IVA </w:t>
            </w:r>
            <w:r w:rsidR="009619FE" w:rsidRPr="00EA24CA">
              <w:rPr>
                <w:rFonts w:ascii="Arial Narrow" w:hAnsi="Arial Narrow"/>
                <w:sz w:val="20"/>
                <w:lang w:val="en-AU"/>
              </w:rPr>
              <w:t>plus BSC for CF patients aged 6 to 11 years inclusive who are heterozygous for F508del in the CFTR gene with a gating mutation (F/G)</w:t>
            </w:r>
          </w:p>
        </w:tc>
      </w:tr>
      <w:tr w:rsidR="009619FE" w:rsidRPr="00EA24CA" w14:paraId="506EA1D1" w14:textId="77777777" w:rsidTr="00B44292">
        <w:trPr>
          <w:cnfStyle w:val="000000010000" w:firstRow="0" w:lastRow="0" w:firstColumn="0" w:lastColumn="0" w:oddVBand="0" w:evenVBand="0" w:oddHBand="0" w:evenHBand="1" w:firstRowFirstColumn="0" w:firstRowLastColumn="0" w:lastRowFirstColumn="0" w:lastRowLastColumn="0"/>
        </w:trPr>
        <w:tc>
          <w:tcPr>
            <w:tcW w:w="1418" w:type="dxa"/>
          </w:tcPr>
          <w:p w14:paraId="79B0ADA2" w14:textId="77777777" w:rsidR="009619FE" w:rsidRPr="00EA24CA" w:rsidRDefault="009619FE" w:rsidP="00EA24CA">
            <w:pPr>
              <w:pStyle w:val="Tabletextleft"/>
              <w:keepNext/>
              <w:rPr>
                <w:rFonts w:ascii="Arial Narrow" w:hAnsi="Arial Narrow"/>
                <w:b/>
                <w:bCs/>
                <w:sz w:val="20"/>
                <w:lang w:val="en-AU"/>
              </w:rPr>
            </w:pPr>
            <w:r w:rsidRPr="00EA24CA">
              <w:rPr>
                <w:rFonts w:ascii="Arial Narrow" w:hAnsi="Arial Narrow"/>
                <w:b/>
                <w:sz w:val="20"/>
                <w:lang w:val="en-AU"/>
              </w:rPr>
              <w:t>Outcomes</w:t>
            </w:r>
          </w:p>
        </w:tc>
        <w:tc>
          <w:tcPr>
            <w:tcW w:w="7599" w:type="dxa"/>
          </w:tcPr>
          <w:p w14:paraId="77C72D50" w14:textId="026DC69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Absolute change from baseline in LCI</w:t>
            </w:r>
            <w:r w:rsidRPr="00EA24CA">
              <w:rPr>
                <w:rFonts w:ascii="Arial Narrow" w:hAnsi="Arial Narrow"/>
                <w:sz w:val="20"/>
                <w:vertAlign w:val="subscript"/>
                <w:lang w:val="en-AU"/>
              </w:rPr>
              <w:t>2.5</w:t>
            </w:r>
            <w:r w:rsidRPr="00EA24CA">
              <w:rPr>
                <w:rFonts w:ascii="Arial Narrow" w:hAnsi="Arial Narrow"/>
                <w:sz w:val="20"/>
                <w:lang w:val="en-AU"/>
              </w:rPr>
              <w:t>; sweat chloride; CFQ-R Respiratory Domain Score; LCI</w:t>
            </w:r>
            <w:r w:rsidRPr="00EA24CA">
              <w:rPr>
                <w:rFonts w:ascii="Arial Narrow" w:hAnsi="Arial Narrow"/>
                <w:sz w:val="20"/>
                <w:vertAlign w:val="subscript"/>
                <w:lang w:val="en-AU"/>
              </w:rPr>
              <w:t>5.0</w:t>
            </w:r>
            <w:r w:rsidRPr="00EA24CA">
              <w:rPr>
                <w:rFonts w:ascii="Arial Narrow" w:hAnsi="Arial Narrow"/>
                <w:sz w:val="20"/>
                <w:lang w:val="en-AU"/>
              </w:rPr>
              <w:t>; ppFEV; nutritional status (BMI, BMI-for-age z-score, weight, weight-for-age z-score, height, height-for-age z-score, stature, stature-for-height).</w:t>
            </w:r>
          </w:p>
          <w:p w14:paraId="2F2242EF" w14:textId="77777777" w:rsidR="009619FE" w:rsidRPr="00EA24CA" w:rsidRDefault="009619FE" w:rsidP="00EA24CA">
            <w:pPr>
              <w:pStyle w:val="Tabletextleft"/>
              <w:keepNext/>
              <w:rPr>
                <w:rFonts w:ascii="Arial Narrow" w:hAnsi="Arial Narrow"/>
                <w:sz w:val="20"/>
                <w:lang w:val="en-AU"/>
              </w:rPr>
            </w:pPr>
            <w:r w:rsidRPr="00EA24CA">
              <w:rPr>
                <w:rFonts w:ascii="Arial Narrow" w:hAnsi="Arial Narrow"/>
                <w:sz w:val="20"/>
                <w:lang w:val="en-AU"/>
              </w:rPr>
              <w:t>Safety and tolerability</w:t>
            </w:r>
          </w:p>
        </w:tc>
      </w:tr>
      <w:tr w:rsidR="009619FE" w:rsidRPr="00EA24CA" w14:paraId="0BC55B38" w14:textId="77777777" w:rsidTr="00B44292">
        <w:trPr>
          <w:cnfStyle w:val="000000100000" w:firstRow="0" w:lastRow="0" w:firstColumn="0" w:lastColumn="0" w:oddVBand="0" w:evenVBand="0" w:oddHBand="1" w:evenHBand="0" w:firstRowFirstColumn="0" w:firstRowLastColumn="0" w:lastRowFirstColumn="0" w:lastRowLastColumn="0"/>
        </w:trPr>
        <w:tc>
          <w:tcPr>
            <w:tcW w:w="1418" w:type="dxa"/>
          </w:tcPr>
          <w:p w14:paraId="3F42A458" w14:textId="77777777" w:rsidR="009619FE" w:rsidRPr="00EA24CA" w:rsidRDefault="009619FE" w:rsidP="00B44292">
            <w:pPr>
              <w:pStyle w:val="Tabletextleft"/>
              <w:rPr>
                <w:rFonts w:ascii="Arial Narrow" w:hAnsi="Arial Narrow"/>
                <w:b/>
                <w:bCs/>
                <w:sz w:val="20"/>
                <w:lang w:val="en-AU"/>
              </w:rPr>
            </w:pPr>
            <w:r w:rsidRPr="00EA24CA">
              <w:rPr>
                <w:rFonts w:ascii="Arial Narrow" w:hAnsi="Arial Narrow"/>
                <w:b/>
                <w:sz w:val="20"/>
                <w:lang w:val="en-AU"/>
              </w:rPr>
              <w:t>Clinical Claim</w:t>
            </w:r>
          </w:p>
        </w:tc>
        <w:tc>
          <w:tcPr>
            <w:tcW w:w="7599" w:type="dxa"/>
          </w:tcPr>
          <w:p w14:paraId="7AA7A080" w14:textId="046C2B24" w:rsidR="009619FE" w:rsidRPr="00EA24CA" w:rsidRDefault="009619FE" w:rsidP="00B44292">
            <w:pPr>
              <w:pStyle w:val="Tabletextleft"/>
              <w:rPr>
                <w:rStyle w:val="Style9ptText2"/>
                <w:rFonts w:ascii="Arial Narrow" w:hAnsi="Arial Narrow"/>
                <w:sz w:val="20"/>
                <w:lang w:val="en-AU"/>
              </w:rPr>
            </w:pPr>
            <w:r w:rsidRPr="00EA24CA">
              <w:rPr>
                <w:rFonts w:ascii="Arial Narrow" w:hAnsi="Arial Narrow"/>
                <w:sz w:val="20"/>
                <w:lang w:val="en-AU"/>
              </w:rPr>
              <w:t xml:space="preserve">For CF patients aged 6 to 11 who have at least one F508del mutation in the CFTR gene (F/any), ELX/TEZ/IVA plus BSC is superior in terms of efficacy and comparable in terms of safety compared to the nominated comparators (LUM/IVA plus BSC, IVA plus </w:t>
            </w:r>
            <w:r w:rsidR="00DD6EA4" w:rsidRPr="00EA24CA">
              <w:rPr>
                <w:rFonts w:ascii="Arial Narrow" w:hAnsi="Arial Narrow"/>
                <w:sz w:val="20"/>
                <w:lang w:val="en-AU"/>
              </w:rPr>
              <w:t>BSC or</w:t>
            </w:r>
            <w:r w:rsidRPr="00EA24CA">
              <w:rPr>
                <w:rFonts w:ascii="Arial Narrow" w:hAnsi="Arial Narrow"/>
                <w:sz w:val="20"/>
                <w:lang w:val="en-AU"/>
              </w:rPr>
              <w:t xml:space="preserve"> BSC alone).</w:t>
            </w:r>
          </w:p>
        </w:tc>
      </w:tr>
    </w:tbl>
    <w:p w14:paraId="2D492B9E" w14:textId="77777777" w:rsidR="009619FE" w:rsidRPr="000C48F9" w:rsidRDefault="009619FE" w:rsidP="00C116E3">
      <w:pPr>
        <w:pStyle w:val="FooterTableFigure"/>
        <w:rPr>
          <w:sz w:val="20"/>
        </w:rPr>
      </w:pPr>
      <w:r w:rsidRPr="000C48F9">
        <w:t>Source: Table 1.1.1, p29 of the submission.</w:t>
      </w:r>
    </w:p>
    <w:p w14:paraId="6B1B0FAF" w14:textId="44BFABA4" w:rsidR="009619FE" w:rsidRDefault="009619FE" w:rsidP="00B44292">
      <w:pPr>
        <w:pStyle w:val="FooterTableFigure"/>
      </w:pPr>
      <w:r w:rsidRPr="000C48F9">
        <w:t>BMI= body mass index; BSC= best supportive care; CF= cystic fibrosis; CFQ-R= cystic fibrosis questionnaire-revised; CFTR= cystic fibrosis transmembrane conductance regulator; ELX= elexacaftor; F/any= CF patient with at least one F508del mutation in the CFTR gene; F/F= CF patient homozygous for the F508del-CFTR mutation; F/G= CF patient heterozygous for the F508del in the CFTR gene with a gating mutation; F/MF= CF patient heterozygous for the F508del in the CFTR gene with a minimal function mutation;</w:t>
      </w:r>
      <w:r w:rsidR="00DD6EA4">
        <w:t xml:space="preserve"> </w:t>
      </w:r>
      <w:r w:rsidRPr="000C48F9">
        <w:t xml:space="preserve">F/not yet characterised= CF patient heterozygous for the F508del in the CFTR gene with a second mutation not yet characterised as minimal function or residual function; F/RF= CF patient heterozygous for the F508del in the CFTR gene with a residual function mutation; IVA= ivacaftor; MF= minimal function; LCI= lung clearance index; LUM= lumacaftor; ppFEV= percent predicted forced expiratory volume; </w:t>
      </w:r>
      <w:r w:rsidR="003F0ABF" w:rsidRPr="000C48F9">
        <w:t xml:space="preserve">TEZ= tezacaftor; </w:t>
      </w:r>
      <w:r w:rsidRPr="000C48F9">
        <w:t>RF= residual function.</w:t>
      </w:r>
    </w:p>
    <w:p w14:paraId="1F1A5513" w14:textId="3008E284" w:rsidR="00A21A58" w:rsidRDefault="00A21A58" w:rsidP="004957E8">
      <w:pPr>
        <w:pStyle w:val="FooterTableFigure"/>
        <w:spacing w:after="0"/>
      </w:pPr>
    </w:p>
    <w:p w14:paraId="5FE6A71C" w14:textId="6DC1B04E" w:rsidR="003B5273" w:rsidRDefault="00A21A58" w:rsidP="00A21A58">
      <w:pPr>
        <w:rPr>
          <w:i/>
          <w:iCs/>
        </w:rPr>
      </w:pPr>
      <w:r w:rsidRPr="00A21A58">
        <w:rPr>
          <w:i/>
          <w:iCs/>
        </w:rPr>
        <w:t>For more detail on PBAC’s view, see section 7 PBAC outcome.</w:t>
      </w:r>
    </w:p>
    <w:p w14:paraId="3A95857D" w14:textId="7EFF7E5C" w:rsidR="003B5273" w:rsidRDefault="003B5273">
      <w:pPr>
        <w:jc w:val="left"/>
        <w:rPr>
          <w:i/>
          <w:iCs/>
        </w:rPr>
      </w:pPr>
      <w:r>
        <w:rPr>
          <w:i/>
          <w:iCs/>
        </w:rPr>
        <w:br w:type="page"/>
      </w:r>
    </w:p>
    <w:p w14:paraId="232435A2" w14:textId="77777777" w:rsidR="009619FE" w:rsidRPr="000C48F9" w:rsidRDefault="009619FE" w:rsidP="00B44292">
      <w:pPr>
        <w:pStyle w:val="2-SectionHeading"/>
      </w:pPr>
      <w:bookmarkStart w:id="6" w:name="_Toc112937118"/>
      <w:bookmarkStart w:id="7" w:name="_Toc112937191"/>
      <w:bookmarkStart w:id="8" w:name="_Toc114047706"/>
      <w:bookmarkEnd w:id="4"/>
      <w:bookmarkEnd w:id="6"/>
      <w:bookmarkEnd w:id="7"/>
      <w:r w:rsidRPr="000C48F9">
        <w:t>Background</w:t>
      </w:r>
      <w:bookmarkEnd w:id="8"/>
    </w:p>
    <w:p w14:paraId="3F2A4152" w14:textId="77777777" w:rsidR="009619FE" w:rsidRPr="000C48F9" w:rsidRDefault="009619FE" w:rsidP="00B44292">
      <w:pPr>
        <w:pStyle w:val="4-SubsectionHeading"/>
      </w:pPr>
      <w:bookmarkStart w:id="9" w:name="_Toc114047707"/>
      <w:r w:rsidRPr="000C48F9">
        <w:t>Registration status</w:t>
      </w:r>
      <w:bookmarkEnd w:id="9"/>
    </w:p>
    <w:p w14:paraId="6E6F1476" w14:textId="2249A4CE" w:rsidR="009619FE" w:rsidRPr="000C48F9" w:rsidRDefault="009619FE" w:rsidP="00A6103E">
      <w:pPr>
        <w:pStyle w:val="3-BodyText"/>
      </w:pPr>
      <w:r w:rsidRPr="000C48F9">
        <w:t xml:space="preserve">ELX/TEZ/IVA was </w:t>
      </w:r>
      <w:r w:rsidR="00E627CC" w:rsidRPr="000C48F9">
        <w:t xml:space="preserve">registered </w:t>
      </w:r>
      <w:r w:rsidRPr="000C48F9">
        <w:t xml:space="preserve">for use in CF patients aged </w:t>
      </w:r>
      <w:r w:rsidRPr="000C48F9">
        <w:rPr>
          <w:rFonts w:cstheme="minorHAnsi"/>
        </w:rPr>
        <w:t>≥</w:t>
      </w:r>
      <w:r w:rsidR="00B94535">
        <w:rPr>
          <w:rFonts w:cstheme="minorHAnsi"/>
        </w:rPr>
        <w:t xml:space="preserve"> </w:t>
      </w:r>
      <w:r w:rsidR="00A6103E">
        <w:t>6</w:t>
      </w:r>
      <w:r w:rsidR="00A6103E" w:rsidRPr="000C48F9">
        <w:t xml:space="preserve"> </w:t>
      </w:r>
      <w:r w:rsidRPr="000C48F9">
        <w:t xml:space="preserve">years who have at least one F508del mutation in the CFTR gene on </w:t>
      </w:r>
      <w:r w:rsidR="00A6103E">
        <w:t>1 November 2022</w:t>
      </w:r>
      <w:r w:rsidRPr="000C48F9">
        <w:t>.</w:t>
      </w:r>
    </w:p>
    <w:p w14:paraId="49DA0885" w14:textId="3543C1A3" w:rsidR="000658EB" w:rsidRPr="000C48F9" w:rsidRDefault="000658EB" w:rsidP="000658EB">
      <w:pPr>
        <w:pStyle w:val="3-BodyText"/>
      </w:pPr>
      <w:r w:rsidRPr="000C48F9">
        <w:t xml:space="preserve">The TGA Clinical Evaluator stated that </w:t>
      </w:r>
      <w:r w:rsidR="00A6103E">
        <w:t>cystic fibrosis (</w:t>
      </w:r>
      <w:r w:rsidRPr="000C48F9">
        <w:t>CF</w:t>
      </w:r>
      <w:r w:rsidR="00A6103E">
        <w:t>)</w:t>
      </w:r>
      <w:r w:rsidRPr="000C48F9">
        <w:t xml:space="preserve"> does not differ substantially in its clinical characteristics between the paediatric and the adult population and the CFTR gene expresses in the same way for the two populations</w:t>
      </w:r>
      <w:r w:rsidR="004957E8">
        <w:t xml:space="preserve">. </w:t>
      </w:r>
      <w:r w:rsidRPr="000C48F9">
        <w:t>Based on this, the TGA Clinical Evaluator considered the open-label single arm study presented (i.e., Study 106</w:t>
      </w:r>
      <w:r w:rsidR="00310F59" w:rsidRPr="000C48F9">
        <w:rPr>
          <w:rStyle w:val="FootnoteReference"/>
        </w:rPr>
        <w:footnoteReference w:id="2"/>
      </w:r>
      <w:r w:rsidRPr="000C48F9">
        <w:t>) was sufficient to be able to demonstrate efficacy in the paediatric population.</w:t>
      </w:r>
    </w:p>
    <w:p w14:paraId="36311448" w14:textId="77777777" w:rsidR="009619FE" w:rsidRPr="000C48F9" w:rsidRDefault="009619FE" w:rsidP="00B67CD6">
      <w:pPr>
        <w:pStyle w:val="4-SubsectionHeading"/>
      </w:pPr>
      <w:bookmarkStart w:id="10" w:name="_Toc114047708"/>
      <w:r w:rsidRPr="000C48F9">
        <w:t>Previous PBAC consideration</w:t>
      </w:r>
      <w:bookmarkEnd w:id="10"/>
    </w:p>
    <w:p w14:paraId="13E3EA19" w14:textId="036862DC" w:rsidR="009619FE" w:rsidRPr="000C48F9" w:rsidRDefault="009619FE" w:rsidP="00B44292">
      <w:pPr>
        <w:pStyle w:val="3-BodyText"/>
        <w:rPr>
          <w:color w:val="0066FF"/>
        </w:rPr>
      </w:pPr>
      <w:r w:rsidRPr="000C48F9">
        <w:t xml:space="preserve">This is the first submission to the PBAC for the 6 to 11 years age group for </w:t>
      </w:r>
      <w:r w:rsidRPr="000C48F9">
        <w:rPr>
          <w:rFonts w:cstheme="minorHAnsi"/>
        </w:rPr>
        <w:t>ELX/TEZ/IVA. Previously, the PBAC recommended ELX/TEZ/IVA for the treatment of CF in patients aged ≥12 years who</w:t>
      </w:r>
      <w:r w:rsidRPr="000C48F9">
        <w:t xml:space="preserve"> have at least one </w:t>
      </w:r>
      <w:r w:rsidRPr="000C48F9">
        <w:rPr>
          <w:iCs/>
        </w:rPr>
        <w:t>F508del</w:t>
      </w:r>
      <w:r w:rsidRPr="000C48F9">
        <w:t xml:space="preserve"> mutation in the </w:t>
      </w:r>
      <w:r w:rsidRPr="000C48F9">
        <w:rPr>
          <w:iCs/>
        </w:rPr>
        <w:t>CFTR</w:t>
      </w:r>
      <w:r w:rsidRPr="000C48F9">
        <w:t xml:space="preserve"> gene (F/any) and it was PBS listed from 1 April 2022. </w:t>
      </w:r>
    </w:p>
    <w:p w14:paraId="4E65C142" w14:textId="05B4588C" w:rsidR="009619FE" w:rsidRPr="000C48F9" w:rsidRDefault="00807013" w:rsidP="00B44292">
      <w:pPr>
        <w:pStyle w:val="3-BodyText"/>
      </w:pPr>
      <w:r w:rsidRPr="000C48F9">
        <w:t>A</w:t>
      </w:r>
      <w:r w:rsidR="009619FE" w:rsidRPr="000C48F9">
        <w:t xml:space="preserve"> comparison of the PBS listings and TGA indications</w:t>
      </w:r>
      <w:r w:rsidRPr="000C48F9">
        <w:t xml:space="preserve"> for the CFTR directed therapies </w:t>
      </w:r>
      <w:r w:rsidR="009619FE" w:rsidRPr="000C48F9">
        <w:t xml:space="preserve">is presented in </w:t>
      </w:r>
      <w:r w:rsidR="004E6CF1" w:rsidRPr="000C48F9">
        <w:fldChar w:fldCharType="begin" w:fldLock="1"/>
      </w:r>
      <w:r w:rsidR="004E6CF1" w:rsidRPr="000C48F9">
        <w:instrText xml:space="preserve"> REF _Ref112922584 \h </w:instrText>
      </w:r>
      <w:r w:rsidR="004E6CF1" w:rsidRPr="000C48F9">
        <w:fldChar w:fldCharType="separate"/>
      </w:r>
      <w:r w:rsidR="009A1227" w:rsidRPr="000C48F9">
        <w:t xml:space="preserve">Table </w:t>
      </w:r>
      <w:r w:rsidR="009A1227">
        <w:rPr>
          <w:noProof/>
        </w:rPr>
        <w:t>2</w:t>
      </w:r>
      <w:r w:rsidR="004E6CF1" w:rsidRPr="000C48F9">
        <w:fldChar w:fldCharType="end"/>
      </w:r>
      <w:r w:rsidR="009619FE" w:rsidRPr="000C48F9">
        <w:rPr>
          <w:i/>
          <w:iCs/>
        </w:rPr>
        <w:t>.</w:t>
      </w:r>
    </w:p>
    <w:p w14:paraId="30B3DD37" w14:textId="620C9FAB" w:rsidR="009619FE" w:rsidRPr="000C48F9" w:rsidRDefault="009619FE" w:rsidP="00D8077E">
      <w:pPr>
        <w:pStyle w:val="Caption"/>
        <w:rPr>
          <w:rStyle w:val="CommentReference"/>
          <w:b/>
          <w:bCs w:val="0"/>
          <w:szCs w:val="24"/>
        </w:rPr>
      </w:pPr>
      <w:bookmarkStart w:id="11" w:name="_Ref112922584"/>
      <w:r w:rsidRPr="000C48F9">
        <w:t xml:space="preserve">Table </w:t>
      </w:r>
      <w:r w:rsidR="008E430C">
        <w:fldChar w:fldCharType="begin" w:fldLock="1"/>
      </w:r>
      <w:r w:rsidR="008E430C">
        <w:instrText xml:space="preserve"> SEQ Table \* ARABIC </w:instrText>
      </w:r>
      <w:r w:rsidR="008E430C">
        <w:fldChar w:fldCharType="separate"/>
      </w:r>
      <w:r w:rsidR="009A1227">
        <w:rPr>
          <w:noProof/>
        </w:rPr>
        <w:t>2</w:t>
      </w:r>
      <w:r w:rsidR="008E430C">
        <w:rPr>
          <w:noProof/>
        </w:rPr>
        <w:fldChar w:fldCharType="end"/>
      </w:r>
      <w:bookmarkEnd w:id="11"/>
      <w:r w:rsidRPr="000C48F9">
        <w:rPr>
          <w:rStyle w:val="CommentReference"/>
          <w:b/>
          <w:bCs w:val="0"/>
          <w:szCs w:val="24"/>
        </w:rPr>
        <w:t>: Comparison of PBS listings and TGA indications for CF</w:t>
      </w:r>
      <w:r w:rsidR="000C48F9">
        <w:rPr>
          <w:rStyle w:val="CommentReference"/>
          <w:b/>
          <w:bCs w:val="0"/>
          <w:szCs w:val="24"/>
        </w:rPr>
        <w:t>T</w:t>
      </w:r>
      <w:r w:rsidRPr="000C48F9">
        <w:rPr>
          <w:rStyle w:val="CommentReference"/>
          <w:b/>
          <w:bCs w:val="0"/>
          <w:szCs w:val="24"/>
        </w:rPr>
        <w:t>R directed therapies</w:t>
      </w:r>
    </w:p>
    <w:tbl>
      <w:tblPr>
        <w:tblStyle w:val="TableGrid"/>
        <w:tblW w:w="5000" w:type="pct"/>
        <w:tblCellMar>
          <w:left w:w="28" w:type="dxa"/>
          <w:right w:w="28" w:type="dxa"/>
        </w:tblCellMar>
        <w:tblLook w:val="04A0" w:firstRow="1" w:lastRow="0" w:firstColumn="1" w:lastColumn="0" w:noHBand="0" w:noVBand="1"/>
      </w:tblPr>
      <w:tblGrid>
        <w:gridCol w:w="1142"/>
        <w:gridCol w:w="1574"/>
        <w:gridCol w:w="1576"/>
        <w:gridCol w:w="1576"/>
        <w:gridCol w:w="1576"/>
        <w:gridCol w:w="1572"/>
      </w:tblGrid>
      <w:tr w:rsidR="009619FE" w:rsidRPr="000C48F9" w14:paraId="0B8BD701" w14:textId="77777777" w:rsidTr="009619FE">
        <w:trPr>
          <w:trHeight w:val="293"/>
          <w:tblHeader/>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3E478" w14:textId="77777777" w:rsidR="009619FE" w:rsidRPr="000C48F9" w:rsidRDefault="009619FE" w:rsidP="00D8077E">
            <w:pPr>
              <w:keepNext/>
              <w:keepLines/>
              <w:jc w:val="left"/>
              <w:rPr>
                <w:iCs/>
                <w:szCs w:val="20"/>
              </w:rPr>
            </w:pPr>
            <w:r w:rsidRPr="000C48F9">
              <w:rPr>
                <w:rFonts w:ascii="Arial Narrow" w:hAnsi="Arial Narrow"/>
                <w:iCs/>
                <w:sz w:val="20"/>
                <w:szCs w:val="20"/>
              </w:rPr>
              <w:t> </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0D03F" w14:textId="77777777"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ELX/TEZ/IVA</w:t>
            </w:r>
          </w:p>
          <w:p w14:paraId="6EF1D614" w14:textId="2A81B34A" w:rsidR="009619FE" w:rsidRPr="000C48F9" w:rsidRDefault="009619FE" w:rsidP="00D8077E">
            <w:pPr>
              <w:keepNext/>
              <w:keepLines/>
              <w:jc w:val="left"/>
              <w:rPr>
                <w:rFonts w:ascii="Arial Narrow" w:hAnsi="Arial Narrow"/>
                <w:b/>
                <w:bCs/>
                <w:iCs/>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EAB43" w14:textId="4CC7DD92"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 xml:space="preserve">ELX/TEZ/IVA </w:t>
            </w:r>
          </w:p>
        </w:tc>
        <w:tc>
          <w:tcPr>
            <w:tcW w:w="874" w:type="pct"/>
            <w:tcBorders>
              <w:top w:val="single" w:sz="4" w:space="0" w:color="auto"/>
              <w:left w:val="single" w:sz="4" w:space="0" w:color="auto"/>
              <w:bottom w:val="single" w:sz="4" w:space="0" w:color="auto"/>
              <w:right w:val="single" w:sz="4" w:space="0" w:color="auto"/>
            </w:tcBorders>
            <w:vAlign w:val="center"/>
          </w:tcPr>
          <w:p w14:paraId="1DECF5B2" w14:textId="77777777"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TEZ/IVA</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A64AA" w14:textId="2A8C1304"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 xml:space="preserve">LUM/IVA </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8DAD" w14:textId="6A0F4372"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 xml:space="preserve">IVA </w:t>
            </w:r>
          </w:p>
        </w:tc>
      </w:tr>
      <w:tr w:rsidR="009619FE" w:rsidRPr="000C48F9" w14:paraId="52A3F777" w14:textId="77777777" w:rsidTr="000B1295">
        <w:trPr>
          <w:trHeight w:val="663"/>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0EC3FAD6" w14:textId="2B447741" w:rsidR="009619FE" w:rsidRPr="000C48F9" w:rsidDel="000B1295" w:rsidRDefault="009619FE" w:rsidP="00D8077E">
            <w:pPr>
              <w:keepNext/>
              <w:keepLines/>
              <w:jc w:val="left"/>
              <w:rPr>
                <w:rFonts w:ascii="Arial Narrow" w:hAnsi="Arial Narrow"/>
                <w:b/>
                <w:bCs/>
                <w:iCs/>
                <w:sz w:val="20"/>
                <w:szCs w:val="20"/>
                <w:vertAlign w:val="superscript"/>
              </w:rPr>
            </w:pPr>
            <w:r w:rsidRPr="000C48F9">
              <w:rPr>
                <w:rFonts w:ascii="Arial Narrow" w:hAnsi="Arial Narrow"/>
                <w:b/>
                <w:bCs/>
                <w:iCs/>
                <w:sz w:val="20"/>
                <w:szCs w:val="20"/>
              </w:rPr>
              <w:t>Date of PBS listing</w:t>
            </w:r>
            <w:r w:rsidR="004E6CF1" w:rsidRPr="000C48F9">
              <w:rPr>
                <w:rFonts w:ascii="Arial Narrow" w:hAnsi="Arial Narrow"/>
                <w:b/>
                <w:bCs/>
                <w:iCs/>
                <w:sz w:val="20"/>
                <w:szCs w:val="20"/>
                <w:vertAlign w:val="superscript"/>
              </w:rPr>
              <w:t>a</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F7AA36F" w14:textId="07EABD2B"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Current submission</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EDC9BEF" w14:textId="77777777"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1 April 2022</w:t>
            </w:r>
          </w:p>
        </w:tc>
        <w:tc>
          <w:tcPr>
            <w:tcW w:w="874" w:type="pct"/>
            <w:tcBorders>
              <w:top w:val="single" w:sz="4" w:space="0" w:color="auto"/>
              <w:left w:val="single" w:sz="4" w:space="0" w:color="auto"/>
              <w:bottom w:val="single" w:sz="4" w:space="0" w:color="auto"/>
              <w:right w:val="single" w:sz="4" w:space="0" w:color="auto"/>
            </w:tcBorders>
          </w:tcPr>
          <w:p w14:paraId="20570C06" w14:textId="77777777" w:rsidR="009619FE" w:rsidRPr="000C48F9" w:rsidRDefault="009619FE" w:rsidP="00D8077E">
            <w:pPr>
              <w:keepNext/>
              <w:keepLines/>
              <w:jc w:val="left"/>
              <w:rPr>
                <w:rFonts w:ascii="Arial Narrow" w:hAnsi="Arial Narrow"/>
                <w:iCs/>
                <w:sz w:val="20"/>
                <w:szCs w:val="20"/>
              </w:rPr>
            </w:pPr>
          </w:p>
          <w:p w14:paraId="467500BF" w14:textId="524E2F22"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1 December 2019</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1AA6C91" w14:textId="71BCF0EC"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 xml:space="preserve">1 </w:t>
            </w:r>
            <w:r w:rsidR="004E6CF1" w:rsidRPr="000C48F9">
              <w:rPr>
                <w:rFonts w:ascii="Arial Narrow" w:hAnsi="Arial Narrow"/>
                <w:iCs/>
                <w:sz w:val="20"/>
                <w:szCs w:val="20"/>
              </w:rPr>
              <w:t>October</w:t>
            </w:r>
            <w:r w:rsidRPr="000C48F9">
              <w:rPr>
                <w:rFonts w:ascii="Arial Narrow" w:hAnsi="Arial Narrow"/>
                <w:iCs/>
                <w:sz w:val="20"/>
                <w:szCs w:val="20"/>
              </w:rPr>
              <w:t xml:space="preserve"> 201</w:t>
            </w:r>
            <w:r w:rsidR="004E6CF1" w:rsidRPr="000C48F9">
              <w:rPr>
                <w:rFonts w:ascii="Arial Narrow" w:hAnsi="Arial Narrow"/>
                <w:iCs/>
                <w:sz w:val="20"/>
                <w:szCs w:val="20"/>
              </w:rPr>
              <w:t>8</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213AD99" w14:textId="068938B9" w:rsidR="009619FE" w:rsidRPr="000C48F9" w:rsidRDefault="009619FE" w:rsidP="00D8077E">
            <w:pPr>
              <w:keepNext/>
              <w:keepLines/>
              <w:jc w:val="left"/>
              <w:rPr>
                <w:rFonts w:ascii="Arial Narrow" w:hAnsi="Arial Narrow"/>
                <w:bCs/>
                <w:iCs/>
                <w:sz w:val="20"/>
                <w:szCs w:val="20"/>
              </w:rPr>
            </w:pPr>
            <w:r w:rsidRPr="000C48F9">
              <w:rPr>
                <w:rFonts w:ascii="Arial Narrow" w:hAnsi="Arial Narrow"/>
                <w:bCs/>
                <w:iCs/>
                <w:sz w:val="20"/>
                <w:szCs w:val="20"/>
              </w:rPr>
              <w:t>1 December 2014</w:t>
            </w:r>
          </w:p>
        </w:tc>
      </w:tr>
      <w:tr w:rsidR="009619FE" w:rsidRPr="000C48F9" w14:paraId="208953C7" w14:textId="77777777" w:rsidTr="000B1295">
        <w:trPr>
          <w:trHeight w:val="663"/>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96FB0" w14:textId="78739367" w:rsidR="009619FE" w:rsidRPr="000C48F9" w:rsidRDefault="009619FE" w:rsidP="00D8077E">
            <w:pPr>
              <w:keepNext/>
              <w:keepLines/>
              <w:jc w:val="left"/>
              <w:rPr>
                <w:rFonts w:ascii="Arial Narrow" w:hAnsi="Arial Narrow"/>
                <w:b/>
                <w:bCs/>
                <w:iCs/>
                <w:sz w:val="20"/>
                <w:szCs w:val="20"/>
              </w:rPr>
            </w:pPr>
            <w:r w:rsidRPr="000C48F9">
              <w:rPr>
                <w:rFonts w:ascii="Arial Narrow" w:hAnsi="Arial Narrow"/>
                <w:b/>
                <w:bCs/>
                <w:iCs/>
                <w:sz w:val="20"/>
                <w:szCs w:val="20"/>
              </w:rPr>
              <w:t>Current PBS restriction</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E9C83" w14:textId="24E83FF6"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Requested: F/any: 6 to 11 years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724E1" w14:textId="4E280091"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 xml:space="preserve">F/any: ≥12 years </w:t>
            </w:r>
          </w:p>
        </w:tc>
        <w:tc>
          <w:tcPr>
            <w:tcW w:w="874" w:type="pct"/>
            <w:tcBorders>
              <w:top w:val="single" w:sz="4" w:space="0" w:color="auto"/>
              <w:left w:val="single" w:sz="4" w:space="0" w:color="auto"/>
              <w:bottom w:val="single" w:sz="4" w:space="0" w:color="auto"/>
              <w:right w:val="single" w:sz="4" w:space="0" w:color="auto"/>
            </w:tcBorders>
          </w:tcPr>
          <w:p w14:paraId="41FEBD08" w14:textId="77777777" w:rsidR="009619FE" w:rsidRPr="000C48F9" w:rsidRDefault="009619FE" w:rsidP="00D8077E">
            <w:pPr>
              <w:keepNext/>
              <w:keepLines/>
              <w:jc w:val="left"/>
              <w:rPr>
                <w:rFonts w:ascii="Arial Narrow" w:hAnsi="Arial Narrow"/>
                <w:iCs/>
                <w:sz w:val="20"/>
                <w:szCs w:val="20"/>
              </w:rPr>
            </w:pPr>
          </w:p>
          <w:p w14:paraId="64A6A7F5" w14:textId="77777777" w:rsidR="009619FE" w:rsidRPr="000C48F9" w:rsidRDefault="009619FE" w:rsidP="00D8077E">
            <w:pPr>
              <w:keepNext/>
              <w:keepLines/>
              <w:rPr>
                <w:rFonts w:ascii="Arial Narrow" w:hAnsi="Arial Narrow"/>
                <w:iCs/>
                <w:sz w:val="20"/>
                <w:szCs w:val="20"/>
              </w:rPr>
            </w:pPr>
            <w:r w:rsidRPr="000C48F9">
              <w:rPr>
                <w:rFonts w:ascii="Arial Narrow" w:hAnsi="Arial Narrow"/>
                <w:iCs/>
                <w:sz w:val="20"/>
                <w:szCs w:val="20"/>
              </w:rPr>
              <w:t>F/F: ≥12 years</w:t>
            </w:r>
          </w:p>
          <w:p w14:paraId="688649DA" w14:textId="77777777" w:rsidR="009619FE" w:rsidRPr="000C48F9" w:rsidRDefault="009619FE" w:rsidP="00D8077E">
            <w:pPr>
              <w:keepNext/>
              <w:keepLines/>
              <w:rPr>
                <w:rFonts w:ascii="Arial Narrow" w:hAnsi="Arial Narrow"/>
                <w:iCs/>
                <w:sz w:val="20"/>
                <w:szCs w:val="20"/>
              </w:rPr>
            </w:pPr>
            <w:r w:rsidRPr="000C48F9">
              <w:rPr>
                <w:rFonts w:ascii="Arial Narrow" w:hAnsi="Arial Narrow"/>
                <w:iCs/>
                <w:sz w:val="20"/>
                <w:szCs w:val="20"/>
              </w:rPr>
              <w:t>F/RF: ≥12 years</w:t>
            </w:r>
          </w:p>
          <w:p w14:paraId="02CC26F6" w14:textId="77777777" w:rsidR="009619FE" w:rsidRPr="000C48F9" w:rsidRDefault="009619FE" w:rsidP="00D8077E">
            <w:pPr>
              <w:keepNext/>
              <w:keepLines/>
              <w:jc w:val="left"/>
              <w:rPr>
                <w:rFonts w:ascii="Arial Narrow" w:hAnsi="Arial Narrow"/>
                <w:iCs/>
                <w:sz w:val="20"/>
                <w:szCs w:val="20"/>
              </w:rPr>
            </w:pPr>
            <w:r w:rsidRPr="000C48F9">
              <w:rPr>
                <w:rFonts w:ascii="Arial Narrow" w:hAnsi="Arial Narrow"/>
                <w:iCs/>
                <w:sz w:val="20"/>
                <w:szCs w:val="20"/>
              </w:rPr>
              <w:t>At least one RF: ≥12 years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F5B05" w14:textId="7C167462" w:rsidR="009619FE" w:rsidRPr="000C48F9" w:rsidRDefault="009619FE" w:rsidP="00D8077E">
            <w:pPr>
              <w:keepNext/>
              <w:keepLines/>
              <w:jc w:val="left"/>
              <w:rPr>
                <w:rFonts w:ascii="Arial Narrow" w:hAnsi="Arial Narrow"/>
                <w:iCs/>
                <w:sz w:val="20"/>
                <w:szCs w:val="20"/>
                <w:u w:val="single"/>
              </w:rPr>
            </w:pPr>
            <w:r w:rsidRPr="000C48F9">
              <w:rPr>
                <w:rFonts w:ascii="Arial Narrow" w:hAnsi="Arial Narrow"/>
                <w:iCs/>
                <w:sz w:val="20"/>
                <w:szCs w:val="20"/>
              </w:rPr>
              <w:t>F/F: ≥2 years</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3BCBE" w14:textId="77777777" w:rsidR="009619FE" w:rsidRPr="000C48F9" w:rsidRDefault="009619FE" w:rsidP="00D8077E">
            <w:pPr>
              <w:keepNext/>
              <w:keepLines/>
              <w:rPr>
                <w:rFonts w:ascii="Arial Narrow" w:hAnsi="Arial Narrow"/>
                <w:bCs/>
                <w:iCs/>
                <w:sz w:val="20"/>
                <w:szCs w:val="20"/>
              </w:rPr>
            </w:pPr>
            <w:r w:rsidRPr="000C48F9">
              <w:rPr>
                <w:rFonts w:ascii="Arial Narrow" w:hAnsi="Arial Narrow"/>
                <w:bCs/>
                <w:iCs/>
                <w:sz w:val="20"/>
                <w:szCs w:val="20"/>
              </w:rPr>
              <w:t xml:space="preserve">At least one G551D mutation or </w:t>
            </w:r>
          </w:p>
          <w:p w14:paraId="767C7B0B" w14:textId="77777777" w:rsidR="009619FE" w:rsidRPr="000C48F9" w:rsidRDefault="009619FE" w:rsidP="00D8077E">
            <w:pPr>
              <w:keepNext/>
              <w:keepLines/>
              <w:jc w:val="left"/>
              <w:rPr>
                <w:rFonts w:ascii="Arial Narrow" w:hAnsi="Arial Narrow"/>
                <w:bCs/>
                <w:iCs/>
                <w:sz w:val="20"/>
                <w:szCs w:val="20"/>
              </w:rPr>
            </w:pPr>
            <w:r w:rsidRPr="000C48F9">
              <w:rPr>
                <w:rFonts w:ascii="Arial Narrow" w:hAnsi="Arial Narrow"/>
                <w:bCs/>
                <w:iCs/>
                <w:sz w:val="20"/>
                <w:szCs w:val="20"/>
              </w:rPr>
              <w:t xml:space="preserve">at least one Class III mutation: </w:t>
            </w:r>
            <w:r w:rsidRPr="000C48F9">
              <w:rPr>
                <w:rFonts w:ascii="Arial Narrow" w:hAnsi="Arial Narrow"/>
                <w:iCs/>
                <w:sz w:val="20"/>
                <w:szCs w:val="20"/>
              </w:rPr>
              <w:t xml:space="preserve">≥12 </w:t>
            </w:r>
            <w:r w:rsidRPr="000C48F9">
              <w:rPr>
                <w:rFonts w:ascii="Arial Narrow" w:hAnsi="Arial Narrow"/>
                <w:bCs/>
                <w:iCs/>
                <w:sz w:val="20"/>
                <w:szCs w:val="20"/>
              </w:rPr>
              <w:t xml:space="preserve">months </w:t>
            </w:r>
          </w:p>
        </w:tc>
      </w:tr>
      <w:tr w:rsidR="00D8077E" w:rsidRPr="000C48F9" w14:paraId="39EFE202" w14:textId="77777777" w:rsidTr="00D8077E">
        <w:trPr>
          <w:trHeight w:val="222"/>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B9A8" w14:textId="4EF89EDF" w:rsidR="00D8077E" w:rsidRPr="000C48F9" w:rsidRDefault="00D8077E" w:rsidP="00D8077E">
            <w:pPr>
              <w:keepNext/>
              <w:keepLines/>
              <w:jc w:val="left"/>
              <w:rPr>
                <w:rFonts w:ascii="Arial Narrow" w:hAnsi="Arial Narrow"/>
                <w:b/>
                <w:bCs/>
                <w:iCs/>
                <w:sz w:val="20"/>
                <w:szCs w:val="20"/>
              </w:rPr>
            </w:pPr>
            <w:r w:rsidRPr="000C48F9">
              <w:rPr>
                <w:rFonts w:ascii="Arial Narrow" w:hAnsi="Arial Narrow"/>
                <w:b/>
                <w:bCs/>
                <w:iCs/>
                <w:sz w:val="20"/>
                <w:szCs w:val="20"/>
              </w:rPr>
              <w:t>Current TGA indication</w:t>
            </w:r>
          </w:p>
        </w:tc>
        <w:tc>
          <w:tcPr>
            <w:tcW w:w="17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451FF" w14:textId="062B71F9" w:rsidR="00D8077E" w:rsidRPr="000C48F9" w:rsidRDefault="00D8077E" w:rsidP="00D8077E">
            <w:pPr>
              <w:keepNext/>
              <w:keepLines/>
              <w:jc w:val="left"/>
              <w:rPr>
                <w:rFonts w:ascii="Arial Narrow" w:hAnsi="Arial Narrow"/>
                <w:iCs/>
                <w:sz w:val="20"/>
                <w:szCs w:val="20"/>
              </w:rPr>
            </w:pPr>
            <w:r w:rsidRPr="000C48F9">
              <w:rPr>
                <w:rFonts w:ascii="Arial Narrow" w:hAnsi="Arial Narrow"/>
                <w:iCs/>
                <w:sz w:val="20"/>
                <w:szCs w:val="20"/>
              </w:rPr>
              <w:t xml:space="preserve">Supported by TGA Delegate and ACM: For the treatment of CF in patients aged 6 years and older who have at least one F508del mutation in the CFTR gene. </w:t>
            </w:r>
          </w:p>
        </w:tc>
        <w:tc>
          <w:tcPr>
            <w:tcW w:w="874" w:type="pct"/>
            <w:tcBorders>
              <w:top w:val="single" w:sz="4" w:space="0" w:color="auto"/>
              <w:left w:val="single" w:sz="4" w:space="0" w:color="auto"/>
              <w:bottom w:val="single" w:sz="4" w:space="0" w:color="auto"/>
              <w:right w:val="single" w:sz="4" w:space="0" w:color="auto"/>
            </w:tcBorders>
            <w:vAlign w:val="center"/>
          </w:tcPr>
          <w:p w14:paraId="18D7F1ED" w14:textId="096C72D3" w:rsidR="00D8077E" w:rsidRPr="000C48F9" w:rsidRDefault="00D8077E" w:rsidP="00D8077E">
            <w:pPr>
              <w:keepNext/>
              <w:keepLines/>
              <w:jc w:val="left"/>
              <w:rPr>
                <w:rFonts w:ascii="Arial Narrow" w:hAnsi="Arial Narrow"/>
                <w:iCs/>
                <w:sz w:val="20"/>
                <w:szCs w:val="20"/>
              </w:rPr>
            </w:pPr>
            <w:r w:rsidRPr="000C48F9">
              <w:rPr>
                <w:rFonts w:ascii="Arial Narrow" w:hAnsi="Arial Narrow"/>
                <w:iCs/>
                <w:sz w:val="20"/>
                <w:szCs w:val="20"/>
              </w:rPr>
              <w:t>For the treatment of patients with CF aged 6 years and older who are homozygous for the F508del mutation or who have at least one mutation in the CFTR gene that is responsive to TEZ/IVA based on in vitro data and/or clinical evidence.</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8BD3B" w14:textId="2CB97413" w:rsidR="00D8077E" w:rsidRPr="000C48F9" w:rsidRDefault="00D8077E" w:rsidP="00D8077E">
            <w:pPr>
              <w:keepNext/>
              <w:keepLines/>
              <w:jc w:val="left"/>
              <w:rPr>
                <w:rFonts w:ascii="Arial Narrow" w:hAnsi="Arial Narrow"/>
                <w:iCs/>
                <w:sz w:val="20"/>
                <w:szCs w:val="20"/>
              </w:rPr>
            </w:pPr>
            <w:r w:rsidRPr="000C48F9">
              <w:rPr>
                <w:rFonts w:ascii="Arial Narrow" w:hAnsi="Arial Narrow"/>
                <w:iCs/>
                <w:sz w:val="20"/>
                <w:szCs w:val="20"/>
              </w:rPr>
              <w:t>For the treatment of CF in patients age</w:t>
            </w:r>
            <w:r w:rsidR="000C48F9">
              <w:rPr>
                <w:rFonts w:ascii="Arial Narrow" w:hAnsi="Arial Narrow"/>
                <w:iCs/>
                <w:sz w:val="20"/>
                <w:szCs w:val="20"/>
              </w:rPr>
              <w:t>d</w:t>
            </w:r>
            <w:r w:rsidRPr="000C48F9">
              <w:rPr>
                <w:rFonts w:ascii="Arial Narrow" w:hAnsi="Arial Narrow"/>
                <w:iCs/>
                <w:sz w:val="20"/>
                <w:szCs w:val="20"/>
              </w:rPr>
              <w:t xml:space="preserve"> 2 years and older who are homozygous for the F508del mutation in the CFTR gene.</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059BF" w14:textId="77777777" w:rsidR="00D8077E" w:rsidRPr="000C48F9" w:rsidRDefault="00D8077E" w:rsidP="00D8077E">
            <w:pPr>
              <w:keepNext/>
              <w:keepLines/>
              <w:jc w:val="left"/>
              <w:rPr>
                <w:rFonts w:ascii="Arial Narrow" w:hAnsi="Arial Narrow"/>
                <w:iCs/>
                <w:sz w:val="20"/>
                <w:szCs w:val="20"/>
              </w:rPr>
            </w:pPr>
            <w:r w:rsidRPr="000C48F9">
              <w:rPr>
                <w:rFonts w:ascii="Arial Narrow" w:hAnsi="Arial Narrow"/>
                <w:iCs/>
                <w:sz w:val="20"/>
                <w:szCs w:val="20"/>
              </w:rPr>
              <w:t>For the treatment of CF in patients aged 4 months and older who have an R117H CFTR mutation or one of the following gating (class III) mutations in the CFTR gene: G551D, G1244E, G1349D, G178R, G551S, S1251N, S1255P, S549N or S549R.</w:t>
            </w:r>
          </w:p>
        </w:tc>
      </w:tr>
    </w:tbl>
    <w:p w14:paraId="4B79EA0C" w14:textId="52948313" w:rsidR="004E6CF1" w:rsidRPr="000C48F9" w:rsidRDefault="004E6CF1" w:rsidP="00D8077E">
      <w:pPr>
        <w:keepNext/>
        <w:keepLines/>
        <w:rPr>
          <w:rFonts w:ascii="Arial Narrow" w:hAnsi="Arial Narrow"/>
          <w:sz w:val="18"/>
          <w:szCs w:val="18"/>
        </w:rPr>
      </w:pPr>
      <w:r w:rsidRPr="000C48F9">
        <w:rPr>
          <w:rFonts w:ascii="Arial Narrow" w:hAnsi="Arial Narrow"/>
          <w:sz w:val="18"/>
          <w:szCs w:val="18"/>
        </w:rPr>
        <w:t xml:space="preserve">Source: Schedule of Pharmaceutical Benefits (Summary of Changes): 1 April 2022, 1 December 2019; 1 October 2018, 1 December 2018; https://www.pbs.gov.au/pbs/home, https://www.tga.gov.au/resources/artg. </w:t>
      </w:r>
    </w:p>
    <w:p w14:paraId="3283B417" w14:textId="32A592D0" w:rsidR="009619FE" w:rsidRPr="000C48F9" w:rsidRDefault="00D8077E" w:rsidP="00D8077E">
      <w:pPr>
        <w:pStyle w:val="TableFigureFooter"/>
        <w:keepNext/>
        <w:keepLines/>
      </w:pPr>
      <w:r w:rsidRPr="000C48F9">
        <w:t>BSC</w:t>
      </w:r>
      <w:r w:rsidR="009619FE" w:rsidRPr="000C48F9">
        <w:t xml:space="preserve">= best supportive care; CF = cystic fibrosis; CFTR = Cystic fibrosis transmembrane conductance regulator;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F/not yet </w:t>
      </w:r>
      <w:r w:rsidR="00B21B61" w:rsidRPr="000C48F9">
        <w:t xml:space="preserve">characterised </w:t>
      </w:r>
      <w:r w:rsidR="009619FE" w:rsidRPr="000C48F9">
        <w:t>= patients with not yet characterised mutation function; IVA = ivacaftor; TEZ/IVA = tezacaftor and ivacaftor; TGA = Therapeutic Goods Administration.</w:t>
      </w:r>
    </w:p>
    <w:p w14:paraId="17AA7CB9" w14:textId="26330BA4" w:rsidR="004E6CF1" w:rsidRPr="000C48F9" w:rsidRDefault="004E6CF1" w:rsidP="00D8077E">
      <w:pPr>
        <w:pStyle w:val="TableFigureFooter"/>
        <w:keepNext/>
        <w:keepLines/>
      </w:pPr>
      <w:r w:rsidRPr="000C48F9">
        <w:t>Note:</w:t>
      </w:r>
    </w:p>
    <w:p w14:paraId="0F52641A" w14:textId="454A17A2" w:rsidR="004E6CF1" w:rsidRPr="000C48F9" w:rsidRDefault="004E6CF1" w:rsidP="00D8077E">
      <w:pPr>
        <w:pStyle w:val="TableFigureFooter"/>
        <w:keepNext/>
        <w:keepLines/>
      </w:pPr>
      <w:r w:rsidRPr="000C48F9">
        <w:rPr>
          <w:vertAlign w:val="superscript"/>
        </w:rPr>
        <w:t xml:space="preserve">a </w:t>
      </w:r>
      <w:r w:rsidRPr="000C48F9">
        <w:t xml:space="preserve">Date represents when the treatment was first listed. </w:t>
      </w:r>
    </w:p>
    <w:p w14:paraId="3DE7BB28" w14:textId="56A540D3" w:rsidR="009619FE" w:rsidRPr="000C48F9" w:rsidRDefault="009619FE" w:rsidP="00B44292">
      <w:pPr>
        <w:pStyle w:val="2-SectionHeading"/>
      </w:pPr>
      <w:bookmarkStart w:id="12" w:name="_Toc114047709"/>
      <w:r w:rsidRPr="000C48F9">
        <w:t>Requested listing</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9"/>
        <w:gridCol w:w="773"/>
        <w:gridCol w:w="992"/>
        <w:gridCol w:w="850"/>
        <w:gridCol w:w="1651"/>
      </w:tblGrid>
      <w:tr w:rsidR="009619FE" w:rsidRPr="000C48F9" w14:paraId="6F702B8D" w14:textId="77777777" w:rsidTr="00B44292">
        <w:trPr>
          <w:cantSplit/>
          <w:trHeight w:val="20"/>
        </w:trPr>
        <w:tc>
          <w:tcPr>
            <w:tcW w:w="2972" w:type="dxa"/>
            <w:vAlign w:val="center"/>
          </w:tcPr>
          <w:p w14:paraId="7E03C4AB" w14:textId="77777777" w:rsidR="009619FE" w:rsidRPr="000C48F9" w:rsidRDefault="009619FE" w:rsidP="00B44292">
            <w:pPr>
              <w:keepLines/>
              <w:rPr>
                <w:rFonts w:ascii="Arial Narrow" w:hAnsi="Arial Narrow"/>
                <w:b/>
                <w:bCs/>
                <w:sz w:val="20"/>
                <w:szCs w:val="20"/>
              </w:rPr>
            </w:pPr>
            <w:r w:rsidRPr="000C48F9">
              <w:rPr>
                <w:rFonts w:ascii="Arial Narrow" w:hAnsi="Arial Narrow"/>
                <w:b/>
                <w:bCs/>
                <w:sz w:val="20"/>
                <w:szCs w:val="20"/>
              </w:rPr>
              <w:t>MEDICINAL PRODUCT</w:t>
            </w:r>
          </w:p>
          <w:p w14:paraId="719CDDD6" w14:textId="77777777" w:rsidR="009619FE" w:rsidRPr="000C48F9" w:rsidRDefault="009619FE" w:rsidP="00B44292">
            <w:pPr>
              <w:keepLines/>
              <w:rPr>
                <w:rFonts w:ascii="Arial Narrow" w:hAnsi="Arial Narrow"/>
                <w:b/>
                <w:sz w:val="20"/>
                <w:szCs w:val="20"/>
              </w:rPr>
            </w:pPr>
            <w:r w:rsidRPr="000C48F9">
              <w:rPr>
                <w:rFonts w:ascii="Arial Narrow" w:hAnsi="Arial Narrow"/>
                <w:b/>
                <w:bCs/>
                <w:sz w:val="20"/>
                <w:szCs w:val="20"/>
              </w:rPr>
              <w:t>medicinal product pack</w:t>
            </w:r>
          </w:p>
        </w:tc>
        <w:tc>
          <w:tcPr>
            <w:tcW w:w="1779" w:type="dxa"/>
            <w:vAlign w:val="center"/>
          </w:tcPr>
          <w:p w14:paraId="29F7558D" w14:textId="77777777" w:rsidR="009619FE" w:rsidRPr="000C48F9" w:rsidRDefault="009619FE" w:rsidP="00B44292">
            <w:pPr>
              <w:pStyle w:val="TableText0"/>
              <w:rPr>
                <w:b/>
                <w:bCs w:val="0"/>
                <w:szCs w:val="20"/>
              </w:rPr>
            </w:pPr>
            <w:r w:rsidRPr="000C48F9">
              <w:rPr>
                <w:b/>
                <w:bCs w:val="0"/>
                <w:snapToGrid w:val="0"/>
                <w:szCs w:val="20"/>
              </w:rPr>
              <w:t xml:space="preserve">Dispensed Price for Max. Qty </w:t>
            </w:r>
          </w:p>
        </w:tc>
        <w:tc>
          <w:tcPr>
            <w:tcW w:w="773" w:type="dxa"/>
            <w:vAlign w:val="center"/>
          </w:tcPr>
          <w:p w14:paraId="1099D0FA" w14:textId="77777777" w:rsidR="009619FE" w:rsidRPr="000C48F9" w:rsidRDefault="009619FE" w:rsidP="00B44292">
            <w:pPr>
              <w:keepLines/>
              <w:jc w:val="center"/>
              <w:rPr>
                <w:rFonts w:ascii="Arial Narrow" w:hAnsi="Arial Narrow"/>
                <w:b/>
                <w:sz w:val="20"/>
                <w:szCs w:val="20"/>
              </w:rPr>
            </w:pPr>
            <w:r w:rsidRPr="000C48F9">
              <w:rPr>
                <w:rFonts w:ascii="Arial Narrow" w:hAnsi="Arial Narrow"/>
                <w:b/>
                <w:sz w:val="20"/>
                <w:szCs w:val="20"/>
              </w:rPr>
              <w:t>Max. qty packs</w:t>
            </w:r>
          </w:p>
        </w:tc>
        <w:tc>
          <w:tcPr>
            <w:tcW w:w="992" w:type="dxa"/>
            <w:vAlign w:val="center"/>
          </w:tcPr>
          <w:p w14:paraId="77F2B69F" w14:textId="77777777" w:rsidR="009619FE" w:rsidRPr="000C48F9" w:rsidRDefault="009619FE" w:rsidP="00B44292">
            <w:pPr>
              <w:keepLines/>
              <w:jc w:val="center"/>
              <w:rPr>
                <w:rFonts w:ascii="Arial Narrow" w:hAnsi="Arial Narrow"/>
                <w:b/>
                <w:sz w:val="20"/>
                <w:szCs w:val="20"/>
              </w:rPr>
            </w:pPr>
            <w:r w:rsidRPr="000C48F9">
              <w:rPr>
                <w:rFonts w:ascii="Arial Narrow" w:hAnsi="Arial Narrow"/>
                <w:b/>
                <w:sz w:val="20"/>
                <w:szCs w:val="20"/>
              </w:rPr>
              <w:t>Max. qty units</w:t>
            </w:r>
          </w:p>
        </w:tc>
        <w:tc>
          <w:tcPr>
            <w:tcW w:w="850" w:type="dxa"/>
            <w:vAlign w:val="center"/>
          </w:tcPr>
          <w:p w14:paraId="3554ED9F" w14:textId="7792611B" w:rsidR="009619FE" w:rsidRPr="000C48F9" w:rsidRDefault="009619FE" w:rsidP="00B44292">
            <w:pPr>
              <w:keepLines/>
              <w:jc w:val="center"/>
              <w:rPr>
                <w:rFonts w:ascii="Arial Narrow" w:hAnsi="Arial Narrow"/>
                <w:b/>
                <w:sz w:val="20"/>
                <w:szCs w:val="20"/>
              </w:rPr>
            </w:pPr>
            <w:r w:rsidRPr="000C48F9">
              <w:rPr>
                <w:rFonts w:ascii="Arial Narrow" w:hAnsi="Arial Narrow"/>
                <w:b/>
                <w:sz w:val="20"/>
                <w:szCs w:val="20"/>
              </w:rPr>
              <w:t>№.</w:t>
            </w:r>
            <w:r w:rsidR="002C0683" w:rsidRPr="000C48F9">
              <w:rPr>
                <w:rFonts w:ascii="Arial Narrow" w:hAnsi="Arial Narrow"/>
                <w:b/>
                <w:sz w:val="20"/>
                <w:szCs w:val="20"/>
              </w:rPr>
              <w:t xml:space="preserve"> </w:t>
            </w:r>
            <w:r w:rsidRPr="000C48F9">
              <w:rPr>
                <w:rFonts w:ascii="Arial Narrow" w:hAnsi="Arial Narrow"/>
                <w:b/>
                <w:sz w:val="20"/>
                <w:szCs w:val="20"/>
              </w:rPr>
              <w:t>of</w:t>
            </w:r>
          </w:p>
          <w:p w14:paraId="162CA9FB" w14:textId="77777777" w:rsidR="009619FE" w:rsidRPr="000C48F9" w:rsidRDefault="009619FE" w:rsidP="00B44292">
            <w:pPr>
              <w:keepLines/>
              <w:jc w:val="center"/>
              <w:rPr>
                <w:rFonts w:ascii="Arial Narrow" w:hAnsi="Arial Narrow"/>
                <w:b/>
                <w:sz w:val="20"/>
                <w:szCs w:val="20"/>
              </w:rPr>
            </w:pPr>
            <w:r w:rsidRPr="000C48F9">
              <w:rPr>
                <w:rFonts w:ascii="Arial Narrow" w:hAnsi="Arial Narrow"/>
                <w:b/>
                <w:sz w:val="20"/>
                <w:szCs w:val="20"/>
              </w:rPr>
              <w:t>Rpts</w:t>
            </w:r>
          </w:p>
        </w:tc>
        <w:tc>
          <w:tcPr>
            <w:tcW w:w="1651" w:type="dxa"/>
            <w:vAlign w:val="center"/>
          </w:tcPr>
          <w:p w14:paraId="4A81C505" w14:textId="77777777" w:rsidR="009619FE" w:rsidRPr="000C48F9" w:rsidRDefault="009619FE" w:rsidP="00B44292">
            <w:pPr>
              <w:keepLines/>
              <w:rPr>
                <w:rFonts w:ascii="Arial Narrow" w:hAnsi="Arial Narrow"/>
                <w:b/>
                <w:sz w:val="20"/>
                <w:szCs w:val="20"/>
              </w:rPr>
            </w:pPr>
            <w:r w:rsidRPr="000C48F9">
              <w:rPr>
                <w:rFonts w:ascii="Arial Narrow" w:hAnsi="Arial Narrow"/>
                <w:b/>
                <w:sz w:val="20"/>
                <w:szCs w:val="20"/>
              </w:rPr>
              <w:t>Available brands</w:t>
            </w:r>
          </w:p>
        </w:tc>
      </w:tr>
      <w:tr w:rsidR="009619FE" w:rsidRPr="000C48F9" w14:paraId="6B09099E" w14:textId="77777777" w:rsidTr="00B44292">
        <w:trPr>
          <w:cantSplit/>
          <w:trHeight w:val="20"/>
        </w:trPr>
        <w:tc>
          <w:tcPr>
            <w:tcW w:w="9017" w:type="dxa"/>
            <w:gridSpan w:val="6"/>
            <w:vAlign w:val="center"/>
          </w:tcPr>
          <w:p w14:paraId="3D43BF27" w14:textId="77777777" w:rsidR="009619FE" w:rsidRPr="000C48F9" w:rsidRDefault="009619FE" w:rsidP="00B44292">
            <w:pPr>
              <w:pStyle w:val="TableText0"/>
              <w:rPr>
                <w:rFonts w:cs="Arial"/>
                <w:szCs w:val="20"/>
              </w:rPr>
            </w:pPr>
            <w:r w:rsidRPr="000C48F9">
              <w:rPr>
                <w:szCs w:val="20"/>
              </w:rPr>
              <w:t xml:space="preserve">Elexacaftor/tezacaftor/ ivacaftor </w:t>
            </w:r>
            <w:r w:rsidRPr="000C48F9" w:rsidDel="002D772A">
              <w:rPr>
                <w:smallCaps/>
                <w:szCs w:val="20"/>
              </w:rPr>
              <w:t xml:space="preserve"> </w:t>
            </w:r>
          </w:p>
        </w:tc>
      </w:tr>
      <w:tr w:rsidR="009619FE" w:rsidRPr="000C48F9" w14:paraId="42DE6F7A" w14:textId="77777777" w:rsidTr="00B44292">
        <w:trPr>
          <w:cantSplit/>
          <w:trHeight w:val="20"/>
        </w:trPr>
        <w:tc>
          <w:tcPr>
            <w:tcW w:w="2972" w:type="dxa"/>
            <w:vAlign w:val="center"/>
          </w:tcPr>
          <w:p w14:paraId="54C2D30E" w14:textId="1CB4D39E" w:rsidR="009619FE" w:rsidRPr="000C48F9" w:rsidRDefault="009619FE" w:rsidP="00B44292">
            <w:pPr>
              <w:pStyle w:val="TableText0"/>
              <w:keepLines/>
              <w:rPr>
                <w:szCs w:val="20"/>
              </w:rPr>
            </w:pPr>
            <w:bookmarkStart w:id="13" w:name="_Hlk119949846"/>
            <w:r w:rsidRPr="000C48F9">
              <w:rPr>
                <w:szCs w:val="20"/>
              </w:rPr>
              <w:t xml:space="preserve">Elexacaftor 50 mg/ tezacaftor </w:t>
            </w:r>
            <w:r w:rsidR="003A21B2" w:rsidRPr="000C48F9">
              <w:rPr>
                <w:szCs w:val="20"/>
              </w:rPr>
              <w:t>25</w:t>
            </w:r>
            <w:r w:rsidR="003A21B2">
              <w:rPr>
                <w:szCs w:val="20"/>
              </w:rPr>
              <w:t> </w:t>
            </w:r>
            <w:r w:rsidRPr="000C48F9">
              <w:rPr>
                <w:szCs w:val="20"/>
              </w:rPr>
              <w:t>mg/ ivacaftor 37.5 mg film-coated tablets co-packaged with</w:t>
            </w:r>
          </w:p>
          <w:p w14:paraId="5127A636" w14:textId="77777777" w:rsidR="009619FE" w:rsidRPr="000C48F9" w:rsidRDefault="009619FE" w:rsidP="00B44292">
            <w:pPr>
              <w:keepLines/>
              <w:rPr>
                <w:rFonts w:ascii="Arial Narrow" w:hAnsi="Arial Narrow"/>
                <w:color w:val="0066FF"/>
                <w:sz w:val="20"/>
                <w:szCs w:val="20"/>
              </w:rPr>
            </w:pPr>
            <w:r w:rsidRPr="000C48F9">
              <w:rPr>
                <w:rFonts w:ascii="Arial Narrow" w:hAnsi="Arial Narrow"/>
                <w:sz w:val="20"/>
                <w:szCs w:val="20"/>
              </w:rPr>
              <w:t>ivacaftor 75 mg film-coated tablets</w:t>
            </w:r>
            <w:bookmarkEnd w:id="13"/>
          </w:p>
        </w:tc>
        <w:tc>
          <w:tcPr>
            <w:tcW w:w="1779" w:type="dxa"/>
          </w:tcPr>
          <w:p w14:paraId="7920558F" w14:textId="77777777" w:rsidR="009619FE" w:rsidRPr="000C48F9" w:rsidRDefault="009619FE" w:rsidP="00B44292">
            <w:pPr>
              <w:pStyle w:val="TableText0"/>
              <w:jc w:val="center"/>
              <w:rPr>
                <w:szCs w:val="20"/>
              </w:rPr>
            </w:pPr>
            <w:r w:rsidRPr="000C48F9">
              <w:rPr>
                <w:szCs w:val="20"/>
              </w:rPr>
              <w:t>$21,375 published price</w:t>
            </w:r>
          </w:p>
          <w:p w14:paraId="687F3706" w14:textId="54593452" w:rsidR="009619FE" w:rsidRPr="000C48F9" w:rsidRDefault="009619FE" w:rsidP="00B44292">
            <w:pPr>
              <w:pStyle w:val="TableText0"/>
              <w:jc w:val="center"/>
              <w:rPr>
                <w:szCs w:val="20"/>
              </w:rPr>
            </w:pPr>
            <w:r w:rsidRPr="000C48F9">
              <w:rPr>
                <w:szCs w:val="20"/>
              </w:rPr>
              <w:t>$</w:t>
            </w:r>
            <w:r w:rsidR="00987958" w:rsidRPr="008A0FEF">
              <w:rPr>
                <w:color w:val="000000"/>
                <w:spacing w:val="160"/>
                <w:szCs w:val="20"/>
                <w:shd w:val="solid" w:color="000000" w:fill="000000"/>
                <w:fitText w:val="246" w:id="-1300528896"/>
                <w14:textFill>
                  <w14:solidFill>
                    <w14:srgbClr w14:val="000000">
                      <w14:alpha w14:val="100000"/>
                    </w14:srgbClr>
                  </w14:solidFill>
                </w14:textFill>
              </w:rPr>
              <w:t>|</w:t>
            </w:r>
            <w:r w:rsidR="00987958" w:rsidRPr="008A0FEF">
              <w:rPr>
                <w:color w:val="000000"/>
                <w:szCs w:val="20"/>
                <w:shd w:val="solid" w:color="000000" w:fill="000000"/>
                <w:fitText w:val="246" w:id="-1300528896"/>
                <w14:textFill>
                  <w14:solidFill>
                    <w14:srgbClr w14:val="000000">
                      <w14:alpha w14:val="100000"/>
                    </w14:srgbClr>
                  </w14:solidFill>
                </w14:textFill>
              </w:rPr>
              <w:t>|</w:t>
            </w:r>
            <w:r w:rsidRPr="000C48F9">
              <w:rPr>
                <w:szCs w:val="20"/>
              </w:rPr>
              <w:t xml:space="preserve"> effective price</w:t>
            </w:r>
          </w:p>
        </w:tc>
        <w:tc>
          <w:tcPr>
            <w:tcW w:w="773" w:type="dxa"/>
            <w:vAlign w:val="center"/>
          </w:tcPr>
          <w:p w14:paraId="736EC68E"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1</w:t>
            </w:r>
          </w:p>
        </w:tc>
        <w:tc>
          <w:tcPr>
            <w:tcW w:w="992" w:type="dxa"/>
            <w:vAlign w:val="center"/>
          </w:tcPr>
          <w:p w14:paraId="7BC42C92"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84</w:t>
            </w:r>
          </w:p>
        </w:tc>
        <w:tc>
          <w:tcPr>
            <w:tcW w:w="850" w:type="dxa"/>
            <w:vAlign w:val="center"/>
          </w:tcPr>
          <w:p w14:paraId="2FEEC7F7"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5</w:t>
            </w:r>
          </w:p>
        </w:tc>
        <w:tc>
          <w:tcPr>
            <w:tcW w:w="1651" w:type="dxa"/>
            <w:vAlign w:val="center"/>
          </w:tcPr>
          <w:p w14:paraId="767A09FF" w14:textId="77777777" w:rsidR="009619FE" w:rsidRPr="000C48F9" w:rsidRDefault="009619FE" w:rsidP="00B44292">
            <w:pPr>
              <w:keepLines/>
              <w:rPr>
                <w:rFonts w:ascii="Arial Narrow" w:hAnsi="Arial Narrow"/>
                <w:color w:val="0066FF"/>
                <w:sz w:val="20"/>
                <w:szCs w:val="20"/>
              </w:rPr>
            </w:pPr>
            <w:r w:rsidRPr="000C48F9">
              <w:rPr>
                <w:rFonts w:ascii="Arial Narrow" w:hAnsi="Arial Narrow"/>
                <w:sz w:val="20"/>
                <w:szCs w:val="20"/>
              </w:rPr>
              <w:t>Trikafta, Vertex Pharmaceuticals (Australia) Pty Ltd</w:t>
            </w:r>
          </w:p>
        </w:tc>
      </w:tr>
      <w:tr w:rsidR="009619FE" w:rsidRPr="000C48F9" w14:paraId="14D475D0" w14:textId="77777777" w:rsidTr="00B44292">
        <w:trPr>
          <w:cantSplit/>
          <w:trHeight w:val="20"/>
        </w:trPr>
        <w:tc>
          <w:tcPr>
            <w:tcW w:w="2972" w:type="dxa"/>
            <w:vAlign w:val="center"/>
          </w:tcPr>
          <w:p w14:paraId="6A676E43" w14:textId="0ADCB7FC" w:rsidR="009619FE" w:rsidRPr="000C48F9" w:rsidRDefault="009619FE" w:rsidP="00B44292">
            <w:pPr>
              <w:pStyle w:val="TableFigureFooter"/>
              <w:rPr>
                <w:sz w:val="20"/>
                <w:szCs w:val="20"/>
              </w:rPr>
            </w:pPr>
            <w:r w:rsidRPr="000C48F9">
              <w:rPr>
                <w:sz w:val="20"/>
                <w:szCs w:val="20"/>
              </w:rPr>
              <w:t>Elexacaftor 100 mg/ tezacaftor 50</w:t>
            </w:r>
            <w:r w:rsidR="003A21B2">
              <w:rPr>
                <w:sz w:val="20"/>
                <w:szCs w:val="20"/>
              </w:rPr>
              <w:t> </w:t>
            </w:r>
            <w:r w:rsidRPr="000C48F9">
              <w:rPr>
                <w:sz w:val="20"/>
                <w:szCs w:val="20"/>
              </w:rPr>
              <w:t xml:space="preserve">mg/ ivacaftor 75 mg film-coated tablets co-packaged with </w:t>
            </w:r>
          </w:p>
          <w:p w14:paraId="1CFE0378" w14:textId="77777777" w:rsidR="009619FE" w:rsidRPr="000C48F9" w:rsidRDefault="009619FE" w:rsidP="00B44292">
            <w:pPr>
              <w:pStyle w:val="TableFigureFooter"/>
              <w:rPr>
                <w:color w:val="0066FF"/>
                <w:sz w:val="20"/>
                <w:szCs w:val="20"/>
              </w:rPr>
            </w:pPr>
            <w:r w:rsidRPr="000C48F9">
              <w:rPr>
                <w:sz w:val="20"/>
                <w:szCs w:val="20"/>
              </w:rPr>
              <w:t>ivacaftor 150 mg film-coated tablets</w:t>
            </w:r>
          </w:p>
        </w:tc>
        <w:tc>
          <w:tcPr>
            <w:tcW w:w="1779" w:type="dxa"/>
          </w:tcPr>
          <w:p w14:paraId="57D7C120" w14:textId="77777777" w:rsidR="009619FE" w:rsidRPr="000C48F9" w:rsidRDefault="009619FE" w:rsidP="00B44292">
            <w:pPr>
              <w:pStyle w:val="TableText0"/>
              <w:jc w:val="center"/>
              <w:rPr>
                <w:szCs w:val="20"/>
              </w:rPr>
            </w:pPr>
            <w:r w:rsidRPr="000C48F9">
              <w:rPr>
                <w:szCs w:val="20"/>
              </w:rPr>
              <w:t>$21,375 published price</w:t>
            </w:r>
          </w:p>
          <w:p w14:paraId="0B18BAC0" w14:textId="73A20F43" w:rsidR="009619FE" w:rsidRPr="000C48F9" w:rsidRDefault="009619FE" w:rsidP="00B44292">
            <w:pPr>
              <w:pStyle w:val="TableText0"/>
              <w:jc w:val="center"/>
              <w:rPr>
                <w:szCs w:val="20"/>
              </w:rPr>
            </w:pPr>
            <w:r w:rsidRPr="000C48F9">
              <w:rPr>
                <w:szCs w:val="20"/>
              </w:rPr>
              <w:t>$</w:t>
            </w:r>
            <w:r w:rsidR="00987958" w:rsidRPr="00976F42">
              <w:rPr>
                <w:color w:val="000000"/>
                <w:spacing w:val="160"/>
                <w:szCs w:val="20"/>
                <w:shd w:val="solid" w:color="000000" w:fill="000000"/>
                <w:fitText w:val="246" w:id="-1300528895"/>
                <w14:textFill>
                  <w14:solidFill>
                    <w14:srgbClr w14:val="000000">
                      <w14:alpha w14:val="100000"/>
                    </w14:srgbClr>
                  </w14:solidFill>
                </w14:textFill>
              </w:rPr>
              <w:t>|</w:t>
            </w:r>
            <w:r w:rsidR="00987958" w:rsidRPr="00976F42">
              <w:rPr>
                <w:color w:val="000000"/>
                <w:spacing w:val="1"/>
                <w:szCs w:val="20"/>
                <w:shd w:val="solid" w:color="000000" w:fill="000000"/>
                <w:fitText w:val="246" w:id="-1300528895"/>
                <w14:textFill>
                  <w14:solidFill>
                    <w14:srgbClr w14:val="000000">
                      <w14:alpha w14:val="100000"/>
                    </w14:srgbClr>
                  </w14:solidFill>
                </w14:textFill>
              </w:rPr>
              <w:t>|</w:t>
            </w:r>
            <w:r w:rsidRPr="000C48F9">
              <w:rPr>
                <w:szCs w:val="20"/>
              </w:rPr>
              <w:t xml:space="preserve"> effective price</w:t>
            </w:r>
          </w:p>
        </w:tc>
        <w:tc>
          <w:tcPr>
            <w:tcW w:w="773" w:type="dxa"/>
            <w:vAlign w:val="center"/>
          </w:tcPr>
          <w:p w14:paraId="4EC10E39"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1</w:t>
            </w:r>
          </w:p>
        </w:tc>
        <w:tc>
          <w:tcPr>
            <w:tcW w:w="992" w:type="dxa"/>
            <w:vAlign w:val="center"/>
          </w:tcPr>
          <w:p w14:paraId="5F4B7C91"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84</w:t>
            </w:r>
          </w:p>
        </w:tc>
        <w:tc>
          <w:tcPr>
            <w:tcW w:w="850" w:type="dxa"/>
            <w:vAlign w:val="center"/>
          </w:tcPr>
          <w:p w14:paraId="6DF6BB09" w14:textId="77777777" w:rsidR="009619FE" w:rsidRPr="000C48F9" w:rsidRDefault="009619FE" w:rsidP="00B44292">
            <w:pPr>
              <w:keepLines/>
              <w:jc w:val="center"/>
              <w:rPr>
                <w:rFonts w:ascii="Arial Narrow" w:hAnsi="Arial Narrow"/>
                <w:sz w:val="20"/>
                <w:szCs w:val="20"/>
              </w:rPr>
            </w:pPr>
            <w:r w:rsidRPr="000C48F9">
              <w:rPr>
                <w:rFonts w:ascii="Arial Narrow" w:hAnsi="Arial Narrow"/>
                <w:sz w:val="20"/>
                <w:szCs w:val="20"/>
              </w:rPr>
              <w:t>5</w:t>
            </w:r>
          </w:p>
        </w:tc>
        <w:tc>
          <w:tcPr>
            <w:tcW w:w="1651" w:type="dxa"/>
            <w:vAlign w:val="center"/>
          </w:tcPr>
          <w:p w14:paraId="2D724BD8" w14:textId="77777777" w:rsidR="009619FE" w:rsidRPr="000C48F9" w:rsidRDefault="009619FE" w:rsidP="00B44292">
            <w:pPr>
              <w:keepLines/>
              <w:rPr>
                <w:rFonts w:ascii="Arial Narrow" w:hAnsi="Arial Narrow"/>
                <w:color w:val="0066FF"/>
                <w:sz w:val="20"/>
                <w:szCs w:val="20"/>
              </w:rPr>
            </w:pPr>
            <w:r w:rsidRPr="000C48F9">
              <w:rPr>
                <w:rFonts w:ascii="Arial Narrow" w:hAnsi="Arial Narrow"/>
                <w:sz w:val="20"/>
                <w:szCs w:val="20"/>
              </w:rPr>
              <w:t>Trikafta, Vertex Pharmaceuticals (Australia) Pty Ltd</w:t>
            </w:r>
            <w:r w:rsidRPr="000C48F9" w:rsidDel="002D772A">
              <w:rPr>
                <w:rFonts w:ascii="Arial Narrow" w:hAnsi="Arial Narrow"/>
                <w:sz w:val="20"/>
                <w:szCs w:val="20"/>
              </w:rPr>
              <w:t xml:space="preserve"> </w:t>
            </w:r>
          </w:p>
        </w:tc>
      </w:tr>
    </w:tbl>
    <w:tbl>
      <w:tblPr>
        <w:tblStyle w:val="HTATableshaded2"/>
        <w:tblW w:w="9067" w:type="dxa"/>
        <w:tblLayout w:type="fixed"/>
        <w:tblLook w:val="0020" w:firstRow="1" w:lastRow="0" w:firstColumn="0" w:lastColumn="0" w:noHBand="0" w:noVBand="0"/>
      </w:tblPr>
      <w:tblGrid>
        <w:gridCol w:w="9067"/>
      </w:tblGrid>
      <w:tr w:rsidR="009619FE" w:rsidRPr="000C48F9" w14:paraId="7E2C4716" w14:textId="77777777" w:rsidTr="008A0FEF">
        <w:trPr>
          <w:cnfStyle w:val="100000000000" w:firstRow="1" w:lastRow="0" w:firstColumn="0" w:lastColumn="0" w:oddVBand="0" w:evenVBand="0" w:oddHBand="0" w:evenHBand="0" w:firstRowFirstColumn="0" w:firstRowLastColumn="0" w:lastRowFirstColumn="0" w:lastRowLastColumn="0"/>
        </w:trPr>
        <w:tc>
          <w:tcPr>
            <w:tcW w:w="9067" w:type="dxa"/>
          </w:tcPr>
          <w:p w14:paraId="35B865F5" w14:textId="77777777" w:rsidR="009619FE" w:rsidRPr="000C48F9" w:rsidRDefault="009619FE" w:rsidP="00B44292">
            <w:pPr>
              <w:pStyle w:val="TableText0"/>
              <w:rPr>
                <w:rFonts w:cstheme="minorHAnsi"/>
                <w:b/>
                <w:lang w:eastAsia="en-US"/>
              </w:rPr>
            </w:pPr>
            <w:r w:rsidRPr="000C48F9">
              <w:rPr>
                <w:b/>
                <w:lang w:eastAsia="en-US"/>
              </w:rPr>
              <w:t xml:space="preserve">Category / Program: </w:t>
            </w:r>
            <w:r w:rsidRPr="000C48F9">
              <w:rPr>
                <w:lang w:eastAsia="en-US"/>
              </w:rPr>
              <w:t>Section 100 – Highly Specialised Drugs Program (Public and Private Hospitals)</w:t>
            </w:r>
          </w:p>
        </w:tc>
      </w:tr>
      <w:tr w:rsidR="009619FE" w:rsidRPr="000C48F9" w14:paraId="1299ABD1" w14:textId="77777777" w:rsidTr="008A0FEF">
        <w:tc>
          <w:tcPr>
            <w:tcW w:w="9067" w:type="dxa"/>
          </w:tcPr>
          <w:p w14:paraId="03B00417" w14:textId="77777777" w:rsidR="009619FE" w:rsidRPr="000C48F9" w:rsidRDefault="009619FE" w:rsidP="00B44292">
            <w:pPr>
              <w:pStyle w:val="TableText0"/>
              <w:rPr>
                <w:rFonts w:cstheme="minorHAnsi"/>
                <w:b/>
                <w:lang w:eastAsia="en-US"/>
              </w:rPr>
            </w:pPr>
            <w:r w:rsidRPr="000C48F9">
              <w:rPr>
                <w:b/>
                <w:lang w:eastAsia="en-US"/>
              </w:rPr>
              <w:t xml:space="preserve">Prescriber type: </w:t>
            </w:r>
            <w:r w:rsidRPr="000C48F9">
              <w:rPr>
                <w:lang w:eastAsia="en-US"/>
              </w:rPr>
              <w:fldChar w:fldCharType="begin" w:fldLock="1">
                <w:ffData>
                  <w:name w:val="Check1"/>
                  <w:enabled/>
                  <w:calcOnExit w:val="0"/>
                  <w:checkBox>
                    <w:sizeAuto/>
                    <w:default w:val="0"/>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r w:rsidRPr="000C48F9">
              <w:rPr>
                <w:lang w:eastAsia="en-US"/>
              </w:rPr>
              <w:t xml:space="preserve">Dental </w:t>
            </w:r>
            <w:r w:rsidRPr="000C48F9">
              <w:rPr>
                <w:lang w:eastAsia="en-US"/>
              </w:rPr>
              <w:fldChar w:fldCharType="begin" w:fldLock="1">
                <w:ffData>
                  <w:name w:val=""/>
                  <w:enabled/>
                  <w:calcOnExit w:val="0"/>
                  <w:checkBox>
                    <w:sizeAuto/>
                    <w:default w:val="1"/>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r w:rsidRPr="000C48F9">
              <w:rPr>
                <w:lang w:eastAsia="en-US"/>
              </w:rPr>
              <w:t xml:space="preserve">Medical Practitioners </w:t>
            </w:r>
            <w:r w:rsidRPr="000C48F9">
              <w:rPr>
                <w:lang w:eastAsia="en-US"/>
              </w:rPr>
              <w:fldChar w:fldCharType="begin" w:fldLock="1">
                <w:ffData>
                  <w:name w:val="Check3"/>
                  <w:enabled/>
                  <w:calcOnExit w:val="0"/>
                  <w:checkBox>
                    <w:sizeAuto/>
                    <w:default w:val="0"/>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r w:rsidRPr="000C48F9">
              <w:rPr>
                <w:lang w:eastAsia="en-US"/>
              </w:rPr>
              <w:t xml:space="preserve">Nurse practitioners </w:t>
            </w:r>
            <w:r w:rsidRPr="000C48F9">
              <w:rPr>
                <w:lang w:eastAsia="en-US"/>
              </w:rPr>
              <w:fldChar w:fldCharType="begin" w:fldLock="1">
                <w:ffData>
                  <w:name w:val=""/>
                  <w:enabled/>
                  <w:calcOnExit w:val="0"/>
                  <w:checkBox>
                    <w:sizeAuto/>
                    <w:default w:val="0"/>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r w:rsidRPr="000C48F9">
              <w:rPr>
                <w:lang w:eastAsia="en-US"/>
              </w:rPr>
              <w:t xml:space="preserve">Optometrists </w:t>
            </w:r>
            <w:r w:rsidRPr="000C48F9">
              <w:rPr>
                <w:lang w:eastAsia="en-US"/>
              </w:rPr>
              <w:fldChar w:fldCharType="begin" w:fldLock="1">
                <w:ffData>
                  <w:name w:val="Check5"/>
                  <w:enabled/>
                  <w:calcOnExit w:val="0"/>
                  <w:checkBox>
                    <w:sizeAuto/>
                    <w:default w:val="0"/>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p>
        </w:tc>
      </w:tr>
      <w:tr w:rsidR="009619FE" w:rsidRPr="000C48F9" w14:paraId="27EEDBE0" w14:textId="77777777" w:rsidTr="008A0FEF">
        <w:tc>
          <w:tcPr>
            <w:tcW w:w="9067" w:type="dxa"/>
          </w:tcPr>
          <w:p w14:paraId="2C613304" w14:textId="77777777" w:rsidR="009619FE" w:rsidRPr="000C48F9" w:rsidRDefault="009619FE" w:rsidP="00B44292">
            <w:pPr>
              <w:pStyle w:val="TableText0"/>
              <w:rPr>
                <w:rFonts w:cstheme="minorHAnsi"/>
                <w:b/>
                <w:lang w:eastAsia="en-US"/>
              </w:rPr>
            </w:pPr>
            <w:r w:rsidRPr="000C48F9">
              <w:rPr>
                <w:b/>
                <w:lang w:eastAsia="en-US"/>
              </w:rPr>
              <w:t xml:space="preserve">Restriction type: </w:t>
            </w:r>
            <w:r w:rsidRPr="000C48F9">
              <w:rPr>
                <w:lang w:eastAsia="en-US"/>
              </w:rPr>
              <w:fldChar w:fldCharType="begin" w:fldLock="1">
                <w:ffData>
                  <w:name w:val="Check3"/>
                  <w:enabled/>
                  <w:calcOnExit w:val="0"/>
                  <w:checkBox>
                    <w:sizeAuto/>
                    <w:default w:val="1"/>
                  </w:checkBox>
                </w:ffData>
              </w:fldChar>
            </w:r>
            <w:r w:rsidRPr="000C48F9">
              <w:rPr>
                <w:lang w:eastAsia="en-US"/>
              </w:rPr>
              <w:instrText xml:space="preserve"> FORMCHECKBOX </w:instrText>
            </w:r>
            <w:r w:rsidR="008E430C">
              <w:rPr>
                <w:lang w:eastAsia="en-US"/>
              </w:rPr>
            </w:r>
            <w:r w:rsidR="008E430C">
              <w:rPr>
                <w:lang w:eastAsia="en-US"/>
              </w:rPr>
              <w:fldChar w:fldCharType="separate"/>
            </w:r>
            <w:r w:rsidRPr="000C48F9">
              <w:rPr>
                <w:lang w:eastAsia="en-US"/>
              </w:rPr>
              <w:fldChar w:fldCharType="end"/>
            </w:r>
            <w:r w:rsidRPr="000C48F9">
              <w:rPr>
                <w:lang w:eastAsia="en-US"/>
              </w:rPr>
              <w:t xml:space="preserve"> Authority Required – non-immediate/delayed assessment by Services Australia</w:t>
            </w:r>
          </w:p>
        </w:tc>
      </w:tr>
      <w:tr w:rsidR="009619FE" w:rsidRPr="000C48F9" w14:paraId="70898126" w14:textId="77777777" w:rsidTr="008A0FEF">
        <w:trPr>
          <w:trHeight w:val="166"/>
        </w:trPr>
        <w:tc>
          <w:tcPr>
            <w:tcW w:w="9067" w:type="dxa"/>
          </w:tcPr>
          <w:p w14:paraId="1175D56D" w14:textId="77777777" w:rsidR="009619FE" w:rsidRPr="000C48F9" w:rsidRDefault="009619FE" w:rsidP="00B44292">
            <w:pPr>
              <w:pStyle w:val="TableText0"/>
              <w:rPr>
                <w:rFonts w:cstheme="minorHAnsi"/>
                <w:lang w:eastAsia="en-US"/>
              </w:rPr>
            </w:pPr>
            <w:r w:rsidRPr="000C48F9">
              <w:rPr>
                <w:rFonts w:cstheme="minorHAnsi"/>
                <w:b/>
                <w:lang w:eastAsia="en-US"/>
              </w:rPr>
              <w:t xml:space="preserve">Condition: </w:t>
            </w:r>
            <w:r w:rsidRPr="000C48F9">
              <w:rPr>
                <w:rFonts w:cstheme="minorHAnsi"/>
                <w:lang w:eastAsia="en-US"/>
              </w:rPr>
              <w:t xml:space="preserve">cystic fibrosis - at least one </w:t>
            </w:r>
            <w:r w:rsidRPr="000C48F9">
              <w:rPr>
                <w:rFonts w:cstheme="minorHAnsi"/>
                <w:i/>
                <w:iCs/>
                <w:lang w:eastAsia="en-US"/>
              </w:rPr>
              <w:t>F508del</w:t>
            </w:r>
            <w:r w:rsidRPr="000C48F9">
              <w:rPr>
                <w:rFonts w:cstheme="minorHAnsi"/>
                <w:lang w:eastAsia="en-US"/>
              </w:rPr>
              <w:t xml:space="preserve"> mutation in the cystic fibrosis transmembrane conductance (CFTR) gene</w:t>
            </w:r>
          </w:p>
        </w:tc>
      </w:tr>
      <w:tr w:rsidR="009619FE" w:rsidRPr="000C48F9" w14:paraId="54ED4344" w14:textId="77777777" w:rsidTr="008A0FEF">
        <w:tc>
          <w:tcPr>
            <w:tcW w:w="9067" w:type="dxa"/>
            <w:hideMark/>
          </w:tcPr>
          <w:p w14:paraId="662C84BD" w14:textId="77777777" w:rsidR="009619FE" w:rsidRPr="000C48F9" w:rsidRDefault="009619FE" w:rsidP="00B44292">
            <w:pPr>
              <w:pStyle w:val="TableText0"/>
              <w:rPr>
                <w:rFonts w:cstheme="minorHAnsi"/>
                <w:lang w:eastAsia="en-US"/>
              </w:rPr>
            </w:pPr>
            <w:r w:rsidRPr="000C48F9">
              <w:rPr>
                <w:rFonts w:cstheme="minorHAnsi"/>
                <w:b/>
                <w:lang w:eastAsia="en-US"/>
              </w:rPr>
              <w:t xml:space="preserve">Indication: </w:t>
            </w:r>
            <w:r w:rsidRPr="000C48F9">
              <w:rPr>
                <w:rFonts w:cstheme="minorHAnsi"/>
                <w:lang w:eastAsia="en-US"/>
              </w:rPr>
              <w:t xml:space="preserve">cystic fibrosis - at least one </w:t>
            </w:r>
            <w:r w:rsidRPr="000C48F9">
              <w:rPr>
                <w:rFonts w:cstheme="minorHAnsi"/>
                <w:i/>
                <w:iCs/>
                <w:lang w:eastAsia="en-US"/>
              </w:rPr>
              <w:t>F508del</w:t>
            </w:r>
            <w:r w:rsidRPr="000C48F9">
              <w:rPr>
                <w:rFonts w:cstheme="minorHAnsi"/>
                <w:lang w:eastAsia="en-US"/>
              </w:rPr>
              <w:t xml:space="preserve"> mutation in the cystic fibrosis transmembrane conductance (CFTR) gene</w:t>
            </w:r>
          </w:p>
        </w:tc>
      </w:tr>
      <w:tr w:rsidR="009619FE" w:rsidRPr="000C48F9" w14:paraId="34217EA4" w14:textId="77777777" w:rsidTr="008A0FEF">
        <w:tc>
          <w:tcPr>
            <w:tcW w:w="9067" w:type="dxa"/>
            <w:hideMark/>
          </w:tcPr>
          <w:p w14:paraId="2D3A642B" w14:textId="77777777" w:rsidR="009619FE" w:rsidRPr="000C48F9" w:rsidRDefault="009619FE" w:rsidP="00B44292">
            <w:pPr>
              <w:pStyle w:val="TableText0"/>
              <w:rPr>
                <w:rFonts w:cstheme="minorHAnsi"/>
                <w:lang w:eastAsia="en-US"/>
              </w:rPr>
            </w:pPr>
            <w:r w:rsidRPr="000C48F9">
              <w:rPr>
                <w:rFonts w:cstheme="minorHAnsi"/>
                <w:b/>
                <w:lang w:eastAsia="en-US"/>
              </w:rPr>
              <w:t>Treatment Phase:</w:t>
            </w:r>
            <w:r w:rsidRPr="000C48F9">
              <w:rPr>
                <w:rFonts w:cstheme="minorHAnsi"/>
                <w:lang w:eastAsia="en-US"/>
              </w:rPr>
              <w:t xml:space="preserve"> Initial treatment</w:t>
            </w:r>
          </w:p>
        </w:tc>
      </w:tr>
      <w:tr w:rsidR="009619FE" w:rsidRPr="000C48F9" w14:paraId="3185B26A" w14:textId="77777777" w:rsidTr="008A0FEF">
        <w:tc>
          <w:tcPr>
            <w:tcW w:w="9067" w:type="dxa"/>
            <w:hideMark/>
          </w:tcPr>
          <w:p w14:paraId="04043C30" w14:textId="77777777" w:rsidR="009619FE" w:rsidRPr="000C48F9" w:rsidRDefault="009619FE" w:rsidP="00B44292">
            <w:pPr>
              <w:pStyle w:val="TableText0"/>
              <w:rPr>
                <w:rFonts w:cstheme="minorHAnsi"/>
                <w:b/>
                <w:lang w:eastAsia="en-US"/>
              </w:rPr>
            </w:pPr>
            <w:r w:rsidRPr="000C48F9">
              <w:rPr>
                <w:rFonts w:cstheme="minorHAnsi"/>
                <w:b/>
                <w:lang w:eastAsia="en-US"/>
              </w:rPr>
              <w:t>Treatment criteria:</w:t>
            </w:r>
          </w:p>
        </w:tc>
      </w:tr>
      <w:tr w:rsidR="009619FE" w:rsidRPr="000C48F9" w14:paraId="197F7C6B" w14:textId="77777777" w:rsidTr="008A0FEF">
        <w:tc>
          <w:tcPr>
            <w:tcW w:w="9067" w:type="dxa"/>
            <w:hideMark/>
          </w:tcPr>
          <w:p w14:paraId="711A5017" w14:textId="77777777" w:rsidR="009619FE" w:rsidRPr="000C48F9" w:rsidRDefault="009619FE" w:rsidP="00B44292">
            <w:pPr>
              <w:pStyle w:val="TableText0"/>
              <w:rPr>
                <w:rFonts w:cstheme="minorHAnsi"/>
                <w:i/>
                <w:lang w:eastAsia="en-US"/>
              </w:rPr>
            </w:pPr>
            <w:r w:rsidRPr="000C48F9">
              <w:rPr>
                <w:rFonts w:cstheme="minorHAnsi"/>
                <w:lang w:eastAsia="en-US"/>
              </w:rPr>
              <w:t>Must be treated by a specialist respiratory physician with expertise in cystic fibrosis or in consultation with a specialist respiratory physician with expertise in cystic fibrosis if attendance is not possible due to geographic isolation</w:t>
            </w:r>
          </w:p>
        </w:tc>
      </w:tr>
      <w:tr w:rsidR="009619FE" w:rsidRPr="000C48F9" w14:paraId="5F7B96FC" w14:textId="77777777" w:rsidTr="008A0FEF">
        <w:tc>
          <w:tcPr>
            <w:tcW w:w="9067" w:type="dxa"/>
            <w:hideMark/>
          </w:tcPr>
          <w:p w14:paraId="4AD4C44D" w14:textId="77777777" w:rsidR="009619FE" w:rsidRPr="000C48F9" w:rsidRDefault="009619FE" w:rsidP="00B44292">
            <w:pPr>
              <w:pStyle w:val="TableText0"/>
              <w:rPr>
                <w:rFonts w:cstheme="minorHAnsi"/>
                <w:b/>
                <w:lang w:eastAsia="en-US"/>
              </w:rPr>
            </w:pPr>
            <w:r w:rsidRPr="000C48F9">
              <w:rPr>
                <w:rFonts w:cstheme="minorHAnsi"/>
                <w:b/>
                <w:lang w:eastAsia="en-US"/>
              </w:rPr>
              <w:t>AND</w:t>
            </w:r>
          </w:p>
        </w:tc>
      </w:tr>
      <w:tr w:rsidR="009619FE" w:rsidRPr="000C48F9" w14:paraId="241CC264" w14:textId="77777777" w:rsidTr="008A0FEF">
        <w:tc>
          <w:tcPr>
            <w:tcW w:w="9067" w:type="dxa"/>
          </w:tcPr>
          <w:p w14:paraId="235C39A9" w14:textId="77777777" w:rsidR="009619FE" w:rsidRPr="000C48F9" w:rsidRDefault="009619FE" w:rsidP="00B44292">
            <w:pPr>
              <w:pStyle w:val="TableText0"/>
              <w:rPr>
                <w:rFonts w:cstheme="minorHAnsi"/>
                <w:lang w:eastAsia="en-US"/>
              </w:rPr>
            </w:pPr>
            <w:r w:rsidRPr="000C48F9">
              <w:rPr>
                <w:rFonts w:cstheme="minorHAnsi"/>
                <w:b/>
                <w:lang w:eastAsia="en-US"/>
              </w:rPr>
              <w:t>Treatment criteria:</w:t>
            </w:r>
          </w:p>
        </w:tc>
      </w:tr>
      <w:tr w:rsidR="009619FE" w:rsidRPr="000C48F9" w14:paraId="6766AE73" w14:textId="77777777" w:rsidTr="008A0FEF">
        <w:tc>
          <w:tcPr>
            <w:tcW w:w="9067" w:type="dxa"/>
            <w:hideMark/>
          </w:tcPr>
          <w:p w14:paraId="7E5A406E" w14:textId="77777777" w:rsidR="009619FE" w:rsidRPr="000C48F9" w:rsidRDefault="009619FE" w:rsidP="00B44292">
            <w:pPr>
              <w:pStyle w:val="TableText0"/>
              <w:rPr>
                <w:rFonts w:cstheme="minorHAnsi"/>
                <w:i/>
                <w:lang w:eastAsia="en-US"/>
              </w:rPr>
            </w:pPr>
            <w:r w:rsidRPr="000C48F9">
              <w:rPr>
                <w:rFonts w:cstheme="minorHAnsi"/>
                <w:lang w:eastAsia="en-US"/>
              </w:rPr>
              <w:t>Must be treated in a centre with expertise in cystic fibrosis or in consultation with a centre with expertise in cystic fibrosis if attendance is not possible due to geographic isolation</w:t>
            </w:r>
          </w:p>
        </w:tc>
      </w:tr>
      <w:tr w:rsidR="009619FE" w:rsidRPr="000C48F9" w14:paraId="3F6999DC" w14:textId="77777777" w:rsidTr="008A0FEF">
        <w:tc>
          <w:tcPr>
            <w:tcW w:w="9067" w:type="dxa"/>
            <w:hideMark/>
          </w:tcPr>
          <w:p w14:paraId="693F6098" w14:textId="77777777" w:rsidR="009619FE" w:rsidRPr="000C48F9" w:rsidRDefault="009619FE" w:rsidP="00B44292">
            <w:pPr>
              <w:pStyle w:val="TableText0"/>
              <w:rPr>
                <w:rFonts w:cstheme="minorHAnsi"/>
                <w:lang w:eastAsia="en-US"/>
              </w:rPr>
            </w:pPr>
            <w:r w:rsidRPr="000C48F9">
              <w:rPr>
                <w:rFonts w:cstheme="minorHAnsi"/>
                <w:b/>
                <w:lang w:eastAsia="en-US"/>
              </w:rPr>
              <w:t>AND</w:t>
            </w:r>
          </w:p>
        </w:tc>
      </w:tr>
      <w:tr w:rsidR="009619FE" w:rsidRPr="000C48F9" w14:paraId="2E2EDE76" w14:textId="77777777" w:rsidTr="008A0FEF">
        <w:tc>
          <w:tcPr>
            <w:tcW w:w="9067" w:type="dxa"/>
            <w:hideMark/>
          </w:tcPr>
          <w:p w14:paraId="51406350" w14:textId="77777777" w:rsidR="009619FE" w:rsidRPr="000C48F9" w:rsidRDefault="009619FE" w:rsidP="00B44292">
            <w:pPr>
              <w:pStyle w:val="TableText0"/>
              <w:rPr>
                <w:rFonts w:cstheme="minorHAnsi"/>
                <w:lang w:eastAsia="en-US"/>
              </w:rPr>
            </w:pPr>
            <w:r w:rsidRPr="000C48F9">
              <w:rPr>
                <w:rFonts w:cstheme="minorHAnsi"/>
                <w:b/>
                <w:lang w:eastAsia="en-US"/>
              </w:rPr>
              <w:t>Clinical criteria:</w:t>
            </w:r>
          </w:p>
        </w:tc>
      </w:tr>
      <w:tr w:rsidR="009619FE" w:rsidRPr="000C48F9" w14:paraId="7BBA2C14" w14:textId="77777777" w:rsidTr="008A0FEF">
        <w:tc>
          <w:tcPr>
            <w:tcW w:w="9067" w:type="dxa"/>
          </w:tcPr>
          <w:p w14:paraId="57192C02" w14:textId="77777777" w:rsidR="009619FE" w:rsidRPr="000C48F9" w:rsidRDefault="009619FE" w:rsidP="00B44292">
            <w:pPr>
              <w:pStyle w:val="TableText0"/>
              <w:rPr>
                <w:rFonts w:cstheme="minorHAnsi"/>
                <w:lang w:eastAsia="en-US"/>
              </w:rPr>
            </w:pPr>
            <w:r w:rsidRPr="000C48F9">
              <w:rPr>
                <w:rFonts w:cstheme="minorHAnsi"/>
                <w:lang w:eastAsia="en-US"/>
              </w:rPr>
              <w:t xml:space="preserve">Patient must have at least one </w:t>
            </w:r>
            <w:r w:rsidRPr="000C48F9">
              <w:rPr>
                <w:rFonts w:cstheme="minorHAnsi"/>
                <w:i/>
                <w:iCs/>
                <w:lang w:eastAsia="en-US"/>
              </w:rPr>
              <w:t>F508del</w:t>
            </w:r>
            <w:r w:rsidRPr="000C48F9">
              <w:rPr>
                <w:rFonts w:cstheme="minorHAnsi"/>
                <w:lang w:eastAsia="en-US"/>
              </w:rPr>
              <w:t xml:space="preserve"> mutation in the cystic fibrosis transmembrane conductance (CFTR) gene</w:t>
            </w:r>
          </w:p>
        </w:tc>
      </w:tr>
      <w:tr w:rsidR="009619FE" w:rsidRPr="000C48F9" w14:paraId="3A9C45E9" w14:textId="77777777" w:rsidTr="008A0FEF">
        <w:tc>
          <w:tcPr>
            <w:tcW w:w="9067" w:type="dxa"/>
            <w:hideMark/>
          </w:tcPr>
          <w:p w14:paraId="3039F5ED" w14:textId="77777777" w:rsidR="009619FE" w:rsidRPr="000C48F9" w:rsidRDefault="009619FE" w:rsidP="00B44292">
            <w:pPr>
              <w:pStyle w:val="TableText0"/>
              <w:rPr>
                <w:rFonts w:cstheme="minorHAnsi"/>
                <w:lang w:eastAsia="en-US"/>
              </w:rPr>
            </w:pPr>
            <w:r w:rsidRPr="000C48F9">
              <w:rPr>
                <w:rFonts w:cstheme="minorHAnsi"/>
                <w:b/>
                <w:lang w:eastAsia="en-US"/>
              </w:rPr>
              <w:t>AND</w:t>
            </w:r>
          </w:p>
        </w:tc>
      </w:tr>
      <w:tr w:rsidR="009619FE" w:rsidRPr="000C48F9" w14:paraId="71E41FD4" w14:textId="77777777" w:rsidTr="008A0FEF">
        <w:tc>
          <w:tcPr>
            <w:tcW w:w="9067" w:type="dxa"/>
          </w:tcPr>
          <w:p w14:paraId="1832DA0F" w14:textId="77777777" w:rsidR="009619FE" w:rsidRPr="000C48F9" w:rsidRDefault="009619FE" w:rsidP="00B44292">
            <w:pPr>
              <w:pStyle w:val="TableText0"/>
              <w:rPr>
                <w:rFonts w:cstheme="minorHAnsi"/>
                <w:b/>
                <w:lang w:eastAsia="en-US"/>
              </w:rPr>
            </w:pPr>
            <w:r w:rsidRPr="000C48F9">
              <w:rPr>
                <w:rFonts w:cstheme="minorHAnsi"/>
                <w:b/>
                <w:lang w:eastAsia="en-US"/>
              </w:rPr>
              <w:t>Clinical criteria:</w:t>
            </w:r>
          </w:p>
        </w:tc>
      </w:tr>
      <w:tr w:rsidR="009619FE" w:rsidRPr="000C48F9" w14:paraId="1457638B" w14:textId="77777777" w:rsidTr="008A0FEF">
        <w:tc>
          <w:tcPr>
            <w:tcW w:w="9067" w:type="dxa"/>
          </w:tcPr>
          <w:p w14:paraId="57A5F290" w14:textId="77777777" w:rsidR="009619FE" w:rsidRPr="000C48F9" w:rsidRDefault="009619FE" w:rsidP="00B44292">
            <w:pPr>
              <w:pStyle w:val="TableText0"/>
              <w:rPr>
                <w:rFonts w:cstheme="minorHAnsi"/>
                <w:lang w:eastAsia="en-US"/>
              </w:rPr>
            </w:pPr>
            <w:r w:rsidRPr="000C48F9">
              <w:rPr>
                <w:rFonts w:cstheme="minorHAnsi"/>
                <w:lang w:eastAsia="en-US"/>
              </w:rPr>
              <w:t>The treatment must be given concomitantly with standard therapy for this condition.</w:t>
            </w:r>
          </w:p>
        </w:tc>
      </w:tr>
      <w:tr w:rsidR="009619FE" w:rsidRPr="000C48F9" w14:paraId="4C656DE0" w14:textId="77777777" w:rsidTr="008A0FEF">
        <w:tc>
          <w:tcPr>
            <w:tcW w:w="9067" w:type="dxa"/>
          </w:tcPr>
          <w:p w14:paraId="77928E2E" w14:textId="77777777" w:rsidR="009619FE" w:rsidRPr="000C48F9" w:rsidRDefault="009619FE" w:rsidP="00B44292">
            <w:pPr>
              <w:pStyle w:val="TableText0"/>
              <w:rPr>
                <w:rFonts w:cstheme="minorHAnsi"/>
                <w:b/>
                <w:lang w:eastAsia="en-US"/>
              </w:rPr>
            </w:pPr>
            <w:r w:rsidRPr="000C48F9">
              <w:rPr>
                <w:rFonts w:cstheme="minorHAnsi"/>
                <w:b/>
                <w:lang w:eastAsia="en-US"/>
              </w:rPr>
              <w:t>AND</w:t>
            </w:r>
          </w:p>
        </w:tc>
      </w:tr>
      <w:tr w:rsidR="009619FE" w:rsidRPr="000C48F9" w14:paraId="0FFDB780" w14:textId="77777777" w:rsidTr="008A0FEF">
        <w:tc>
          <w:tcPr>
            <w:tcW w:w="9067" w:type="dxa"/>
          </w:tcPr>
          <w:p w14:paraId="6A350B41" w14:textId="77777777" w:rsidR="009619FE" w:rsidRPr="000C48F9" w:rsidRDefault="009619FE" w:rsidP="00B44292">
            <w:pPr>
              <w:pStyle w:val="TableText0"/>
              <w:rPr>
                <w:rFonts w:cstheme="minorHAnsi"/>
                <w:b/>
                <w:lang w:eastAsia="en-US"/>
              </w:rPr>
            </w:pPr>
            <w:r w:rsidRPr="000C48F9">
              <w:rPr>
                <w:rFonts w:cstheme="minorHAnsi"/>
                <w:b/>
                <w:lang w:eastAsia="en-US"/>
              </w:rPr>
              <w:t>Clinical Criteria:</w:t>
            </w:r>
          </w:p>
        </w:tc>
      </w:tr>
      <w:tr w:rsidR="009619FE" w:rsidRPr="000C48F9" w14:paraId="17DBBBBD" w14:textId="77777777" w:rsidTr="008A0FEF">
        <w:tc>
          <w:tcPr>
            <w:tcW w:w="9067" w:type="dxa"/>
          </w:tcPr>
          <w:p w14:paraId="137558C8" w14:textId="77777777" w:rsidR="009619FE" w:rsidRPr="000C48F9" w:rsidRDefault="009619FE" w:rsidP="00B44292">
            <w:pPr>
              <w:pStyle w:val="TableText0"/>
              <w:rPr>
                <w:rFonts w:cstheme="minorHAnsi"/>
                <w:lang w:eastAsia="en-US"/>
              </w:rPr>
            </w:pPr>
            <w:r w:rsidRPr="000C48F9">
              <w:rPr>
                <w:rFonts w:cstheme="minorHAnsi"/>
                <w:lang w:eastAsia="en-US"/>
              </w:rPr>
              <w:t>Patient must have either chronic sinopulmonary disease or gastrointestinal and nutritional abnormalities, prior to initiating treatment with this drug</w:t>
            </w:r>
          </w:p>
        </w:tc>
      </w:tr>
      <w:tr w:rsidR="009619FE" w:rsidRPr="000C48F9" w14:paraId="0977D122" w14:textId="77777777" w:rsidTr="008A0FEF">
        <w:tc>
          <w:tcPr>
            <w:tcW w:w="9067" w:type="dxa"/>
          </w:tcPr>
          <w:p w14:paraId="63BDF549" w14:textId="77777777" w:rsidR="009619FE" w:rsidRPr="000C48F9" w:rsidRDefault="009619FE" w:rsidP="00B44292">
            <w:pPr>
              <w:pStyle w:val="TableText0"/>
              <w:rPr>
                <w:rFonts w:cstheme="minorHAnsi"/>
                <w:lang w:eastAsia="en-US"/>
              </w:rPr>
            </w:pPr>
            <w:r w:rsidRPr="000C48F9">
              <w:rPr>
                <w:rFonts w:cstheme="minorHAnsi"/>
                <w:b/>
                <w:lang w:eastAsia="en-US"/>
              </w:rPr>
              <w:t>Population criteria:</w:t>
            </w:r>
          </w:p>
        </w:tc>
      </w:tr>
      <w:tr w:rsidR="009619FE" w:rsidRPr="000C48F9" w14:paraId="66D7FDB0" w14:textId="77777777" w:rsidTr="008A0FEF">
        <w:tc>
          <w:tcPr>
            <w:tcW w:w="9067" w:type="dxa"/>
          </w:tcPr>
          <w:p w14:paraId="549EB022" w14:textId="77777777" w:rsidR="009619FE" w:rsidRPr="000C48F9" w:rsidRDefault="009619FE" w:rsidP="00B44292">
            <w:pPr>
              <w:pStyle w:val="TableText0"/>
              <w:rPr>
                <w:rFonts w:cstheme="minorHAnsi"/>
                <w:lang w:eastAsia="en-US"/>
              </w:rPr>
            </w:pPr>
            <w:r w:rsidRPr="000C48F9">
              <w:rPr>
                <w:rFonts w:cstheme="minorHAnsi"/>
                <w:lang w:eastAsia="en-US"/>
              </w:rPr>
              <w:t>Patient must be aged between 6 and 11 years inclusive.</w:t>
            </w:r>
          </w:p>
        </w:tc>
      </w:tr>
      <w:tr w:rsidR="009619FE" w:rsidRPr="000C48F9" w14:paraId="45D42038" w14:textId="77777777" w:rsidTr="008A0FEF">
        <w:tc>
          <w:tcPr>
            <w:tcW w:w="9067" w:type="dxa"/>
          </w:tcPr>
          <w:p w14:paraId="072C3404" w14:textId="77777777" w:rsidR="009619FE" w:rsidRPr="000C48F9" w:rsidRDefault="009619FE" w:rsidP="00B44292">
            <w:pPr>
              <w:pStyle w:val="TableText0"/>
              <w:rPr>
                <w:rFonts w:cstheme="minorHAnsi"/>
                <w:b/>
                <w:lang w:eastAsia="en-US"/>
              </w:rPr>
            </w:pPr>
            <w:r w:rsidRPr="000C48F9">
              <w:rPr>
                <w:rFonts w:cstheme="minorHAnsi"/>
                <w:b/>
                <w:lang w:eastAsia="en-US"/>
              </w:rPr>
              <w:t>Prescribing Instructions</w:t>
            </w:r>
          </w:p>
        </w:tc>
      </w:tr>
      <w:tr w:rsidR="009619FE" w:rsidRPr="000C48F9" w14:paraId="69CA701F" w14:textId="77777777" w:rsidTr="008A0FEF">
        <w:tc>
          <w:tcPr>
            <w:tcW w:w="9067" w:type="dxa"/>
          </w:tcPr>
          <w:p w14:paraId="75E4E8F8" w14:textId="77777777" w:rsidR="009619FE" w:rsidRPr="000C48F9" w:rsidRDefault="009619FE" w:rsidP="00B44292">
            <w:pPr>
              <w:pStyle w:val="TableText0"/>
              <w:rPr>
                <w:rFonts w:cstheme="minorHAnsi"/>
                <w:lang w:eastAsia="en-US"/>
              </w:rPr>
            </w:pPr>
            <w:r w:rsidRPr="000C48F9">
              <w:rPr>
                <w:lang w:eastAsia="en-US"/>
              </w:rPr>
              <w:t xml:space="preserve">This pharmaceutical benefit is not PBS-subsidised for this condition in a patient who is currently receiving one of the strong CYP3A4 inducers outlined in the Product Information. </w:t>
            </w:r>
          </w:p>
        </w:tc>
      </w:tr>
      <w:tr w:rsidR="009619FE" w:rsidRPr="000C48F9" w14:paraId="0AD217EF" w14:textId="77777777" w:rsidTr="008A0FEF">
        <w:tc>
          <w:tcPr>
            <w:tcW w:w="9067" w:type="dxa"/>
          </w:tcPr>
          <w:p w14:paraId="163C432F" w14:textId="77777777" w:rsidR="009619FE" w:rsidRPr="000C48F9" w:rsidRDefault="009619FE" w:rsidP="00B44292">
            <w:pPr>
              <w:pStyle w:val="TableText0"/>
              <w:rPr>
                <w:rFonts w:cstheme="minorBidi"/>
                <w:lang w:eastAsia="en-US"/>
              </w:rPr>
            </w:pPr>
            <w:r w:rsidRPr="000C48F9">
              <w:rPr>
                <w:rFonts w:cstheme="minorBidi"/>
                <w:lang w:eastAsia="en-US"/>
              </w:rPr>
              <w:t>For the purposes of this restriction, PBS-subsidised 'CFTR modulator' means ivacaftor, lumacaftor/ivacaftor, tezacaftor/ivacaftor and elexacaftor/ tezacaftor/ ivacaftor.</w:t>
            </w:r>
          </w:p>
          <w:p w14:paraId="20EA2776" w14:textId="77777777" w:rsidR="009619FE" w:rsidRPr="000C48F9" w:rsidRDefault="009619FE" w:rsidP="00B44292">
            <w:pPr>
              <w:pStyle w:val="TableText0"/>
              <w:rPr>
                <w:rFonts w:cstheme="minorHAnsi"/>
                <w:lang w:eastAsia="en-US"/>
              </w:rPr>
            </w:pPr>
          </w:p>
          <w:p w14:paraId="51F894FC" w14:textId="77777777" w:rsidR="009619FE" w:rsidRPr="000C48F9" w:rsidRDefault="009619FE" w:rsidP="00B44292">
            <w:pPr>
              <w:pStyle w:val="TableText0"/>
              <w:rPr>
                <w:rFonts w:cstheme="minorHAnsi"/>
                <w:lang w:eastAsia="en-US"/>
              </w:rPr>
            </w:pPr>
            <w:r w:rsidRPr="000C48F9">
              <w:rPr>
                <w:rFonts w:cstheme="minorHAnsi"/>
                <w:lang w:eastAsia="en-US"/>
              </w:rPr>
              <w:t>The authority application must be in writing and must include:</w:t>
            </w:r>
          </w:p>
          <w:p w14:paraId="48786D73" w14:textId="77777777" w:rsidR="009619FE" w:rsidRPr="000C48F9" w:rsidRDefault="009619FE" w:rsidP="00B44292">
            <w:pPr>
              <w:pStyle w:val="TableText0"/>
              <w:rPr>
                <w:rFonts w:cstheme="minorHAnsi"/>
                <w:lang w:eastAsia="en-US"/>
              </w:rPr>
            </w:pPr>
            <w:r w:rsidRPr="000C48F9">
              <w:rPr>
                <w:rFonts w:cstheme="minorHAnsi"/>
                <w:lang w:eastAsia="en-US"/>
              </w:rPr>
              <w:t>(1) a completed authority prescription; and</w:t>
            </w:r>
          </w:p>
          <w:p w14:paraId="4F0BAFD1" w14:textId="77777777" w:rsidR="009619FE" w:rsidRPr="000C48F9" w:rsidRDefault="009619FE" w:rsidP="00B44292">
            <w:pPr>
              <w:pStyle w:val="TableText0"/>
              <w:rPr>
                <w:rFonts w:cstheme="minorHAnsi"/>
                <w:lang w:eastAsia="en-US"/>
              </w:rPr>
            </w:pPr>
            <w:r w:rsidRPr="000C48F9">
              <w:rPr>
                <w:rFonts w:cstheme="minorHAnsi"/>
                <w:lang w:eastAsia="en-US"/>
              </w:rPr>
              <w:t>(2) a completed Cystic Fibrosis Authority Application Supporting Information Form; and</w:t>
            </w:r>
          </w:p>
          <w:p w14:paraId="0E64B301" w14:textId="77777777" w:rsidR="009619FE" w:rsidRPr="000C48F9" w:rsidRDefault="009619FE" w:rsidP="00B44292">
            <w:pPr>
              <w:pStyle w:val="TableText0"/>
              <w:rPr>
                <w:rFonts w:cstheme="minorBidi"/>
                <w:lang w:eastAsia="en-US"/>
              </w:rPr>
            </w:pPr>
            <w:r w:rsidRPr="000C48F9">
              <w:rPr>
                <w:rFonts w:cstheme="minorBidi"/>
                <w:lang w:eastAsia="en-US"/>
              </w:rPr>
              <w:t xml:space="preserve">(3) details of the pathology report substantiating the patient having at least one </w:t>
            </w:r>
            <w:r w:rsidRPr="000C48F9">
              <w:rPr>
                <w:rFonts w:cstheme="minorBidi"/>
                <w:i/>
                <w:iCs/>
                <w:lang w:eastAsia="en-US"/>
              </w:rPr>
              <w:t>F508del</w:t>
            </w:r>
            <w:r w:rsidRPr="000C48F9">
              <w:rPr>
                <w:rFonts w:cstheme="minorBidi"/>
                <w:lang w:eastAsia="en-US"/>
              </w:rPr>
              <w:t xml:space="preserve"> mutation - quote each of the: (i) name of the pathology report provider, (ii) date of pathology report, (iii) unique identifying number/code that links the pathology result to the individual patient; and</w:t>
            </w:r>
          </w:p>
          <w:p w14:paraId="4833EB2E" w14:textId="77777777" w:rsidR="009619FE" w:rsidRPr="000C48F9" w:rsidRDefault="009619FE" w:rsidP="00B44292">
            <w:pPr>
              <w:pStyle w:val="TableText0"/>
              <w:rPr>
                <w:rFonts w:cstheme="minorHAnsi"/>
                <w:lang w:eastAsia="en-US"/>
              </w:rPr>
            </w:pPr>
            <w:r w:rsidRPr="000C48F9">
              <w:rPr>
                <w:rFonts w:cstheme="minorHAnsi"/>
                <w:lang w:eastAsia="en-US"/>
              </w:rPr>
              <w:t>(4) current CYP3A4 inhibitors, CYP3A4 inducers and IV antibiotics</w:t>
            </w:r>
          </w:p>
        </w:tc>
      </w:tr>
      <w:tr w:rsidR="009619FE" w:rsidRPr="000C48F9" w14:paraId="5312D5D9" w14:textId="77777777" w:rsidTr="008A0FEF">
        <w:tc>
          <w:tcPr>
            <w:tcW w:w="9067" w:type="dxa"/>
          </w:tcPr>
          <w:p w14:paraId="38ECE598" w14:textId="77777777" w:rsidR="009619FE" w:rsidRPr="000C48F9" w:rsidRDefault="009619FE" w:rsidP="00B44292">
            <w:pPr>
              <w:pStyle w:val="TableText0"/>
              <w:rPr>
                <w:lang w:eastAsia="en-US"/>
              </w:rPr>
            </w:pPr>
            <w:r w:rsidRPr="000C48F9">
              <w:rPr>
                <w:lang w:eastAsia="en-US"/>
              </w:rPr>
              <w:t>Any queries concerning the arrangements to prescribe may be directed to Services Australia on 1800 700 270 (hours of operation 8 a.m. to 5 p.m. EST Monday to Friday).</w:t>
            </w:r>
          </w:p>
          <w:p w14:paraId="7330D3C7" w14:textId="77777777" w:rsidR="009619FE" w:rsidRPr="000C48F9" w:rsidRDefault="009619FE" w:rsidP="00B44292">
            <w:pPr>
              <w:pStyle w:val="TableText0"/>
              <w:rPr>
                <w:lang w:eastAsia="en-US"/>
              </w:rPr>
            </w:pPr>
            <w:r w:rsidRPr="000C48F9">
              <w:rPr>
                <w:lang w:eastAsia="en-US"/>
              </w:rPr>
              <w:t>Prescribing information (including Authority Application forms and other relevant documentation as applicable) is available on the Services Australia website at www.servicesaustralia.gov.au</w:t>
            </w:r>
          </w:p>
          <w:p w14:paraId="33397826" w14:textId="77777777" w:rsidR="009619FE" w:rsidRPr="000C48F9" w:rsidRDefault="009619FE" w:rsidP="00B44292">
            <w:pPr>
              <w:pStyle w:val="TableText0"/>
              <w:rPr>
                <w:lang w:eastAsia="en-US"/>
              </w:rPr>
            </w:pPr>
            <w:r w:rsidRPr="000C48F9">
              <w:rPr>
                <w:lang w:eastAsia="en-US"/>
              </w:rPr>
              <w:t>Applications for authority to prescribe should be submitted online using the form upload facility in Health Professional Online Services (HPOS) at www.servicesaustralia.gov.au/hpos</w:t>
            </w:r>
          </w:p>
          <w:p w14:paraId="3EC31136" w14:textId="77777777" w:rsidR="009619FE" w:rsidRPr="000C48F9" w:rsidRDefault="009619FE" w:rsidP="00B44292">
            <w:pPr>
              <w:pStyle w:val="TableText0"/>
              <w:rPr>
                <w:lang w:eastAsia="en-US"/>
              </w:rPr>
            </w:pPr>
            <w:r w:rsidRPr="000C48F9">
              <w:rPr>
                <w:lang w:eastAsia="en-US"/>
              </w:rPr>
              <w:t>Or mailed to:</w:t>
            </w:r>
          </w:p>
          <w:p w14:paraId="5C78226D" w14:textId="77777777" w:rsidR="009619FE" w:rsidRPr="000C48F9" w:rsidRDefault="009619FE" w:rsidP="00B44292">
            <w:pPr>
              <w:pStyle w:val="TableText0"/>
              <w:rPr>
                <w:lang w:eastAsia="en-US"/>
              </w:rPr>
            </w:pPr>
            <w:r w:rsidRPr="000C48F9">
              <w:rPr>
                <w:lang w:eastAsia="en-US"/>
              </w:rPr>
              <w:t>Services Australia</w:t>
            </w:r>
          </w:p>
          <w:p w14:paraId="07CD9953" w14:textId="77777777" w:rsidR="009619FE" w:rsidRPr="000C48F9" w:rsidRDefault="009619FE" w:rsidP="00B44292">
            <w:pPr>
              <w:pStyle w:val="TableText0"/>
              <w:rPr>
                <w:lang w:eastAsia="en-US"/>
              </w:rPr>
            </w:pPr>
            <w:r w:rsidRPr="000C48F9">
              <w:rPr>
                <w:lang w:eastAsia="en-US"/>
              </w:rPr>
              <w:t>Complex Drugs</w:t>
            </w:r>
          </w:p>
          <w:p w14:paraId="757FC3F0" w14:textId="77777777" w:rsidR="009619FE" w:rsidRPr="000C48F9" w:rsidRDefault="009619FE" w:rsidP="00B44292">
            <w:pPr>
              <w:pStyle w:val="TableText0"/>
              <w:rPr>
                <w:lang w:eastAsia="en-US"/>
              </w:rPr>
            </w:pPr>
            <w:r w:rsidRPr="000C48F9">
              <w:rPr>
                <w:lang w:eastAsia="en-US"/>
              </w:rPr>
              <w:t>Reply Paid 9826</w:t>
            </w:r>
          </w:p>
          <w:p w14:paraId="418CD6A2" w14:textId="77777777" w:rsidR="009619FE" w:rsidRPr="000C48F9" w:rsidRDefault="009619FE" w:rsidP="00B44292">
            <w:pPr>
              <w:pStyle w:val="TableText0"/>
              <w:rPr>
                <w:szCs w:val="20"/>
                <w:lang w:eastAsia="en-US"/>
              </w:rPr>
            </w:pPr>
            <w:r w:rsidRPr="000C48F9">
              <w:rPr>
                <w:lang w:eastAsia="en-US"/>
              </w:rPr>
              <w:t>HOBART TAS 7001</w:t>
            </w:r>
          </w:p>
        </w:tc>
      </w:tr>
      <w:tr w:rsidR="009619FE" w:rsidRPr="000C48F9" w14:paraId="44A843C0" w14:textId="77777777" w:rsidTr="008A0FEF">
        <w:tc>
          <w:tcPr>
            <w:tcW w:w="9067" w:type="dxa"/>
          </w:tcPr>
          <w:p w14:paraId="14A2CD3C" w14:textId="77777777" w:rsidR="009619FE" w:rsidRPr="000C48F9" w:rsidRDefault="009619FE" w:rsidP="00B44292">
            <w:pPr>
              <w:pStyle w:val="TableText0"/>
              <w:rPr>
                <w:b/>
                <w:szCs w:val="20"/>
                <w:lang w:eastAsia="en-US"/>
              </w:rPr>
            </w:pPr>
            <w:r w:rsidRPr="000C48F9">
              <w:rPr>
                <w:b/>
                <w:szCs w:val="20"/>
                <w:lang w:eastAsia="en-US"/>
              </w:rPr>
              <w:t>Administration Advice</w:t>
            </w:r>
          </w:p>
        </w:tc>
      </w:tr>
      <w:tr w:rsidR="009619FE" w:rsidRPr="000C48F9" w14:paraId="42D20EA9" w14:textId="77777777" w:rsidTr="008A0FEF">
        <w:tc>
          <w:tcPr>
            <w:tcW w:w="9067" w:type="dxa"/>
          </w:tcPr>
          <w:p w14:paraId="063BE522" w14:textId="77777777" w:rsidR="009619FE" w:rsidRPr="000C48F9" w:rsidRDefault="009619FE" w:rsidP="00B44292">
            <w:pPr>
              <w:pStyle w:val="TableText0"/>
              <w:rPr>
                <w:lang w:eastAsia="en-US"/>
              </w:rPr>
            </w:pPr>
            <w:r w:rsidRPr="000C48F9">
              <w:rPr>
                <w:lang w:eastAsia="en-US"/>
              </w:rPr>
              <w:t>No increase in the maximum quantity or number of units may be authorised.</w:t>
            </w:r>
          </w:p>
        </w:tc>
      </w:tr>
      <w:tr w:rsidR="009619FE" w:rsidRPr="000C48F9" w14:paraId="1FFF054F" w14:textId="77777777" w:rsidTr="008A0FEF">
        <w:tc>
          <w:tcPr>
            <w:tcW w:w="9067" w:type="dxa"/>
          </w:tcPr>
          <w:p w14:paraId="0F8943E9" w14:textId="77777777" w:rsidR="009619FE" w:rsidRPr="000C48F9" w:rsidRDefault="009619FE" w:rsidP="00B44292">
            <w:pPr>
              <w:pStyle w:val="TableText0"/>
              <w:rPr>
                <w:lang w:eastAsia="en-US"/>
              </w:rPr>
            </w:pPr>
            <w:r w:rsidRPr="000C48F9">
              <w:rPr>
                <w:lang w:eastAsia="en-US"/>
              </w:rPr>
              <w:t>No increase in the maximum number of repeats may be authorised</w:t>
            </w:r>
          </w:p>
        </w:tc>
      </w:tr>
      <w:tr w:rsidR="009619FE" w:rsidRPr="000C48F9" w14:paraId="38853D99" w14:textId="77777777" w:rsidTr="008A0FEF">
        <w:tc>
          <w:tcPr>
            <w:tcW w:w="9067" w:type="dxa"/>
            <w:hideMark/>
          </w:tcPr>
          <w:p w14:paraId="157B5C01" w14:textId="77777777" w:rsidR="009619FE" w:rsidRPr="000C48F9" w:rsidRDefault="009619FE" w:rsidP="00B44292">
            <w:pPr>
              <w:pStyle w:val="TableText0"/>
              <w:rPr>
                <w:lang w:eastAsia="en-US"/>
              </w:rPr>
            </w:pPr>
            <w:r w:rsidRPr="000C48F9">
              <w:rPr>
                <w:b/>
                <w:lang w:eastAsia="en-US"/>
              </w:rPr>
              <w:t xml:space="preserve">Treatment Phase: </w:t>
            </w:r>
            <w:r w:rsidRPr="000C48F9">
              <w:rPr>
                <w:lang w:eastAsia="en-US"/>
              </w:rPr>
              <w:t xml:space="preserve">Continuing treatment </w:t>
            </w:r>
          </w:p>
        </w:tc>
      </w:tr>
      <w:tr w:rsidR="009619FE" w:rsidRPr="000C48F9" w14:paraId="072F9DB7" w14:textId="77777777" w:rsidTr="008A0FEF">
        <w:tc>
          <w:tcPr>
            <w:tcW w:w="9067" w:type="dxa"/>
            <w:hideMark/>
          </w:tcPr>
          <w:p w14:paraId="6A98E900" w14:textId="77777777" w:rsidR="009619FE" w:rsidRPr="000C48F9" w:rsidRDefault="009619FE" w:rsidP="00B44292">
            <w:pPr>
              <w:pStyle w:val="TableText0"/>
              <w:rPr>
                <w:b/>
                <w:lang w:eastAsia="en-US"/>
              </w:rPr>
            </w:pPr>
            <w:r w:rsidRPr="000C48F9">
              <w:rPr>
                <w:b/>
                <w:lang w:eastAsia="en-US"/>
              </w:rPr>
              <w:t>Treatment criteria:</w:t>
            </w:r>
          </w:p>
        </w:tc>
      </w:tr>
      <w:tr w:rsidR="009619FE" w:rsidRPr="000C48F9" w14:paraId="597F49A2" w14:textId="77777777" w:rsidTr="008A0FEF">
        <w:tc>
          <w:tcPr>
            <w:tcW w:w="9067" w:type="dxa"/>
            <w:hideMark/>
          </w:tcPr>
          <w:p w14:paraId="48C21A7F" w14:textId="77777777" w:rsidR="009619FE" w:rsidRPr="000C48F9" w:rsidRDefault="009619FE" w:rsidP="00B44292">
            <w:pPr>
              <w:pStyle w:val="TableText0"/>
              <w:rPr>
                <w:i/>
                <w:lang w:eastAsia="en-US"/>
              </w:rPr>
            </w:pPr>
            <w:r w:rsidRPr="000C48F9">
              <w:rPr>
                <w:lang w:eastAsia="en-US"/>
              </w:rPr>
              <w:t>Must be treated by a specialist respiratory physician with expertise in cystic fibrosis or in consultation with a specialist respiratory physician with expertise in cystic fibrosis if attendance is not possible due to geographic isolation</w:t>
            </w:r>
          </w:p>
        </w:tc>
      </w:tr>
      <w:tr w:rsidR="009619FE" w:rsidRPr="000C48F9" w14:paraId="335DF941" w14:textId="77777777" w:rsidTr="008A0FEF">
        <w:tc>
          <w:tcPr>
            <w:tcW w:w="9067" w:type="dxa"/>
            <w:hideMark/>
          </w:tcPr>
          <w:p w14:paraId="0338C158" w14:textId="77777777" w:rsidR="009619FE" w:rsidRPr="000C48F9" w:rsidRDefault="009619FE" w:rsidP="00B44292">
            <w:pPr>
              <w:pStyle w:val="TableText0"/>
              <w:rPr>
                <w:b/>
                <w:lang w:eastAsia="en-US"/>
              </w:rPr>
            </w:pPr>
            <w:r w:rsidRPr="000C48F9">
              <w:rPr>
                <w:b/>
                <w:lang w:eastAsia="en-US"/>
              </w:rPr>
              <w:t>AND</w:t>
            </w:r>
          </w:p>
        </w:tc>
      </w:tr>
      <w:tr w:rsidR="009619FE" w:rsidRPr="000C48F9" w14:paraId="459D71E2" w14:textId="77777777" w:rsidTr="008A0FEF">
        <w:tc>
          <w:tcPr>
            <w:tcW w:w="9067" w:type="dxa"/>
          </w:tcPr>
          <w:p w14:paraId="372FF381" w14:textId="77777777" w:rsidR="009619FE" w:rsidRPr="000C48F9" w:rsidRDefault="009619FE" w:rsidP="00B44292">
            <w:pPr>
              <w:pStyle w:val="TableText0"/>
              <w:rPr>
                <w:lang w:eastAsia="en-US"/>
              </w:rPr>
            </w:pPr>
            <w:r w:rsidRPr="000C48F9">
              <w:rPr>
                <w:b/>
                <w:lang w:eastAsia="en-US"/>
              </w:rPr>
              <w:t>Treatment criteria:</w:t>
            </w:r>
          </w:p>
        </w:tc>
      </w:tr>
      <w:tr w:rsidR="009619FE" w:rsidRPr="000C48F9" w14:paraId="1BA0C2C8" w14:textId="77777777" w:rsidTr="008A0FEF">
        <w:tc>
          <w:tcPr>
            <w:tcW w:w="9067" w:type="dxa"/>
            <w:hideMark/>
          </w:tcPr>
          <w:p w14:paraId="4426B2A8" w14:textId="77777777" w:rsidR="009619FE" w:rsidRPr="000C48F9" w:rsidRDefault="009619FE" w:rsidP="00B44292">
            <w:pPr>
              <w:pStyle w:val="TableText0"/>
              <w:rPr>
                <w:i/>
                <w:lang w:eastAsia="en-US"/>
              </w:rPr>
            </w:pPr>
            <w:r w:rsidRPr="000C48F9">
              <w:rPr>
                <w:lang w:eastAsia="en-US"/>
              </w:rPr>
              <w:t>Must be treated in a centre with expertise in cystic fibrosis or in consultation with a centre with expertise in cystic fibrosis if attendance is not possible due to geographic isolation</w:t>
            </w:r>
          </w:p>
        </w:tc>
      </w:tr>
      <w:tr w:rsidR="009619FE" w:rsidRPr="000C48F9" w14:paraId="6EB1EAD4" w14:textId="77777777" w:rsidTr="008A0FEF">
        <w:tc>
          <w:tcPr>
            <w:tcW w:w="9067" w:type="dxa"/>
            <w:hideMark/>
          </w:tcPr>
          <w:p w14:paraId="015D2DC7" w14:textId="77777777" w:rsidR="009619FE" w:rsidRPr="000C48F9" w:rsidRDefault="009619FE" w:rsidP="00B44292">
            <w:pPr>
              <w:pStyle w:val="TableText0"/>
              <w:rPr>
                <w:b/>
                <w:lang w:eastAsia="en-US"/>
              </w:rPr>
            </w:pPr>
            <w:r w:rsidRPr="000C48F9">
              <w:rPr>
                <w:b/>
                <w:lang w:eastAsia="en-US"/>
              </w:rPr>
              <w:t>AND</w:t>
            </w:r>
          </w:p>
        </w:tc>
      </w:tr>
      <w:tr w:rsidR="009619FE" w:rsidRPr="000C48F9" w14:paraId="79378A8F" w14:textId="77777777" w:rsidTr="008A0FEF">
        <w:tc>
          <w:tcPr>
            <w:tcW w:w="9067" w:type="dxa"/>
            <w:hideMark/>
          </w:tcPr>
          <w:p w14:paraId="3A8AC86B" w14:textId="77777777" w:rsidR="009619FE" w:rsidRPr="000C48F9" w:rsidRDefault="009619FE" w:rsidP="00B44292">
            <w:pPr>
              <w:pStyle w:val="TableText0"/>
              <w:rPr>
                <w:lang w:eastAsia="en-US"/>
              </w:rPr>
            </w:pPr>
            <w:r w:rsidRPr="000C48F9">
              <w:rPr>
                <w:b/>
                <w:lang w:eastAsia="en-US"/>
              </w:rPr>
              <w:t>Clinical criteria:</w:t>
            </w:r>
          </w:p>
        </w:tc>
      </w:tr>
      <w:tr w:rsidR="009619FE" w:rsidRPr="000C48F9" w14:paraId="3315FFFE" w14:textId="77777777" w:rsidTr="008A0FEF">
        <w:tc>
          <w:tcPr>
            <w:tcW w:w="9067" w:type="dxa"/>
            <w:hideMark/>
          </w:tcPr>
          <w:p w14:paraId="62CB7A0C" w14:textId="77777777" w:rsidR="009619FE" w:rsidRPr="000C48F9" w:rsidRDefault="009619FE" w:rsidP="00B44292">
            <w:pPr>
              <w:pStyle w:val="TableText0"/>
              <w:rPr>
                <w:szCs w:val="20"/>
                <w:lang w:eastAsia="en-US"/>
              </w:rPr>
            </w:pPr>
            <w:r w:rsidRPr="000C48F9">
              <w:rPr>
                <w:szCs w:val="20"/>
                <w:lang w:eastAsia="en-US"/>
              </w:rPr>
              <w:t xml:space="preserve">Patient must have previously received PBS-subsidised treatment with this drug for this condition </w:t>
            </w:r>
          </w:p>
        </w:tc>
      </w:tr>
      <w:tr w:rsidR="009619FE" w:rsidRPr="000C48F9" w14:paraId="23FA188C" w14:textId="77777777" w:rsidTr="008A0FEF">
        <w:tc>
          <w:tcPr>
            <w:tcW w:w="9067" w:type="dxa"/>
            <w:hideMark/>
          </w:tcPr>
          <w:p w14:paraId="6E0A80BF" w14:textId="77777777" w:rsidR="009619FE" w:rsidRPr="000C48F9" w:rsidRDefault="009619FE" w:rsidP="00B44292">
            <w:pPr>
              <w:pStyle w:val="TableText0"/>
              <w:rPr>
                <w:lang w:eastAsia="en-US"/>
              </w:rPr>
            </w:pPr>
            <w:r w:rsidRPr="000C48F9">
              <w:rPr>
                <w:b/>
                <w:lang w:eastAsia="en-US"/>
              </w:rPr>
              <w:t>AND</w:t>
            </w:r>
          </w:p>
        </w:tc>
      </w:tr>
      <w:tr w:rsidR="009619FE" w:rsidRPr="000C48F9" w14:paraId="455AD395" w14:textId="77777777" w:rsidTr="008A0FEF">
        <w:tc>
          <w:tcPr>
            <w:tcW w:w="9067" w:type="dxa"/>
          </w:tcPr>
          <w:p w14:paraId="4C8C81C2" w14:textId="77777777" w:rsidR="009619FE" w:rsidRPr="000C48F9" w:rsidRDefault="009619FE" w:rsidP="00B44292">
            <w:pPr>
              <w:pStyle w:val="TableText0"/>
              <w:rPr>
                <w:b/>
                <w:lang w:eastAsia="en-US"/>
              </w:rPr>
            </w:pPr>
            <w:r w:rsidRPr="000C48F9">
              <w:rPr>
                <w:b/>
                <w:lang w:eastAsia="en-US"/>
              </w:rPr>
              <w:t>Clinical criteria:</w:t>
            </w:r>
          </w:p>
        </w:tc>
      </w:tr>
      <w:tr w:rsidR="009619FE" w:rsidRPr="000C48F9" w14:paraId="1CDB157F" w14:textId="77777777" w:rsidTr="008A0FEF">
        <w:tc>
          <w:tcPr>
            <w:tcW w:w="9067" w:type="dxa"/>
          </w:tcPr>
          <w:p w14:paraId="4873C861" w14:textId="77777777" w:rsidR="009619FE" w:rsidRPr="000C48F9" w:rsidRDefault="009619FE" w:rsidP="00B44292">
            <w:pPr>
              <w:pStyle w:val="TableText0"/>
              <w:rPr>
                <w:szCs w:val="20"/>
                <w:lang w:eastAsia="en-US"/>
              </w:rPr>
            </w:pPr>
            <w:r w:rsidRPr="000C48F9">
              <w:rPr>
                <w:szCs w:val="20"/>
                <w:lang w:eastAsia="en-US"/>
              </w:rPr>
              <w:t>The treatment must be given concomitantly with standard therapy for this condition.</w:t>
            </w:r>
          </w:p>
        </w:tc>
      </w:tr>
      <w:tr w:rsidR="009619FE" w:rsidRPr="000C48F9" w14:paraId="3D258261" w14:textId="77777777" w:rsidTr="008A0FEF">
        <w:tc>
          <w:tcPr>
            <w:tcW w:w="9067" w:type="dxa"/>
          </w:tcPr>
          <w:p w14:paraId="1BD45DF7" w14:textId="77777777" w:rsidR="009619FE" w:rsidRPr="000C48F9" w:rsidRDefault="009619FE" w:rsidP="00B44292">
            <w:pPr>
              <w:pStyle w:val="TableText0"/>
              <w:rPr>
                <w:b/>
                <w:lang w:eastAsia="en-US"/>
              </w:rPr>
            </w:pPr>
            <w:r w:rsidRPr="000C48F9">
              <w:rPr>
                <w:b/>
                <w:lang w:eastAsia="en-US"/>
              </w:rPr>
              <w:t>AND</w:t>
            </w:r>
          </w:p>
        </w:tc>
      </w:tr>
      <w:tr w:rsidR="009619FE" w:rsidRPr="000C48F9" w14:paraId="36725651" w14:textId="77777777" w:rsidTr="008A0FEF">
        <w:tc>
          <w:tcPr>
            <w:tcW w:w="9067" w:type="dxa"/>
          </w:tcPr>
          <w:p w14:paraId="63079F2C" w14:textId="77777777" w:rsidR="009619FE" w:rsidRPr="000C48F9" w:rsidRDefault="009619FE" w:rsidP="00B44292">
            <w:pPr>
              <w:pStyle w:val="TableText0"/>
              <w:rPr>
                <w:lang w:eastAsia="en-US"/>
              </w:rPr>
            </w:pPr>
            <w:r w:rsidRPr="000C48F9">
              <w:rPr>
                <w:b/>
                <w:lang w:eastAsia="en-US"/>
              </w:rPr>
              <w:t>Population criteria:</w:t>
            </w:r>
          </w:p>
        </w:tc>
      </w:tr>
      <w:tr w:rsidR="009619FE" w:rsidRPr="000C48F9" w14:paraId="7BDFB2AA" w14:textId="77777777" w:rsidTr="008A0FEF">
        <w:tc>
          <w:tcPr>
            <w:tcW w:w="9067" w:type="dxa"/>
          </w:tcPr>
          <w:p w14:paraId="5B663A84" w14:textId="77777777" w:rsidR="009619FE" w:rsidRPr="000C48F9" w:rsidRDefault="009619FE" w:rsidP="00B44292">
            <w:pPr>
              <w:pStyle w:val="TableText0"/>
              <w:rPr>
                <w:lang w:eastAsia="en-US"/>
              </w:rPr>
            </w:pPr>
            <w:r w:rsidRPr="000C48F9">
              <w:rPr>
                <w:rFonts w:cstheme="minorHAnsi"/>
                <w:lang w:eastAsia="en-US"/>
              </w:rPr>
              <w:t>Patient must be aged between 6 and 11 years inclusive</w:t>
            </w:r>
            <w:r w:rsidRPr="000C48F9">
              <w:rPr>
                <w:szCs w:val="20"/>
                <w:lang w:eastAsia="en-US"/>
              </w:rPr>
              <w:t>.</w:t>
            </w:r>
          </w:p>
        </w:tc>
      </w:tr>
      <w:tr w:rsidR="009619FE" w:rsidRPr="000C48F9" w14:paraId="658A61F9" w14:textId="77777777" w:rsidTr="008A0FEF">
        <w:tc>
          <w:tcPr>
            <w:tcW w:w="9067" w:type="dxa"/>
          </w:tcPr>
          <w:p w14:paraId="4FD6265B" w14:textId="77777777" w:rsidR="009619FE" w:rsidRPr="000C48F9" w:rsidRDefault="009619FE" w:rsidP="00B44292">
            <w:pPr>
              <w:pStyle w:val="TableText0"/>
              <w:rPr>
                <w:b/>
                <w:lang w:eastAsia="en-US"/>
              </w:rPr>
            </w:pPr>
            <w:r w:rsidRPr="000C48F9">
              <w:rPr>
                <w:b/>
                <w:lang w:eastAsia="en-US"/>
              </w:rPr>
              <w:t>Prescribing Instructions</w:t>
            </w:r>
          </w:p>
        </w:tc>
      </w:tr>
      <w:tr w:rsidR="009619FE" w:rsidRPr="000C48F9" w14:paraId="35068FC9" w14:textId="77777777" w:rsidTr="008A0FEF">
        <w:tc>
          <w:tcPr>
            <w:tcW w:w="9067" w:type="dxa"/>
          </w:tcPr>
          <w:p w14:paraId="08DD8366" w14:textId="77777777" w:rsidR="009619FE" w:rsidRPr="000C48F9" w:rsidRDefault="009619FE" w:rsidP="00B44292">
            <w:pPr>
              <w:pStyle w:val="TableText0"/>
              <w:rPr>
                <w:rFonts w:cstheme="minorHAnsi"/>
                <w:lang w:eastAsia="en-US"/>
              </w:rPr>
            </w:pPr>
            <w:r w:rsidRPr="000C48F9">
              <w:rPr>
                <w:lang w:eastAsia="en-US"/>
              </w:rPr>
              <w:t xml:space="preserve">This pharmaceutical benefits not PBS-subsidised for this condition in a patient who is currently receiving one of the strong CYP3A4 inducers outlined in the Product Information. </w:t>
            </w:r>
          </w:p>
        </w:tc>
      </w:tr>
      <w:tr w:rsidR="009619FE" w:rsidRPr="000C48F9" w14:paraId="53CE4AEF" w14:textId="77777777" w:rsidTr="008A0FEF">
        <w:tc>
          <w:tcPr>
            <w:tcW w:w="9067" w:type="dxa"/>
          </w:tcPr>
          <w:p w14:paraId="57C6E08B" w14:textId="77777777" w:rsidR="009619FE" w:rsidRPr="000C48F9" w:rsidRDefault="009619FE" w:rsidP="00B44292">
            <w:pPr>
              <w:pStyle w:val="TableText0"/>
              <w:rPr>
                <w:lang w:eastAsia="en-US"/>
              </w:rPr>
            </w:pPr>
            <w:r w:rsidRPr="000C48F9">
              <w:rPr>
                <w:lang w:eastAsia="en-US"/>
              </w:rPr>
              <w:t>For the purposes of this restriction, PBS-subsidised 'CFTR modulator' means ivacaftor, lumacaftor/ivacaftor, tezacaftor/ivacaftor and elexacaftor/ tezacaftor/ ivacaftor.</w:t>
            </w:r>
          </w:p>
          <w:p w14:paraId="03A11C20" w14:textId="77777777" w:rsidR="009619FE" w:rsidRPr="000C48F9" w:rsidRDefault="009619FE" w:rsidP="00B44292">
            <w:pPr>
              <w:pStyle w:val="TableText0"/>
              <w:rPr>
                <w:lang w:eastAsia="en-US"/>
              </w:rPr>
            </w:pPr>
          </w:p>
          <w:p w14:paraId="56C0B31E" w14:textId="77777777" w:rsidR="009619FE" w:rsidRPr="000C48F9" w:rsidRDefault="009619FE" w:rsidP="00B44292">
            <w:pPr>
              <w:pStyle w:val="TableText0"/>
              <w:rPr>
                <w:lang w:eastAsia="en-US"/>
              </w:rPr>
            </w:pPr>
            <w:r w:rsidRPr="000C48F9">
              <w:rPr>
                <w:lang w:eastAsia="en-US"/>
              </w:rPr>
              <w:t>The authority application must be in writing and must include:</w:t>
            </w:r>
          </w:p>
          <w:p w14:paraId="39A46848" w14:textId="77777777" w:rsidR="009619FE" w:rsidRPr="000C48F9" w:rsidRDefault="009619FE" w:rsidP="00B44292">
            <w:pPr>
              <w:pStyle w:val="TableText0"/>
              <w:rPr>
                <w:lang w:eastAsia="en-US"/>
              </w:rPr>
            </w:pPr>
            <w:r w:rsidRPr="000C48F9">
              <w:rPr>
                <w:lang w:eastAsia="en-US"/>
              </w:rPr>
              <w:t>(1) a completed authority prescription form; and</w:t>
            </w:r>
          </w:p>
          <w:p w14:paraId="73415896" w14:textId="77777777" w:rsidR="009619FE" w:rsidRPr="000C48F9" w:rsidRDefault="009619FE" w:rsidP="00B44292">
            <w:pPr>
              <w:pStyle w:val="TableText0"/>
              <w:rPr>
                <w:lang w:eastAsia="en-US"/>
              </w:rPr>
            </w:pPr>
            <w:r w:rsidRPr="000C48F9">
              <w:rPr>
                <w:lang w:eastAsia="en-US"/>
              </w:rPr>
              <w:t>(2) a completed Cystic Fibrosis elexacaftor, tezacaftor with ivacaftor Authority Application Supporting Information Form; and</w:t>
            </w:r>
          </w:p>
          <w:p w14:paraId="1DF1797C" w14:textId="642EC343" w:rsidR="009619FE" w:rsidRPr="000C48F9" w:rsidRDefault="009619FE" w:rsidP="00B44292">
            <w:pPr>
              <w:pStyle w:val="TableText0"/>
              <w:rPr>
                <w:lang w:eastAsia="en-US"/>
              </w:rPr>
            </w:pPr>
            <w:r w:rsidRPr="000C48F9">
              <w:rPr>
                <w:lang w:eastAsia="en-US"/>
              </w:rPr>
              <w:t>(3) current CYP3A4 inhibitors, CYP3A4 inducers and IV antibiotics.</w:t>
            </w:r>
          </w:p>
        </w:tc>
      </w:tr>
      <w:tr w:rsidR="009619FE" w:rsidRPr="000C48F9" w14:paraId="404BE834" w14:textId="77777777" w:rsidTr="008A0FEF">
        <w:tc>
          <w:tcPr>
            <w:tcW w:w="9067" w:type="dxa"/>
          </w:tcPr>
          <w:p w14:paraId="2C1D9834" w14:textId="77777777" w:rsidR="009619FE" w:rsidRPr="000C48F9" w:rsidRDefault="009619FE" w:rsidP="00B44292">
            <w:pPr>
              <w:pStyle w:val="TableText0"/>
              <w:rPr>
                <w:lang w:eastAsia="en-US"/>
              </w:rPr>
            </w:pPr>
            <w:r w:rsidRPr="000C48F9">
              <w:rPr>
                <w:lang w:eastAsia="en-US"/>
              </w:rPr>
              <w:t>Any queries concerning the arrangements to prescribe may be directed to Services Australia on 1800 700 270 (hours of operation 8 a.m. to 5 p.m. EST Monday to Friday).</w:t>
            </w:r>
          </w:p>
          <w:p w14:paraId="0664D384" w14:textId="77777777" w:rsidR="009619FE" w:rsidRPr="000C48F9" w:rsidRDefault="009619FE" w:rsidP="00B44292">
            <w:pPr>
              <w:pStyle w:val="TableText0"/>
              <w:rPr>
                <w:lang w:eastAsia="en-US"/>
              </w:rPr>
            </w:pPr>
            <w:r w:rsidRPr="000C48F9">
              <w:rPr>
                <w:lang w:eastAsia="en-US"/>
              </w:rPr>
              <w:t>Prescribing information (including Authority Application forms and other relevant documentation as applicable) is available on the Services Australia website at www.servicesaustralia.gov.au</w:t>
            </w:r>
          </w:p>
          <w:p w14:paraId="65133383" w14:textId="77777777" w:rsidR="009619FE" w:rsidRPr="000C48F9" w:rsidRDefault="009619FE" w:rsidP="00B44292">
            <w:pPr>
              <w:pStyle w:val="TableText0"/>
              <w:rPr>
                <w:lang w:eastAsia="en-US"/>
              </w:rPr>
            </w:pPr>
            <w:r w:rsidRPr="000C48F9">
              <w:rPr>
                <w:lang w:eastAsia="en-US"/>
              </w:rPr>
              <w:t>Applications for authority to prescribe should be submitted online using the form upload facility in Health Professional Online Services (HPOS) at www.servicesaustralia.gov.au/hpos</w:t>
            </w:r>
          </w:p>
          <w:p w14:paraId="2CAC0A26" w14:textId="77777777" w:rsidR="009619FE" w:rsidRPr="000C48F9" w:rsidRDefault="009619FE" w:rsidP="00B44292">
            <w:pPr>
              <w:pStyle w:val="TableText0"/>
              <w:rPr>
                <w:lang w:eastAsia="en-US"/>
              </w:rPr>
            </w:pPr>
            <w:r w:rsidRPr="000C48F9">
              <w:rPr>
                <w:lang w:eastAsia="en-US"/>
              </w:rPr>
              <w:t>Or mailed to:</w:t>
            </w:r>
          </w:p>
          <w:p w14:paraId="5F0E1A50" w14:textId="77777777" w:rsidR="009619FE" w:rsidRPr="000C48F9" w:rsidRDefault="009619FE" w:rsidP="00B44292">
            <w:pPr>
              <w:pStyle w:val="TableText0"/>
              <w:rPr>
                <w:lang w:eastAsia="en-US"/>
              </w:rPr>
            </w:pPr>
            <w:r w:rsidRPr="000C48F9">
              <w:rPr>
                <w:lang w:eastAsia="en-US"/>
              </w:rPr>
              <w:t>Services Australia</w:t>
            </w:r>
          </w:p>
          <w:p w14:paraId="3B1445FB" w14:textId="77777777" w:rsidR="009619FE" w:rsidRPr="000C48F9" w:rsidRDefault="009619FE" w:rsidP="00B44292">
            <w:pPr>
              <w:pStyle w:val="TableText0"/>
              <w:rPr>
                <w:lang w:eastAsia="en-US"/>
              </w:rPr>
            </w:pPr>
            <w:r w:rsidRPr="000C48F9">
              <w:rPr>
                <w:lang w:eastAsia="en-US"/>
              </w:rPr>
              <w:t>Complex Drugs</w:t>
            </w:r>
          </w:p>
          <w:p w14:paraId="13CD7CA3" w14:textId="77777777" w:rsidR="009619FE" w:rsidRPr="000C48F9" w:rsidRDefault="009619FE" w:rsidP="00B44292">
            <w:pPr>
              <w:pStyle w:val="TableText0"/>
              <w:rPr>
                <w:lang w:eastAsia="en-US"/>
              </w:rPr>
            </w:pPr>
            <w:r w:rsidRPr="000C48F9">
              <w:rPr>
                <w:lang w:eastAsia="en-US"/>
              </w:rPr>
              <w:t>Reply Paid 9826</w:t>
            </w:r>
          </w:p>
          <w:p w14:paraId="4D333382" w14:textId="77777777" w:rsidR="009619FE" w:rsidRPr="000C48F9" w:rsidRDefault="009619FE" w:rsidP="00B44292">
            <w:pPr>
              <w:pStyle w:val="TableText0"/>
              <w:rPr>
                <w:szCs w:val="20"/>
                <w:lang w:eastAsia="en-US"/>
              </w:rPr>
            </w:pPr>
            <w:r w:rsidRPr="000C48F9">
              <w:rPr>
                <w:lang w:eastAsia="en-US"/>
              </w:rPr>
              <w:t>HOBART TAS 7001</w:t>
            </w:r>
          </w:p>
        </w:tc>
      </w:tr>
      <w:tr w:rsidR="009619FE" w:rsidRPr="000C48F9" w14:paraId="211AE583" w14:textId="77777777" w:rsidTr="008A0FEF">
        <w:tc>
          <w:tcPr>
            <w:tcW w:w="9067" w:type="dxa"/>
          </w:tcPr>
          <w:p w14:paraId="3B17F4E6" w14:textId="77777777" w:rsidR="009619FE" w:rsidRPr="000C48F9" w:rsidRDefault="009619FE" w:rsidP="00B44292">
            <w:pPr>
              <w:pStyle w:val="TableText0"/>
              <w:rPr>
                <w:b/>
                <w:szCs w:val="20"/>
                <w:lang w:eastAsia="en-US"/>
              </w:rPr>
            </w:pPr>
            <w:r w:rsidRPr="000C48F9">
              <w:rPr>
                <w:b/>
                <w:szCs w:val="20"/>
                <w:lang w:eastAsia="en-US"/>
              </w:rPr>
              <w:t>Administration Advice</w:t>
            </w:r>
          </w:p>
        </w:tc>
      </w:tr>
      <w:tr w:rsidR="009619FE" w:rsidRPr="000C48F9" w14:paraId="7836195A" w14:textId="77777777" w:rsidTr="008A0FEF">
        <w:tc>
          <w:tcPr>
            <w:tcW w:w="9067" w:type="dxa"/>
          </w:tcPr>
          <w:p w14:paraId="1FE390C8" w14:textId="77777777" w:rsidR="009619FE" w:rsidRPr="000C48F9" w:rsidRDefault="009619FE" w:rsidP="00B44292">
            <w:pPr>
              <w:pStyle w:val="TableText0"/>
              <w:rPr>
                <w:lang w:eastAsia="en-US"/>
              </w:rPr>
            </w:pPr>
            <w:r w:rsidRPr="000C48F9">
              <w:rPr>
                <w:lang w:eastAsia="en-US"/>
              </w:rPr>
              <w:t>No increase in the maximum quantity or number of units may be authorised.</w:t>
            </w:r>
          </w:p>
        </w:tc>
      </w:tr>
      <w:tr w:rsidR="009619FE" w:rsidRPr="000C48F9" w14:paraId="59FFEEED" w14:textId="77777777" w:rsidTr="008A0FEF">
        <w:tc>
          <w:tcPr>
            <w:tcW w:w="9067" w:type="dxa"/>
          </w:tcPr>
          <w:p w14:paraId="4E778396" w14:textId="77777777" w:rsidR="009619FE" w:rsidRPr="000C48F9" w:rsidRDefault="009619FE" w:rsidP="00B44292">
            <w:pPr>
              <w:pStyle w:val="TableText0"/>
              <w:rPr>
                <w:lang w:eastAsia="en-US"/>
              </w:rPr>
            </w:pPr>
            <w:r w:rsidRPr="000C48F9">
              <w:rPr>
                <w:lang w:eastAsia="en-US"/>
              </w:rPr>
              <w:t>No increase in the maximum number of repeats may be authorised</w:t>
            </w:r>
          </w:p>
        </w:tc>
      </w:tr>
    </w:tbl>
    <w:p w14:paraId="2690B615" w14:textId="77777777" w:rsidR="00A21A58" w:rsidRDefault="00A21A58" w:rsidP="004957E8">
      <w:pPr>
        <w:pStyle w:val="ExecSumBodyText"/>
        <w:spacing w:after="0"/>
        <w:rPr>
          <w:i/>
        </w:rPr>
      </w:pPr>
    </w:p>
    <w:p w14:paraId="60F49D6B" w14:textId="178CB45C" w:rsidR="00B71E29" w:rsidRPr="0038518B" w:rsidRDefault="0038518B" w:rsidP="00013E42">
      <w:pPr>
        <w:pStyle w:val="3-BodyText"/>
        <w:rPr>
          <w:i/>
          <w:iCs/>
        </w:rPr>
      </w:pPr>
      <w:r w:rsidRPr="0038518B">
        <w:t>The PBAC advised the current listing for ELX/TEZ/IVA could</w:t>
      </w:r>
      <w:r w:rsidR="00B71E29" w:rsidRPr="0038518B">
        <w:t xml:space="preserve"> </w:t>
      </w:r>
      <w:r w:rsidRPr="0038518B">
        <w:t>be amended to include the population aged 6 to 11 years of age and a new listing could be added for the new</w:t>
      </w:r>
      <w:r>
        <w:t>, lower strength</w:t>
      </w:r>
      <w:r w:rsidRPr="0038518B">
        <w:t xml:space="preserve"> presentation of ELX/TEZ/IVA for the 6 to 11 years population. </w:t>
      </w:r>
    </w:p>
    <w:p w14:paraId="00E3A0D6" w14:textId="67D49212" w:rsidR="00701DC8" w:rsidRPr="00B71E29" w:rsidRDefault="00A21A58" w:rsidP="00B71E29">
      <w:pPr>
        <w:pStyle w:val="3-BodyText"/>
        <w:numPr>
          <w:ilvl w:val="0"/>
          <w:numId w:val="0"/>
        </w:numPr>
        <w:rPr>
          <w:i/>
          <w:iCs/>
        </w:rPr>
      </w:pPr>
      <w:r w:rsidRPr="00B71E29">
        <w:rPr>
          <w:i/>
        </w:rPr>
        <w:t>For more detail on PBAC’s view, see section 7 PBAC outcome</w:t>
      </w:r>
    </w:p>
    <w:p w14:paraId="4A7DE758" w14:textId="106573FE" w:rsidR="009619FE" w:rsidRPr="000C48F9" w:rsidDel="00195452" w:rsidRDefault="009619FE" w:rsidP="00B44292">
      <w:pPr>
        <w:pStyle w:val="2-SectionHeading"/>
      </w:pPr>
      <w:bookmarkStart w:id="14" w:name="_Toc114047710"/>
      <w:r w:rsidRPr="000C48F9" w:rsidDel="00195452">
        <w:t>Population and disease</w:t>
      </w:r>
      <w:bookmarkEnd w:id="14"/>
    </w:p>
    <w:p w14:paraId="5B20EE5D" w14:textId="77777777" w:rsidR="009619FE" w:rsidRPr="000C48F9" w:rsidRDefault="009619FE" w:rsidP="00B44292">
      <w:pPr>
        <w:pStyle w:val="3-BodyText"/>
        <w:rPr>
          <w:color w:val="0066FF"/>
        </w:rPr>
      </w:pPr>
      <w:r w:rsidRPr="000C48F9">
        <w:t xml:space="preserve">CF is a rare, genetic, systemic disease caused by mutations in the CFTR gene which ultimately leads to defective transport of chloride and other ions. </w:t>
      </w:r>
      <w:r w:rsidRPr="000C48F9">
        <w:rPr>
          <w:rFonts w:cs="Tahoma"/>
        </w:rPr>
        <w:t>Patients with CF are subject to a progressive loss of lung function, significant excess morbidity and reduced quality of life (QoL), pancreatic insufficiency and gastrointestinal malabsorption, frequent pulmonary exacerbations (PEx) and early death.</w:t>
      </w:r>
      <w:r w:rsidRPr="000C48F9" w:rsidDel="00AC0116">
        <w:rPr>
          <w:color w:val="0066FF"/>
        </w:rPr>
        <w:t xml:space="preserve"> </w:t>
      </w:r>
    </w:p>
    <w:p w14:paraId="5D3B03CD" w14:textId="5851D0DE" w:rsidR="009619FE" w:rsidRPr="000C48F9" w:rsidRDefault="009619FE" w:rsidP="00B44292">
      <w:pPr>
        <w:pStyle w:val="3-BodyText"/>
      </w:pPr>
      <w:r w:rsidRPr="000C48F9">
        <w:t>The most common mutation in Australia is F508del of the CFTR, present in at least one allele in approximately 90% of CF patients. The F508del mutation leads to an improperly folded CFTR protein and a disruption of the chloride channel opening leading to minimal CFTR chloride transport activity. The submission stated approximately 49% of CF patients aged 6 to 11 years are homozygous for the F508del mutation (F/F); 17% have an F/MF mutation; 7% have an F/G mutation; 5% have an F/RF mutation; 6% have an F/R117H mutation and 16% have an uncharacterised mutation.</w:t>
      </w:r>
    </w:p>
    <w:p w14:paraId="3C0DCA35" w14:textId="77777777" w:rsidR="009619FE" w:rsidRPr="000C48F9" w:rsidRDefault="009619FE" w:rsidP="00B44292">
      <w:pPr>
        <w:pStyle w:val="3-BodyText"/>
        <w:rPr>
          <w:i/>
          <w:iCs/>
        </w:rPr>
      </w:pPr>
      <w:r w:rsidRPr="000C48F9">
        <w:t>ELX/TEZ/IVA</w:t>
      </w:r>
      <w:r w:rsidRPr="000C48F9" w:rsidDel="008D3960">
        <w:t xml:space="preserve"> </w:t>
      </w:r>
      <w:r w:rsidRPr="000C48F9">
        <w:t xml:space="preserve">is a fixed-dose combination therapy. ELX and TEZ are second-generation CFTR correctors that work by facilitating the cellular processing and trafficking of normal and multiple mutant forms of CFTR, thereby increasing the quantity of functional CFTR protein at the cell surface. IVA is a CFTR potentiator that increases the channel opening probability at the cell surface to enhance chloride transport. </w:t>
      </w:r>
    </w:p>
    <w:p w14:paraId="78131AF5" w14:textId="69DCAF13" w:rsidR="009619FE" w:rsidRPr="000C48F9" w:rsidRDefault="004D048D" w:rsidP="00B44292">
      <w:pPr>
        <w:pStyle w:val="3-BodyText"/>
      </w:pPr>
      <w:r w:rsidRPr="000C48F9">
        <w:t>T</w:t>
      </w:r>
      <w:r w:rsidR="009619FE" w:rsidRPr="000C48F9">
        <w:t xml:space="preserve">he clinical algorithm </w:t>
      </w:r>
      <w:r w:rsidRPr="000C48F9">
        <w:t>provided in the submission (</w:t>
      </w:r>
      <w:r w:rsidRPr="000C48F9">
        <w:fldChar w:fldCharType="begin" w:fldLock="1"/>
      </w:r>
      <w:r w:rsidRPr="000C48F9">
        <w:instrText xml:space="preserve"> REF _Ref112922832 \h  \* MERGEFORMAT </w:instrText>
      </w:r>
      <w:r w:rsidRPr="000C48F9">
        <w:fldChar w:fldCharType="separate"/>
      </w:r>
      <w:r w:rsidR="009A1227" w:rsidRPr="000C48F9">
        <w:t xml:space="preserve">Figure </w:t>
      </w:r>
      <w:r w:rsidR="009A1227">
        <w:t>1</w:t>
      </w:r>
      <w:r w:rsidRPr="000C48F9">
        <w:fldChar w:fldCharType="end"/>
      </w:r>
      <w:r w:rsidRPr="000C48F9">
        <w:t xml:space="preserve">) </w:t>
      </w:r>
      <w:r w:rsidR="009619FE" w:rsidRPr="000C48F9">
        <w:t>did not consider that once this cohort of patients reaches 12 years of age, they would all be eligible to access ELX/TEZ/IVA as per current PBS listing.</w:t>
      </w:r>
    </w:p>
    <w:p w14:paraId="566C0C00" w14:textId="6C068DB6" w:rsidR="009619FE" w:rsidRPr="000C48F9" w:rsidRDefault="009619FE" w:rsidP="005526C3">
      <w:pPr>
        <w:pStyle w:val="TableHeading0"/>
      </w:pPr>
      <w:bookmarkStart w:id="15" w:name="_Ref112922832"/>
      <w:r w:rsidRPr="000C48F9">
        <w:t xml:space="preserve">Figure </w:t>
      </w:r>
      <w:r w:rsidR="008E430C">
        <w:fldChar w:fldCharType="begin" w:fldLock="1"/>
      </w:r>
      <w:r w:rsidR="008E430C">
        <w:instrText xml:space="preserve"> SEQ Figure \* ARABIC </w:instrText>
      </w:r>
      <w:r w:rsidR="008E430C">
        <w:fldChar w:fldCharType="separate"/>
      </w:r>
      <w:r w:rsidR="009A1227">
        <w:rPr>
          <w:noProof/>
        </w:rPr>
        <w:t>1</w:t>
      </w:r>
      <w:r w:rsidR="008E430C">
        <w:rPr>
          <w:noProof/>
        </w:rPr>
        <w:fldChar w:fldCharType="end"/>
      </w:r>
      <w:bookmarkEnd w:id="15"/>
      <w:r w:rsidRPr="000C48F9">
        <w:t xml:space="preserve">: Proposed clinical management algorithm for CF patients who have at least one </w:t>
      </w:r>
      <w:r w:rsidRPr="000C48F9">
        <w:rPr>
          <w:i/>
          <w:iCs/>
        </w:rPr>
        <w:t xml:space="preserve">F508del-CFTR </w:t>
      </w:r>
      <w:r w:rsidRPr="000C48F9">
        <w:t>mutation</w:t>
      </w:r>
    </w:p>
    <w:p w14:paraId="0A153000" w14:textId="77777777" w:rsidR="009619FE" w:rsidRPr="000C48F9" w:rsidRDefault="009619FE" w:rsidP="00B44292">
      <w:pPr>
        <w:jc w:val="center"/>
      </w:pPr>
      <w:r w:rsidRPr="000C48F9">
        <w:rPr>
          <w:noProof/>
        </w:rPr>
        <w:drawing>
          <wp:inline distT="0" distB="0" distL="0" distR="0" wp14:anchorId="50E8B1E8" wp14:editId="6E040C13">
            <wp:extent cx="5384121" cy="1906438"/>
            <wp:effectExtent l="0" t="0" r="7620" b="0"/>
            <wp:docPr id="59" name="Picture 59" descr="Figure 1: Proposed clinical management algorithm for CF patients who have at least one F508del-CFTR m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Figure 1: Proposed clinical management algorithm for CF patients who have at least one F508del-CFTR mutation"/>
                    <pic:cNvPicPr/>
                  </pic:nvPicPr>
                  <pic:blipFill>
                    <a:blip r:embed="rId8"/>
                    <a:stretch>
                      <a:fillRect/>
                    </a:stretch>
                  </pic:blipFill>
                  <pic:spPr>
                    <a:xfrm>
                      <a:off x="0" y="0"/>
                      <a:ext cx="5428290" cy="1922078"/>
                    </a:xfrm>
                    <a:prstGeom prst="rect">
                      <a:avLst/>
                    </a:prstGeom>
                  </pic:spPr>
                </pic:pic>
              </a:graphicData>
            </a:graphic>
          </wp:inline>
        </w:drawing>
      </w:r>
    </w:p>
    <w:p w14:paraId="69DF14DD" w14:textId="025E0D9D" w:rsidR="009619FE" w:rsidRPr="000C48F9" w:rsidRDefault="009619FE" w:rsidP="00B44292">
      <w:pPr>
        <w:pStyle w:val="TableFooter"/>
      </w:pPr>
      <w:r w:rsidRPr="000C48F9">
        <w:t>BSC= best supportive care; CF= cystic fibrosis; CFTR= cystic fibrosis transmembrane conductance regulator; MF= minimal function; RF= residual function.</w:t>
      </w:r>
    </w:p>
    <w:p w14:paraId="2E304A36" w14:textId="77777777" w:rsidR="009619FE" w:rsidRPr="000C48F9" w:rsidRDefault="009619FE" w:rsidP="00B44292">
      <w:pPr>
        <w:pStyle w:val="TableFooter"/>
      </w:pPr>
      <w:r w:rsidRPr="000C48F9">
        <w:t>* F/not yet characterised patients are reallocated 80% to the F/MF population and 20% to the F/RF population as accepted by the PBAC in the 12+ population (ELX/TEZ/IVA May 2021 PBAC Meeting).</w:t>
      </w:r>
    </w:p>
    <w:p w14:paraId="0D9BD0FD" w14:textId="7105C8AA" w:rsidR="009619FE" w:rsidRPr="000C48F9" w:rsidRDefault="009619FE" w:rsidP="00B44292">
      <w:pPr>
        <w:pStyle w:val="2-SectionHeading"/>
      </w:pPr>
      <w:bookmarkStart w:id="16" w:name="_Toc114047711"/>
      <w:r w:rsidRPr="000C48F9">
        <w:t>Comparator</w:t>
      </w:r>
      <w:bookmarkEnd w:id="16"/>
    </w:p>
    <w:p w14:paraId="2DAD2572" w14:textId="40483E0A" w:rsidR="009619FE" w:rsidRPr="000C48F9" w:rsidRDefault="009619FE" w:rsidP="00B44292">
      <w:pPr>
        <w:pStyle w:val="3-BodyText"/>
        <w:rPr>
          <w:snapToGrid/>
        </w:rPr>
      </w:pPr>
      <w:r w:rsidRPr="000C48F9">
        <w:t xml:space="preserve">The submission nominated three therapies as the main comparator across the </w:t>
      </w:r>
      <w:r w:rsidR="0048469B" w:rsidRPr="000C48F9">
        <w:t xml:space="preserve">six </w:t>
      </w:r>
      <w:r w:rsidRPr="000C48F9">
        <w:t xml:space="preserve">subpopulations: </w:t>
      </w:r>
    </w:p>
    <w:p w14:paraId="66824E58" w14:textId="394C543B" w:rsidR="009619FE" w:rsidRPr="000C48F9" w:rsidRDefault="009619FE" w:rsidP="00BC1217">
      <w:pPr>
        <w:pStyle w:val="ListParagraph"/>
        <w:numPr>
          <w:ilvl w:val="0"/>
          <w:numId w:val="7"/>
        </w:numPr>
        <w:spacing w:after="0"/>
      </w:pPr>
      <w:r w:rsidRPr="000C48F9">
        <w:t>LUM/IVA for the F/F population</w:t>
      </w:r>
      <w:r w:rsidR="00DD75CC" w:rsidRPr="000C48F9">
        <w:t>;</w:t>
      </w:r>
      <w:r w:rsidRPr="000C48F9">
        <w:t xml:space="preserve"> </w:t>
      </w:r>
    </w:p>
    <w:p w14:paraId="3504410B" w14:textId="485328AD" w:rsidR="009619FE" w:rsidRPr="000C48F9" w:rsidRDefault="009619FE" w:rsidP="00BC1217">
      <w:pPr>
        <w:pStyle w:val="ListBullet"/>
        <w:numPr>
          <w:ilvl w:val="0"/>
          <w:numId w:val="7"/>
        </w:numPr>
      </w:pPr>
      <w:r w:rsidRPr="000C48F9">
        <w:t>IVA monotherapy for the F/G population</w:t>
      </w:r>
      <w:r w:rsidR="00DD75CC" w:rsidRPr="000C48F9">
        <w:t xml:space="preserve"> and</w:t>
      </w:r>
      <w:r w:rsidRPr="000C48F9">
        <w:t xml:space="preserve"> </w:t>
      </w:r>
    </w:p>
    <w:p w14:paraId="55F5F993" w14:textId="54F80A0A" w:rsidR="009619FE" w:rsidRPr="000C48F9" w:rsidRDefault="009619FE" w:rsidP="00BC1217">
      <w:pPr>
        <w:pStyle w:val="ListBullet"/>
        <w:numPr>
          <w:ilvl w:val="0"/>
          <w:numId w:val="7"/>
        </w:numPr>
        <w:spacing w:after="240"/>
      </w:pPr>
      <w:r w:rsidRPr="000C48F9">
        <w:t xml:space="preserve">BSC for the F/MF, F/RF, F/R117H and F/not yet characterised populations. </w:t>
      </w:r>
    </w:p>
    <w:p w14:paraId="5874568A" w14:textId="18D88E48" w:rsidR="009619FE" w:rsidRPr="008C7554" w:rsidRDefault="009619FE" w:rsidP="00D26039">
      <w:pPr>
        <w:pStyle w:val="3-BodyText"/>
        <w:rPr>
          <w:snapToGrid/>
          <w:color w:val="0066FF"/>
        </w:rPr>
      </w:pPr>
      <w:r w:rsidRPr="000C48F9">
        <w:t xml:space="preserve">Overall, the </w:t>
      </w:r>
      <w:r w:rsidR="0048469B" w:rsidRPr="008C7554">
        <w:t>evaluation considered the</w:t>
      </w:r>
      <w:r w:rsidR="0048469B" w:rsidRPr="000C48F9">
        <w:t xml:space="preserve"> </w:t>
      </w:r>
      <w:r w:rsidRPr="000C48F9">
        <w:t xml:space="preserve">nominated comparators were reasonable, but they do not reflect the longer-term Australian setting where all patients will be eligible for ELX/TEZ/IVA once they turn 12 years. </w:t>
      </w:r>
      <w:r w:rsidR="00057B3B" w:rsidRPr="008C7554">
        <w:t>The submission did not compare the proposed listing (commencing treatment between the ages of 6-11 years) with the current listing (commencing treatment after 12 years of age).</w:t>
      </w:r>
    </w:p>
    <w:p w14:paraId="7AADFF5E" w14:textId="05F00E1C" w:rsidR="00597A41" w:rsidRPr="008C7554" w:rsidRDefault="00597A41" w:rsidP="00597A41">
      <w:pPr>
        <w:pStyle w:val="3-BodyText"/>
        <w:rPr>
          <w:snapToGrid/>
        </w:rPr>
      </w:pPr>
      <w:r w:rsidRPr="008C7554">
        <w:rPr>
          <w:snapToGrid/>
        </w:rPr>
        <w:t xml:space="preserve">The pre-subcommittee response (PSCR) stated that while the sponsor understands the theoretical underpinnings of this marginal analysis approach, such an analysis would require a higher evidentiary burden than previous submissions for younger age groups. The PSCR stated that this approach would require evidence of starting therapy at different ages on very long-term outcomes; such evidence will never be available from clinical trials and registry-based evidence will only be available in decades to come (assuming it could be de-coupled from confounding factors). The ESC noted the PBAC recommended LUM/IVA for patients aged 6 to 11 years (i) at the same cost per patient as the over 12 year population (ii) with a much smaller incremental cost to the PBS and (iii) with a Managed Access Program to demonstrate the clinical benefit.  </w:t>
      </w:r>
    </w:p>
    <w:p w14:paraId="6527F1A5" w14:textId="3743504B" w:rsidR="0048469B" w:rsidRPr="008C7554" w:rsidRDefault="0048469B" w:rsidP="00D26039">
      <w:pPr>
        <w:pStyle w:val="3-BodyText"/>
        <w:rPr>
          <w:snapToGrid/>
          <w:color w:val="0066FF"/>
        </w:rPr>
      </w:pPr>
      <w:r w:rsidRPr="008C7554">
        <w:t xml:space="preserve">The ESC </w:t>
      </w:r>
      <w:r w:rsidR="00DD75CC" w:rsidRPr="008C7554">
        <w:t>considered the appropriate comparator</w:t>
      </w:r>
      <w:r w:rsidR="00CD549C" w:rsidRPr="008C7554">
        <w:t xml:space="preserve"> is</w:t>
      </w:r>
      <w:r w:rsidR="00DD75CC" w:rsidRPr="008C7554">
        <w:t xml:space="preserve"> LUM/IVA (in the F/F population), IVA monotherapy (in the F/G population) or BSC (in the remaining population), followed by ELX/TEZ/IVA from 12 years of age. </w:t>
      </w:r>
    </w:p>
    <w:p w14:paraId="04E1E07A" w14:textId="77777777" w:rsidR="003B6E05" w:rsidRPr="000C48F9" w:rsidRDefault="003B6E05" w:rsidP="00B44292">
      <w:pPr>
        <w:pStyle w:val="2-SectionHeading"/>
      </w:pPr>
      <w:bookmarkStart w:id="17" w:name="_Toc114047712"/>
      <w:r w:rsidRPr="000C48F9">
        <w:t>Consideration of the evidence</w:t>
      </w:r>
      <w:bookmarkEnd w:id="17"/>
    </w:p>
    <w:p w14:paraId="6449A0DB" w14:textId="77777777" w:rsidR="00163B39" w:rsidRPr="008E00EE" w:rsidRDefault="00163B39" w:rsidP="00163B39">
      <w:pPr>
        <w:pStyle w:val="4-SubsectionHeading"/>
      </w:pPr>
      <w:bookmarkStart w:id="18" w:name="_Toc114047713"/>
      <w:r w:rsidRPr="008E00EE">
        <w:t>Sponsor hearing</w:t>
      </w:r>
    </w:p>
    <w:p w14:paraId="56562585" w14:textId="2F9068ED" w:rsidR="00163B39" w:rsidRPr="008E00EE" w:rsidRDefault="00163B39" w:rsidP="00DD65E7">
      <w:pPr>
        <w:widowControl w:val="0"/>
        <w:numPr>
          <w:ilvl w:val="1"/>
          <w:numId w:val="1"/>
        </w:numPr>
        <w:spacing w:after="120"/>
        <w:rPr>
          <w:rFonts w:asciiTheme="minorHAnsi" w:eastAsia="Times New Roman" w:hAnsiTheme="minorHAnsi"/>
          <w:bCs/>
          <w:snapToGrid w:val="0"/>
          <w:lang w:eastAsia="en-US"/>
        </w:rPr>
      </w:pPr>
      <w:bookmarkStart w:id="19" w:name="_Hlk76382586"/>
      <w:r w:rsidRPr="007F5DB7">
        <w:rPr>
          <w:rFonts w:asciiTheme="minorHAnsi" w:eastAsia="Times New Roman" w:hAnsiTheme="minorHAnsi"/>
          <w:bCs/>
          <w:snapToGrid w:val="0"/>
          <w:lang w:eastAsia="en-US"/>
        </w:rPr>
        <w:t xml:space="preserve">The sponsor requested a hearing for this item. </w:t>
      </w:r>
      <w:r w:rsidR="007F5DB7">
        <w:t xml:space="preserve">The clinician stated the clinical benefit of ELX/TEZ/IVA was now well established in adults and the benefit could be extended to younger patients. </w:t>
      </w:r>
      <w:r w:rsidR="007F5DB7" w:rsidRPr="00A3179A">
        <w:t xml:space="preserve">The clinician </w:t>
      </w:r>
      <w:r w:rsidR="007F5DB7">
        <w:t xml:space="preserve">highlighted </w:t>
      </w:r>
      <w:r w:rsidR="007F5DB7" w:rsidRPr="00A3179A">
        <w:t xml:space="preserve">the </w:t>
      </w:r>
      <w:r w:rsidR="007F5DB7">
        <w:t>importance of preserving lung function and preventing pulmonary exacerbations in CF patients from a young age.</w:t>
      </w:r>
    </w:p>
    <w:bookmarkEnd w:id="19"/>
    <w:p w14:paraId="093B5C7A" w14:textId="77777777" w:rsidR="00163B39" w:rsidRPr="006E1229" w:rsidRDefault="00163B39" w:rsidP="00B50E7C">
      <w:pPr>
        <w:pStyle w:val="4-SubsectionHeading"/>
      </w:pPr>
      <w:r w:rsidRPr="008E00EE">
        <w:t>Consumer comments</w:t>
      </w:r>
    </w:p>
    <w:p w14:paraId="2BD9598C" w14:textId="6559EE75" w:rsidR="00163B39" w:rsidRPr="00BB0723" w:rsidRDefault="00163B39" w:rsidP="00163B39">
      <w:pPr>
        <w:pStyle w:val="3-BodyText"/>
      </w:pPr>
      <w:r w:rsidRPr="004C1708">
        <w:t>The PBAC noted and welcomed the input from individuals (</w:t>
      </w:r>
      <w:r w:rsidR="004C1708" w:rsidRPr="004C1708">
        <w:t>273</w:t>
      </w:r>
      <w:r w:rsidRPr="004C1708">
        <w:t>), health care professionals (</w:t>
      </w:r>
      <w:r w:rsidR="004C1708" w:rsidRPr="004C1708">
        <w:t>4</w:t>
      </w:r>
      <w:r w:rsidRPr="004C1708">
        <w:t>) and organisations (</w:t>
      </w:r>
      <w:r w:rsidR="008C7554" w:rsidRPr="004C1708">
        <w:t>3</w:t>
      </w:r>
      <w:r w:rsidRPr="004C1708">
        <w:t xml:space="preserve">) via the Consumer Comments facility on the PBS website. </w:t>
      </w:r>
      <w:r w:rsidR="004C1708" w:rsidRPr="004C1708">
        <w:t>Many comments were received from parents and caregivers outlining the potential benefits of ELX/TEZ/IVA treatment in individuals with CF, including improved life expectancy, a reduction in the need for lung transplants and hospital visits</w:t>
      </w:r>
      <w:r w:rsidR="004C1708">
        <w:t xml:space="preserve"> (including associated travel costs)</w:t>
      </w:r>
      <w:r w:rsidR="004C1708" w:rsidRPr="004C1708">
        <w:t xml:space="preserve">, improved quality of life, and </w:t>
      </w:r>
      <w:r w:rsidR="004C1708">
        <w:t xml:space="preserve">allowing </w:t>
      </w:r>
      <w:r w:rsidR="004C1708" w:rsidRPr="004C1708">
        <w:t>an overall sense of normalcy.</w:t>
      </w:r>
      <w:r w:rsidR="004C1708">
        <w:t xml:space="preserve"> </w:t>
      </w:r>
      <w:r w:rsidR="008E00EE">
        <w:t xml:space="preserve">Some comments noted the improved efficacy and safety of ELX/TEZ/IVA over current treatment options, and noted for some patients, this was the only treatment available. Many comments noted the need for access </w:t>
      </w:r>
      <w:r w:rsidR="00BB0723">
        <w:t>i</w:t>
      </w:r>
      <w:r w:rsidR="008E00EE">
        <w:t xml:space="preserve">n the younger </w:t>
      </w:r>
      <w:r w:rsidR="00BB0723">
        <w:t>population who</w:t>
      </w:r>
      <w:r w:rsidR="00C8173E">
        <w:t xml:space="preserve"> they considered </w:t>
      </w:r>
      <w:r w:rsidR="00BB0723" w:rsidRPr="00BB0723">
        <w:t xml:space="preserve">would benefit from earlier access to ELX/TEZ/IVA due to its ability to reduce organ damage. </w:t>
      </w:r>
    </w:p>
    <w:p w14:paraId="62748B95" w14:textId="1615D198" w:rsidR="00BB0723" w:rsidRPr="00BB0723" w:rsidRDefault="00BB0723" w:rsidP="00163B39">
      <w:pPr>
        <w:pStyle w:val="3-BodyText"/>
      </w:pPr>
      <w:r w:rsidRPr="00BB0723">
        <w:t>The PBAC noted the input received from health professionals outlined the improvement in symptoms in CF patients undergoing ELX/TEZ/IVA treatment. One comment described how the medicine appeared to protect those with milder disease from rapid progression of their disease, but outlined the need for monitoring patients for liver dysfunction and side effects in the eyes in children. Other comments noted that ELX/TEZ/IVA is not a modulator for all genetic mutations and not all patients tolerate it.</w:t>
      </w:r>
    </w:p>
    <w:p w14:paraId="0B38D665" w14:textId="461DF7BD" w:rsidR="008E00EE" w:rsidRPr="003B5273" w:rsidRDefault="003B5273" w:rsidP="003B5273">
      <w:pPr>
        <w:pStyle w:val="3-BodyText"/>
        <w:rPr>
          <w:snapToGrid/>
        </w:rPr>
      </w:pPr>
      <w:r w:rsidRPr="003B5273">
        <w:rPr>
          <w:snapToGrid/>
        </w:rPr>
        <w:t>The PBAC noted the contributions from three organisations and groups, Cystic Fibrosis Australia, YesToTrikaft</w:t>
      </w:r>
      <w:r>
        <w:rPr>
          <w:snapToGrid/>
        </w:rPr>
        <w:t>a (</w:t>
      </w:r>
      <w:r w:rsidRPr="003B5273">
        <w:rPr>
          <w:snapToGrid/>
        </w:rPr>
        <w:t>an online community advocacy group</w:t>
      </w:r>
      <w:r>
        <w:rPr>
          <w:snapToGrid/>
        </w:rPr>
        <w:t>)</w:t>
      </w:r>
      <w:r w:rsidRPr="003B5273">
        <w:rPr>
          <w:snapToGrid/>
        </w:rPr>
        <w:t xml:space="preserve"> and the National Paediatric Medicines Forum. They were strongly supportive of making ELX/TEZ/IVA available for younger patients with CF on the grounds of effectiveness in comparison with other treatment, lower burden of care for individuals, their families and the hospital system, equity in comparison with other countries and between age groups within Australia, quality of life and the potential prevention of irreversible lung damage prior to the current starting age of 12.</w:t>
      </w:r>
    </w:p>
    <w:p w14:paraId="686D55E0" w14:textId="0BBA0291" w:rsidR="003B6E05" w:rsidRPr="000C48F9" w:rsidRDefault="003B6E05" w:rsidP="00B44292">
      <w:pPr>
        <w:pStyle w:val="4-SubsectionHeading"/>
      </w:pPr>
      <w:r w:rsidRPr="000C48F9">
        <w:t>Clinical trials</w:t>
      </w:r>
      <w:bookmarkEnd w:id="18"/>
      <w:r w:rsidRPr="000C48F9">
        <w:t xml:space="preserve"> </w:t>
      </w:r>
    </w:p>
    <w:p w14:paraId="45845CFF" w14:textId="77777777" w:rsidR="003B6E05" w:rsidRPr="000C48F9" w:rsidRDefault="003B6E05" w:rsidP="00D12357">
      <w:pPr>
        <w:pStyle w:val="3-BodyText"/>
      </w:pPr>
      <w:r w:rsidRPr="000C48F9">
        <w:t xml:space="preserve">The submission was based on the following key trials (in patients 6 to 11 years of age): </w:t>
      </w:r>
    </w:p>
    <w:p w14:paraId="01F08EB0" w14:textId="77777777" w:rsidR="003B6E05" w:rsidRPr="000C48F9" w:rsidRDefault="003B6E05" w:rsidP="00BC1217">
      <w:pPr>
        <w:pStyle w:val="3-BodyText"/>
        <w:numPr>
          <w:ilvl w:val="0"/>
          <w:numId w:val="8"/>
        </w:numPr>
      </w:pPr>
      <w:r w:rsidRPr="000C48F9">
        <w:t xml:space="preserve">One randomised controlled trial (RCT) comparing ELX/TEZ/IVA to placebo in F/MF patients (Study 116; N = 121); </w:t>
      </w:r>
    </w:p>
    <w:p w14:paraId="049EA692" w14:textId="77777777" w:rsidR="003B6E05" w:rsidRPr="000C48F9" w:rsidRDefault="003B6E05" w:rsidP="00BC1217">
      <w:pPr>
        <w:pStyle w:val="3-BodyText"/>
        <w:numPr>
          <w:ilvl w:val="0"/>
          <w:numId w:val="8"/>
        </w:numPr>
      </w:pPr>
      <w:r w:rsidRPr="000C48F9">
        <w:t>One single arm study of ELX/TEZ/IVA in F/F and F/MF patients (Study 106; N = 66) and its corresponding extension (Study 107; N=64);</w:t>
      </w:r>
    </w:p>
    <w:p w14:paraId="11EFC5DE" w14:textId="77777777" w:rsidR="001A179C" w:rsidRPr="000C48F9" w:rsidRDefault="003B6E05" w:rsidP="00BC1217">
      <w:pPr>
        <w:pStyle w:val="3-BodyText"/>
        <w:numPr>
          <w:ilvl w:val="0"/>
          <w:numId w:val="8"/>
        </w:numPr>
      </w:pPr>
      <w:r w:rsidRPr="000C48F9">
        <w:t>One RCT comparing LUM/IVA to placebo in F/F patients (Study 109; N = 204)</w:t>
      </w:r>
      <w:r w:rsidR="00BB154F" w:rsidRPr="000C48F9">
        <w:t xml:space="preserve"> </w:t>
      </w:r>
    </w:p>
    <w:p w14:paraId="331D3240" w14:textId="24F10AD8" w:rsidR="003B6E05" w:rsidRPr="000C48F9" w:rsidRDefault="001A179C" w:rsidP="00BC1217">
      <w:pPr>
        <w:pStyle w:val="3-BodyText"/>
        <w:numPr>
          <w:ilvl w:val="0"/>
          <w:numId w:val="8"/>
        </w:numPr>
      </w:pPr>
      <w:r w:rsidRPr="000C48F9">
        <w:t xml:space="preserve">One single arm study of LUM/IVA in F/F patients </w:t>
      </w:r>
      <w:r w:rsidR="003B6E05" w:rsidRPr="000C48F9">
        <w:t>(Study 011</w:t>
      </w:r>
      <w:r w:rsidR="009E3EE6">
        <w:t xml:space="preserve"> Part B</w:t>
      </w:r>
      <w:r w:rsidR="003B6E05" w:rsidRPr="000C48F9">
        <w:t>; N = 58)</w:t>
      </w:r>
      <w:r w:rsidR="00807013" w:rsidRPr="000C48F9">
        <w:t>.</w:t>
      </w:r>
    </w:p>
    <w:p w14:paraId="021D8F41" w14:textId="25559699" w:rsidR="003B6E05" w:rsidRPr="000C48F9" w:rsidRDefault="003B6E05" w:rsidP="00C716B6">
      <w:pPr>
        <w:pStyle w:val="3-BodyText"/>
      </w:pPr>
      <w:r w:rsidRPr="000C48F9">
        <w:t>Details of the trials presented in the submission are provided in</w:t>
      </w:r>
      <w:r w:rsidR="004E6CF1" w:rsidRPr="000C48F9">
        <w:t xml:space="preserve"> </w:t>
      </w:r>
      <w:r w:rsidR="004E6CF1" w:rsidRPr="000C48F9">
        <w:fldChar w:fldCharType="begin" w:fldLock="1"/>
      </w:r>
      <w:r w:rsidR="004E6CF1" w:rsidRPr="000C48F9">
        <w:instrText xml:space="preserve"> REF _Ref112922857 \h </w:instrText>
      </w:r>
      <w:r w:rsidR="004E6CF1" w:rsidRPr="000C48F9">
        <w:fldChar w:fldCharType="separate"/>
      </w:r>
      <w:r w:rsidR="009A1227" w:rsidRPr="000C48F9">
        <w:t xml:space="preserve">Table </w:t>
      </w:r>
      <w:r w:rsidR="009A1227">
        <w:rPr>
          <w:noProof/>
        </w:rPr>
        <w:t>3</w:t>
      </w:r>
      <w:r w:rsidR="004E6CF1" w:rsidRPr="000C48F9">
        <w:fldChar w:fldCharType="end"/>
      </w:r>
      <w:r w:rsidRPr="000C48F9">
        <w:t>.</w:t>
      </w:r>
    </w:p>
    <w:p w14:paraId="430D6776" w14:textId="490890F9" w:rsidR="003B6E05" w:rsidRPr="000C48F9" w:rsidRDefault="003B6E05" w:rsidP="00B44292">
      <w:pPr>
        <w:pStyle w:val="TableHeading0"/>
        <w:rPr>
          <w:rStyle w:val="CommentReference"/>
          <w:b/>
          <w:szCs w:val="24"/>
        </w:rPr>
      </w:pPr>
      <w:bookmarkStart w:id="20" w:name="_Ref112922857"/>
      <w:r w:rsidRPr="000C48F9">
        <w:t xml:space="preserve">Table </w:t>
      </w:r>
      <w:r w:rsidR="008E430C">
        <w:fldChar w:fldCharType="begin" w:fldLock="1"/>
      </w:r>
      <w:r w:rsidR="008E430C">
        <w:instrText xml:space="preserve"> SEQ Table \* ARABIC </w:instrText>
      </w:r>
      <w:r w:rsidR="008E430C">
        <w:fldChar w:fldCharType="separate"/>
      </w:r>
      <w:r w:rsidR="009A1227">
        <w:rPr>
          <w:noProof/>
        </w:rPr>
        <w:t>3</w:t>
      </w:r>
      <w:r w:rsidR="008E430C">
        <w:rPr>
          <w:noProof/>
        </w:rPr>
        <w:fldChar w:fldCharType="end"/>
      </w:r>
      <w:bookmarkEnd w:id="20"/>
      <w:r w:rsidRPr="000C48F9">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458"/>
        <w:gridCol w:w="2122"/>
      </w:tblGrid>
      <w:tr w:rsidR="003B6E05" w:rsidRPr="000C48F9" w14:paraId="60A1FE62" w14:textId="77777777" w:rsidTr="00B44292">
        <w:trPr>
          <w:tblHeader/>
        </w:trPr>
        <w:tc>
          <w:tcPr>
            <w:tcW w:w="796" w:type="pct"/>
            <w:vAlign w:val="center"/>
          </w:tcPr>
          <w:p w14:paraId="7446F235" w14:textId="77777777" w:rsidR="003B6E05" w:rsidRPr="000C48F9" w:rsidRDefault="003B6E05" w:rsidP="00B44292">
            <w:pPr>
              <w:pStyle w:val="TableText0"/>
              <w:rPr>
                <w:b/>
              </w:rPr>
            </w:pPr>
            <w:r w:rsidRPr="000C48F9">
              <w:rPr>
                <w:b/>
              </w:rPr>
              <w:t>Trial ID</w:t>
            </w:r>
          </w:p>
        </w:tc>
        <w:tc>
          <w:tcPr>
            <w:tcW w:w="3027" w:type="pct"/>
            <w:vAlign w:val="center"/>
          </w:tcPr>
          <w:p w14:paraId="60C6D203" w14:textId="77777777" w:rsidR="003B6E05" w:rsidRPr="000C48F9" w:rsidRDefault="003B6E05" w:rsidP="00B44292">
            <w:pPr>
              <w:pStyle w:val="TableText0"/>
              <w:rPr>
                <w:b/>
              </w:rPr>
            </w:pPr>
            <w:r w:rsidRPr="000C48F9">
              <w:rPr>
                <w:b/>
              </w:rPr>
              <w:t>Protocol title/ Publication title</w:t>
            </w:r>
          </w:p>
        </w:tc>
        <w:tc>
          <w:tcPr>
            <w:tcW w:w="1177" w:type="pct"/>
            <w:vAlign w:val="center"/>
          </w:tcPr>
          <w:p w14:paraId="4673B98C" w14:textId="77777777" w:rsidR="003B6E05" w:rsidRPr="000C48F9" w:rsidRDefault="003B6E05" w:rsidP="00B44292">
            <w:pPr>
              <w:pStyle w:val="TableText0"/>
              <w:rPr>
                <w:b/>
              </w:rPr>
            </w:pPr>
            <w:r w:rsidRPr="000C48F9">
              <w:rPr>
                <w:b/>
              </w:rPr>
              <w:t>Publication citation</w:t>
            </w:r>
          </w:p>
        </w:tc>
      </w:tr>
      <w:tr w:rsidR="003B6E05" w:rsidRPr="000C48F9" w14:paraId="58491367" w14:textId="77777777" w:rsidTr="00B44292">
        <w:tc>
          <w:tcPr>
            <w:tcW w:w="796" w:type="pct"/>
            <w:vMerge w:val="restart"/>
            <w:vAlign w:val="center"/>
          </w:tcPr>
          <w:p w14:paraId="41A8DD3A" w14:textId="77777777" w:rsidR="003B6E05" w:rsidRPr="000C48F9" w:rsidRDefault="003B6E05" w:rsidP="00B44292">
            <w:pPr>
              <w:pStyle w:val="TableText0"/>
            </w:pPr>
            <w:r w:rsidRPr="000C48F9">
              <w:t>Study 116</w:t>
            </w:r>
          </w:p>
          <w:p w14:paraId="063BDBEE" w14:textId="77777777" w:rsidR="003B6E05" w:rsidRPr="000C48F9" w:rsidRDefault="003B6E05" w:rsidP="00B44292">
            <w:pPr>
              <w:pStyle w:val="TableText0"/>
            </w:pPr>
            <w:r w:rsidRPr="000C48F9">
              <w:t>VX19-445-116 NCT04353817</w:t>
            </w:r>
          </w:p>
        </w:tc>
        <w:tc>
          <w:tcPr>
            <w:tcW w:w="3027" w:type="pct"/>
            <w:tcBorders>
              <w:bottom w:val="nil"/>
            </w:tcBorders>
            <w:vAlign w:val="center"/>
          </w:tcPr>
          <w:p w14:paraId="4170F57B" w14:textId="27E64668" w:rsidR="003B6E05" w:rsidRPr="000C48F9" w:rsidRDefault="003B6E05" w:rsidP="00B44292">
            <w:pPr>
              <w:pStyle w:val="TableText0"/>
              <w:rPr>
                <w:szCs w:val="18"/>
              </w:rPr>
            </w:pPr>
            <w:r w:rsidRPr="000C48F9">
              <w:rPr>
                <w:szCs w:val="18"/>
              </w:rPr>
              <w:t>A Study Evaluating Efficacy and Safety of Elexacaftor/Tezacaftor/Ivacaftor in Subjects 6 Through 11 Years of Age With Cystic Fibrosis and F/MF Genotypes</w:t>
            </w:r>
          </w:p>
        </w:tc>
        <w:tc>
          <w:tcPr>
            <w:tcW w:w="1177" w:type="pct"/>
            <w:tcBorders>
              <w:bottom w:val="nil"/>
            </w:tcBorders>
            <w:vAlign w:val="center"/>
          </w:tcPr>
          <w:p w14:paraId="2586361E" w14:textId="77777777" w:rsidR="003B6E05" w:rsidRPr="000C48F9" w:rsidRDefault="003B6E05" w:rsidP="00B44292">
            <w:pPr>
              <w:pStyle w:val="TableText0"/>
            </w:pPr>
            <w:r w:rsidRPr="000C48F9">
              <w:t xml:space="preserve">Clinical Study Report </w:t>
            </w:r>
          </w:p>
          <w:p w14:paraId="28D6ECD9" w14:textId="77777777" w:rsidR="003B6E05" w:rsidRPr="000C48F9" w:rsidRDefault="003B6E05" w:rsidP="00B44292">
            <w:pPr>
              <w:pStyle w:val="TableText0"/>
            </w:pPr>
            <w:r w:rsidRPr="000C48F9">
              <w:t>17 May 2021</w:t>
            </w:r>
          </w:p>
        </w:tc>
      </w:tr>
      <w:tr w:rsidR="003B6E05" w:rsidRPr="000C48F9" w14:paraId="664CAE53" w14:textId="77777777" w:rsidTr="00B44292">
        <w:tc>
          <w:tcPr>
            <w:tcW w:w="796" w:type="pct"/>
            <w:vMerge/>
            <w:vAlign w:val="center"/>
          </w:tcPr>
          <w:p w14:paraId="067A36B4" w14:textId="77777777" w:rsidR="003B6E05" w:rsidRPr="000C48F9" w:rsidRDefault="003B6E05" w:rsidP="00B44292">
            <w:pPr>
              <w:pStyle w:val="TableText0"/>
            </w:pPr>
          </w:p>
        </w:tc>
        <w:tc>
          <w:tcPr>
            <w:tcW w:w="3027" w:type="pct"/>
            <w:tcBorders>
              <w:top w:val="nil"/>
              <w:bottom w:val="nil"/>
            </w:tcBorders>
            <w:vAlign w:val="center"/>
          </w:tcPr>
          <w:p w14:paraId="19915A87" w14:textId="77777777" w:rsidR="003B6E05" w:rsidRPr="000C48F9" w:rsidRDefault="003B6E05" w:rsidP="00B44292">
            <w:pPr>
              <w:pStyle w:val="TableText0"/>
              <w:rPr>
                <w:szCs w:val="18"/>
              </w:rPr>
            </w:pPr>
            <w:r w:rsidRPr="000C48F9">
              <w:rPr>
                <w:szCs w:val="18"/>
              </w:rPr>
              <w:t xml:space="preserve">Mall, M., et al. (2021). Efficacy and Safety of Elexacaftor/Tezacaftor/Ivacaftor in Children with Cystic Fibrosis Heterozygous for F508del and a Minimal Function Mutation: A Phase 3b, Randomized, Placebo-Controlled Study. </w:t>
            </w:r>
          </w:p>
        </w:tc>
        <w:tc>
          <w:tcPr>
            <w:tcW w:w="1177" w:type="pct"/>
            <w:tcBorders>
              <w:top w:val="nil"/>
              <w:bottom w:val="nil"/>
            </w:tcBorders>
            <w:vAlign w:val="center"/>
          </w:tcPr>
          <w:p w14:paraId="784ABD4A" w14:textId="77777777" w:rsidR="003B6E05" w:rsidRPr="000C48F9" w:rsidRDefault="003B6E05" w:rsidP="00B44292">
            <w:pPr>
              <w:pStyle w:val="TableText0"/>
              <w:rPr>
                <w:szCs w:val="18"/>
              </w:rPr>
            </w:pPr>
            <w:r w:rsidRPr="000C48F9">
              <w:rPr>
                <w:szCs w:val="18"/>
              </w:rPr>
              <w:t>24th Deutsche Mukoviszidose-Tagung (DMT) (virtual).</w:t>
            </w:r>
          </w:p>
        </w:tc>
      </w:tr>
      <w:tr w:rsidR="003B6E05" w:rsidRPr="000C48F9" w14:paraId="07B738B1" w14:textId="77777777" w:rsidTr="00B44292">
        <w:tc>
          <w:tcPr>
            <w:tcW w:w="796" w:type="pct"/>
            <w:vMerge/>
            <w:tcBorders>
              <w:bottom w:val="nil"/>
            </w:tcBorders>
            <w:vAlign w:val="center"/>
          </w:tcPr>
          <w:p w14:paraId="26C89C77" w14:textId="77777777" w:rsidR="003B6E05" w:rsidRPr="000C48F9" w:rsidRDefault="003B6E05" w:rsidP="00B44292">
            <w:pPr>
              <w:pStyle w:val="TableText0"/>
            </w:pPr>
          </w:p>
        </w:tc>
        <w:tc>
          <w:tcPr>
            <w:tcW w:w="3027" w:type="pct"/>
            <w:tcBorders>
              <w:top w:val="nil"/>
              <w:bottom w:val="nil"/>
            </w:tcBorders>
            <w:vAlign w:val="center"/>
          </w:tcPr>
          <w:p w14:paraId="792753CC" w14:textId="77777777" w:rsidR="003B6E05" w:rsidRPr="000C48F9" w:rsidRDefault="003B6E05" w:rsidP="00B44292">
            <w:pPr>
              <w:pStyle w:val="TableText0"/>
              <w:rPr>
                <w:iCs/>
                <w:szCs w:val="18"/>
              </w:rPr>
            </w:pPr>
            <w:r w:rsidRPr="000C48F9">
              <w:rPr>
                <w:iCs/>
                <w:szCs w:val="18"/>
              </w:rPr>
              <w:t xml:space="preserve">Mall MA. Et al (2022), Efficacy and Safety of Elexacaftor/Tezacaftor/Ivacaftor in Children 6 Through 11 Years of Age with Cystic Fibrosis Heterozygous for F508del and a Minimal Function Mutation: A Phase 3B, Randomized, Placebo-Controlled Study. </w:t>
            </w:r>
          </w:p>
        </w:tc>
        <w:tc>
          <w:tcPr>
            <w:tcW w:w="1177" w:type="pct"/>
            <w:tcBorders>
              <w:top w:val="nil"/>
              <w:bottom w:val="nil"/>
            </w:tcBorders>
            <w:vAlign w:val="center"/>
          </w:tcPr>
          <w:p w14:paraId="74C6BFC1" w14:textId="788CFC51" w:rsidR="003B6E05" w:rsidRPr="000C48F9" w:rsidRDefault="003B6E05" w:rsidP="00B44292">
            <w:pPr>
              <w:pStyle w:val="TableText0"/>
              <w:rPr>
                <w:szCs w:val="18"/>
              </w:rPr>
            </w:pPr>
            <w:r w:rsidRPr="000C48F9">
              <w:rPr>
                <w:iCs/>
                <w:szCs w:val="18"/>
              </w:rPr>
              <w:t xml:space="preserve">Am J Respir Crit Care Med 2022; </w:t>
            </w:r>
            <w:r w:rsidR="009E3EE6">
              <w:t>2022 Dec 1;206(11):1361-1369</w:t>
            </w:r>
            <w:r w:rsidRPr="000C48F9">
              <w:rPr>
                <w:i/>
                <w:szCs w:val="18"/>
              </w:rPr>
              <w:t xml:space="preserve">. </w:t>
            </w:r>
          </w:p>
        </w:tc>
      </w:tr>
      <w:tr w:rsidR="003B6E05" w:rsidRPr="000C48F9" w14:paraId="385BC89E" w14:textId="77777777" w:rsidTr="00B44292">
        <w:tc>
          <w:tcPr>
            <w:tcW w:w="796" w:type="pct"/>
            <w:vMerge w:val="restart"/>
            <w:vAlign w:val="center"/>
          </w:tcPr>
          <w:p w14:paraId="1B068F3B" w14:textId="77777777" w:rsidR="003B6E05" w:rsidRPr="000C48F9" w:rsidRDefault="003B6E05" w:rsidP="00B44292">
            <w:pPr>
              <w:pStyle w:val="TableText0"/>
            </w:pPr>
            <w:r w:rsidRPr="000C48F9">
              <w:t>Study 106</w:t>
            </w:r>
          </w:p>
          <w:p w14:paraId="65B1955C" w14:textId="77777777" w:rsidR="003B6E05" w:rsidRPr="000C48F9" w:rsidRDefault="003B6E05" w:rsidP="00B44292">
            <w:pPr>
              <w:pStyle w:val="TableText0"/>
            </w:pPr>
            <w:r w:rsidRPr="000C48F9">
              <w:t>VX18-445-106 NCT03691779</w:t>
            </w:r>
          </w:p>
        </w:tc>
        <w:tc>
          <w:tcPr>
            <w:tcW w:w="3027" w:type="pct"/>
            <w:tcBorders>
              <w:bottom w:val="nil"/>
            </w:tcBorders>
            <w:vAlign w:val="center"/>
          </w:tcPr>
          <w:p w14:paraId="68BBDCD6" w14:textId="77777777" w:rsidR="003B6E05" w:rsidRPr="000C48F9" w:rsidRDefault="003B6E05" w:rsidP="00B44292">
            <w:pPr>
              <w:pStyle w:val="TableText0"/>
            </w:pPr>
            <w:r w:rsidRPr="000C48F9">
              <w:t>Clinical Study Report, November 2020: A Phase 3 Study Evaluating the Pharmacokinetics, Safety, and Tolerability of VX-445/TEZ/IVA Triple Combination Therapy in Cystic Fibrosis Subjects 6 Through 11 Years of Age</w:t>
            </w:r>
          </w:p>
        </w:tc>
        <w:tc>
          <w:tcPr>
            <w:tcW w:w="1177" w:type="pct"/>
            <w:tcBorders>
              <w:bottom w:val="nil"/>
            </w:tcBorders>
            <w:vAlign w:val="center"/>
          </w:tcPr>
          <w:p w14:paraId="0A13E599" w14:textId="77777777" w:rsidR="003B6E05" w:rsidRPr="000C48F9" w:rsidRDefault="003B6E05" w:rsidP="00B44292">
            <w:pPr>
              <w:pStyle w:val="TableText0"/>
            </w:pPr>
            <w:r w:rsidRPr="000C48F9">
              <w:t>7 August 2020</w:t>
            </w:r>
          </w:p>
        </w:tc>
      </w:tr>
      <w:tr w:rsidR="003B6E05" w:rsidRPr="000C48F9" w14:paraId="0304D574" w14:textId="77777777" w:rsidTr="00B44292">
        <w:tc>
          <w:tcPr>
            <w:tcW w:w="796" w:type="pct"/>
            <w:vMerge/>
            <w:tcBorders>
              <w:bottom w:val="nil"/>
            </w:tcBorders>
            <w:vAlign w:val="center"/>
          </w:tcPr>
          <w:p w14:paraId="342C2B6B" w14:textId="77777777" w:rsidR="003B6E05" w:rsidRPr="000C48F9" w:rsidRDefault="003B6E05" w:rsidP="00B44292">
            <w:pPr>
              <w:pStyle w:val="TableText0"/>
            </w:pPr>
          </w:p>
        </w:tc>
        <w:tc>
          <w:tcPr>
            <w:tcW w:w="3027" w:type="pct"/>
            <w:tcBorders>
              <w:top w:val="nil"/>
              <w:bottom w:val="nil"/>
            </w:tcBorders>
            <w:vAlign w:val="center"/>
          </w:tcPr>
          <w:p w14:paraId="1D8A6F6E" w14:textId="77777777" w:rsidR="003B6E05" w:rsidRPr="000C48F9" w:rsidRDefault="003B6E05" w:rsidP="00B44292">
            <w:pPr>
              <w:pStyle w:val="TableText0"/>
              <w:rPr>
                <w:szCs w:val="18"/>
              </w:rPr>
            </w:pPr>
            <w:r w:rsidRPr="000C48F9">
              <w:rPr>
                <w:szCs w:val="18"/>
              </w:rPr>
              <w:t xml:space="preserve">Zemanick, E. T., et al. (2021). A Phase 3 Open-Label Study of ELX/TEZ/IVA in Children 6 Through 11 Years of Age With CF and at Least One F508del Allele. </w:t>
            </w:r>
          </w:p>
        </w:tc>
        <w:tc>
          <w:tcPr>
            <w:tcW w:w="1177" w:type="pct"/>
            <w:tcBorders>
              <w:top w:val="nil"/>
              <w:bottom w:val="nil"/>
            </w:tcBorders>
            <w:vAlign w:val="center"/>
          </w:tcPr>
          <w:p w14:paraId="62E19458" w14:textId="77777777" w:rsidR="003B6E05" w:rsidRPr="000C48F9" w:rsidRDefault="003B6E05" w:rsidP="00B44292">
            <w:pPr>
              <w:pStyle w:val="TableText0"/>
            </w:pPr>
            <w:r w:rsidRPr="000C48F9">
              <w:rPr>
                <w:szCs w:val="18"/>
              </w:rPr>
              <w:t>Am J Respir Crit Care Med 2021; 203(12):1522-1532</w:t>
            </w:r>
          </w:p>
        </w:tc>
      </w:tr>
      <w:tr w:rsidR="003B6E05" w:rsidRPr="000C48F9" w14:paraId="38D42688" w14:textId="77777777" w:rsidTr="00B44292">
        <w:tc>
          <w:tcPr>
            <w:tcW w:w="796" w:type="pct"/>
            <w:vMerge w:val="restart"/>
            <w:vAlign w:val="center"/>
          </w:tcPr>
          <w:p w14:paraId="6B7D82AD" w14:textId="77777777" w:rsidR="003B6E05" w:rsidRPr="000C48F9" w:rsidRDefault="003B6E05" w:rsidP="00B44292">
            <w:pPr>
              <w:pStyle w:val="TableText0"/>
            </w:pPr>
            <w:r w:rsidRPr="000C48F9">
              <w:t>Study 107 (rollover from Study 106)</w:t>
            </w:r>
          </w:p>
          <w:p w14:paraId="490B2840" w14:textId="77777777" w:rsidR="003B6E05" w:rsidRPr="000C48F9" w:rsidRDefault="003B6E05" w:rsidP="00B44292">
            <w:pPr>
              <w:pStyle w:val="TableText0"/>
            </w:pPr>
            <w:r w:rsidRPr="000C48F9">
              <w:t>VX19-445-107 NCT04183790</w:t>
            </w:r>
          </w:p>
        </w:tc>
        <w:tc>
          <w:tcPr>
            <w:tcW w:w="3027" w:type="pct"/>
            <w:tcBorders>
              <w:bottom w:val="nil"/>
            </w:tcBorders>
            <w:vAlign w:val="center"/>
          </w:tcPr>
          <w:p w14:paraId="4C140454" w14:textId="77777777" w:rsidR="003B6E05" w:rsidRPr="000C48F9" w:rsidRDefault="003B6E05" w:rsidP="00B44292">
            <w:pPr>
              <w:pStyle w:val="TableText0"/>
            </w:pPr>
            <w:r w:rsidRPr="000C48F9">
              <w:rPr>
                <w:rFonts w:eastAsiaTheme="minorHAnsi"/>
                <w:lang w:eastAsia="en-US"/>
              </w:rPr>
              <w:t>24-week Interim Analysis, June 2021: A Phase 3, Open-label Study Evaluating the Long-term Safety and Efficacy of VX-445/TEZ/IVA Combination Therapy in Subjects With Cystic Fibrosis Who Are 6 Years of Age and Older</w:t>
            </w:r>
          </w:p>
        </w:tc>
        <w:tc>
          <w:tcPr>
            <w:tcW w:w="1177" w:type="pct"/>
            <w:tcBorders>
              <w:bottom w:val="nil"/>
            </w:tcBorders>
            <w:vAlign w:val="center"/>
          </w:tcPr>
          <w:p w14:paraId="36F6E5A1" w14:textId="77777777" w:rsidR="003B6E05" w:rsidRPr="000C48F9" w:rsidRDefault="003B6E05" w:rsidP="00B44292">
            <w:pPr>
              <w:pStyle w:val="TableText0"/>
            </w:pPr>
            <w:r w:rsidRPr="000C48F9">
              <w:t>30 April 2021</w:t>
            </w:r>
          </w:p>
        </w:tc>
      </w:tr>
      <w:tr w:rsidR="003B6E05" w:rsidRPr="000C48F9" w14:paraId="2F44A2A9" w14:textId="77777777" w:rsidTr="00B44292">
        <w:tc>
          <w:tcPr>
            <w:tcW w:w="796" w:type="pct"/>
            <w:vMerge/>
            <w:tcBorders>
              <w:bottom w:val="single" w:sz="4" w:space="0" w:color="auto"/>
            </w:tcBorders>
            <w:vAlign w:val="center"/>
          </w:tcPr>
          <w:p w14:paraId="3DD70F77" w14:textId="77777777" w:rsidR="003B6E05" w:rsidRPr="000C48F9" w:rsidRDefault="003B6E05" w:rsidP="00B44292">
            <w:pPr>
              <w:pStyle w:val="TableText0"/>
            </w:pPr>
          </w:p>
        </w:tc>
        <w:tc>
          <w:tcPr>
            <w:tcW w:w="3027" w:type="pct"/>
            <w:tcBorders>
              <w:top w:val="nil"/>
              <w:bottom w:val="single" w:sz="4" w:space="0" w:color="auto"/>
            </w:tcBorders>
            <w:vAlign w:val="center"/>
          </w:tcPr>
          <w:p w14:paraId="7E791CD2" w14:textId="77777777" w:rsidR="003B6E05" w:rsidRPr="000C48F9" w:rsidRDefault="003B6E05" w:rsidP="00B44292">
            <w:pPr>
              <w:pStyle w:val="TableText0"/>
              <w:rPr>
                <w:szCs w:val="18"/>
              </w:rPr>
            </w:pPr>
            <w:r w:rsidRPr="000C48F9">
              <w:t>Ratjen, F</w:t>
            </w:r>
            <w:r w:rsidRPr="000C48F9">
              <w:rPr>
                <w:rFonts w:eastAsiaTheme="minorHAnsi"/>
                <w:lang w:eastAsia="en-US"/>
              </w:rPr>
              <w:t xml:space="preserve">, </w:t>
            </w:r>
            <w:r w:rsidRPr="000C48F9">
              <w:rPr>
                <w:i/>
              </w:rPr>
              <w:t>et al.</w:t>
            </w:r>
            <w:r w:rsidRPr="000C48F9">
              <w:rPr>
                <w:rFonts w:eastAsiaTheme="minorHAnsi"/>
                <w:lang w:eastAsia="en-US"/>
              </w:rPr>
              <w:t xml:space="preserve"> (2021). </w:t>
            </w:r>
            <w:r w:rsidRPr="000C48F9">
              <w:t xml:space="preserve">Elexacaftor/tezacaftor/ivacaftor in children aged 6 and older with cystic fibrosis and at least 1 </w:t>
            </w:r>
            <w:r w:rsidRPr="000C48F9">
              <w:rPr>
                <w:i/>
                <w:iCs/>
              </w:rPr>
              <w:t>F508del</w:t>
            </w:r>
            <w:r w:rsidRPr="000C48F9">
              <w:t xml:space="preserve"> allele: Interim results from a Phase 3 open-label extension study</w:t>
            </w:r>
            <w:r w:rsidRPr="000C48F9">
              <w:rPr>
                <w:rFonts w:eastAsiaTheme="minorHAnsi"/>
                <w:lang w:eastAsia="en-US"/>
              </w:rPr>
              <w:t xml:space="preserve">. </w:t>
            </w:r>
          </w:p>
        </w:tc>
        <w:tc>
          <w:tcPr>
            <w:tcW w:w="1177" w:type="pct"/>
            <w:tcBorders>
              <w:top w:val="nil"/>
              <w:bottom w:val="single" w:sz="4" w:space="0" w:color="auto"/>
            </w:tcBorders>
            <w:vAlign w:val="center"/>
          </w:tcPr>
          <w:p w14:paraId="0753A744" w14:textId="77777777" w:rsidR="003B6E05" w:rsidRPr="000C48F9" w:rsidRDefault="003B6E05" w:rsidP="00B44292">
            <w:pPr>
              <w:pStyle w:val="TableText0"/>
            </w:pPr>
            <w:r w:rsidRPr="000C48F9">
              <w:t>Journal of Cystic Fibrosis 2021;</w:t>
            </w:r>
            <w:r w:rsidRPr="000C48F9">
              <w:rPr>
                <w:rFonts w:eastAsiaTheme="minorHAnsi"/>
                <w:lang w:eastAsia="en-US"/>
              </w:rPr>
              <w:t xml:space="preserve"> 20S2: </w:t>
            </w:r>
            <w:r w:rsidRPr="000C48F9">
              <w:t>S265</w:t>
            </w:r>
          </w:p>
        </w:tc>
      </w:tr>
      <w:tr w:rsidR="003B6E05" w:rsidRPr="000C48F9" w14:paraId="49337990" w14:textId="77777777" w:rsidTr="00B44292">
        <w:tc>
          <w:tcPr>
            <w:tcW w:w="5000" w:type="pct"/>
            <w:gridSpan w:val="3"/>
            <w:tcBorders>
              <w:top w:val="single" w:sz="4" w:space="0" w:color="auto"/>
              <w:bottom w:val="single" w:sz="4" w:space="0" w:color="auto"/>
            </w:tcBorders>
            <w:vAlign w:val="center"/>
          </w:tcPr>
          <w:p w14:paraId="772107C1" w14:textId="77777777" w:rsidR="003B6E05" w:rsidRPr="000C48F9" w:rsidRDefault="003B6E05" w:rsidP="00B44292">
            <w:pPr>
              <w:pStyle w:val="TableText0"/>
              <w:rPr>
                <w:b/>
              </w:rPr>
            </w:pPr>
            <w:r w:rsidRPr="000C48F9">
              <w:rPr>
                <w:b/>
              </w:rPr>
              <w:t>Studies identified to support the indirect treatment comparison against LUM/IVA</w:t>
            </w:r>
          </w:p>
        </w:tc>
      </w:tr>
      <w:tr w:rsidR="003B6E05" w:rsidRPr="000C48F9" w14:paraId="01F2CDAF" w14:textId="77777777" w:rsidTr="004E5668">
        <w:tc>
          <w:tcPr>
            <w:tcW w:w="796" w:type="pct"/>
            <w:tcBorders>
              <w:top w:val="single" w:sz="4" w:space="0" w:color="auto"/>
              <w:bottom w:val="single" w:sz="4" w:space="0" w:color="auto"/>
            </w:tcBorders>
            <w:shd w:val="clear" w:color="auto" w:fill="auto"/>
            <w:vAlign w:val="center"/>
          </w:tcPr>
          <w:p w14:paraId="56CB6C4B" w14:textId="77777777" w:rsidR="003B6E05" w:rsidRPr="000C48F9" w:rsidRDefault="003B6E05" w:rsidP="00B44292">
            <w:pPr>
              <w:pStyle w:val="TableText0"/>
            </w:pPr>
            <w:r w:rsidRPr="000C48F9">
              <w:t xml:space="preserve">Study 109 </w:t>
            </w:r>
          </w:p>
          <w:p w14:paraId="55065110" w14:textId="77777777" w:rsidR="003B6E05" w:rsidRPr="000C48F9" w:rsidRDefault="003B6E05" w:rsidP="00B44292">
            <w:pPr>
              <w:pStyle w:val="TableText0"/>
            </w:pPr>
            <w:r w:rsidRPr="000C48F9">
              <w:t>VX14-809-109</w:t>
            </w:r>
          </w:p>
        </w:tc>
        <w:tc>
          <w:tcPr>
            <w:tcW w:w="3027" w:type="pct"/>
            <w:tcBorders>
              <w:top w:val="single" w:sz="4" w:space="0" w:color="auto"/>
              <w:bottom w:val="single" w:sz="4" w:space="0" w:color="auto"/>
            </w:tcBorders>
            <w:shd w:val="clear" w:color="auto" w:fill="auto"/>
            <w:vAlign w:val="center"/>
          </w:tcPr>
          <w:p w14:paraId="6E60A827" w14:textId="77777777" w:rsidR="003B6E05" w:rsidRPr="000C48F9" w:rsidRDefault="003B6E05" w:rsidP="00B44292">
            <w:pPr>
              <w:pStyle w:val="TableText0"/>
            </w:pPr>
            <w:r w:rsidRPr="000C48F9">
              <w:t xml:space="preserve">Ratjen, F, et al. (2017). Efficacy and safety of lumacaftor and ivacaftor in patients aged 6–11 years with cystic fibrosis homozygous for </w:t>
            </w:r>
          </w:p>
          <w:p w14:paraId="0D1FDC1A" w14:textId="77777777" w:rsidR="003B6E05" w:rsidRPr="000C48F9" w:rsidRDefault="003B6E05" w:rsidP="00B44292">
            <w:pPr>
              <w:pStyle w:val="TableText0"/>
            </w:pPr>
            <w:r w:rsidRPr="000C48F9">
              <w:t xml:space="preserve">F508del-CFTR: a randomised, placebo-controlled, phase 3 trial. </w:t>
            </w:r>
          </w:p>
        </w:tc>
        <w:tc>
          <w:tcPr>
            <w:tcW w:w="1177" w:type="pct"/>
            <w:tcBorders>
              <w:top w:val="single" w:sz="4" w:space="0" w:color="auto"/>
              <w:bottom w:val="single" w:sz="4" w:space="0" w:color="auto"/>
            </w:tcBorders>
            <w:shd w:val="clear" w:color="auto" w:fill="auto"/>
            <w:vAlign w:val="center"/>
          </w:tcPr>
          <w:p w14:paraId="1A4B95B5" w14:textId="77777777" w:rsidR="003B6E05" w:rsidRPr="000C48F9" w:rsidRDefault="003B6E05" w:rsidP="00B44292">
            <w:pPr>
              <w:pStyle w:val="TableText0"/>
            </w:pPr>
            <w:r w:rsidRPr="000C48F9">
              <w:t xml:space="preserve">Lancet Respir Med 2017; </w:t>
            </w:r>
          </w:p>
          <w:p w14:paraId="60BB0670" w14:textId="77777777" w:rsidR="003B6E05" w:rsidRPr="000C48F9" w:rsidRDefault="003B6E05" w:rsidP="00B44292">
            <w:pPr>
              <w:pStyle w:val="TableText0"/>
            </w:pPr>
            <w:r w:rsidRPr="000C48F9">
              <w:t>5(7):557–67</w:t>
            </w:r>
          </w:p>
        </w:tc>
      </w:tr>
      <w:tr w:rsidR="003B6E05" w:rsidRPr="000C48F9" w14:paraId="7E5213D7" w14:textId="77777777" w:rsidTr="004E5668">
        <w:tc>
          <w:tcPr>
            <w:tcW w:w="796" w:type="pct"/>
            <w:tcBorders>
              <w:top w:val="nil"/>
              <w:bottom w:val="single" w:sz="4" w:space="0" w:color="auto"/>
            </w:tcBorders>
            <w:shd w:val="clear" w:color="auto" w:fill="auto"/>
            <w:vAlign w:val="center"/>
          </w:tcPr>
          <w:p w14:paraId="5AC961A1" w14:textId="125C5C75" w:rsidR="003B6E05" w:rsidRPr="000C48F9" w:rsidRDefault="003B6E05" w:rsidP="00B44292">
            <w:pPr>
              <w:pStyle w:val="TableText0"/>
            </w:pPr>
            <w:r w:rsidRPr="000C48F9">
              <w:t>Study 011</w:t>
            </w:r>
            <w:r w:rsidR="009E3EE6">
              <w:t xml:space="preserve"> Part B</w:t>
            </w:r>
            <w:r w:rsidRPr="000C48F9">
              <w:t xml:space="preserve"> </w:t>
            </w:r>
          </w:p>
          <w:p w14:paraId="7AB33A06" w14:textId="77777777" w:rsidR="003B6E05" w:rsidRPr="000C48F9" w:rsidRDefault="003B6E05" w:rsidP="00B44292">
            <w:pPr>
              <w:pStyle w:val="TableText0"/>
            </w:pPr>
            <w:r w:rsidRPr="000C48F9">
              <w:t>VX13-809-011</w:t>
            </w:r>
          </w:p>
        </w:tc>
        <w:tc>
          <w:tcPr>
            <w:tcW w:w="3027" w:type="pct"/>
            <w:tcBorders>
              <w:top w:val="nil"/>
              <w:bottom w:val="single" w:sz="4" w:space="0" w:color="auto"/>
            </w:tcBorders>
            <w:shd w:val="clear" w:color="auto" w:fill="auto"/>
            <w:vAlign w:val="center"/>
          </w:tcPr>
          <w:p w14:paraId="48C5F589" w14:textId="77777777" w:rsidR="003B6E05" w:rsidRPr="000C48F9" w:rsidRDefault="003B6E05" w:rsidP="00B44292">
            <w:pPr>
              <w:pStyle w:val="TableText0"/>
            </w:pPr>
            <w:r w:rsidRPr="000C48F9">
              <w:t xml:space="preserve">Milla C, et al. (2017). Lumacaftor/Ivacaftor in Patients Aged 6–11 Years with Cystic Fibrosis and Homozygous for F508del-CFTR. </w:t>
            </w:r>
          </w:p>
        </w:tc>
        <w:tc>
          <w:tcPr>
            <w:tcW w:w="1177" w:type="pct"/>
            <w:tcBorders>
              <w:top w:val="nil"/>
              <w:bottom w:val="single" w:sz="4" w:space="0" w:color="auto"/>
            </w:tcBorders>
            <w:shd w:val="clear" w:color="auto" w:fill="auto"/>
            <w:vAlign w:val="center"/>
          </w:tcPr>
          <w:p w14:paraId="6D695E43" w14:textId="77777777" w:rsidR="003B6E05" w:rsidRPr="000C48F9" w:rsidRDefault="003B6E05" w:rsidP="00B44292">
            <w:pPr>
              <w:pStyle w:val="TableText0"/>
            </w:pPr>
            <w:r w:rsidRPr="000C48F9">
              <w:t>Am J Respir Crit Care Med 2017; 195(7):912–920</w:t>
            </w:r>
          </w:p>
        </w:tc>
      </w:tr>
    </w:tbl>
    <w:p w14:paraId="2DD027B4" w14:textId="77777777" w:rsidR="003B6E05" w:rsidRPr="000C48F9" w:rsidRDefault="003B6E05" w:rsidP="005A0287">
      <w:pPr>
        <w:pStyle w:val="TableFigureFooter"/>
      </w:pPr>
      <w:r w:rsidRPr="000C48F9">
        <w:t>Source: Compiled during the evaluation based on Table 2.2.1 p56 and Attachment 2 of the submission.</w:t>
      </w:r>
    </w:p>
    <w:p w14:paraId="1B1CA887" w14:textId="02DF1237" w:rsidR="003B6E05" w:rsidRPr="000C48F9" w:rsidRDefault="00D838A0" w:rsidP="00B44292">
      <w:pPr>
        <w:pStyle w:val="TableFigureFooter"/>
        <w:rPr>
          <w:sz w:val="20"/>
        </w:rPr>
      </w:pPr>
      <w:r w:rsidRPr="000C48F9">
        <w:t xml:space="preserve">Note: </w:t>
      </w:r>
      <w:r w:rsidR="004E5668" w:rsidRPr="000C48F9">
        <w:t>Study 109 and Study 011</w:t>
      </w:r>
      <w:r w:rsidR="003B6E05" w:rsidRPr="000C48F9">
        <w:t xml:space="preserve"> previously considered by the PBAC.</w:t>
      </w:r>
    </w:p>
    <w:p w14:paraId="357A10BF" w14:textId="453B4FB2" w:rsidR="003B6E05" w:rsidRPr="000C48F9" w:rsidRDefault="003B6E05" w:rsidP="00B44292">
      <w:pPr>
        <w:pStyle w:val="3-BodyText"/>
        <w:rPr>
          <w:iCs/>
        </w:rPr>
      </w:pPr>
      <w:bookmarkStart w:id="21" w:name="_Ref113448438"/>
      <w:r w:rsidRPr="000C48F9">
        <w:t xml:space="preserve">The key features of the trials are summarised in </w:t>
      </w:r>
      <w:r w:rsidR="004E6CF1" w:rsidRPr="000C48F9">
        <w:fldChar w:fldCharType="begin" w:fldLock="1"/>
      </w:r>
      <w:r w:rsidR="004E6CF1" w:rsidRPr="000C48F9">
        <w:instrText xml:space="preserve"> REF _Ref112922890 \h </w:instrText>
      </w:r>
      <w:r w:rsidR="004E6CF1" w:rsidRPr="000C48F9">
        <w:fldChar w:fldCharType="separate"/>
      </w:r>
      <w:r w:rsidR="009A1227" w:rsidRPr="000C48F9">
        <w:t xml:space="preserve">Table </w:t>
      </w:r>
      <w:r w:rsidR="009A1227">
        <w:rPr>
          <w:noProof/>
        </w:rPr>
        <w:t>4</w:t>
      </w:r>
      <w:r w:rsidR="004E6CF1" w:rsidRPr="000C48F9">
        <w:fldChar w:fldCharType="end"/>
      </w:r>
      <w:r w:rsidR="004E6CF1" w:rsidRPr="000C48F9">
        <w:t xml:space="preserve">. </w:t>
      </w:r>
      <w:r w:rsidRPr="000C48F9">
        <w:rPr>
          <w:iCs/>
        </w:rPr>
        <w:t>The main limitations identified from the evidence supporting the listing are the following:</w:t>
      </w:r>
      <w:bookmarkEnd w:id="21"/>
    </w:p>
    <w:p w14:paraId="26E130BA" w14:textId="2A6EC672" w:rsidR="003B6E05" w:rsidRPr="000C48F9" w:rsidRDefault="003B6E05" w:rsidP="00BC1217">
      <w:pPr>
        <w:pStyle w:val="3-BodyText"/>
        <w:numPr>
          <w:ilvl w:val="0"/>
          <w:numId w:val="9"/>
        </w:numPr>
        <w:rPr>
          <w:iCs/>
        </w:rPr>
      </w:pPr>
      <w:r w:rsidRPr="000C48F9">
        <w:rPr>
          <w:iCs/>
        </w:rPr>
        <w:t xml:space="preserve">Study 116 </w:t>
      </w:r>
      <w:r w:rsidR="008D4019" w:rsidRPr="000C48F9">
        <w:rPr>
          <w:iCs/>
        </w:rPr>
        <w:t xml:space="preserve">was subject to </w:t>
      </w:r>
      <w:r w:rsidRPr="000C48F9">
        <w:rPr>
          <w:iCs/>
        </w:rPr>
        <w:t>possible confounding due to imbalanced ppFEV</w:t>
      </w:r>
      <w:r w:rsidRPr="000C48F9">
        <w:rPr>
          <w:iCs/>
          <w:vertAlign w:val="subscript"/>
        </w:rPr>
        <w:t>1</w:t>
      </w:r>
      <w:r w:rsidRPr="000C48F9">
        <w:rPr>
          <w:iCs/>
        </w:rPr>
        <w:t xml:space="preserve"> measurements between the ELX/TEZ/IVA and placebo arms, with </w:t>
      </w:r>
      <w:r w:rsidR="004D4D39" w:rsidRPr="000C48F9">
        <w:rPr>
          <w:iCs/>
        </w:rPr>
        <w:t>a lower</w:t>
      </w:r>
      <w:r w:rsidR="004D4D39" w:rsidRPr="000C48F9">
        <w:rPr>
          <w:i/>
        </w:rPr>
        <w:t xml:space="preserve"> </w:t>
      </w:r>
      <w:r w:rsidR="004D4D39" w:rsidRPr="000C48F9">
        <w:rPr>
          <w:iCs/>
        </w:rPr>
        <w:t xml:space="preserve">proportion of patients </w:t>
      </w:r>
      <w:r w:rsidRPr="000C48F9">
        <w:rPr>
          <w:iCs/>
        </w:rPr>
        <w:t xml:space="preserve">measured in the intervention arm compared to the BSC arm at Week 8 </w:t>
      </w:r>
      <w:r w:rsidR="00B536CC" w:rsidRPr="000C48F9">
        <w:rPr>
          <w:iCs/>
        </w:rPr>
        <w:t>(</w:t>
      </w:r>
      <w:r w:rsidR="004D4D39" w:rsidRPr="000C48F9">
        <w:rPr>
          <w:iCs/>
        </w:rPr>
        <w:t xml:space="preserve">75% </w:t>
      </w:r>
      <w:r w:rsidRPr="000C48F9">
        <w:rPr>
          <w:iCs/>
        </w:rPr>
        <w:t>v</w:t>
      </w:r>
      <w:r w:rsidR="00B536CC" w:rsidRPr="000C48F9">
        <w:rPr>
          <w:iCs/>
        </w:rPr>
        <w:t xml:space="preserve">s </w:t>
      </w:r>
      <w:r w:rsidR="004D4D39" w:rsidRPr="000C48F9">
        <w:rPr>
          <w:iCs/>
        </w:rPr>
        <w:t>85%</w:t>
      </w:r>
      <w:r w:rsidRPr="000C48F9">
        <w:rPr>
          <w:iCs/>
        </w:rPr>
        <w:t xml:space="preserve"> respectively</w:t>
      </w:r>
      <w:r w:rsidR="00B536CC" w:rsidRPr="000C48F9">
        <w:rPr>
          <w:iCs/>
        </w:rPr>
        <w:t>)</w:t>
      </w:r>
      <w:r w:rsidRPr="000C48F9">
        <w:rPr>
          <w:iCs/>
        </w:rPr>
        <w:t xml:space="preserve"> and Week 16 (</w:t>
      </w:r>
      <w:r w:rsidR="004D4D39" w:rsidRPr="000C48F9">
        <w:rPr>
          <w:iCs/>
        </w:rPr>
        <w:t xml:space="preserve">80% </w:t>
      </w:r>
      <w:r w:rsidRPr="000C48F9">
        <w:rPr>
          <w:iCs/>
        </w:rPr>
        <w:t xml:space="preserve">vs </w:t>
      </w:r>
      <w:r w:rsidR="004D4D39" w:rsidRPr="000C48F9">
        <w:rPr>
          <w:iCs/>
        </w:rPr>
        <w:t>88%</w:t>
      </w:r>
      <w:r w:rsidRPr="000C48F9">
        <w:rPr>
          <w:iCs/>
        </w:rPr>
        <w:t xml:space="preserve"> respectively)</w:t>
      </w:r>
      <w:r w:rsidR="009756C5" w:rsidRPr="000C48F9">
        <w:rPr>
          <w:iCs/>
        </w:rPr>
        <w:t>.</w:t>
      </w:r>
    </w:p>
    <w:p w14:paraId="28171209" w14:textId="1DA02B64" w:rsidR="003B6E05" w:rsidRPr="00D26872" w:rsidRDefault="003B6E05" w:rsidP="00BC1217">
      <w:pPr>
        <w:pStyle w:val="3-BodyText"/>
        <w:numPr>
          <w:ilvl w:val="0"/>
          <w:numId w:val="9"/>
        </w:numPr>
        <w:rPr>
          <w:iCs/>
        </w:rPr>
      </w:pPr>
      <w:r w:rsidRPr="000C48F9">
        <w:rPr>
          <w:iCs/>
        </w:rPr>
        <w:t>Key outcome measures in Study 106 such as ppFEV</w:t>
      </w:r>
      <w:r w:rsidRPr="000C48F9">
        <w:rPr>
          <w:iCs/>
          <w:vertAlign w:val="subscript"/>
        </w:rPr>
        <w:t>1</w:t>
      </w:r>
      <w:r w:rsidRPr="000C48F9">
        <w:rPr>
          <w:iCs/>
        </w:rPr>
        <w:t xml:space="preserve">, CFQ-R respiratory domain score, and the drug acceptability assessment were not recorded by investigators for the majority of participants beyond Week 12 due to </w:t>
      </w:r>
      <w:r w:rsidR="00DA7FAC" w:rsidRPr="000C48F9">
        <w:rPr>
          <w:iCs/>
        </w:rPr>
        <w:t>the impact of</w:t>
      </w:r>
      <w:r w:rsidRPr="000C48F9">
        <w:rPr>
          <w:iCs/>
        </w:rPr>
        <w:t xml:space="preserve"> the COVID-19 pandemic. This made outcomes reported at Week 16 and Week 24 vulnerable to confounding due to missing data. </w:t>
      </w:r>
      <w:r w:rsidRPr="000C48F9">
        <w:rPr>
          <w:rFonts w:ascii="Calibri" w:hAnsi="Calibri"/>
          <w:iCs/>
          <w:snapToGrid/>
          <w:color w:val="000000" w:themeColor="text1"/>
        </w:rPr>
        <w:t xml:space="preserve">The point estimates </w:t>
      </w:r>
      <w:r w:rsidR="00DA7FAC" w:rsidRPr="000C48F9">
        <w:rPr>
          <w:rFonts w:ascii="Calibri" w:hAnsi="Calibri"/>
          <w:iCs/>
          <w:snapToGrid/>
          <w:color w:val="000000" w:themeColor="text1"/>
        </w:rPr>
        <w:t xml:space="preserve">for </w:t>
      </w:r>
      <w:r w:rsidRPr="000C48F9">
        <w:rPr>
          <w:rFonts w:ascii="Calibri" w:hAnsi="Calibri"/>
          <w:iCs/>
          <w:snapToGrid/>
          <w:color w:val="000000" w:themeColor="text1"/>
        </w:rPr>
        <w:t xml:space="preserve">Week 16 </w:t>
      </w:r>
      <w:r w:rsidRPr="000C48F9">
        <w:rPr>
          <w:iCs/>
        </w:rPr>
        <w:t xml:space="preserve">and Week 24 </w:t>
      </w:r>
      <w:r w:rsidR="00DA7FAC" w:rsidRPr="000C48F9">
        <w:rPr>
          <w:iCs/>
        </w:rPr>
        <w:t xml:space="preserve">were </w:t>
      </w:r>
      <w:r w:rsidRPr="000C48F9">
        <w:rPr>
          <w:iCs/>
        </w:rPr>
        <w:t>based on measurements recorded by 29 (44%) and 15 (2</w:t>
      </w:r>
      <w:r w:rsidR="009756C5" w:rsidRPr="000C48F9">
        <w:rPr>
          <w:iCs/>
        </w:rPr>
        <w:t>3</w:t>
      </w:r>
      <w:r w:rsidRPr="000C48F9">
        <w:rPr>
          <w:iCs/>
        </w:rPr>
        <w:t xml:space="preserve">%) patients, respectively, out of the 66 enrolled in the study. Based on this, the results </w:t>
      </w:r>
      <w:r w:rsidR="00DA7FAC" w:rsidRPr="000C48F9">
        <w:rPr>
          <w:iCs/>
        </w:rPr>
        <w:t>for</w:t>
      </w:r>
      <w:r w:rsidRPr="000C48F9">
        <w:rPr>
          <w:iCs/>
        </w:rPr>
        <w:t xml:space="preserve"> Study 106 beyond Week 12, and resulting aggregate of mean results ‘through Week 24’ </w:t>
      </w:r>
      <w:r w:rsidR="00A768FB" w:rsidRPr="000C48F9">
        <w:rPr>
          <w:i/>
        </w:rPr>
        <w:t>may be</w:t>
      </w:r>
      <w:r w:rsidR="00A768FB" w:rsidRPr="000C48F9">
        <w:rPr>
          <w:iCs/>
        </w:rPr>
        <w:t xml:space="preserve"> </w:t>
      </w:r>
      <w:r w:rsidRPr="000C48F9">
        <w:rPr>
          <w:iCs/>
        </w:rPr>
        <w:t xml:space="preserve">considered </w:t>
      </w:r>
      <w:r w:rsidR="00DA7FAC" w:rsidRPr="000C48F9">
        <w:rPr>
          <w:iCs/>
        </w:rPr>
        <w:t>unreliable</w:t>
      </w:r>
      <w:r w:rsidRPr="000C48F9">
        <w:rPr>
          <w:iCs/>
        </w:rPr>
        <w:t xml:space="preserve">. </w:t>
      </w:r>
      <w:r w:rsidR="00CD549C" w:rsidRPr="00D26872">
        <w:rPr>
          <w:iCs/>
        </w:rPr>
        <w:t>The PSCR stated that home-assessed spirometry was permitted in Study 106 due to the impact of the COVID-19 pandemic. Sensitivity analyses using multiple imputation methods as well as prespecified analyses including home-assessed spirometry and including all clinic assessed spirometry data collected through study completion (including unscheduled visits) showed that the MMRM results for ppFEV</w:t>
      </w:r>
      <w:r w:rsidR="00CD549C" w:rsidRPr="00D26872">
        <w:rPr>
          <w:iCs/>
          <w:vertAlign w:val="subscript"/>
        </w:rPr>
        <w:t>1</w:t>
      </w:r>
      <w:r w:rsidR="00CD549C" w:rsidRPr="00D26872">
        <w:rPr>
          <w:iCs/>
        </w:rPr>
        <w:t xml:space="preserve"> through Week 24 were consistent with the main analysis. Prespecified analysis of sweat chloride, which is an objective measure of efficacy, including unscheduled visits and of CFQ-RD including clinic and home-assessed data were also consistent with the main analysis presented in the submission. </w:t>
      </w:r>
    </w:p>
    <w:p w14:paraId="181B9B2B" w14:textId="79FC44C2" w:rsidR="003B6E05" w:rsidRPr="000C48F9" w:rsidRDefault="003B6E05" w:rsidP="00BC1217">
      <w:pPr>
        <w:pStyle w:val="3-BodyText"/>
        <w:numPr>
          <w:ilvl w:val="0"/>
          <w:numId w:val="9"/>
        </w:numPr>
        <w:rPr>
          <w:rFonts w:ascii="Arial Narrow" w:eastAsiaTheme="majorEastAsia" w:hAnsi="Arial Narrow" w:cstheme="majorBidi"/>
          <w:b/>
          <w:bCs/>
          <w:iCs/>
          <w:snapToGrid/>
          <w:sz w:val="20"/>
        </w:rPr>
      </w:pPr>
      <w:r w:rsidRPr="000C48F9">
        <w:rPr>
          <w:iCs/>
        </w:rPr>
        <w:t xml:space="preserve">Both trials (Study 106 and Study 116) were relatively short (24 weeks) in the context of a chronic therapy. </w:t>
      </w:r>
    </w:p>
    <w:p w14:paraId="761C876D" w14:textId="58D5852A" w:rsidR="003B6E05" w:rsidRPr="000C48F9" w:rsidRDefault="003B6E05" w:rsidP="00B44292">
      <w:pPr>
        <w:pStyle w:val="TableFigureHeading"/>
        <w:rPr>
          <w:rStyle w:val="CommentReference"/>
          <w:b/>
          <w:szCs w:val="24"/>
        </w:rPr>
      </w:pPr>
      <w:bookmarkStart w:id="22" w:name="_Ref112922890"/>
      <w:r w:rsidRPr="000C48F9">
        <w:t xml:space="preserve">Table </w:t>
      </w:r>
      <w:r w:rsidR="008E430C">
        <w:fldChar w:fldCharType="begin" w:fldLock="1"/>
      </w:r>
      <w:r w:rsidR="008E430C">
        <w:instrText xml:space="preserve"> SEQ </w:instrText>
      </w:r>
      <w:r w:rsidR="008E430C">
        <w:instrText xml:space="preserve">Table \* ARABIC </w:instrText>
      </w:r>
      <w:r w:rsidR="008E430C">
        <w:fldChar w:fldCharType="separate"/>
      </w:r>
      <w:r w:rsidR="009A1227">
        <w:rPr>
          <w:noProof/>
        </w:rPr>
        <w:t>4</w:t>
      </w:r>
      <w:r w:rsidR="008E430C">
        <w:rPr>
          <w:noProof/>
        </w:rPr>
        <w:fldChar w:fldCharType="end"/>
      </w:r>
      <w:bookmarkEnd w:id="22"/>
      <w:r w:rsidRPr="000C48F9">
        <w:t>:</w:t>
      </w:r>
      <w:r w:rsidRPr="000C48F9">
        <w:rPr>
          <w:rStyle w:val="CommentReference"/>
          <w:b/>
          <w:szCs w:val="24"/>
        </w:rPr>
        <w:t xml:space="preserve"> Key features of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9"/>
        <w:gridCol w:w="820"/>
        <w:gridCol w:w="1592"/>
        <w:gridCol w:w="1030"/>
        <w:gridCol w:w="1527"/>
        <w:gridCol w:w="1269"/>
        <w:gridCol w:w="1509"/>
      </w:tblGrid>
      <w:tr w:rsidR="003B6E05" w:rsidRPr="000C48F9" w14:paraId="293577FD" w14:textId="77777777" w:rsidTr="00B44292">
        <w:trPr>
          <w:cantSplit/>
          <w:tblHeader/>
        </w:trPr>
        <w:tc>
          <w:tcPr>
            <w:tcW w:w="703" w:type="pct"/>
            <w:shd w:val="clear" w:color="auto" w:fill="auto"/>
            <w:vAlign w:val="center"/>
          </w:tcPr>
          <w:p w14:paraId="3F845363" w14:textId="77777777" w:rsidR="003B6E05" w:rsidRPr="000C48F9" w:rsidRDefault="003B6E05" w:rsidP="00B44292">
            <w:pPr>
              <w:pStyle w:val="In-tableHeading"/>
              <w:rPr>
                <w:lang w:val="en-AU"/>
              </w:rPr>
            </w:pPr>
            <w:r w:rsidRPr="000C48F9">
              <w:rPr>
                <w:lang w:val="en-AU"/>
              </w:rPr>
              <w:t>Trial</w:t>
            </w:r>
          </w:p>
        </w:tc>
        <w:tc>
          <w:tcPr>
            <w:tcW w:w="455" w:type="pct"/>
            <w:shd w:val="clear" w:color="auto" w:fill="auto"/>
            <w:vAlign w:val="center"/>
          </w:tcPr>
          <w:p w14:paraId="527FE14B" w14:textId="77777777" w:rsidR="003B6E05" w:rsidRPr="000C48F9" w:rsidRDefault="003B6E05" w:rsidP="00B44292">
            <w:pPr>
              <w:pStyle w:val="In-tableHeading"/>
              <w:jc w:val="center"/>
              <w:rPr>
                <w:lang w:val="en-AU"/>
              </w:rPr>
            </w:pPr>
            <w:r w:rsidRPr="000C48F9">
              <w:rPr>
                <w:lang w:val="en-AU"/>
              </w:rPr>
              <w:t>N</w:t>
            </w:r>
          </w:p>
        </w:tc>
        <w:tc>
          <w:tcPr>
            <w:tcW w:w="883" w:type="pct"/>
            <w:shd w:val="clear" w:color="auto" w:fill="auto"/>
            <w:vAlign w:val="center"/>
          </w:tcPr>
          <w:p w14:paraId="0EF2DC68" w14:textId="77777777" w:rsidR="003B6E05" w:rsidRPr="000C48F9" w:rsidRDefault="003B6E05" w:rsidP="00B44292">
            <w:pPr>
              <w:pStyle w:val="In-tableHeading"/>
              <w:jc w:val="center"/>
              <w:rPr>
                <w:lang w:val="en-AU"/>
              </w:rPr>
            </w:pPr>
            <w:r w:rsidRPr="000C48F9">
              <w:rPr>
                <w:lang w:val="en-AU"/>
              </w:rPr>
              <w:t>Design/ duration</w:t>
            </w:r>
          </w:p>
        </w:tc>
        <w:tc>
          <w:tcPr>
            <w:tcW w:w="571" w:type="pct"/>
            <w:shd w:val="clear" w:color="auto" w:fill="auto"/>
            <w:vAlign w:val="center"/>
          </w:tcPr>
          <w:p w14:paraId="15FE3350" w14:textId="77777777" w:rsidR="003B6E05" w:rsidRPr="000C48F9" w:rsidRDefault="003B6E05" w:rsidP="00B44292">
            <w:pPr>
              <w:pStyle w:val="In-tableHeading"/>
              <w:jc w:val="center"/>
              <w:rPr>
                <w:lang w:val="en-AU"/>
              </w:rPr>
            </w:pPr>
            <w:r w:rsidRPr="000C48F9">
              <w:rPr>
                <w:lang w:val="en-AU"/>
              </w:rPr>
              <w:t>Risk of bias</w:t>
            </w:r>
          </w:p>
        </w:tc>
        <w:tc>
          <w:tcPr>
            <w:tcW w:w="847" w:type="pct"/>
            <w:shd w:val="clear" w:color="auto" w:fill="auto"/>
            <w:vAlign w:val="center"/>
          </w:tcPr>
          <w:p w14:paraId="54033A03" w14:textId="77777777" w:rsidR="003B6E05" w:rsidRPr="000C48F9" w:rsidRDefault="003B6E05" w:rsidP="00B44292">
            <w:pPr>
              <w:pStyle w:val="In-tableHeading"/>
              <w:jc w:val="center"/>
              <w:rPr>
                <w:lang w:val="en-AU"/>
              </w:rPr>
            </w:pPr>
            <w:r w:rsidRPr="000C48F9">
              <w:rPr>
                <w:lang w:val="en-AU"/>
              </w:rPr>
              <w:t>Patient population</w:t>
            </w:r>
          </w:p>
        </w:tc>
        <w:tc>
          <w:tcPr>
            <w:tcW w:w="704" w:type="pct"/>
            <w:shd w:val="clear" w:color="auto" w:fill="auto"/>
            <w:vAlign w:val="center"/>
          </w:tcPr>
          <w:p w14:paraId="1AD5568A" w14:textId="77777777" w:rsidR="003B6E05" w:rsidRPr="000C48F9" w:rsidRDefault="003B6E05" w:rsidP="00B44292">
            <w:pPr>
              <w:pStyle w:val="In-tableHeading"/>
              <w:jc w:val="center"/>
              <w:rPr>
                <w:lang w:val="en-AU"/>
              </w:rPr>
            </w:pPr>
            <w:r w:rsidRPr="000C48F9">
              <w:rPr>
                <w:lang w:val="en-AU"/>
              </w:rPr>
              <w:t>Outcomes</w:t>
            </w:r>
          </w:p>
        </w:tc>
        <w:tc>
          <w:tcPr>
            <w:tcW w:w="837" w:type="pct"/>
            <w:shd w:val="clear" w:color="auto" w:fill="auto"/>
            <w:vAlign w:val="center"/>
          </w:tcPr>
          <w:p w14:paraId="0565B09F" w14:textId="77777777" w:rsidR="003B6E05" w:rsidRPr="000C48F9" w:rsidRDefault="003B6E05" w:rsidP="00B44292">
            <w:pPr>
              <w:pStyle w:val="In-tableHeading"/>
              <w:jc w:val="center"/>
              <w:rPr>
                <w:lang w:val="en-AU"/>
              </w:rPr>
            </w:pPr>
            <w:r w:rsidRPr="000C48F9">
              <w:rPr>
                <w:lang w:val="en-AU"/>
              </w:rPr>
              <w:t>Use in the economic model</w:t>
            </w:r>
          </w:p>
        </w:tc>
      </w:tr>
      <w:tr w:rsidR="003B6E05" w:rsidRPr="00A378B7" w14:paraId="201A57AD" w14:textId="77777777" w:rsidTr="00B44292">
        <w:trPr>
          <w:cantSplit/>
        </w:trPr>
        <w:tc>
          <w:tcPr>
            <w:tcW w:w="5000" w:type="pct"/>
            <w:gridSpan w:val="7"/>
            <w:shd w:val="clear" w:color="auto" w:fill="auto"/>
            <w:vAlign w:val="center"/>
          </w:tcPr>
          <w:p w14:paraId="0348EF8B" w14:textId="77777777" w:rsidR="003B6E05" w:rsidRPr="00A378B7" w:rsidRDefault="003B6E05" w:rsidP="00B44292">
            <w:pPr>
              <w:pStyle w:val="In-tableHeading"/>
              <w:rPr>
                <w:lang w:val="pt-BR"/>
              </w:rPr>
            </w:pPr>
            <w:r w:rsidRPr="00A378B7">
              <w:rPr>
                <w:lang w:val="pt-BR"/>
              </w:rPr>
              <w:t>ELX/TEZ/IVA versus PBO (F/MF)</w:t>
            </w:r>
          </w:p>
        </w:tc>
      </w:tr>
      <w:tr w:rsidR="003B6E05" w:rsidRPr="000C48F9" w14:paraId="72EB4B07" w14:textId="77777777" w:rsidTr="00B44292">
        <w:trPr>
          <w:cantSplit/>
        </w:trPr>
        <w:tc>
          <w:tcPr>
            <w:tcW w:w="703" w:type="pct"/>
            <w:shd w:val="clear" w:color="auto" w:fill="auto"/>
            <w:vAlign w:val="center"/>
          </w:tcPr>
          <w:p w14:paraId="2DA259D3" w14:textId="77777777" w:rsidR="003B6E05" w:rsidRPr="000C48F9" w:rsidRDefault="003B6E05" w:rsidP="00B44292">
            <w:pPr>
              <w:pStyle w:val="TableText0"/>
            </w:pPr>
            <w:r w:rsidRPr="000C48F9">
              <w:t>Study 116</w:t>
            </w:r>
          </w:p>
        </w:tc>
        <w:tc>
          <w:tcPr>
            <w:tcW w:w="455" w:type="pct"/>
            <w:shd w:val="clear" w:color="auto" w:fill="auto"/>
            <w:vAlign w:val="center"/>
          </w:tcPr>
          <w:p w14:paraId="485CB331" w14:textId="77777777" w:rsidR="003B6E05" w:rsidRPr="000C48F9" w:rsidRDefault="003B6E05" w:rsidP="00B44292">
            <w:pPr>
              <w:pStyle w:val="TableText0"/>
              <w:jc w:val="center"/>
            </w:pPr>
            <w:r w:rsidRPr="000C48F9">
              <w:t>121</w:t>
            </w:r>
          </w:p>
        </w:tc>
        <w:tc>
          <w:tcPr>
            <w:tcW w:w="883" w:type="pct"/>
            <w:shd w:val="clear" w:color="auto" w:fill="auto"/>
            <w:vAlign w:val="center"/>
          </w:tcPr>
          <w:p w14:paraId="275339D7" w14:textId="77777777" w:rsidR="003B6E05" w:rsidRPr="000C48F9" w:rsidRDefault="003B6E05" w:rsidP="00B44292">
            <w:pPr>
              <w:pStyle w:val="TableText0"/>
              <w:jc w:val="center"/>
            </w:pPr>
            <w:r w:rsidRPr="000C48F9">
              <w:t>R, DB, MC</w:t>
            </w:r>
          </w:p>
          <w:p w14:paraId="3EDEBB2E" w14:textId="77777777" w:rsidR="003B6E05" w:rsidRPr="000C48F9" w:rsidRDefault="003B6E05" w:rsidP="00B44292">
            <w:pPr>
              <w:pStyle w:val="TableText0"/>
              <w:jc w:val="center"/>
            </w:pPr>
            <w:r w:rsidRPr="000C48F9">
              <w:t>24 weeks</w:t>
            </w:r>
          </w:p>
        </w:tc>
        <w:tc>
          <w:tcPr>
            <w:tcW w:w="571" w:type="pct"/>
            <w:shd w:val="clear" w:color="auto" w:fill="auto"/>
            <w:vAlign w:val="center"/>
          </w:tcPr>
          <w:p w14:paraId="01BFB7E5" w14:textId="77777777" w:rsidR="003B6E05" w:rsidRPr="000C48F9" w:rsidRDefault="003B6E05" w:rsidP="00B44292">
            <w:pPr>
              <w:pStyle w:val="TableText0"/>
              <w:jc w:val="center"/>
              <w:rPr>
                <w:iCs/>
              </w:rPr>
            </w:pPr>
            <w:r w:rsidRPr="000C48F9">
              <w:rPr>
                <w:iCs/>
              </w:rPr>
              <w:t xml:space="preserve">Moderate </w:t>
            </w:r>
          </w:p>
        </w:tc>
        <w:tc>
          <w:tcPr>
            <w:tcW w:w="847" w:type="pct"/>
            <w:shd w:val="clear" w:color="auto" w:fill="auto"/>
            <w:vAlign w:val="center"/>
          </w:tcPr>
          <w:p w14:paraId="32FE7A0C" w14:textId="38D10E5B" w:rsidR="003B6E05" w:rsidRPr="000C48F9" w:rsidRDefault="003B6E05" w:rsidP="00B44292">
            <w:pPr>
              <w:pStyle w:val="TableText0"/>
              <w:jc w:val="center"/>
            </w:pPr>
            <w:r w:rsidRPr="000C48F9">
              <w:rPr>
                <w:szCs w:val="20"/>
              </w:rPr>
              <w:t>6 to 11 years F/MF, ≥70 ppFEV</w:t>
            </w:r>
            <w:r w:rsidRPr="000C48F9">
              <w:rPr>
                <w:szCs w:val="20"/>
                <w:vertAlign w:val="subscript"/>
              </w:rPr>
              <w:t>1</w:t>
            </w:r>
          </w:p>
        </w:tc>
        <w:tc>
          <w:tcPr>
            <w:tcW w:w="704" w:type="pct"/>
            <w:shd w:val="clear" w:color="auto" w:fill="auto"/>
            <w:vAlign w:val="center"/>
          </w:tcPr>
          <w:p w14:paraId="679CFE7E" w14:textId="76BFBC48" w:rsidR="003B6E05" w:rsidRPr="000C48F9" w:rsidRDefault="003B6E05" w:rsidP="00B44292">
            <w:pPr>
              <w:pStyle w:val="TableText0"/>
              <w:jc w:val="center"/>
            </w:pPr>
            <w:r w:rsidRPr="000C48F9">
              <w:t>LCI</w:t>
            </w:r>
            <w:r w:rsidRPr="000C48F9">
              <w:rPr>
                <w:vertAlign w:val="subscript"/>
              </w:rPr>
              <w:t xml:space="preserve">2.5, </w:t>
            </w:r>
            <w:r w:rsidRPr="000C48F9">
              <w:t>ppFEV</w:t>
            </w:r>
            <w:r w:rsidRPr="000C48F9">
              <w:rPr>
                <w:vertAlign w:val="subscript"/>
              </w:rPr>
              <w:t>1</w:t>
            </w:r>
            <w:r w:rsidRPr="000C48F9">
              <w:t>, CFQ-R Respiratory</w:t>
            </w:r>
            <w:r w:rsidR="00D41DCD" w:rsidRPr="000C48F9">
              <w:t xml:space="preserve"> Domain</w:t>
            </w:r>
            <w:r w:rsidRPr="000C48F9">
              <w:t xml:space="preserve">, sweat chloride </w:t>
            </w:r>
          </w:p>
        </w:tc>
        <w:tc>
          <w:tcPr>
            <w:tcW w:w="837" w:type="pct"/>
            <w:shd w:val="clear" w:color="auto" w:fill="auto"/>
            <w:vAlign w:val="center"/>
          </w:tcPr>
          <w:p w14:paraId="0CDC1A58" w14:textId="39D2A680" w:rsidR="003B6E05" w:rsidRPr="000C48F9" w:rsidRDefault="00395851" w:rsidP="00B44292">
            <w:pPr>
              <w:pStyle w:val="TableText0"/>
              <w:jc w:val="center"/>
            </w:pPr>
            <w:r w:rsidRPr="000C48F9">
              <w:t>ppFEV</w:t>
            </w:r>
            <w:r w:rsidRPr="000C48F9">
              <w:rPr>
                <w:vertAlign w:val="subscript"/>
              </w:rPr>
              <w:t>1</w:t>
            </w:r>
          </w:p>
        </w:tc>
      </w:tr>
      <w:tr w:rsidR="003B6E05" w:rsidRPr="000C48F9" w14:paraId="68824EA7" w14:textId="77777777" w:rsidTr="00B44292">
        <w:trPr>
          <w:cantSplit/>
        </w:trPr>
        <w:tc>
          <w:tcPr>
            <w:tcW w:w="5000" w:type="pct"/>
            <w:gridSpan w:val="7"/>
            <w:shd w:val="clear" w:color="auto" w:fill="auto"/>
            <w:vAlign w:val="center"/>
          </w:tcPr>
          <w:p w14:paraId="47AA3A10" w14:textId="77777777" w:rsidR="003B6E05" w:rsidRPr="000C48F9" w:rsidRDefault="003B6E05" w:rsidP="00B44292">
            <w:pPr>
              <w:pStyle w:val="TableText0"/>
              <w:rPr>
                <w:iCs/>
              </w:rPr>
            </w:pPr>
            <w:r w:rsidRPr="000C48F9">
              <w:rPr>
                <w:b/>
                <w:iCs/>
              </w:rPr>
              <w:t xml:space="preserve">ELX/TEZ/IVA (F/F, F/MF) </w:t>
            </w:r>
          </w:p>
        </w:tc>
      </w:tr>
      <w:tr w:rsidR="003B6E05" w:rsidRPr="000C48F9" w14:paraId="5476C3A2" w14:textId="77777777" w:rsidTr="00B44292">
        <w:trPr>
          <w:cantSplit/>
        </w:trPr>
        <w:tc>
          <w:tcPr>
            <w:tcW w:w="703" w:type="pct"/>
            <w:shd w:val="clear" w:color="auto" w:fill="auto"/>
            <w:vAlign w:val="center"/>
          </w:tcPr>
          <w:p w14:paraId="6A104A83" w14:textId="77777777" w:rsidR="003B6E05" w:rsidRPr="000C48F9" w:rsidRDefault="003B6E05" w:rsidP="00B44292">
            <w:pPr>
              <w:pStyle w:val="TableText0"/>
            </w:pPr>
            <w:r w:rsidRPr="000C48F9">
              <w:t xml:space="preserve">Study 106 </w:t>
            </w:r>
          </w:p>
        </w:tc>
        <w:tc>
          <w:tcPr>
            <w:tcW w:w="455" w:type="pct"/>
            <w:shd w:val="clear" w:color="auto" w:fill="auto"/>
            <w:vAlign w:val="center"/>
          </w:tcPr>
          <w:p w14:paraId="0E07685F" w14:textId="77777777" w:rsidR="003B6E05" w:rsidRPr="000C48F9" w:rsidRDefault="003B6E05" w:rsidP="00B44292">
            <w:pPr>
              <w:pStyle w:val="TableText0"/>
              <w:jc w:val="center"/>
            </w:pPr>
            <w:r w:rsidRPr="000C48F9">
              <w:t>66</w:t>
            </w:r>
          </w:p>
          <w:p w14:paraId="4D3BC3C0" w14:textId="77777777" w:rsidR="003B6E05" w:rsidRPr="000C48F9" w:rsidRDefault="003B6E05" w:rsidP="00B44292">
            <w:pPr>
              <w:pStyle w:val="TableText0"/>
              <w:jc w:val="center"/>
            </w:pPr>
            <w:r w:rsidRPr="000C48F9">
              <w:t>(F/F:29</w:t>
            </w:r>
          </w:p>
          <w:p w14:paraId="08D18248" w14:textId="77777777" w:rsidR="003B6E05" w:rsidRPr="000C48F9" w:rsidRDefault="003B6E05" w:rsidP="00B44292">
            <w:pPr>
              <w:pStyle w:val="TableText0"/>
              <w:jc w:val="center"/>
            </w:pPr>
            <w:r w:rsidRPr="000C48F9">
              <w:t>F/MF:37)</w:t>
            </w:r>
          </w:p>
        </w:tc>
        <w:tc>
          <w:tcPr>
            <w:tcW w:w="883" w:type="pct"/>
            <w:shd w:val="clear" w:color="auto" w:fill="auto"/>
            <w:vAlign w:val="center"/>
          </w:tcPr>
          <w:p w14:paraId="687FBC5A" w14:textId="77777777" w:rsidR="003B6E05" w:rsidRPr="000C48F9" w:rsidRDefault="003B6E05" w:rsidP="00B44292">
            <w:pPr>
              <w:pStyle w:val="TableText0"/>
              <w:jc w:val="center"/>
            </w:pPr>
            <w:r w:rsidRPr="000C48F9">
              <w:t>OL, MC</w:t>
            </w:r>
          </w:p>
          <w:p w14:paraId="0769AB61" w14:textId="77777777" w:rsidR="003B6E05" w:rsidRPr="000C48F9" w:rsidRDefault="003B6E05" w:rsidP="00B44292">
            <w:pPr>
              <w:pStyle w:val="TableText0"/>
              <w:jc w:val="center"/>
            </w:pPr>
            <w:r w:rsidRPr="000C48F9">
              <w:t>24 weeks</w:t>
            </w:r>
          </w:p>
        </w:tc>
        <w:tc>
          <w:tcPr>
            <w:tcW w:w="571" w:type="pct"/>
            <w:vMerge w:val="restart"/>
            <w:shd w:val="clear" w:color="auto" w:fill="auto"/>
            <w:vAlign w:val="center"/>
          </w:tcPr>
          <w:p w14:paraId="6A701E89" w14:textId="353CF5C8" w:rsidR="003B6E05" w:rsidRPr="000C48F9" w:rsidRDefault="003B6E05" w:rsidP="005A0287">
            <w:pPr>
              <w:pStyle w:val="TableText0"/>
              <w:jc w:val="center"/>
              <w:rPr>
                <w:iCs/>
              </w:rPr>
            </w:pPr>
            <w:r w:rsidRPr="000C48F9">
              <w:rPr>
                <w:iCs/>
              </w:rPr>
              <w:t>High</w:t>
            </w:r>
          </w:p>
        </w:tc>
        <w:tc>
          <w:tcPr>
            <w:tcW w:w="847" w:type="pct"/>
            <w:vMerge w:val="restart"/>
            <w:shd w:val="clear" w:color="auto" w:fill="auto"/>
            <w:vAlign w:val="center"/>
          </w:tcPr>
          <w:p w14:paraId="29BD44F6" w14:textId="03CF9F3D" w:rsidR="003B6E05" w:rsidRPr="000C48F9" w:rsidRDefault="003B6E05" w:rsidP="005A0287">
            <w:pPr>
              <w:pStyle w:val="TableText0"/>
              <w:jc w:val="center"/>
            </w:pPr>
            <w:r w:rsidRPr="000C48F9">
              <w:rPr>
                <w:szCs w:val="20"/>
              </w:rPr>
              <w:t>6 to 11 years F/F and F/MF, ≥40 ppFEV</w:t>
            </w:r>
            <w:r w:rsidRPr="000C48F9">
              <w:rPr>
                <w:szCs w:val="20"/>
                <w:vertAlign w:val="subscript"/>
              </w:rPr>
              <w:t>1</w:t>
            </w:r>
          </w:p>
        </w:tc>
        <w:tc>
          <w:tcPr>
            <w:tcW w:w="704" w:type="pct"/>
            <w:vMerge w:val="restart"/>
            <w:shd w:val="clear" w:color="auto" w:fill="auto"/>
            <w:vAlign w:val="center"/>
          </w:tcPr>
          <w:p w14:paraId="153D1A0E" w14:textId="54081104" w:rsidR="003B6E05" w:rsidRPr="000C48F9" w:rsidRDefault="003B6E05" w:rsidP="005A0287">
            <w:pPr>
              <w:pStyle w:val="TableText0"/>
              <w:jc w:val="center"/>
            </w:pPr>
            <w:r w:rsidRPr="000C48F9">
              <w:rPr>
                <w:vertAlign w:val="subscript"/>
              </w:rPr>
              <w:t xml:space="preserve"> </w:t>
            </w:r>
            <w:r w:rsidRPr="000C48F9">
              <w:t>CFQ-R Respiratory</w:t>
            </w:r>
            <w:r w:rsidR="00D41DCD" w:rsidRPr="000C48F9">
              <w:t xml:space="preserve"> Domain</w:t>
            </w:r>
            <w:r w:rsidRPr="000C48F9">
              <w:t xml:space="preserve">, </w:t>
            </w:r>
            <w:r w:rsidR="000F6DD0" w:rsidRPr="000C48F9">
              <w:t xml:space="preserve">PEx, BMI, </w:t>
            </w:r>
            <w:r w:rsidRPr="000C48F9">
              <w:t>ppFEV</w:t>
            </w:r>
            <w:r w:rsidRPr="000C48F9">
              <w:rPr>
                <w:vertAlign w:val="subscript"/>
              </w:rPr>
              <w:t>1</w:t>
            </w:r>
            <w:r w:rsidRPr="000C48F9">
              <w:t>, sweat chloride</w:t>
            </w:r>
          </w:p>
        </w:tc>
        <w:tc>
          <w:tcPr>
            <w:tcW w:w="837" w:type="pct"/>
            <w:shd w:val="clear" w:color="auto" w:fill="auto"/>
            <w:vAlign w:val="center"/>
          </w:tcPr>
          <w:p w14:paraId="641D55F0" w14:textId="77777777" w:rsidR="003B6E05" w:rsidRPr="000C48F9" w:rsidRDefault="003B6E05" w:rsidP="00B44292">
            <w:pPr>
              <w:pStyle w:val="TableText0"/>
              <w:jc w:val="center"/>
            </w:pPr>
            <w:r w:rsidRPr="000C48F9">
              <w:t>ppFEV</w:t>
            </w:r>
            <w:r w:rsidRPr="000C48F9">
              <w:rPr>
                <w:vertAlign w:val="subscript"/>
              </w:rPr>
              <w:t>1</w:t>
            </w:r>
            <w:r w:rsidRPr="000C48F9">
              <w:t>, BMI</w:t>
            </w:r>
          </w:p>
        </w:tc>
      </w:tr>
      <w:tr w:rsidR="003B6E05" w:rsidRPr="000C48F9" w14:paraId="41C5CA9D" w14:textId="77777777" w:rsidTr="00B44292">
        <w:trPr>
          <w:cantSplit/>
        </w:trPr>
        <w:tc>
          <w:tcPr>
            <w:tcW w:w="703" w:type="pct"/>
            <w:shd w:val="clear" w:color="auto" w:fill="auto"/>
            <w:vAlign w:val="center"/>
          </w:tcPr>
          <w:p w14:paraId="6B3C09D2" w14:textId="77777777" w:rsidR="003B6E05" w:rsidRPr="000C48F9" w:rsidRDefault="003B6E05" w:rsidP="00B44292">
            <w:pPr>
              <w:pStyle w:val="TableText0"/>
            </w:pPr>
            <w:r w:rsidRPr="000C48F9">
              <w:t>Study 107</w:t>
            </w:r>
            <w:r w:rsidRPr="000C48F9">
              <w:rPr>
                <w:vertAlign w:val="superscript"/>
              </w:rPr>
              <w:t>a</w:t>
            </w:r>
            <w:r w:rsidRPr="000C48F9">
              <w:t xml:space="preserve"> </w:t>
            </w:r>
          </w:p>
        </w:tc>
        <w:tc>
          <w:tcPr>
            <w:tcW w:w="455" w:type="pct"/>
            <w:shd w:val="clear" w:color="auto" w:fill="auto"/>
            <w:vAlign w:val="center"/>
          </w:tcPr>
          <w:p w14:paraId="7951B3AC" w14:textId="77777777" w:rsidR="003B6E05" w:rsidRPr="000C48F9" w:rsidRDefault="003B6E05" w:rsidP="00B44292">
            <w:pPr>
              <w:pStyle w:val="TableText0"/>
              <w:jc w:val="center"/>
            </w:pPr>
            <w:r w:rsidRPr="000C48F9">
              <w:t>64</w:t>
            </w:r>
          </w:p>
        </w:tc>
        <w:tc>
          <w:tcPr>
            <w:tcW w:w="883" w:type="pct"/>
            <w:shd w:val="clear" w:color="auto" w:fill="auto"/>
            <w:vAlign w:val="center"/>
          </w:tcPr>
          <w:p w14:paraId="4E66CD63" w14:textId="097634AA" w:rsidR="003B6E05" w:rsidRPr="000C48F9" w:rsidRDefault="003B6E05" w:rsidP="00B44292">
            <w:pPr>
              <w:pStyle w:val="TableText0"/>
              <w:jc w:val="center"/>
            </w:pPr>
            <w:r w:rsidRPr="000C48F9">
              <w:t>Extension of Study 106</w:t>
            </w:r>
          </w:p>
          <w:p w14:paraId="58E22B33" w14:textId="77777777" w:rsidR="003B6E05" w:rsidRPr="000C48F9" w:rsidRDefault="003B6E05" w:rsidP="00B44292">
            <w:pPr>
              <w:pStyle w:val="TableText0"/>
              <w:jc w:val="center"/>
            </w:pPr>
            <w:r w:rsidRPr="000C48F9">
              <w:t>96 weeks (ongoing)</w:t>
            </w:r>
          </w:p>
        </w:tc>
        <w:tc>
          <w:tcPr>
            <w:tcW w:w="571" w:type="pct"/>
            <w:vMerge/>
            <w:shd w:val="clear" w:color="auto" w:fill="auto"/>
            <w:vAlign w:val="center"/>
          </w:tcPr>
          <w:p w14:paraId="77A0345E" w14:textId="77777777" w:rsidR="003B6E05" w:rsidRPr="000C48F9" w:rsidDel="00026FEF" w:rsidRDefault="003B6E05" w:rsidP="00B44292">
            <w:pPr>
              <w:pStyle w:val="TableText0"/>
              <w:jc w:val="center"/>
              <w:rPr>
                <w:iCs/>
              </w:rPr>
            </w:pPr>
          </w:p>
        </w:tc>
        <w:tc>
          <w:tcPr>
            <w:tcW w:w="847" w:type="pct"/>
            <w:vMerge/>
            <w:shd w:val="clear" w:color="auto" w:fill="auto"/>
            <w:vAlign w:val="center"/>
          </w:tcPr>
          <w:p w14:paraId="5805E91E" w14:textId="77777777" w:rsidR="003B6E05" w:rsidRPr="000C48F9" w:rsidRDefault="003B6E05" w:rsidP="00B44292">
            <w:pPr>
              <w:pStyle w:val="TableText0"/>
              <w:jc w:val="center"/>
              <w:rPr>
                <w:szCs w:val="20"/>
              </w:rPr>
            </w:pPr>
          </w:p>
        </w:tc>
        <w:tc>
          <w:tcPr>
            <w:tcW w:w="704" w:type="pct"/>
            <w:vMerge/>
            <w:shd w:val="clear" w:color="auto" w:fill="auto"/>
            <w:vAlign w:val="center"/>
          </w:tcPr>
          <w:p w14:paraId="75CCFE2F" w14:textId="77777777" w:rsidR="003B6E05" w:rsidRPr="000C48F9" w:rsidRDefault="003B6E05" w:rsidP="00B44292">
            <w:pPr>
              <w:pStyle w:val="TableText0"/>
              <w:jc w:val="center"/>
            </w:pPr>
          </w:p>
        </w:tc>
        <w:tc>
          <w:tcPr>
            <w:tcW w:w="837" w:type="pct"/>
            <w:shd w:val="clear" w:color="auto" w:fill="auto"/>
            <w:vAlign w:val="center"/>
          </w:tcPr>
          <w:p w14:paraId="54404C8E" w14:textId="77777777" w:rsidR="003B6E05" w:rsidRPr="000C48F9" w:rsidRDefault="003B6E05" w:rsidP="00B44292">
            <w:pPr>
              <w:pStyle w:val="TableText0"/>
              <w:jc w:val="center"/>
            </w:pPr>
            <w:r w:rsidRPr="000C48F9">
              <w:t>Not used</w:t>
            </w:r>
          </w:p>
        </w:tc>
      </w:tr>
      <w:tr w:rsidR="003B6E05" w:rsidRPr="00A378B7" w14:paraId="3CAB8D37" w14:textId="77777777" w:rsidTr="004E5668">
        <w:trPr>
          <w:cantSplit/>
        </w:trPr>
        <w:tc>
          <w:tcPr>
            <w:tcW w:w="5000" w:type="pct"/>
            <w:gridSpan w:val="7"/>
            <w:shd w:val="clear" w:color="auto" w:fill="auto"/>
            <w:vAlign w:val="center"/>
          </w:tcPr>
          <w:p w14:paraId="5BFAB982" w14:textId="77777777" w:rsidR="003B6E05" w:rsidRPr="00A378B7" w:rsidRDefault="003B6E05" w:rsidP="00B44292">
            <w:pPr>
              <w:pStyle w:val="TableText0"/>
              <w:rPr>
                <w:b/>
                <w:iCs/>
                <w:lang w:val="pt-BR"/>
              </w:rPr>
            </w:pPr>
            <w:r w:rsidRPr="00A378B7">
              <w:rPr>
                <w:b/>
                <w:iCs/>
                <w:lang w:val="pt-BR"/>
              </w:rPr>
              <w:t xml:space="preserve">LUM/IVA versus PBO (F/F) </w:t>
            </w:r>
          </w:p>
        </w:tc>
      </w:tr>
      <w:tr w:rsidR="003B6E05" w:rsidRPr="000C48F9" w14:paraId="4E6B22AF" w14:textId="77777777" w:rsidTr="004E5668">
        <w:trPr>
          <w:cantSplit/>
        </w:trPr>
        <w:tc>
          <w:tcPr>
            <w:tcW w:w="703" w:type="pct"/>
            <w:shd w:val="clear" w:color="auto" w:fill="auto"/>
            <w:vAlign w:val="center"/>
          </w:tcPr>
          <w:p w14:paraId="1C553A6B" w14:textId="77777777" w:rsidR="003B6E05" w:rsidRPr="000C48F9" w:rsidRDefault="003B6E05" w:rsidP="00B44292">
            <w:pPr>
              <w:pStyle w:val="TableText0"/>
            </w:pPr>
            <w:r w:rsidRPr="000C48F9">
              <w:t>Study 109</w:t>
            </w:r>
          </w:p>
        </w:tc>
        <w:tc>
          <w:tcPr>
            <w:tcW w:w="455" w:type="pct"/>
            <w:shd w:val="clear" w:color="auto" w:fill="auto"/>
            <w:vAlign w:val="center"/>
          </w:tcPr>
          <w:p w14:paraId="0CAEE0A2" w14:textId="77777777" w:rsidR="003B6E05" w:rsidRPr="000C48F9" w:rsidRDefault="003B6E05" w:rsidP="00B44292">
            <w:pPr>
              <w:pStyle w:val="TableText0"/>
              <w:jc w:val="center"/>
            </w:pPr>
            <w:r w:rsidRPr="000C48F9">
              <w:t>204</w:t>
            </w:r>
          </w:p>
        </w:tc>
        <w:tc>
          <w:tcPr>
            <w:tcW w:w="883" w:type="pct"/>
            <w:shd w:val="clear" w:color="auto" w:fill="auto"/>
            <w:vAlign w:val="center"/>
          </w:tcPr>
          <w:p w14:paraId="2BEC5E73" w14:textId="77777777" w:rsidR="003B6E05" w:rsidRPr="000C48F9" w:rsidRDefault="003B6E05" w:rsidP="00B44292">
            <w:pPr>
              <w:pStyle w:val="TableText0"/>
              <w:jc w:val="center"/>
            </w:pPr>
            <w:r w:rsidRPr="000C48F9">
              <w:t>R, DB, MC</w:t>
            </w:r>
          </w:p>
          <w:p w14:paraId="25F03314" w14:textId="77777777" w:rsidR="003B6E05" w:rsidRPr="000C48F9" w:rsidRDefault="003B6E05" w:rsidP="00B44292">
            <w:pPr>
              <w:pStyle w:val="TableText0"/>
              <w:jc w:val="center"/>
            </w:pPr>
            <w:r w:rsidRPr="000C48F9">
              <w:t>24 weeks</w:t>
            </w:r>
          </w:p>
        </w:tc>
        <w:tc>
          <w:tcPr>
            <w:tcW w:w="571" w:type="pct"/>
            <w:shd w:val="clear" w:color="auto" w:fill="auto"/>
            <w:vAlign w:val="center"/>
          </w:tcPr>
          <w:p w14:paraId="0AE43CD1" w14:textId="77777777" w:rsidR="003B6E05" w:rsidRPr="000C48F9" w:rsidRDefault="003B6E05" w:rsidP="00B44292">
            <w:pPr>
              <w:pStyle w:val="TableText0"/>
              <w:jc w:val="center"/>
              <w:rPr>
                <w:iCs/>
              </w:rPr>
            </w:pPr>
            <w:r w:rsidRPr="000C48F9">
              <w:rPr>
                <w:iCs/>
              </w:rPr>
              <w:t>Low</w:t>
            </w:r>
          </w:p>
        </w:tc>
        <w:tc>
          <w:tcPr>
            <w:tcW w:w="847" w:type="pct"/>
            <w:shd w:val="clear" w:color="auto" w:fill="auto"/>
            <w:vAlign w:val="center"/>
          </w:tcPr>
          <w:p w14:paraId="70FDDA64" w14:textId="77777777" w:rsidR="003B6E05" w:rsidRPr="000C48F9" w:rsidRDefault="003B6E05" w:rsidP="00B44292">
            <w:pPr>
              <w:pStyle w:val="TableText0"/>
              <w:jc w:val="center"/>
            </w:pPr>
            <w:r w:rsidRPr="000C48F9">
              <w:rPr>
                <w:szCs w:val="20"/>
              </w:rPr>
              <w:t>6 to 11 years F/F ≥70 ppFEV</w:t>
            </w:r>
            <w:r w:rsidRPr="000C48F9">
              <w:rPr>
                <w:szCs w:val="20"/>
                <w:vertAlign w:val="subscript"/>
              </w:rPr>
              <w:t>1</w:t>
            </w:r>
          </w:p>
        </w:tc>
        <w:tc>
          <w:tcPr>
            <w:tcW w:w="704" w:type="pct"/>
            <w:shd w:val="clear" w:color="auto" w:fill="auto"/>
            <w:vAlign w:val="center"/>
          </w:tcPr>
          <w:p w14:paraId="55B01E92" w14:textId="1DA8C57B" w:rsidR="003B6E05" w:rsidRPr="000C48F9" w:rsidRDefault="003B6E05" w:rsidP="00B44292">
            <w:pPr>
              <w:pStyle w:val="TableText0"/>
              <w:jc w:val="center"/>
            </w:pPr>
            <w:r w:rsidRPr="000C48F9">
              <w:t>LCI</w:t>
            </w:r>
            <w:r w:rsidRPr="000C48F9">
              <w:rPr>
                <w:vertAlign w:val="subscript"/>
              </w:rPr>
              <w:t xml:space="preserve">2.5, </w:t>
            </w:r>
            <w:r w:rsidRPr="000C48F9">
              <w:t>ppFEV</w:t>
            </w:r>
            <w:r w:rsidRPr="000C48F9">
              <w:rPr>
                <w:vertAlign w:val="subscript"/>
              </w:rPr>
              <w:t>1</w:t>
            </w:r>
            <w:r w:rsidRPr="000C48F9">
              <w:t xml:space="preserve">, CFQ-R </w:t>
            </w:r>
            <w:r w:rsidR="00D41DCD" w:rsidRPr="000C48F9">
              <w:t>R</w:t>
            </w:r>
            <w:r w:rsidRPr="000C48F9">
              <w:t xml:space="preserve">espiratory </w:t>
            </w:r>
            <w:r w:rsidR="00D41DCD" w:rsidRPr="000C48F9">
              <w:t>D</w:t>
            </w:r>
            <w:r w:rsidRPr="000C48F9">
              <w:t xml:space="preserve">omain, sweat chloride </w:t>
            </w:r>
          </w:p>
        </w:tc>
        <w:tc>
          <w:tcPr>
            <w:tcW w:w="837" w:type="pct"/>
            <w:shd w:val="clear" w:color="auto" w:fill="auto"/>
            <w:vAlign w:val="center"/>
          </w:tcPr>
          <w:p w14:paraId="6091A4C6" w14:textId="77777777" w:rsidR="003B6E05" w:rsidRPr="000C48F9" w:rsidRDefault="003B6E05" w:rsidP="00B44292">
            <w:pPr>
              <w:pStyle w:val="TableText0"/>
              <w:jc w:val="center"/>
              <w:rPr>
                <w:b/>
              </w:rPr>
            </w:pPr>
            <w:r w:rsidRPr="000C48F9">
              <w:t>ppFEV</w:t>
            </w:r>
            <w:r w:rsidRPr="000C48F9">
              <w:rPr>
                <w:vertAlign w:val="subscript"/>
              </w:rPr>
              <w:t>1</w:t>
            </w:r>
            <w:r w:rsidRPr="000C48F9">
              <w:t xml:space="preserve"> </w:t>
            </w:r>
          </w:p>
        </w:tc>
      </w:tr>
      <w:tr w:rsidR="003B6E05" w:rsidRPr="000C48F9" w14:paraId="4FA8728A" w14:textId="77777777" w:rsidTr="004E5668">
        <w:trPr>
          <w:cantSplit/>
        </w:trPr>
        <w:tc>
          <w:tcPr>
            <w:tcW w:w="5000" w:type="pct"/>
            <w:gridSpan w:val="7"/>
            <w:shd w:val="clear" w:color="auto" w:fill="auto"/>
            <w:vAlign w:val="center"/>
          </w:tcPr>
          <w:p w14:paraId="7F1E7CD8" w14:textId="77777777" w:rsidR="003B6E05" w:rsidRPr="000C48F9" w:rsidRDefault="003B6E05" w:rsidP="00B44292">
            <w:pPr>
              <w:pStyle w:val="TableText0"/>
              <w:rPr>
                <w:iCs/>
              </w:rPr>
            </w:pPr>
            <w:r w:rsidRPr="000C48F9">
              <w:rPr>
                <w:b/>
                <w:iCs/>
              </w:rPr>
              <w:t>LUM/IVA (F/F)</w:t>
            </w:r>
          </w:p>
        </w:tc>
      </w:tr>
      <w:tr w:rsidR="003B6E05" w:rsidRPr="000C48F9" w14:paraId="2D87B8C8" w14:textId="77777777" w:rsidTr="004E5668">
        <w:trPr>
          <w:cantSplit/>
        </w:trPr>
        <w:tc>
          <w:tcPr>
            <w:tcW w:w="703" w:type="pct"/>
            <w:shd w:val="clear" w:color="auto" w:fill="auto"/>
            <w:vAlign w:val="center"/>
          </w:tcPr>
          <w:p w14:paraId="0C3EEC95" w14:textId="77777777" w:rsidR="003B6E05" w:rsidRPr="000C48F9" w:rsidRDefault="003B6E05" w:rsidP="00B44292">
            <w:pPr>
              <w:pStyle w:val="TableText0"/>
            </w:pPr>
            <w:r w:rsidRPr="000C48F9">
              <w:t>Study 011</w:t>
            </w:r>
          </w:p>
        </w:tc>
        <w:tc>
          <w:tcPr>
            <w:tcW w:w="455" w:type="pct"/>
            <w:shd w:val="clear" w:color="auto" w:fill="auto"/>
            <w:vAlign w:val="center"/>
          </w:tcPr>
          <w:p w14:paraId="6506B870" w14:textId="2DCBC06F" w:rsidR="003B6E05" w:rsidRPr="000C48F9" w:rsidRDefault="003B6E05" w:rsidP="00B44292">
            <w:pPr>
              <w:pStyle w:val="TableText0"/>
              <w:jc w:val="center"/>
            </w:pPr>
            <w:r w:rsidRPr="000C48F9">
              <w:t>58</w:t>
            </w:r>
          </w:p>
        </w:tc>
        <w:tc>
          <w:tcPr>
            <w:tcW w:w="883" w:type="pct"/>
            <w:shd w:val="clear" w:color="auto" w:fill="auto"/>
            <w:vAlign w:val="center"/>
          </w:tcPr>
          <w:p w14:paraId="4DDE9640" w14:textId="77777777" w:rsidR="003B6E05" w:rsidRPr="000C48F9" w:rsidRDefault="003B6E05" w:rsidP="00B44292">
            <w:pPr>
              <w:pStyle w:val="TableText0"/>
              <w:jc w:val="center"/>
            </w:pPr>
            <w:r w:rsidRPr="000C48F9">
              <w:t>OL, MC</w:t>
            </w:r>
          </w:p>
          <w:p w14:paraId="6F36EEDD" w14:textId="77777777" w:rsidR="003B6E05" w:rsidRPr="000C48F9" w:rsidRDefault="003B6E05" w:rsidP="00B44292">
            <w:pPr>
              <w:pStyle w:val="TableText0"/>
              <w:jc w:val="center"/>
            </w:pPr>
            <w:r w:rsidRPr="000C48F9">
              <w:t>24 weeks</w:t>
            </w:r>
          </w:p>
        </w:tc>
        <w:tc>
          <w:tcPr>
            <w:tcW w:w="571" w:type="pct"/>
            <w:shd w:val="clear" w:color="auto" w:fill="auto"/>
            <w:vAlign w:val="center"/>
          </w:tcPr>
          <w:p w14:paraId="2976776B" w14:textId="48B5F431" w:rsidR="003B6E05" w:rsidRPr="000C48F9" w:rsidRDefault="00D65E07" w:rsidP="00B44292">
            <w:pPr>
              <w:pStyle w:val="TableText0"/>
              <w:jc w:val="center"/>
              <w:rPr>
                <w:iCs/>
              </w:rPr>
            </w:pPr>
            <w:r w:rsidRPr="000C48F9">
              <w:rPr>
                <w:iCs/>
              </w:rPr>
              <w:t xml:space="preserve">High </w:t>
            </w:r>
          </w:p>
        </w:tc>
        <w:tc>
          <w:tcPr>
            <w:tcW w:w="847" w:type="pct"/>
            <w:shd w:val="clear" w:color="auto" w:fill="auto"/>
            <w:vAlign w:val="center"/>
          </w:tcPr>
          <w:p w14:paraId="40D00356" w14:textId="77777777" w:rsidR="003B6E05" w:rsidRPr="000C48F9" w:rsidRDefault="003B6E05" w:rsidP="00B44292">
            <w:pPr>
              <w:pStyle w:val="TableText0"/>
              <w:jc w:val="center"/>
            </w:pPr>
            <w:r w:rsidRPr="000C48F9">
              <w:rPr>
                <w:szCs w:val="20"/>
              </w:rPr>
              <w:t>6 to 11 years F/F ≥40 ppFEV</w:t>
            </w:r>
            <w:r w:rsidRPr="000C48F9">
              <w:rPr>
                <w:szCs w:val="20"/>
                <w:vertAlign w:val="subscript"/>
              </w:rPr>
              <w:t>1</w:t>
            </w:r>
          </w:p>
        </w:tc>
        <w:tc>
          <w:tcPr>
            <w:tcW w:w="704" w:type="pct"/>
            <w:shd w:val="clear" w:color="auto" w:fill="auto"/>
            <w:vAlign w:val="center"/>
          </w:tcPr>
          <w:p w14:paraId="071CCE51" w14:textId="5638173D" w:rsidR="003B6E05" w:rsidRPr="000C48F9" w:rsidRDefault="00395851" w:rsidP="00B44292">
            <w:pPr>
              <w:pStyle w:val="TableText0"/>
              <w:jc w:val="center"/>
            </w:pPr>
            <w:r w:rsidRPr="000C48F9">
              <w:t>LCI</w:t>
            </w:r>
            <w:r w:rsidRPr="000C48F9">
              <w:rPr>
                <w:vertAlign w:val="subscript"/>
              </w:rPr>
              <w:t xml:space="preserve">2.5,, </w:t>
            </w:r>
            <w:r w:rsidR="004E5668" w:rsidRPr="000C48F9">
              <w:t>ppFEV</w:t>
            </w:r>
            <w:r w:rsidR="004E5668" w:rsidRPr="000C48F9">
              <w:rPr>
                <w:vertAlign w:val="subscript"/>
              </w:rPr>
              <w:t>1</w:t>
            </w:r>
            <w:r w:rsidR="004E5668" w:rsidRPr="000C48F9">
              <w:t>,</w:t>
            </w:r>
            <w:r w:rsidR="00D41DCD" w:rsidRPr="000C48F9">
              <w:t xml:space="preserve"> CFQ-R  Respiratory Domain,</w:t>
            </w:r>
            <w:r w:rsidR="004E5668" w:rsidRPr="000C48F9">
              <w:t xml:space="preserve"> </w:t>
            </w:r>
          </w:p>
        </w:tc>
        <w:tc>
          <w:tcPr>
            <w:tcW w:w="837" w:type="pct"/>
            <w:shd w:val="clear" w:color="auto" w:fill="auto"/>
            <w:vAlign w:val="center"/>
          </w:tcPr>
          <w:p w14:paraId="7723A541" w14:textId="29C4CAB1" w:rsidR="003B6E05" w:rsidRPr="000C48F9" w:rsidRDefault="00D41DCD" w:rsidP="00B44292">
            <w:pPr>
              <w:pStyle w:val="TableText0"/>
              <w:jc w:val="center"/>
            </w:pPr>
            <w:r w:rsidRPr="000C48F9">
              <w:t>ppFEV</w:t>
            </w:r>
            <w:r w:rsidRPr="000C48F9">
              <w:rPr>
                <w:vertAlign w:val="subscript"/>
              </w:rPr>
              <w:t>1</w:t>
            </w:r>
          </w:p>
        </w:tc>
      </w:tr>
    </w:tbl>
    <w:p w14:paraId="4AC8A866" w14:textId="77777777" w:rsidR="003B6E05" w:rsidRPr="000C48F9" w:rsidRDefault="003B6E05" w:rsidP="00B44292">
      <w:pPr>
        <w:pStyle w:val="FooterTableFigure"/>
      </w:pPr>
      <w:r w:rsidRPr="000C48F9">
        <w:t xml:space="preserve">Source: Compiled during the evaluation based on the submission </w:t>
      </w:r>
    </w:p>
    <w:p w14:paraId="0EF11F6F" w14:textId="44A671F1" w:rsidR="003B6E05" w:rsidRPr="000C48F9" w:rsidRDefault="003B6E05" w:rsidP="00B44292">
      <w:pPr>
        <w:pStyle w:val="FooterTableFigure"/>
      </w:pPr>
      <w:r w:rsidRPr="000C48F9">
        <w:t>BMI = body mass index; DB = double blind; ELX/TEZ/IVA = elexacaftor/tezacaftor/ivacaftor; CFQ-R = Cystic Fibrosis Questionnaire-Revised;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MC = multi-centre; N = total patients; ppFEV</w:t>
      </w:r>
      <w:r w:rsidRPr="000C48F9">
        <w:rPr>
          <w:vertAlign w:val="superscript"/>
        </w:rPr>
        <w:t>1</w:t>
      </w:r>
      <w:r w:rsidRPr="000C48F9">
        <w:t xml:space="preserve">  = percent predicted forced expiratory volume in one second; PEx = pulmonary exacerbation; R = randomised; TEZ/IVA = tezacaftor and ivacaftor</w:t>
      </w:r>
    </w:p>
    <w:p w14:paraId="534F98A6" w14:textId="77777777" w:rsidR="003B6E05" w:rsidRPr="000C48F9" w:rsidRDefault="003B6E05" w:rsidP="00B44292">
      <w:pPr>
        <w:pStyle w:val="FooterTableFigure"/>
      </w:pPr>
      <w:r w:rsidRPr="000C48F9">
        <w:t>Notes:</w:t>
      </w:r>
    </w:p>
    <w:p w14:paraId="2FA00268" w14:textId="77777777" w:rsidR="003B6E05" w:rsidRPr="000C48F9" w:rsidRDefault="003B6E05" w:rsidP="00B44292">
      <w:pPr>
        <w:pStyle w:val="FooterTableFigure"/>
      </w:pPr>
      <w:r w:rsidRPr="000C48F9">
        <w:rPr>
          <w:vertAlign w:val="superscript"/>
        </w:rPr>
        <w:t>a</w:t>
      </w:r>
      <w:r w:rsidRPr="000C48F9">
        <w:t xml:space="preserve">Study 107 is ongoing and is due for completion by April 2024. </w:t>
      </w:r>
    </w:p>
    <w:p w14:paraId="3CAC45A6" w14:textId="2CB14D17" w:rsidR="001408C4" w:rsidRPr="000C48F9" w:rsidRDefault="00C010F7" w:rsidP="001408C4">
      <w:pPr>
        <w:pStyle w:val="3-BodyText"/>
      </w:pPr>
      <w:r w:rsidRPr="000C48F9">
        <w:t>There may be a</w:t>
      </w:r>
      <w:r w:rsidR="001408C4" w:rsidRPr="000C48F9">
        <w:t>pplicability issues for the study populations when compared to the likely Australian population</w:t>
      </w:r>
      <w:r w:rsidRPr="000C48F9">
        <w:t>.</w:t>
      </w:r>
      <w:r w:rsidR="001408C4" w:rsidRPr="000C48F9">
        <w:t xml:space="preserve"> Based on 2020 data from the Australian Cystic Fibrosis Data Registry (ACFDR), the majority of Australian patients (74%) aged 6 to 11 years were classified as having a normal lung function (ppFEV</w:t>
      </w:r>
      <w:r w:rsidR="001408C4" w:rsidRPr="000C48F9">
        <w:rPr>
          <w:vertAlign w:val="subscript"/>
        </w:rPr>
        <w:t>1</w:t>
      </w:r>
      <w:r w:rsidR="001408C4" w:rsidRPr="000C48F9">
        <w:t xml:space="preserve"> ≥ 90). The proportion of patients with normal lung function was lower in the clinical trials: 53% in Study 116 and 46% in Study 106. Whether the results from the studies would be generalisable to patients treated in Australia was unclear. </w:t>
      </w:r>
    </w:p>
    <w:p w14:paraId="2C79BF33" w14:textId="2F1D88F6" w:rsidR="003B6E05" w:rsidRPr="000C48F9" w:rsidRDefault="003B6E05" w:rsidP="00B44292">
      <w:pPr>
        <w:pStyle w:val="4-SubsectionHeading"/>
      </w:pPr>
      <w:bookmarkStart w:id="23" w:name="_Toc114047714"/>
      <w:r w:rsidRPr="000C48F9">
        <w:t>Comparative effectiveness</w:t>
      </w:r>
      <w:bookmarkEnd w:id="23"/>
    </w:p>
    <w:p w14:paraId="49CC70FA" w14:textId="7A59FB59" w:rsidR="003B6E05" w:rsidRPr="000C48F9" w:rsidRDefault="003B6E05" w:rsidP="00B44292">
      <w:pPr>
        <w:pStyle w:val="3-BodyText"/>
        <w:rPr>
          <w:color w:val="0066FF"/>
        </w:rPr>
      </w:pPr>
      <w:r w:rsidRPr="000C48F9">
        <w:t xml:space="preserve">A summary of the results of the absolute change from baseline </w:t>
      </w:r>
      <w:r w:rsidR="00616125" w:rsidRPr="000C48F9">
        <w:t xml:space="preserve">to 24 weeks </w:t>
      </w:r>
      <w:r w:rsidRPr="000C48F9">
        <w:t>in ppFEV</w:t>
      </w:r>
      <w:r w:rsidRPr="000C48F9">
        <w:rPr>
          <w:vertAlign w:val="subscript"/>
        </w:rPr>
        <w:t>1</w:t>
      </w:r>
      <w:r w:rsidR="000C48F9">
        <w:rPr>
          <w:vertAlign w:val="subscript"/>
        </w:rPr>
        <w:t xml:space="preserve"> </w:t>
      </w:r>
      <w:r w:rsidRPr="000C48F9">
        <w:t xml:space="preserve">across the </w:t>
      </w:r>
      <w:r w:rsidR="00705FCD" w:rsidRPr="000C48F9">
        <w:t xml:space="preserve">studies </w:t>
      </w:r>
      <w:r w:rsidRPr="000C48F9">
        <w:t>for the different populations is presented in</w:t>
      </w:r>
      <w:r w:rsidR="004E6CF1" w:rsidRPr="000C48F9">
        <w:t xml:space="preserve"> </w:t>
      </w:r>
      <w:r w:rsidR="004E6CF1" w:rsidRPr="000C48F9">
        <w:fldChar w:fldCharType="begin" w:fldLock="1"/>
      </w:r>
      <w:r w:rsidR="004E6CF1" w:rsidRPr="000C48F9">
        <w:instrText xml:space="preserve"> REF _Ref112922932 \h </w:instrText>
      </w:r>
      <w:r w:rsidR="004E6CF1" w:rsidRPr="000C48F9">
        <w:fldChar w:fldCharType="separate"/>
      </w:r>
      <w:r w:rsidR="009A1227" w:rsidRPr="000C48F9">
        <w:t xml:space="preserve">Table </w:t>
      </w:r>
      <w:r w:rsidR="009A1227">
        <w:rPr>
          <w:noProof/>
        </w:rPr>
        <w:t>5</w:t>
      </w:r>
      <w:r w:rsidR="004E6CF1" w:rsidRPr="000C48F9">
        <w:fldChar w:fldCharType="end"/>
      </w:r>
      <w:r w:rsidRPr="000C48F9">
        <w:t>.</w:t>
      </w:r>
    </w:p>
    <w:p w14:paraId="431703F5" w14:textId="3B113AF9" w:rsidR="003B6E05" w:rsidRPr="000C48F9" w:rsidRDefault="003B6E05" w:rsidP="0034018C">
      <w:pPr>
        <w:pStyle w:val="TableFigureHeading"/>
        <w:rPr>
          <w:b w:val="0"/>
        </w:rPr>
      </w:pPr>
      <w:bookmarkStart w:id="24" w:name="_Ref112922932"/>
      <w:r w:rsidRPr="000C48F9">
        <w:t xml:space="preserve">Table </w:t>
      </w:r>
      <w:r w:rsidR="008E430C">
        <w:fldChar w:fldCharType="begin" w:fldLock="1"/>
      </w:r>
      <w:r w:rsidR="008E430C">
        <w:instrText xml:space="preserve"> SEQ Table \* ARABIC </w:instrText>
      </w:r>
      <w:r w:rsidR="008E430C">
        <w:fldChar w:fldCharType="separate"/>
      </w:r>
      <w:r w:rsidR="009A1227">
        <w:rPr>
          <w:noProof/>
        </w:rPr>
        <w:t>5</w:t>
      </w:r>
      <w:r w:rsidR="008E430C">
        <w:rPr>
          <w:noProof/>
        </w:rPr>
        <w:fldChar w:fldCharType="end"/>
      </w:r>
      <w:bookmarkEnd w:id="24"/>
      <w:r w:rsidRPr="000C48F9">
        <w:rPr>
          <w:b w:val="0"/>
        </w:rPr>
        <w:t xml:space="preserve">: </w:t>
      </w:r>
      <w:r w:rsidRPr="000C48F9">
        <w:t>Results of absolute change from baseline in ppFEV</w:t>
      </w:r>
      <w:r w:rsidRPr="000C48F9">
        <w:rPr>
          <w:vertAlign w:val="subscript"/>
        </w:rPr>
        <w:t>1</w:t>
      </w:r>
      <w:r w:rsidRPr="000C48F9">
        <w:t xml:space="preserve"> across the trials through week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1"/>
        <w:gridCol w:w="628"/>
        <w:gridCol w:w="1150"/>
        <w:gridCol w:w="992"/>
        <w:gridCol w:w="992"/>
        <w:gridCol w:w="851"/>
        <w:gridCol w:w="707"/>
        <w:gridCol w:w="849"/>
        <w:gridCol w:w="701"/>
        <w:gridCol w:w="1235"/>
      </w:tblGrid>
      <w:tr w:rsidR="003B6E05" w:rsidRPr="000C48F9" w14:paraId="5AF6E82C" w14:textId="77777777" w:rsidTr="005A0287">
        <w:trPr>
          <w:trHeight w:val="20"/>
        </w:trPr>
        <w:tc>
          <w:tcPr>
            <w:tcW w:w="505" w:type="pct"/>
            <w:vMerge w:val="restart"/>
            <w:tcMar>
              <w:left w:w="11" w:type="dxa"/>
              <w:right w:w="11" w:type="dxa"/>
            </w:tcMar>
            <w:vAlign w:val="center"/>
          </w:tcPr>
          <w:p w14:paraId="5DC878B7" w14:textId="77777777" w:rsidR="003B6E05" w:rsidRPr="000C48F9" w:rsidRDefault="003B6E05" w:rsidP="005A0287">
            <w:pPr>
              <w:pStyle w:val="TableText0"/>
              <w:jc w:val="center"/>
              <w:rPr>
                <w:b/>
              </w:rPr>
            </w:pPr>
            <w:bookmarkStart w:id="25" w:name="_Hlk112669572"/>
            <w:r w:rsidRPr="000C48F9">
              <w:rPr>
                <w:b/>
              </w:rPr>
              <w:t>Trial ID</w:t>
            </w:r>
          </w:p>
        </w:tc>
        <w:tc>
          <w:tcPr>
            <w:tcW w:w="348" w:type="pct"/>
            <w:vMerge w:val="restart"/>
            <w:tcMar>
              <w:left w:w="11" w:type="dxa"/>
              <w:right w:w="11" w:type="dxa"/>
            </w:tcMar>
            <w:vAlign w:val="center"/>
          </w:tcPr>
          <w:p w14:paraId="6ECBFE50" w14:textId="77777777" w:rsidR="003B6E05" w:rsidRPr="000C48F9" w:rsidRDefault="003B6E05" w:rsidP="005A0287">
            <w:pPr>
              <w:pStyle w:val="TableText0"/>
              <w:jc w:val="center"/>
              <w:rPr>
                <w:b/>
              </w:rPr>
            </w:pPr>
            <w:r w:rsidRPr="000C48F9">
              <w:rPr>
                <w:b/>
              </w:rPr>
              <w:t>Sub.</w:t>
            </w:r>
          </w:p>
        </w:tc>
        <w:tc>
          <w:tcPr>
            <w:tcW w:w="638" w:type="pct"/>
            <w:vMerge w:val="restart"/>
            <w:vAlign w:val="center"/>
          </w:tcPr>
          <w:p w14:paraId="22E82A3E" w14:textId="77777777" w:rsidR="003B6E05" w:rsidRPr="000C48F9" w:rsidRDefault="003B6E05" w:rsidP="005A0287">
            <w:pPr>
              <w:pStyle w:val="TableText0"/>
              <w:jc w:val="center"/>
              <w:rPr>
                <w:b/>
                <w:bCs w:val="0"/>
              </w:rPr>
            </w:pPr>
            <w:r w:rsidRPr="000C48F9">
              <w:rPr>
                <w:b/>
              </w:rPr>
              <w:t>Comparison</w:t>
            </w:r>
          </w:p>
        </w:tc>
        <w:tc>
          <w:tcPr>
            <w:tcW w:w="1572" w:type="pct"/>
            <w:gridSpan w:val="3"/>
            <w:tcMar>
              <w:left w:w="11" w:type="dxa"/>
              <w:right w:w="11" w:type="dxa"/>
            </w:tcMar>
            <w:vAlign w:val="center"/>
          </w:tcPr>
          <w:p w14:paraId="3FA944A5" w14:textId="77777777" w:rsidR="003B6E05" w:rsidRPr="000C48F9" w:rsidRDefault="003B6E05" w:rsidP="005A0287">
            <w:pPr>
              <w:pStyle w:val="TableText0"/>
              <w:jc w:val="center"/>
              <w:rPr>
                <w:b/>
                <w:bCs w:val="0"/>
              </w:rPr>
            </w:pPr>
            <w:r w:rsidRPr="000C48F9">
              <w:rPr>
                <w:b/>
                <w:bCs w:val="0"/>
              </w:rPr>
              <w:t>Intervention</w:t>
            </w:r>
          </w:p>
        </w:tc>
        <w:tc>
          <w:tcPr>
            <w:tcW w:w="1252" w:type="pct"/>
            <w:gridSpan w:val="3"/>
            <w:tcMar>
              <w:left w:w="11" w:type="dxa"/>
              <w:right w:w="11" w:type="dxa"/>
            </w:tcMar>
            <w:vAlign w:val="center"/>
          </w:tcPr>
          <w:p w14:paraId="5BBB49A7" w14:textId="77777777" w:rsidR="003B6E05" w:rsidRPr="000C48F9" w:rsidRDefault="003B6E05" w:rsidP="005A0287">
            <w:pPr>
              <w:pStyle w:val="TableText0"/>
              <w:jc w:val="center"/>
              <w:rPr>
                <w:b/>
                <w:bCs w:val="0"/>
              </w:rPr>
            </w:pPr>
            <w:r w:rsidRPr="000C48F9">
              <w:rPr>
                <w:b/>
                <w:bCs w:val="0"/>
              </w:rPr>
              <w:t>PBO</w:t>
            </w:r>
          </w:p>
        </w:tc>
        <w:tc>
          <w:tcPr>
            <w:tcW w:w="685" w:type="pct"/>
            <w:vMerge w:val="restart"/>
            <w:tcMar>
              <w:left w:w="11" w:type="dxa"/>
              <w:right w:w="11" w:type="dxa"/>
            </w:tcMar>
            <w:vAlign w:val="center"/>
          </w:tcPr>
          <w:p w14:paraId="3B057218" w14:textId="77777777" w:rsidR="003B6E05" w:rsidRPr="000C48F9" w:rsidRDefault="003B6E05" w:rsidP="005A0287">
            <w:pPr>
              <w:pStyle w:val="TableText0"/>
              <w:jc w:val="center"/>
              <w:rPr>
                <w:b/>
              </w:rPr>
            </w:pPr>
            <w:r w:rsidRPr="000C48F9">
              <w:rPr>
                <w:b/>
                <w:iCs/>
              </w:rPr>
              <w:t>LSM difference (95% CI)</w:t>
            </w:r>
          </w:p>
        </w:tc>
      </w:tr>
      <w:tr w:rsidR="003B6E05" w:rsidRPr="000C48F9" w14:paraId="3B10CB90" w14:textId="77777777" w:rsidTr="005A0287">
        <w:trPr>
          <w:trHeight w:val="20"/>
        </w:trPr>
        <w:tc>
          <w:tcPr>
            <w:tcW w:w="505" w:type="pct"/>
            <w:vMerge/>
            <w:tcMar>
              <w:left w:w="11" w:type="dxa"/>
              <w:right w:w="11" w:type="dxa"/>
            </w:tcMar>
            <w:vAlign w:val="center"/>
          </w:tcPr>
          <w:p w14:paraId="4D35B793" w14:textId="77777777" w:rsidR="003B6E05" w:rsidRPr="000C48F9" w:rsidRDefault="003B6E05" w:rsidP="005A0287">
            <w:pPr>
              <w:pStyle w:val="TableText0"/>
              <w:rPr>
                <w:b/>
              </w:rPr>
            </w:pPr>
          </w:p>
        </w:tc>
        <w:tc>
          <w:tcPr>
            <w:tcW w:w="348" w:type="pct"/>
            <w:vMerge/>
            <w:tcMar>
              <w:left w:w="11" w:type="dxa"/>
              <w:right w:w="11" w:type="dxa"/>
            </w:tcMar>
          </w:tcPr>
          <w:p w14:paraId="20D06935" w14:textId="77777777" w:rsidR="003B6E05" w:rsidRPr="000C48F9" w:rsidRDefault="003B6E05" w:rsidP="005A0287">
            <w:pPr>
              <w:pStyle w:val="TableText0"/>
              <w:rPr>
                <w:b/>
              </w:rPr>
            </w:pPr>
          </w:p>
        </w:tc>
        <w:tc>
          <w:tcPr>
            <w:tcW w:w="638" w:type="pct"/>
            <w:vMerge/>
          </w:tcPr>
          <w:p w14:paraId="7660D1D2" w14:textId="77777777" w:rsidR="003B6E05" w:rsidRPr="000C48F9" w:rsidRDefault="003B6E05" w:rsidP="005A0287">
            <w:pPr>
              <w:pStyle w:val="TableText0"/>
              <w:jc w:val="center"/>
              <w:rPr>
                <w:b/>
                <w:bCs w:val="0"/>
              </w:rPr>
            </w:pPr>
          </w:p>
        </w:tc>
        <w:tc>
          <w:tcPr>
            <w:tcW w:w="550" w:type="pct"/>
            <w:tcMar>
              <w:left w:w="11" w:type="dxa"/>
              <w:right w:w="11" w:type="dxa"/>
            </w:tcMar>
            <w:vAlign w:val="center"/>
          </w:tcPr>
          <w:p w14:paraId="7B5E4EA3" w14:textId="77777777" w:rsidR="003B6E05" w:rsidRPr="000C48F9" w:rsidRDefault="003B6E05" w:rsidP="005A0287">
            <w:pPr>
              <w:pStyle w:val="TableText0"/>
              <w:jc w:val="center"/>
              <w:rPr>
                <w:b/>
                <w:bCs w:val="0"/>
              </w:rPr>
            </w:pPr>
            <w:r w:rsidRPr="000C48F9">
              <w:rPr>
                <w:b/>
                <w:bCs w:val="0"/>
              </w:rPr>
              <w:t>n/N</w:t>
            </w:r>
          </w:p>
        </w:tc>
        <w:tc>
          <w:tcPr>
            <w:tcW w:w="550" w:type="pct"/>
            <w:tcMar>
              <w:left w:w="11" w:type="dxa"/>
              <w:right w:w="11" w:type="dxa"/>
            </w:tcMar>
            <w:vAlign w:val="center"/>
          </w:tcPr>
          <w:p w14:paraId="6BFBAC0A" w14:textId="77777777" w:rsidR="003B6E05" w:rsidRPr="000C48F9" w:rsidRDefault="003B6E05" w:rsidP="005A0287">
            <w:pPr>
              <w:pStyle w:val="TableText0"/>
              <w:jc w:val="center"/>
              <w:rPr>
                <w:b/>
                <w:bCs w:val="0"/>
              </w:rPr>
            </w:pPr>
            <w:r w:rsidRPr="000C48F9">
              <w:rPr>
                <w:b/>
                <w:bCs w:val="0"/>
              </w:rPr>
              <w:t>Baseline mean (SD)</w:t>
            </w:r>
          </w:p>
        </w:tc>
        <w:tc>
          <w:tcPr>
            <w:tcW w:w="472" w:type="pct"/>
            <w:tcMar>
              <w:left w:w="11" w:type="dxa"/>
              <w:right w:w="11" w:type="dxa"/>
            </w:tcMar>
            <w:vAlign w:val="center"/>
          </w:tcPr>
          <w:p w14:paraId="3103D9F8" w14:textId="77777777" w:rsidR="003B6E05" w:rsidRPr="000C48F9" w:rsidRDefault="003B6E05" w:rsidP="005A0287">
            <w:pPr>
              <w:pStyle w:val="TableText0"/>
              <w:jc w:val="center"/>
              <w:rPr>
                <w:b/>
                <w:bCs w:val="0"/>
              </w:rPr>
            </w:pPr>
            <w:r w:rsidRPr="000C48F9">
              <w:rPr>
                <w:b/>
                <w:bCs w:val="0"/>
              </w:rPr>
              <w:t>LSM change (SE)</w:t>
            </w:r>
          </w:p>
        </w:tc>
        <w:tc>
          <w:tcPr>
            <w:tcW w:w="392" w:type="pct"/>
            <w:tcMar>
              <w:left w:w="11" w:type="dxa"/>
              <w:right w:w="11" w:type="dxa"/>
            </w:tcMar>
            <w:vAlign w:val="center"/>
          </w:tcPr>
          <w:p w14:paraId="7BCDCCF1" w14:textId="77777777" w:rsidR="003B6E05" w:rsidRPr="000C48F9" w:rsidRDefault="003B6E05" w:rsidP="005A0287">
            <w:pPr>
              <w:pStyle w:val="TableText0"/>
              <w:jc w:val="center"/>
              <w:rPr>
                <w:b/>
                <w:bCs w:val="0"/>
              </w:rPr>
            </w:pPr>
            <w:r w:rsidRPr="000C48F9">
              <w:rPr>
                <w:b/>
                <w:bCs w:val="0"/>
              </w:rPr>
              <w:t>n/N</w:t>
            </w:r>
          </w:p>
        </w:tc>
        <w:tc>
          <w:tcPr>
            <w:tcW w:w="471" w:type="pct"/>
            <w:tcMar>
              <w:left w:w="11" w:type="dxa"/>
              <w:right w:w="11" w:type="dxa"/>
            </w:tcMar>
            <w:vAlign w:val="center"/>
          </w:tcPr>
          <w:p w14:paraId="213C2F31" w14:textId="77777777" w:rsidR="003B6E05" w:rsidRPr="000C48F9" w:rsidRDefault="003B6E05" w:rsidP="005A0287">
            <w:pPr>
              <w:pStyle w:val="TableText0"/>
              <w:jc w:val="center"/>
              <w:rPr>
                <w:b/>
                <w:bCs w:val="0"/>
              </w:rPr>
            </w:pPr>
            <w:r w:rsidRPr="000C48F9">
              <w:rPr>
                <w:b/>
                <w:bCs w:val="0"/>
              </w:rPr>
              <w:t>Baseline mean (SD)</w:t>
            </w:r>
          </w:p>
        </w:tc>
        <w:tc>
          <w:tcPr>
            <w:tcW w:w="389" w:type="pct"/>
            <w:tcMar>
              <w:left w:w="11" w:type="dxa"/>
              <w:right w:w="11" w:type="dxa"/>
            </w:tcMar>
            <w:vAlign w:val="center"/>
          </w:tcPr>
          <w:p w14:paraId="1CEB252C" w14:textId="77777777" w:rsidR="003B6E05" w:rsidRPr="000C48F9" w:rsidRDefault="003B6E05" w:rsidP="005A0287">
            <w:pPr>
              <w:pStyle w:val="TableText0"/>
              <w:jc w:val="center"/>
              <w:rPr>
                <w:b/>
                <w:bCs w:val="0"/>
              </w:rPr>
            </w:pPr>
            <w:r w:rsidRPr="000C48F9">
              <w:rPr>
                <w:b/>
                <w:bCs w:val="0"/>
              </w:rPr>
              <w:t>LSM change (SE)</w:t>
            </w:r>
          </w:p>
        </w:tc>
        <w:tc>
          <w:tcPr>
            <w:tcW w:w="685" w:type="pct"/>
            <w:vMerge/>
            <w:tcMar>
              <w:left w:w="11" w:type="dxa"/>
              <w:right w:w="11" w:type="dxa"/>
            </w:tcMar>
            <w:vAlign w:val="center"/>
          </w:tcPr>
          <w:p w14:paraId="03FDCF92" w14:textId="77777777" w:rsidR="003B6E05" w:rsidRPr="000C48F9" w:rsidRDefault="003B6E05" w:rsidP="005A0287">
            <w:pPr>
              <w:pStyle w:val="TableText0"/>
              <w:jc w:val="center"/>
              <w:rPr>
                <w:b/>
                <w:iCs/>
              </w:rPr>
            </w:pPr>
          </w:p>
        </w:tc>
      </w:tr>
      <w:tr w:rsidR="003B6E05" w:rsidRPr="000C48F9" w14:paraId="4BA3FD9C" w14:textId="77777777" w:rsidTr="005A0287">
        <w:trPr>
          <w:trHeight w:val="20"/>
        </w:trPr>
        <w:tc>
          <w:tcPr>
            <w:tcW w:w="5000" w:type="pct"/>
            <w:gridSpan w:val="10"/>
            <w:tcMar>
              <w:left w:w="11" w:type="dxa"/>
              <w:right w:w="11" w:type="dxa"/>
            </w:tcMar>
            <w:vAlign w:val="center"/>
          </w:tcPr>
          <w:p w14:paraId="0E5E1DA5" w14:textId="77777777" w:rsidR="003B6E05" w:rsidRPr="000C48F9" w:rsidRDefault="003B6E05" w:rsidP="005A0287">
            <w:pPr>
              <w:pStyle w:val="TableText0"/>
              <w:rPr>
                <w:b/>
                <w:szCs w:val="20"/>
              </w:rPr>
            </w:pPr>
            <w:r w:rsidRPr="000C48F9">
              <w:rPr>
                <w:b/>
              </w:rPr>
              <w:t xml:space="preserve">Randomised trials </w:t>
            </w:r>
          </w:p>
        </w:tc>
      </w:tr>
      <w:tr w:rsidR="003B6E05" w:rsidRPr="000C48F9" w14:paraId="3DEA1612" w14:textId="77777777" w:rsidTr="005A0287">
        <w:trPr>
          <w:trHeight w:val="20"/>
        </w:trPr>
        <w:tc>
          <w:tcPr>
            <w:tcW w:w="505" w:type="pct"/>
            <w:tcMar>
              <w:left w:w="11" w:type="dxa"/>
              <w:right w:w="11" w:type="dxa"/>
            </w:tcMar>
            <w:vAlign w:val="center"/>
          </w:tcPr>
          <w:p w14:paraId="6D452C20" w14:textId="5D5A3440" w:rsidR="003B6E05" w:rsidRPr="000C48F9" w:rsidRDefault="003B6E05" w:rsidP="005A0287">
            <w:pPr>
              <w:pStyle w:val="TableText0"/>
            </w:pPr>
            <w:r w:rsidRPr="000C48F9">
              <w:t xml:space="preserve">Study 116 </w:t>
            </w:r>
          </w:p>
        </w:tc>
        <w:tc>
          <w:tcPr>
            <w:tcW w:w="348" w:type="pct"/>
            <w:tcMar>
              <w:left w:w="11" w:type="dxa"/>
              <w:right w:w="11" w:type="dxa"/>
            </w:tcMar>
            <w:vAlign w:val="center"/>
          </w:tcPr>
          <w:p w14:paraId="11BABB64" w14:textId="68936353" w:rsidR="003B6E05" w:rsidRPr="000C48F9" w:rsidRDefault="003B6E05" w:rsidP="005A0287">
            <w:pPr>
              <w:pStyle w:val="TableText0"/>
            </w:pPr>
            <w:r w:rsidRPr="000C48F9">
              <w:t>F/MF</w:t>
            </w:r>
            <w:r w:rsidRPr="000C48F9" w:rsidDel="00DC5EC4">
              <w:t xml:space="preserve"> </w:t>
            </w:r>
          </w:p>
        </w:tc>
        <w:tc>
          <w:tcPr>
            <w:tcW w:w="638" w:type="pct"/>
          </w:tcPr>
          <w:p w14:paraId="43B3B73B" w14:textId="77777777" w:rsidR="003B6E05" w:rsidRPr="00A378B7" w:rsidRDefault="003B6E05" w:rsidP="005A0287">
            <w:pPr>
              <w:pStyle w:val="TableText0"/>
              <w:jc w:val="center"/>
              <w:rPr>
                <w:szCs w:val="20"/>
                <w:lang w:val="pt-BR"/>
              </w:rPr>
            </w:pPr>
            <w:r w:rsidRPr="00A378B7">
              <w:rPr>
                <w:szCs w:val="20"/>
                <w:lang w:val="pt-BR"/>
              </w:rPr>
              <w:t>ELX/TEZ/IVA vs PBO</w:t>
            </w:r>
          </w:p>
        </w:tc>
        <w:tc>
          <w:tcPr>
            <w:tcW w:w="550" w:type="pct"/>
            <w:tcMar>
              <w:left w:w="11" w:type="dxa"/>
              <w:right w:w="11" w:type="dxa"/>
            </w:tcMar>
            <w:vAlign w:val="center"/>
          </w:tcPr>
          <w:p w14:paraId="60892C59" w14:textId="626B1FD6" w:rsidR="003B6E05" w:rsidRPr="000C48F9" w:rsidRDefault="003B6E05" w:rsidP="005A0287">
            <w:pPr>
              <w:pStyle w:val="TableText0"/>
              <w:jc w:val="center"/>
            </w:pPr>
            <w:r w:rsidRPr="000C48F9">
              <w:rPr>
                <w:szCs w:val="20"/>
              </w:rPr>
              <w:t>60/121</w:t>
            </w:r>
          </w:p>
        </w:tc>
        <w:tc>
          <w:tcPr>
            <w:tcW w:w="550" w:type="pct"/>
            <w:tcMar>
              <w:left w:w="11" w:type="dxa"/>
              <w:right w:w="11" w:type="dxa"/>
            </w:tcMar>
            <w:vAlign w:val="center"/>
          </w:tcPr>
          <w:p w14:paraId="09772AFA" w14:textId="77777777" w:rsidR="003B6E05" w:rsidRPr="000C48F9" w:rsidRDefault="003B6E05" w:rsidP="005A0287">
            <w:pPr>
              <w:pStyle w:val="TableText0"/>
              <w:jc w:val="center"/>
            </w:pPr>
            <w:r w:rsidRPr="000C48F9">
              <w:rPr>
                <w:rFonts w:cstheme="minorHAnsi"/>
                <w:szCs w:val="20"/>
              </w:rPr>
              <w:t>91.4 (13.8)</w:t>
            </w:r>
          </w:p>
        </w:tc>
        <w:tc>
          <w:tcPr>
            <w:tcW w:w="472" w:type="pct"/>
            <w:tcMar>
              <w:left w:w="11" w:type="dxa"/>
              <w:right w:w="11" w:type="dxa"/>
            </w:tcMar>
            <w:vAlign w:val="center"/>
          </w:tcPr>
          <w:p w14:paraId="3BB867BA" w14:textId="77777777" w:rsidR="003B6E05" w:rsidRPr="000C48F9" w:rsidRDefault="003B6E05" w:rsidP="005A0287">
            <w:pPr>
              <w:pStyle w:val="TableText0"/>
              <w:jc w:val="center"/>
            </w:pPr>
            <w:r w:rsidRPr="000C48F9">
              <w:rPr>
                <w:szCs w:val="20"/>
              </w:rPr>
              <w:t>9.5 (1.5)</w:t>
            </w:r>
          </w:p>
        </w:tc>
        <w:tc>
          <w:tcPr>
            <w:tcW w:w="392" w:type="pct"/>
            <w:tcMar>
              <w:left w:w="11" w:type="dxa"/>
              <w:right w:w="11" w:type="dxa"/>
            </w:tcMar>
            <w:vAlign w:val="center"/>
          </w:tcPr>
          <w:p w14:paraId="2C70192C" w14:textId="42B15026" w:rsidR="003B6E05" w:rsidRPr="000C48F9" w:rsidRDefault="003B6E05" w:rsidP="005A0287">
            <w:pPr>
              <w:pStyle w:val="TableText0"/>
              <w:jc w:val="center"/>
            </w:pPr>
            <w:r w:rsidRPr="000C48F9">
              <w:rPr>
                <w:szCs w:val="20"/>
              </w:rPr>
              <w:t>61/121</w:t>
            </w:r>
          </w:p>
        </w:tc>
        <w:tc>
          <w:tcPr>
            <w:tcW w:w="471" w:type="pct"/>
            <w:tcMar>
              <w:left w:w="11" w:type="dxa"/>
              <w:right w:w="11" w:type="dxa"/>
            </w:tcMar>
            <w:vAlign w:val="center"/>
          </w:tcPr>
          <w:p w14:paraId="63827537" w14:textId="77777777" w:rsidR="003B6E05" w:rsidRPr="000C48F9" w:rsidRDefault="003B6E05" w:rsidP="005A0287">
            <w:pPr>
              <w:pStyle w:val="TableText0"/>
              <w:jc w:val="center"/>
            </w:pPr>
            <w:r w:rsidRPr="000C48F9">
              <w:rPr>
                <w:rFonts w:cstheme="minorHAnsi"/>
                <w:szCs w:val="20"/>
              </w:rPr>
              <w:t>87.2 (15.8)</w:t>
            </w:r>
          </w:p>
        </w:tc>
        <w:tc>
          <w:tcPr>
            <w:tcW w:w="389" w:type="pct"/>
            <w:tcMar>
              <w:left w:w="11" w:type="dxa"/>
              <w:right w:w="11" w:type="dxa"/>
            </w:tcMar>
            <w:vAlign w:val="center"/>
          </w:tcPr>
          <w:p w14:paraId="1ED79CB8" w14:textId="77777777" w:rsidR="003B6E05" w:rsidRPr="000C48F9" w:rsidRDefault="003B6E05" w:rsidP="005A0287">
            <w:pPr>
              <w:pStyle w:val="TableText0"/>
              <w:jc w:val="center"/>
            </w:pPr>
            <w:r w:rsidRPr="000C48F9">
              <w:rPr>
                <w:szCs w:val="20"/>
              </w:rPr>
              <w:t>-1.5 (1.5)</w:t>
            </w:r>
          </w:p>
        </w:tc>
        <w:tc>
          <w:tcPr>
            <w:tcW w:w="685" w:type="pct"/>
            <w:tcMar>
              <w:left w:w="11" w:type="dxa"/>
              <w:right w:w="11" w:type="dxa"/>
            </w:tcMar>
            <w:vAlign w:val="center"/>
          </w:tcPr>
          <w:p w14:paraId="50A3FB3C" w14:textId="77777777" w:rsidR="003B6E05" w:rsidRPr="000C48F9" w:rsidRDefault="003B6E05" w:rsidP="005A0287">
            <w:pPr>
              <w:pStyle w:val="TableText0"/>
              <w:jc w:val="center"/>
              <w:rPr>
                <w:b/>
                <w:bCs w:val="0"/>
              </w:rPr>
            </w:pPr>
            <w:r w:rsidRPr="000C48F9">
              <w:rPr>
                <w:b/>
                <w:szCs w:val="20"/>
              </w:rPr>
              <w:t>11.0 (</w:t>
            </w:r>
            <w:r w:rsidRPr="000C48F9">
              <w:rPr>
                <w:rFonts w:cstheme="minorHAnsi"/>
                <w:b/>
                <w:szCs w:val="20"/>
              </w:rPr>
              <w:t>6.9, 15.1</w:t>
            </w:r>
            <w:r w:rsidRPr="000C48F9">
              <w:rPr>
                <w:b/>
                <w:szCs w:val="20"/>
              </w:rPr>
              <w:t>)</w:t>
            </w:r>
          </w:p>
        </w:tc>
      </w:tr>
      <w:tr w:rsidR="003B6E05" w:rsidRPr="000C48F9" w14:paraId="6260CE79" w14:textId="77777777" w:rsidTr="00170D95">
        <w:trPr>
          <w:trHeight w:val="20"/>
        </w:trPr>
        <w:tc>
          <w:tcPr>
            <w:tcW w:w="505" w:type="pct"/>
            <w:shd w:val="clear" w:color="auto" w:fill="auto"/>
            <w:tcMar>
              <w:left w:w="11" w:type="dxa"/>
              <w:right w:w="11" w:type="dxa"/>
            </w:tcMar>
            <w:vAlign w:val="center"/>
          </w:tcPr>
          <w:p w14:paraId="43844AC7" w14:textId="77777777" w:rsidR="003B6E05" w:rsidRPr="000C48F9" w:rsidRDefault="003B6E05" w:rsidP="00BF6DEE">
            <w:pPr>
              <w:pStyle w:val="TableText0"/>
            </w:pPr>
            <w:r w:rsidRPr="000C48F9">
              <w:t>Study 109</w:t>
            </w:r>
          </w:p>
        </w:tc>
        <w:tc>
          <w:tcPr>
            <w:tcW w:w="348" w:type="pct"/>
            <w:shd w:val="clear" w:color="auto" w:fill="auto"/>
            <w:tcMar>
              <w:left w:w="11" w:type="dxa"/>
              <w:right w:w="11" w:type="dxa"/>
            </w:tcMar>
            <w:vAlign w:val="center"/>
          </w:tcPr>
          <w:p w14:paraId="453588F6" w14:textId="77777777" w:rsidR="003B6E05" w:rsidRPr="000C48F9" w:rsidRDefault="003B6E05" w:rsidP="005A0287">
            <w:pPr>
              <w:pStyle w:val="TableText0"/>
            </w:pPr>
            <w:r w:rsidRPr="000C48F9">
              <w:t>F/F</w:t>
            </w:r>
          </w:p>
        </w:tc>
        <w:tc>
          <w:tcPr>
            <w:tcW w:w="638" w:type="pct"/>
            <w:shd w:val="clear" w:color="auto" w:fill="auto"/>
          </w:tcPr>
          <w:p w14:paraId="31D428F3" w14:textId="77777777" w:rsidR="003B6E05" w:rsidRPr="000C48F9" w:rsidRDefault="003B6E05" w:rsidP="005A0287">
            <w:pPr>
              <w:pStyle w:val="TableText0"/>
              <w:jc w:val="center"/>
              <w:rPr>
                <w:szCs w:val="20"/>
              </w:rPr>
            </w:pPr>
            <w:r w:rsidRPr="000C48F9">
              <w:rPr>
                <w:szCs w:val="20"/>
              </w:rPr>
              <w:t>LUM/IVA vs PBO</w:t>
            </w:r>
          </w:p>
        </w:tc>
        <w:tc>
          <w:tcPr>
            <w:tcW w:w="550" w:type="pct"/>
            <w:shd w:val="clear" w:color="auto" w:fill="auto"/>
            <w:tcMar>
              <w:left w:w="11" w:type="dxa"/>
              <w:right w:w="11" w:type="dxa"/>
            </w:tcMar>
            <w:vAlign w:val="center"/>
          </w:tcPr>
          <w:p w14:paraId="3333B51D" w14:textId="5C2073C6" w:rsidR="003B6E05" w:rsidRPr="000C48F9" w:rsidRDefault="003B6E05" w:rsidP="005A0287">
            <w:pPr>
              <w:pStyle w:val="TableText0"/>
              <w:jc w:val="center"/>
              <w:rPr>
                <w:iCs/>
              </w:rPr>
            </w:pPr>
            <w:r w:rsidRPr="000C48F9">
              <w:rPr>
                <w:iCs/>
                <w:szCs w:val="20"/>
              </w:rPr>
              <w:t>103/204</w:t>
            </w:r>
          </w:p>
        </w:tc>
        <w:tc>
          <w:tcPr>
            <w:tcW w:w="550" w:type="pct"/>
            <w:shd w:val="clear" w:color="auto" w:fill="auto"/>
            <w:tcMar>
              <w:left w:w="11" w:type="dxa"/>
              <w:right w:w="11" w:type="dxa"/>
            </w:tcMar>
            <w:vAlign w:val="center"/>
          </w:tcPr>
          <w:p w14:paraId="61B7F446" w14:textId="77777777" w:rsidR="003B6E05" w:rsidRPr="000C48F9" w:rsidRDefault="003B6E05" w:rsidP="005A0287">
            <w:pPr>
              <w:pStyle w:val="TableText0"/>
              <w:jc w:val="center"/>
              <w:rPr>
                <w:iCs/>
              </w:rPr>
            </w:pPr>
            <w:r w:rsidRPr="000C48F9">
              <w:rPr>
                <w:iCs/>
                <w:szCs w:val="20"/>
              </w:rPr>
              <w:t>88.8 (13.7)</w:t>
            </w:r>
          </w:p>
        </w:tc>
        <w:tc>
          <w:tcPr>
            <w:tcW w:w="472" w:type="pct"/>
            <w:shd w:val="clear" w:color="auto" w:fill="auto"/>
            <w:tcMar>
              <w:left w:w="11" w:type="dxa"/>
              <w:right w:w="11" w:type="dxa"/>
            </w:tcMar>
            <w:vAlign w:val="center"/>
          </w:tcPr>
          <w:p w14:paraId="6922F9FE" w14:textId="77777777" w:rsidR="003B6E05" w:rsidRPr="000C48F9" w:rsidRDefault="003B6E05" w:rsidP="005A0287">
            <w:pPr>
              <w:pStyle w:val="TableText0"/>
              <w:jc w:val="center"/>
              <w:rPr>
                <w:iCs/>
              </w:rPr>
            </w:pPr>
            <w:r w:rsidRPr="000C48F9">
              <w:rPr>
                <w:iCs/>
                <w:szCs w:val="20"/>
              </w:rPr>
              <w:t>2.5 (0.9)</w:t>
            </w:r>
          </w:p>
        </w:tc>
        <w:tc>
          <w:tcPr>
            <w:tcW w:w="392" w:type="pct"/>
            <w:shd w:val="clear" w:color="auto" w:fill="auto"/>
            <w:tcMar>
              <w:left w:w="11" w:type="dxa"/>
              <w:right w:w="11" w:type="dxa"/>
            </w:tcMar>
            <w:vAlign w:val="center"/>
          </w:tcPr>
          <w:p w14:paraId="7DDD79EF" w14:textId="64065802" w:rsidR="003B6E05" w:rsidRPr="000C48F9" w:rsidRDefault="003B6E05" w:rsidP="005A0287">
            <w:pPr>
              <w:pStyle w:val="TableText0"/>
              <w:jc w:val="center"/>
              <w:rPr>
                <w:iCs/>
              </w:rPr>
            </w:pPr>
            <w:r w:rsidRPr="000C48F9">
              <w:rPr>
                <w:iCs/>
                <w:szCs w:val="20"/>
              </w:rPr>
              <w:t>101/204</w:t>
            </w:r>
          </w:p>
        </w:tc>
        <w:tc>
          <w:tcPr>
            <w:tcW w:w="471" w:type="pct"/>
            <w:shd w:val="clear" w:color="auto" w:fill="auto"/>
            <w:tcMar>
              <w:left w:w="11" w:type="dxa"/>
              <w:right w:w="11" w:type="dxa"/>
            </w:tcMar>
            <w:vAlign w:val="center"/>
          </w:tcPr>
          <w:p w14:paraId="349BBEE9" w14:textId="77777777" w:rsidR="003B6E05" w:rsidRPr="000C48F9" w:rsidRDefault="003B6E05" w:rsidP="005A0287">
            <w:pPr>
              <w:pStyle w:val="TableText0"/>
              <w:jc w:val="center"/>
              <w:rPr>
                <w:iCs/>
              </w:rPr>
            </w:pPr>
            <w:r w:rsidRPr="000C48F9">
              <w:rPr>
                <w:iCs/>
                <w:szCs w:val="20"/>
              </w:rPr>
              <w:t>90.7 (10.8)</w:t>
            </w:r>
          </w:p>
        </w:tc>
        <w:tc>
          <w:tcPr>
            <w:tcW w:w="389" w:type="pct"/>
            <w:shd w:val="clear" w:color="auto" w:fill="auto"/>
            <w:tcMar>
              <w:left w:w="11" w:type="dxa"/>
              <w:right w:w="11" w:type="dxa"/>
            </w:tcMar>
            <w:vAlign w:val="center"/>
          </w:tcPr>
          <w:p w14:paraId="55F7B880" w14:textId="77777777" w:rsidR="003B6E05" w:rsidRPr="000C48F9" w:rsidRDefault="003B6E05" w:rsidP="005A0287">
            <w:pPr>
              <w:pStyle w:val="TableText0"/>
              <w:jc w:val="center"/>
              <w:rPr>
                <w:iCs/>
              </w:rPr>
            </w:pPr>
            <w:r w:rsidRPr="000C48F9">
              <w:rPr>
                <w:iCs/>
                <w:szCs w:val="20"/>
              </w:rPr>
              <w:t>-0.5 (0.9)</w:t>
            </w:r>
          </w:p>
        </w:tc>
        <w:tc>
          <w:tcPr>
            <w:tcW w:w="685" w:type="pct"/>
            <w:shd w:val="clear" w:color="auto" w:fill="auto"/>
            <w:tcMar>
              <w:left w:w="11" w:type="dxa"/>
              <w:right w:w="11" w:type="dxa"/>
            </w:tcMar>
            <w:vAlign w:val="center"/>
          </w:tcPr>
          <w:p w14:paraId="1B6DE7C2" w14:textId="77777777" w:rsidR="003B6E05" w:rsidRPr="000C48F9" w:rsidRDefault="003B6E05" w:rsidP="005A0287">
            <w:pPr>
              <w:pStyle w:val="TableText0"/>
              <w:jc w:val="center"/>
              <w:rPr>
                <w:b/>
                <w:bCs w:val="0"/>
                <w:iCs/>
              </w:rPr>
            </w:pPr>
            <w:r w:rsidRPr="000C48F9">
              <w:rPr>
                <w:b/>
                <w:iCs/>
                <w:szCs w:val="20"/>
              </w:rPr>
              <w:t>3.0 (0.5, 5.5)</w:t>
            </w:r>
          </w:p>
        </w:tc>
      </w:tr>
      <w:tr w:rsidR="003B6E05" w:rsidRPr="000C48F9" w14:paraId="78CE995F" w14:textId="77777777" w:rsidTr="005A0287">
        <w:trPr>
          <w:trHeight w:val="20"/>
        </w:trPr>
        <w:tc>
          <w:tcPr>
            <w:tcW w:w="5000" w:type="pct"/>
            <w:gridSpan w:val="10"/>
            <w:tcMar>
              <w:left w:w="11" w:type="dxa"/>
              <w:right w:w="11" w:type="dxa"/>
            </w:tcMar>
            <w:vAlign w:val="center"/>
          </w:tcPr>
          <w:p w14:paraId="36DDDF5C" w14:textId="7F592EC4" w:rsidR="003B6E05" w:rsidRPr="000C48F9" w:rsidRDefault="003B6E05" w:rsidP="005A0287">
            <w:pPr>
              <w:pStyle w:val="TableText0"/>
              <w:rPr>
                <w:b/>
              </w:rPr>
            </w:pPr>
            <w:r w:rsidRPr="000C48F9">
              <w:rPr>
                <w:b/>
              </w:rPr>
              <w:t xml:space="preserve">Non-randomised single arm </w:t>
            </w:r>
            <w:r w:rsidR="004967C5" w:rsidRPr="000C48F9">
              <w:rPr>
                <w:b/>
              </w:rPr>
              <w:t>studies</w:t>
            </w:r>
          </w:p>
        </w:tc>
      </w:tr>
      <w:tr w:rsidR="00A96A5F" w:rsidRPr="000C48F9" w14:paraId="0FF5C1AC" w14:textId="77777777" w:rsidTr="00A96A5F">
        <w:trPr>
          <w:trHeight w:val="20"/>
        </w:trPr>
        <w:tc>
          <w:tcPr>
            <w:tcW w:w="505" w:type="pct"/>
            <w:vMerge w:val="restart"/>
            <w:tcMar>
              <w:left w:w="11" w:type="dxa"/>
              <w:right w:w="11" w:type="dxa"/>
            </w:tcMar>
            <w:vAlign w:val="center"/>
          </w:tcPr>
          <w:p w14:paraId="28DEC042" w14:textId="77777777" w:rsidR="00A96A5F" w:rsidRPr="000C48F9" w:rsidRDefault="00A96A5F" w:rsidP="005A0287">
            <w:pPr>
              <w:pStyle w:val="TableText0"/>
            </w:pPr>
            <w:r w:rsidRPr="000C48F9">
              <w:t>Study 106</w:t>
            </w:r>
          </w:p>
        </w:tc>
        <w:tc>
          <w:tcPr>
            <w:tcW w:w="348" w:type="pct"/>
            <w:tcMar>
              <w:left w:w="11" w:type="dxa"/>
              <w:right w:w="11" w:type="dxa"/>
            </w:tcMar>
            <w:vAlign w:val="center"/>
          </w:tcPr>
          <w:p w14:paraId="04826970" w14:textId="77777777" w:rsidR="00A96A5F" w:rsidRPr="000C48F9" w:rsidRDefault="00A96A5F" w:rsidP="005A0287">
            <w:pPr>
              <w:pStyle w:val="TableText0"/>
            </w:pPr>
            <w:r w:rsidRPr="000C48F9">
              <w:t>F/MF</w:t>
            </w:r>
          </w:p>
        </w:tc>
        <w:tc>
          <w:tcPr>
            <w:tcW w:w="638" w:type="pct"/>
            <w:vMerge w:val="restart"/>
            <w:vAlign w:val="center"/>
          </w:tcPr>
          <w:p w14:paraId="1A13AFC7" w14:textId="77777777" w:rsidR="00A96A5F" w:rsidRPr="000C48F9" w:rsidRDefault="00A96A5F" w:rsidP="005A0287">
            <w:pPr>
              <w:pStyle w:val="TableText0"/>
              <w:jc w:val="center"/>
            </w:pPr>
            <w:r w:rsidRPr="000C48F9">
              <w:t>ELX/TEZ/IVA</w:t>
            </w:r>
          </w:p>
        </w:tc>
        <w:tc>
          <w:tcPr>
            <w:tcW w:w="550" w:type="pct"/>
            <w:tcMar>
              <w:left w:w="11" w:type="dxa"/>
              <w:right w:w="11" w:type="dxa"/>
            </w:tcMar>
          </w:tcPr>
          <w:p w14:paraId="004B20B7" w14:textId="77777777" w:rsidR="00A96A5F" w:rsidRPr="000C48F9" w:rsidRDefault="00A96A5F" w:rsidP="005A0287">
            <w:pPr>
              <w:pStyle w:val="TableText0"/>
              <w:jc w:val="center"/>
              <w:rPr>
                <w:i/>
                <w:szCs w:val="20"/>
              </w:rPr>
            </w:pPr>
            <w:r w:rsidRPr="000C48F9">
              <w:t>34/37</w:t>
            </w:r>
          </w:p>
        </w:tc>
        <w:tc>
          <w:tcPr>
            <w:tcW w:w="550" w:type="pct"/>
            <w:vMerge w:val="restart"/>
            <w:tcMar>
              <w:left w:w="11" w:type="dxa"/>
              <w:right w:w="11" w:type="dxa"/>
            </w:tcMar>
            <w:vAlign w:val="center"/>
          </w:tcPr>
          <w:p w14:paraId="5D32C187" w14:textId="59FF425D" w:rsidR="00A96A5F" w:rsidRPr="000C48F9" w:rsidRDefault="00A96A5F" w:rsidP="00A96A5F">
            <w:pPr>
              <w:pStyle w:val="TableText0"/>
              <w:jc w:val="center"/>
              <w:rPr>
                <w:i/>
                <w:szCs w:val="20"/>
              </w:rPr>
            </w:pPr>
            <w:r w:rsidRPr="000C48F9">
              <w:t>88.8 (17.7)</w:t>
            </w:r>
          </w:p>
        </w:tc>
        <w:tc>
          <w:tcPr>
            <w:tcW w:w="472" w:type="pct"/>
            <w:tcMar>
              <w:left w:w="11" w:type="dxa"/>
              <w:right w:w="11" w:type="dxa"/>
            </w:tcMar>
          </w:tcPr>
          <w:p w14:paraId="7F3748F5" w14:textId="7EF61C64" w:rsidR="00A96A5F" w:rsidRPr="000C48F9" w:rsidRDefault="00A96A5F" w:rsidP="005A0287">
            <w:pPr>
              <w:pStyle w:val="TableText0"/>
              <w:jc w:val="center"/>
              <w:rPr>
                <w:i/>
                <w:szCs w:val="20"/>
              </w:rPr>
            </w:pPr>
            <w:r w:rsidRPr="000C48F9">
              <w:t>9.1 (1.4)</w:t>
            </w:r>
          </w:p>
        </w:tc>
        <w:tc>
          <w:tcPr>
            <w:tcW w:w="392" w:type="pct"/>
            <w:tcMar>
              <w:left w:w="11" w:type="dxa"/>
              <w:right w:w="11" w:type="dxa"/>
            </w:tcMar>
          </w:tcPr>
          <w:p w14:paraId="06F6E355" w14:textId="77777777" w:rsidR="00A96A5F" w:rsidRPr="000C48F9" w:rsidRDefault="00A96A5F" w:rsidP="005A0287">
            <w:pPr>
              <w:pStyle w:val="TableText0"/>
              <w:jc w:val="center"/>
              <w:rPr>
                <w:i/>
                <w:szCs w:val="20"/>
              </w:rPr>
            </w:pPr>
            <w:r w:rsidRPr="000C48F9">
              <w:t>NA</w:t>
            </w:r>
          </w:p>
        </w:tc>
        <w:tc>
          <w:tcPr>
            <w:tcW w:w="471" w:type="pct"/>
            <w:tcMar>
              <w:left w:w="11" w:type="dxa"/>
              <w:right w:w="11" w:type="dxa"/>
            </w:tcMar>
          </w:tcPr>
          <w:p w14:paraId="487BDEF6" w14:textId="77777777" w:rsidR="00A96A5F" w:rsidRPr="000C48F9" w:rsidRDefault="00A96A5F" w:rsidP="005A0287">
            <w:pPr>
              <w:pStyle w:val="TableText0"/>
              <w:jc w:val="center"/>
              <w:rPr>
                <w:i/>
                <w:szCs w:val="20"/>
              </w:rPr>
            </w:pPr>
            <w:r w:rsidRPr="000C48F9">
              <w:t>NA</w:t>
            </w:r>
          </w:p>
        </w:tc>
        <w:tc>
          <w:tcPr>
            <w:tcW w:w="389" w:type="pct"/>
            <w:tcMar>
              <w:left w:w="11" w:type="dxa"/>
              <w:right w:w="11" w:type="dxa"/>
            </w:tcMar>
          </w:tcPr>
          <w:p w14:paraId="53256E37" w14:textId="77777777" w:rsidR="00A96A5F" w:rsidRPr="000C48F9" w:rsidRDefault="00A96A5F" w:rsidP="005A0287">
            <w:pPr>
              <w:pStyle w:val="TableText0"/>
              <w:jc w:val="center"/>
              <w:rPr>
                <w:i/>
                <w:szCs w:val="20"/>
              </w:rPr>
            </w:pPr>
            <w:r w:rsidRPr="000C48F9">
              <w:t>NA</w:t>
            </w:r>
          </w:p>
        </w:tc>
        <w:tc>
          <w:tcPr>
            <w:tcW w:w="685" w:type="pct"/>
            <w:tcMar>
              <w:left w:w="11" w:type="dxa"/>
              <w:right w:w="11" w:type="dxa"/>
            </w:tcMar>
          </w:tcPr>
          <w:p w14:paraId="5E020E91" w14:textId="77777777" w:rsidR="00A96A5F" w:rsidRPr="000C48F9" w:rsidRDefault="00A96A5F" w:rsidP="005A0287">
            <w:pPr>
              <w:pStyle w:val="TableText0"/>
              <w:jc w:val="center"/>
              <w:rPr>
                <w:b/>
                <w:i/>
                <w:szCs w:val="20"/>
              </w:rPr>
            </w:pPr>
            <w:r w:rsidRPr="000C48F9">
              <w:rPr>
                <w:b/>
              </w:rPr>
              <w:t>9.1 (6.3, 11.9)</w:t>
            </w:r>
          </w:p>
        </w:tc>
      </w:tr>
      <w:tr w:rsidR="00A96A5F" w:rsidRPr="000C48F9" w14:paraId="24E11844" w14:textId="77777777" w:rsidTr="005A0287">
        <w:trPr>
          <w:trHeight w:val="20"/>
        </w:trPr>
        <w:tc>
          <w:tcPr>
            <w:tcW w:w="505" w:type="pct"/>
            <w:vMerge/>
            <w:tcMar>
              <w:left w:w="11" w:type="dxa"/>
              <w:right w:w="11" w:type="dxa"/>
            </w:tcMar>
            <w:vAlign w:val="center"/>
          </w:tcPr>
          <w:p w14:paraId="621393A9" w14:textId="77777777" w:rsidR="00A96A5F" w:rsidRPr="000C48F9" w:rsidRDefault="00A96A5F" w:rsidP="005A0287">
            <w:pPr>
              <w:pStyle w:val="TableText0"/>
            </w:pPr>
          </w:p>
        </w:tc>
        <w:tc>
          <w:tcPr>
            <w:tcW w:w="348" w:type="pct"/>
            <w:tcMar>
              <w:left w:w="11" w:type="dxa"/>
              <w:right w:w="11" w:type="dxa"/>
            </w:tcMar>
            <w:vAlign w:val="center"/>
          </w:tcPr>
          <w:p w14:paraId="2414B2BB" w14:textId="77777777" w:rsidR="00A96A5F" w:rsidRPr="000C48F9" w:rsidRDefault="00A96A5F" w:rsidP="005A0287">
            <w:pPr>
              <w:pStyle w:val="TableText0"/>
            </w:pPr>
            <w:r w:rsidRPr="000C48F9">
              <w:t>F/F</w:t>
            </w:r>
          </w:p>
        </w:tc>
        <w:tc>
          <w:tcPr>
            <w:tcW w:w="638" w:type="pct"/>
            <w:vMerge/>
            <w:vAlign w:val="center"/>
          </w:tcPr>
          <w:p w14:paraId="49197ED5" w14:textId="77777777" w:rsidR="00A96A5F" w:rsidRPr="000C48F9" w:rsidRDefault="00A96A5F" w:rsidP="005A0287">
            <w:pPr>
              <w:pStyle w:val="TableText0"/>
              <w:jc w:val="center"/>
            </w:pPr>
          </w:p>
        </w:tc>
        <w:tc>
          <w:tcPr>
            <w:tcW w:w="550" w:type="pct"/>
            <w:tcMar>
              <w:left w:w="11" w:type="dxa"/>
              <w:right w:w="11" w:type="dxa"/>
            </w:tcMar>
          </w:tcPr>
          <w:p w14:paraId="7223957B" w14:textId="77777777" w:rsidR="00A96A5F" w:rsidRPr="000C48F9" w:rsidRDefault="00A96A5F" w:rsidP="005A0287">
            <w:pPr>
              <w:pStyle w:val="TableText0"/>
              <w:jc w:val="center"/>
              <w:rPr>
                <w:i/>
                <w:szCs w:val="20"/>
              </w:rPr>
            </w:pPr>
            <w:r w:rsidRPr="000C48F9">
              <w:t>25/29</w:t>
            </w:r>
          </w:p>
        </w:tc>
        <w:tc>
          <w:tcPr>
            <w:tcW w:w="550" w:type="pct"/>
            <w:vMerge/>
            <w:tcMar>
              <w:left w:w="11" w:type="dxa"/>
              <w:right w:w="11" w:type="dxa"/>
            </w:tcMar>
          </w:tcPr>
          <w:p w14:paraId="5A2A834C" w14:textId="4CAB2DE8" w:rsidR="00A96A5F" w:rsidRPr="000C48F9" w:rsidRDefault="00A96A5F" w:rsidP="005A0287">
            <w:pPr>
              <w:pStyle w:val="TableText0"/>
              <w:jc w:val="center"/>
              <w:rPr>
                <w:i/>
                <w:szCs w:val="20"/>
              </w:rPr>
            </w:pPr>
          </w:p>
        </w:tc>
        <w:tc>
          <w:tcPr>
            <w:tcW w:w="472" w:type="pct"/>
            <w:tcMar>
              <w:left w:w="11" w:type="dxa"/>
              <w:right w:w="11" w:type="dxa"/>
            </w:tcMar>
          </w:tcPr>
          <w:p w14:paraId="2BFBDEF1" w14:textId="42AC2A1B" w:rsidR="00A96A5F" w:rsidRPr="000C48F9" w:rsidRDefault="00A96A5F" w:rsidP="005A0287">
            <w:pPr>
              <w:pStyle w:val="TableText0"/>
              <w:jc w:val="center"/>
              <w:rPr>
                <w:i/>
                <w:szCs w:val="20"/>
              </w:rPr>
            </w:pPr>
            <w:r w:rsidRPr="000C48F9">
              <w:t>11.2 (2.0)</w:t>
            </w:r>
          </w:p>
        </w:tc>
        <w:tc>
          <w:tcPr>
            <w:tcW w:w="392" w:type="pct"/>
            <w:tcMar>
              <w:left w:w="11" w:type="dxa"/>
              <w:right w:w="11" w:type="dxa"/>
            </w:tcMar>
          </w:tcPr>
          <w:p w14:paraId="78A47F57" w14:textId="77777777" w:rsidR="00A96A5F" w:rsidRPr="000C48F9" w:rsidRDefault="00A96A5F" w:rsidP="005A0287">
            <w:pPr>
              <w:pStyle w:val="TableText0"/>
              <w:jc w:val="center"/>
              <w:rPr>
                <w:i/>
                <w:szCs w:val="20"/>
              </w:rPr>
            </w:pPr>
            <w:r w:rsidRPr="000C48F9">
              <w:t>NA</w:t>
            </w:r>
          </w:p>
        </w:tc>
        <w:tc>
          <w:tcPr>
            <w:tcW w:w="471" w:type="pct"/>
            <w:tcMar>
              <w:left w:w="11" w:type="dxa"/>
              <w:right w:w="11" w:type="dxa"/>
            </w:tcMar>
          </w:tcPr>
          <w:p w14:paraId="59B62ADC" w14:textId="77777777" w:rsidR="00A96A5F" w:rsidRPr="000C48F9" w:rsidRDefault="00A96A5F" w:rsidP="005A0287">
            <w:pPr>
              <w:pStyle w:val="TableText0"/>
              <w:jc w:val="center"/>
              <w:rPr>
                <w:i/>
                <w:szCs w:val="20"/>
              </w:rPr>
            </w:pPr>
            <w:r w:rsidRPr="000C48F9">
              <w:t>NA</w:t>
            </w:r>
          </w:p>
        </w:tc>
        <w:tc>
          <w:tcPr>
            <w:tcW w:w="389" w:type="pct"/>
            <w:tcMar>
              <w:left w:w="11" w:type="dxa"/>
              <w:right w:w="11" w:type="dxa"/>
            </w:tcMar>
          </w:tcPr>
          <w:p w14:paraId="3C97164F" w14:textId="77777777" w:rsidR="00A96A5F" w:rsidRPr="000C48F9" w:rsidRDefault="00A96A5F" w:rsidP="005A0287">
            <w:pPr>
              <w:pStyle w:val="TableText0"/>
              <w:jc w:val="center"/>
              <w:rPr>
                <w:i/>
                <w:szCs w:val="20"/>
              </w:rPr>
            </w:pPr>
            <w:r w:rsidRPr="000C48F9">
              <w:t>NA</w:t>
            </w:r>
          </w:p>
        </w:tc>
        <w:tc>
          <w:tcPr>
            <w:tcW w:w="685" w:type="pct"/>
            <w:tcMar>
              <w:left w:w="11" w:type="dxa"/>
              <w:right w:w="11" w:type="dxa"/>
            </w:tcMar>
          </w:tcPr>
          <w:p w14:paraId="0B3FAD1E" w14:textId="77777777" w:rsidR="00A96A5F" w:rsidRPr="000C48F9" w:rsidRDefault="00A96A5F" w:rsidP="005A0287">
            <w:pPr>
              <w:pStyle w:val="TableText0"/>
              <w:jc w:val="center"/>
              <w:rPr>
                <w:b/>
                <w:i/>
                <w:szCs w:val="20"/>
              </w:rPr>
            </w:pPr>
            <w:r w:rsidRPr="000C48F9">
              <w:rPr>
                <w:b/>
                <w:bCs w:val="0"/>
              </w:rPr>
              <w:t>11.2 (7.2, 15.2)</w:t>
            </w:r>
          </w:p>
        </w:tc>
      </w:tr>
      <w:tr w:rsidR="003B6E05" w:rsidRPr="000C48F9" w14:paraId="7FD8DAD1" w14:textId="77777777" w:rsidTr="00170D95">
        <w:trPr>
          <w:trHeight w:val="20"/>
        </w:trPr>
        <w:tc>
          <w:tcPr>
            <w:tcW w:w="505" w:type="pct"/>
            <w:shd w:val="clear" w:color="auto" w:fill="auto"/>
            <w:tcMar>
              <w:left w:w="11" w:type="dxa"/>
              <w:right w:w="11" w:type="dxa"/>
            </w:tcMar>
            <w:vAlign w:val="center"/>
          </w:tcPr>
          <w:p w14:paraId="6A6C9D4D" w14:textId="45B1DD4D" w:rsidR="003B6E05" w:rsidRPr="000C48F9" w:rsidRDefault="003B6E05" w:rsidP="005A0287">
            <w:pPr>
              <w:pStyle w:val="TableText0"/>
            </w:pPr>
            <w:r w:rsidRPr="000C48F9">
              <w:t>Study 011</w:t>
            </w:r>
          </w:p>
        </w:tc>
        <w:tc>
          <w:tcPr>
            <w:tcW w:w="348" w:type="pct"/>
            <w:shd w:val="clear" w:color="auto" w:fill="auto"/>
            <w:tcMar>
              <w:left w:w="11" w:type="dxa"/>
              <w:right w:w="11" w:type="dxa"/>
            </w:tcMar>
            <w:vAlign w:val="center"/>
          </w:tcPr>
          <w:p w14:paraId="63DB8071" w14:textId="33E079EA" w:rsidR="003B6E05" w:rsidRPr="000C48F9" w:rsidRDefault="003B6E05" w:rsidP="005A0287">
            <w:pPr>
              <w:pStyle w:val="TableText0"/>
            </w:pPr>
            <w:r w:rsidRPr="000C48F9">
              <w:t>F/F</w:t>
            </w:r>
          </w:p>
        </w:tc>
        <w:tc>
          <w:tcPr>
            <w:tcW w:w="638" w:type="pct"/>
            <w:shd w:val="clear" w:color="auto" w:fill="auto"/>
            <w:vAlign w:val="center"/>
          </w:tcPr>
          <w:p w14:paraId="76DB5759" w14:textId="778B3E43" w:rsidR="003B6E05" w:rsidRPr="000C48F9" w:rsidRDefault="003B6E05" w:rsidP="005A0287">
            <w:pPr>
              <w:pStyle w:val="TableText0"/>
              <w:jc w:val="center"/>
            </w:pPr>
            <w:r w:rsidRPr="000C48F9">
              <w:t>LUM/IVA</w:t>
            </w:r>
          </w:p>
        </w:tc>
        <w:tc>
          <w:tcPr>
            <w:tcW w:w="550" w:type="pct"/>
            <w:shd w:val="clear" w:color="auto" w:fill="auto"/>
            <w:tcMar>
              <w:left w:w="11" w:type="dxa"/>
              <w:right w:w="11" w:type="dxa"/>
            </w:tcMar>
          </w:tcPr>
          <w:p w14:paraId="57B2EB8A" w14:textId="39D69126" w:rsidR="003B6E05" w:rsidRPr="000C48F9" w:rsidRDefault="003B6E05" w:rsidP="005A0287">
            <w:pPr>
              <w:pStyle w:val="TableText0"/>
              <w:jc w:val="center"/>
              <w:rPr>
                <w:iCs/>
              </w:rPr>
            </w:pPr>
            <w:r w:rsidRPr="000C48F9">
              <w:rPr>
                <w:iCs/>
              </w:rPr>
              <w:t>58/58</w:t>
            </w:r>
          </w:p>
        </w:tc>
        <w:tc>
          <w:tcPr>
            <w:tcW w:w="550" w:type="pct"/>
            <w:shd w:val="clear" w:color="auto" w:fill="auto"/>
            <w:tcMar>
              <w:left w:w="11" w:type="dxa"/>
              <w:right w:w="11" w:type="dxa"/>
            </w:tcMar>
          </w:tcPr>
          <w:p w14:paraId="0602F0DE" w14:textId="19DFCD60" w:rsidR="003B6E05" w:rsidRPr="000C48F9" w:rsidRDefault="003B6E05" w:rsidP="005A0287">
            <w:pPr>
              <w:pStyle w:val="TableText0"/>
              <w:jc w:val="center"/>
              <w:rPr>
                <w:iCs/>
              </w:rPr>
            </w:pPr>
            <w:r w:rsidRPr="000C48F9">
              <w:rPr>
                <w:iCs/>
              </w:rPr>
              <w:t>91.4 (13.7)</w:t>
            </w:r>
          </w:p>
        </w:tc>
        <w:tc>
          <w:tcPr>
            <w:tcW w:w="472" w:type="pct"/>
            <w:shd w:val="clear" w:color="auto" w:fill="auto"/>
            <w:tcMar>
              <w:left w:w="11" w:type="dxa"/>
              <w:right w:w="11" w:type="dxa"/>
            </w:tcMar>
          </w:tcPr>
          <w:p w14:paraId="39DF1F0F" w14:textId="6371A550" w:rsidR="003B6E05" w:rsidRPr="000C48F9" w:rsidRDefault="00A96A5F" w:rsidP="005A0287">
            <w:pPr>
              <w:pStyle w:val="TableText0"/>
              <w:jc w:val="center"/>
              <w:rPr>
                <w:iCs/>
              </w:rPr>
            </w:pPr>
            <w:r w:rsidRPr="000C48F9">
              <w:rPr>
                <w:iCs/>
              </w:rPr>
              <w:t>2.5 (1.3)</w:t>
            </w:r>
          </w:p>
        </w:tc>
        <w:tc>
          <w:tcPr>
            <w:tcW w:w="392" w:type="pct"/>
            <w:shd w:val="clear" w:color="auto" w:fill="auto"/>
            <w:tcMar>
              <w:left w:w="11" w:type="dxa"/>
              <w:right w:w="11" w:type="dxa"/>
            </w:tcMar>
          </w:tcPr>
          <w:p w14:paraId="3FB754F2" w14:textId="5C4879B3" w:rsidR="003B6E05" w:rsidRPr="000C48F9" w:rsidRDefault="003B6E05" w:rsidP="005A0287">
            <w:pPr>
              <w:pStyle w:val="TableText0"/>
              <w:jc w:val="center"/>
              <w:rPr>
                <w:iCs/>
              </w:rPr>
            </w:pPr>
            <w:r w:rsidRPr="000C48F9">
              <w:rPr>
                <w:iCs/>
              </w:rPr>
              <w:t>NA</w:t>
            </w:r>
          </w:p>
        </w:tc>
        <w:tc>
          <w:tcPr>
            <w:tcW w:w="471" w:type="pct"/>
            <w:shd w:val="clear" w:color="auto" w:fill="auto"/>
            <w:tcMar>
              <w:left w:w="11" w:type="dxa"/>
              <w:right w:w="11" w:type="dxa"/>
            </w:tcMar>
          </w:tcPr>
          <w:p w14:paraId="7742A13A" w14:textId="05D1CA3F" w:rsidR="003B6E05" w:rsidRPr="000C48F9" w:rsidRDefault="003B6E05" w:rsidP="005A0287">
            <w:pPr>
              <w:pStyle w:val="TableText0"/>
              <w:jc w:val="center"/>
              <w:rPr>
                <w:iCs/>
              </w:rPr>
            </w:pPr>
            <w:r w:rsidRPr="000C48F9">
              <w:rPr>
                <w:iCs/>
              </w:rPr>
              <w:t>NA</w:t>
            </w:r>
          </w:p>
        </w:tc>
        <w:tc>
          <w:tcPr>
            <w:tcW w:w="389" w:type="pct"/>
            <w:shd w:val="clear" w:color="auto" w:fill="auto"/>
            <w:tcMar>
              <w:left w:w="11" w:type="dxa"/>
              <w:right w:w="11" w:type="dxa"/>
            </w:tcMar>
          </w:tcPr>
          <w:p w14:paraId="52301BB1" w14:textId="23B58591" w:rsidR="003B6E05" w:rsidRPr="000C48F9" w:rsidRDefault="003B6E05" w:rsidP="005A0287">
            <w:pPr>
              <w:pStyle w:val="TableText0"/>
              <w:jc w:val="center"/>
              <w:rPr>
                <w:iCs/>
              </w:rPr>
            </w:pPr>
            <w:r w:rsidRPr="000C48F9">
              <w:rPr>
                <w:iCs/>
              </w:rPr>
              <w:t>NA</w:t>
            </w:r>
          </w:p>
        </w:tc>
        <w:tc>
          <w:tcPr>
            <w:tcW w:w="685" w:type="pct"/>
            <w:shd w:val="clear" w:color="auto" w:fill="auto"/>
            <w:tcMar>
              <w:left w:w="11" w:type="dxa"/>
              <w:right w:w="11" w:type="dxa"/>
            </w:tcMar>
          </w:tcPr>
          <w:p w14:paraId="1AA32540" w14:textId="1B5EECF7" w:rsidR="003B6E05" w:rsidRPr="000C48F9" w:rsidRDefault="003B6E05" w:rsidP="005A0287">
            <w:pPr>
              <w:pStyle w:val="TableText0"/>
              <w:jc w:val="center"/>
              <w:rPr>
                <w:bCs w:val="0"/>
                <w:iCs/>
              </w:rPr>
            </w:pPr>
            <w:r w:rsidRPr="000C48F9">
              <w:rPr>
                <w:bCs w:val="0"/>
                <w:iCs/>
              </w:rPr>
              <w:t>2.5 (</w:t>
            </w:r>
            <w:r w:rsidRPr="000C48F9">
              <w:rPr>
                <w:bCs w:val="0"/>
                <w:iCs/>
              </w:rPr>
              <w:noBreakHyphen/>
              <w:t>0.2, 5.2)</w:t>
            </w:r>
          </w:p>
        </w:tc>
      </w:tr>
    </w:tbl>
    <w:bookmarkEnd w:id="25"/>
    <w:p w14:paraId="3D4F8A93" w14:textId="5AF6F122" w:rsidR="003B6E05" w:rsidRPr="000C48F9" w:rsidRDefault="003B6E05" w:rsidP="00B44292">
      <w:pPr>
        <w:pStyle w:val="TableFigureFooter"/>
      </w:pPr>
      <w:r w:rsidRPr="000C48F9">
        <w:t>Source: Table 2.5.3 p84; Table 2.5.5 p87 of the submission; Table 14.2.1.</w:t>
      </w:r>
      <w:r w:rsidR="000D68A9">
        <w:t>2</w:t>
      </w:r>
      <w:r w:rsidRPr="000C48F9">
        <w:t xml:space="preserve"> Study 107 CSR; Table </w:t>
      </w:r>
      <w:r w:rsidR="000D68A9">
        <w:t>6</w:t>
      </w:r>
      <w:r w:rsidRPr="000C48F9">
        <w:t xml:space="preserve"> p</w:t>
      </w:r>
      <w:r w:rsidR="000D68A9">
        <w:t>10</w:t>
      </w:r>
      <w:r w:rsidRPr="000C48F9">
        <w:t>, LUM/IVA</w:t>
      </w:r>
      <w:r w:rsidR="00923ABF" w:rsidRPr="00923ABF">
        <w:t xml:space="preserve"> </w:t>
      </w:r>
      <w:r w:rsidR="00923ABF">
        <w:t>(</w:t>
      </w:r>
      <w:r w:rsidRPr="000C48F9">
        <w:t>PSD</w:t>
      </w:r>
      <w:r w:rsidR="00923ABF">
        <w:t>)</w:t>
      </w:r>
      <w:r w:rsidRPr="000C48F9">
        <w:t xml:space="preserve">, July </w:t>
      </w:r>
      <w:r w:rsidR="00DD6EA4" w:rsidRPr="000C48F9">
        <w:t>2018; Table</w:t>
      </w:r>
      <w:r w:rsidRPr="000C48F9">
        <w:t xml:space="preserve"> 4 p916 Milla et al. </w:t>
      </w:r>
    </w:p>
    <w:p w14:paraId="2F83EC9D" w14:textId="3A91FC8E" w:rsidR="003B6E05" w:rsidRPr="000C48F9" w:rsidRDefault="003B6E05" w:rsidP="00B44292">
      <w:pPr>
        <w:pStyle w:val="TableFigureFooter"/>
      </w:pPr>
      <w:r w:rsidRPr="000C48F9">
        <w:t xml:space="preserve">CI = confidence interval; F/F = CF patient homozygous for the F508del-CFTR mutation; F/MF = CF patient heterozygous for the F508del in the CFTR gene with a minimal function mutation; LSM= least square measure; </w:t>
      </w:r>
      <w:r w:rsidRPr="000C48F9">
        <w:rPr>
          <w:rFonts w:eastAsia="Calibri"/>
        </w:rPr>
        <w:t xml:space="preserve">n = number of patients with event; N = total patients in group; PBO= placebo; </w:t>
      </w:r>
      <w:r w:rsidRPr="000C48F9">
        <w:t>ppFEV</w:t>
      </w:r>
      <w:r w:rsidR="00DD6EA4" w:rsidRPr="000C48F9">
        <w:rPr>
          <w:vertAlign w:val="subscript"/>
        </w:rPr>
        <w:t>1</w:t>
      </w:r>
      <w:r w:rsidR="00DD6EA4" w:rsidRPr="000C48F9">
        <w:t xml:space="preserve"> =</w:t>
      </w:r>
      <w:r w:rsidRPr="000C48F9">
        <w:t xml:space="preserve"> percent predicted forced expiratory volume in one second; SD = standard deviation; SE = standard error; Sub= subpopulation; w = week.</w:t>
      </w:r>
    </w:p>
    <w:p w14:paraId="73191A40" w14:textId="77777777" w:rsidR="003B6E05" w:rsidRPr="000C48F9" w:rsidRDefault="003B6E05" w:rsidP="00B44292">
      <w:pPr>
        <w:pStyle w:val="TableFigureFooter"/>
      </w:pPr>
      <w:r w:rsidRPr="000C48F9">
        <w:t>Notes:</w:t>
      </w:r>
    </w:p>
    <w:p w14:paraId="2D2BD49B" w14:textId="1E14F38F" w:rsidR="00581B6C" w:rsidRPr="000C48F9" w:rsidRDefault="003B6E05" w:rsidP="00B44292">
      <w:pPr>
        <w:pStyle w:val="TableFigureFooter"/>
      </w:pPr>
      <w:r w:rsidRPr="000C48F9">
        <w:t xml:space="preserve">Bold indicates statistically significant results </w:t>
      </w:r>
    </w:p>
    <w:p w14:paraId="38620A46" w14:textId="36874913" w:rsidR="00581B6C" w:rsidRPr="000C48F9" w:rsidRDefault="00581B6C" w:rsidP="00B44292">
      <w:pPr>
        <w:pStyle w:val="TableFigureFooter"/>
        <w:rPr>
          <w:i/>
        </w:rPr>
      </w:pPr>
    </w:p>
    <w:p w14:paraId="5DFE487E" w14:textId="2502324C" w:rsidR="003516E0" w:rsidRPr="000C48F9" w:rsidRDefault="003516E0" w:rsidP="005A0287">
      <w:pPr>
        <w:pStyle w:val="3-BodyText"/>
        <w:rPr>
          <w:iCs/>
        </w:rPr>
      </w:pPr>
      <w:r w:rsidRPr="000C48F9">
        <w:rPr>
          <w:iCs/>
        </w:rPr>
        <w:t>The improvement in ppFEV</w:t>
      </w:r>
      <w:r w:rsidRPr="000C48F9">
        <w:rPr>
          <w:iCs/>
          <w:vertAlign w:val="subscript"/>
        </w:rPr>
        <w:t>1</w:t>
      </w:r>
      <w:r w:rsidRPr="000C48F9">
        <w:rPr>
          <w:iCs/>
        </w:rPr>
        <w:t xml:space="preserve"> in Study 116 in F/MF patients (11.0%, 95% CI: 6.9%, 15.1%) exceeded the minimum clinically important difference (MCID) of an absolute change of 10% previously considered appropriate by the PBAC (para 6.10, LUM/IVA, PSD, March 2016; Section 12, ivacaftor PSD, July 2013).</w:t>
      </w:r>
    </w:p>
    <w:p w14:paraId="51772266" w14:textId="0D74A79E" w:rsidR="003B6E05" w:rsidRPr="000C48F9" w:rsidRDefault="003B6E05" w:rsidP="005A0287">
      <w:pPr>
        <w:pStyle w:val="3-BodyText"/>
        <w:rPr>
          <w:iCs/>
          <w:color w:val="0066FF"/>
        </w:rPr>
      </w:pPr>
      <w:r w:rsidRPr="000C48F9">
        <w:t>T</w:t>
      </w:r>
      <w:r w:rsidRPr="000C48F9">
        <w:rPr>
          <w:rFonts w:ascii="Calibri" w:hAnsi="Calibri"/>
          <w:snapToGrid/>
          <w:color w:val="000000" w:themeColor="text1"/>
        </w:rPr>
        <w:t xml:space="preserve">he submission </w:t>
      </w:r>
      <w:r w:rsidR="00953633" w:rsidRPr="000C48F9">
        <w:rPr>
          <w:rFonts w:ascii="Calibri" w:hAnsi="Calibri"/>
          <w:snapToGrid/>
          <w:color w:val="000000" w:themeColor="text1"/>
        </w:rPr>
        <w:t xml:space="preserve">presented </w:t>
      </w:r>
      <w:r w:rsidRPr="000C48F9">
        <w:rPr>
          <w:rFonts w:ascii="Calibri" w:hAnsi="Calibri"/>
          <w:snapToGrid/>
          <w:color w:val="000000" w:themeColor="text1"/>
        </w:rPr>
        <w:t>longer-term results of respiratory function and physical wellbeing from an interim analysis (IA) of</w:t>
      </w:r>
      <w:r w:rsidRPr="000C48F9">
        <w:rPr>
          <w:snapToGrid/>
        </w:rPr>
        <w:t xml:space="preserve"> the open label </w:t>
      </w:r>
      <w:r w:rsidR="00077E0B" w:rsidRPr="000C48F9">
        <w:rPr>
          <w:snapToGrid/>
        </w:rPr>
        <w:t xml:space="preserve">study </w:t>
      </w:r>
      <w:r w:rsidRPr="000C48F9">
        <w:rPr>
          <w:snapToGrid/>
        </w:rPr>
        <w:t>(Study 107)</w:t>
      </w:r>
      <w:r w:rsidRPr="000C48F9">
        <w:rPr>
          <w:rFonts w:ascii="Calibri" w:hAnsi="Calibri"/>
          <w:snapToGrid/>
          <w:color w:val="000000" w:themeColor="text1"/>
        </w:rPr>
        <w:t xml:space="preserve"> at 48 weeks (</w:t>
      </w:r>
      <w:r w:rsidR="00077E0B" w:rsidRPr="000C48F9">
        <w:rPr>
          <w:rFonts w:ascii="Calibri" w:hAnsi="Calibri"/>
          <w:snapToGrid/>
          <w:color w:val="000000" w:themeColor="text1"/>
        </w:rPr>
        <w:t xml:space="preserve">extension </w:t>
      </w:r>
      <w:r w:rsidRPr="000C48F9">
        <w:rPr>
          <w:rFonts w:ascii="Calibri" w:hAnsi="Calibri"/>
          <w:snapToGrid/>
          <w:color w:val="000000" w:themeColor="text1"/>
        </w:rPr>
        <w:t>study for Study 106; N=64)</w:t>
      </w:r>
      <w:r w:rsidR="00DE6E24" w:rsidRPr="000C48F9">
        <w:rPr>
          <w:rFonts w:ascii="Calibri" w:hAnsi="Calibri"/>
          <w:snapToGrid/>
          <w:color w:val="000000" w:themeColor="text1"/>
        </w:rPr>
        <w:t xml:space="preserve">, </w:t>
      </w:r>
      <w:r w:rsidR="00DE6E24" w:rsidRPr="00D26872">
        <w:rPr>
          <w:rFonts w:ascii="Calibri" w:hAnsi="Calibri"/>
          <w:snapToGrid/>
          <w:color w:val="000000" w:themeColor="text1"/>
        </w:rPr>
        <w:t>with data at</w:t>
      </w:r>
      <w:r w:rsidRPr="00D26872">
        <w:rPr>
          <w:rFonts w:ascii="Calibri" w:hAnsi="Calibri"/>
          <w:snapToGrid/>
          <w:color w:val="000000" w:themeColor="text1"/>
        </w:rPr>
        <w:t xml:space="preserve"> 96 weeks</w:t>
      </w:r>
      <w:r w:rsidR="00DE6E24" w:rsidRPr="00D26872">
        <w:rPr>
          <w:rFonts w:ascii="Calibri" w:hAnsi="Calibri"/>
          <w:snapToGrid/>
          <w:color w:val="000000" w:themeColor="text1"/>
        </w:rPr>
        <w:t xml:space="preserve"> provided in the PSCR</w:t>
      </w:r>
      <w:r w:rsidRPr="00D26872">
        <w:rPr>
          <w:rFonts w:ascii="Calibri" w:hAnsi="Calibri"/>
          <w:snapToGrid/>
          <w:color w:val="000000" w:themeColor="text1"/>
        </w:rPr>
        <w:t>.</w:t>
      </w:r>
      <w:r w:rsidRPr="000C48F9">
        <w:rPr>
          <w:rFonts w:ascii="Calibri" w:hAnsi="Calibri"/>
          <w:snapToGrid/>
          <w:color w:val="000000" w:themeColor="text1"/>
        </w:rPr>
        <w:t xml:space="preserve"> </w:t>
      </w:r>
      <w:r w:rsidRPr="000C48F9">
        <w:rPr>
          <w:iCs/>
        </w:rPr>
        <w:t>Study 107 showed a decline in ppFEV</w:t>
      </w:r>
      <w:r w:rsidRPr="000C48F9">
        <w:rPr>
          <w:iCs/>
          <w:vertAlign w:val="subscript"/>
        </w:rPr>
        <w:t>1</w:t>
      </w:r>
      <w:r w:rsidR="00077E0B" w:rsidRPr="000C48F9">
        <w:rPr>
          <w:iCs/>
        </w:rPr>
        <w:t xml:space="preserve"> between Week 24 and Week 48 of 0.7 percentage points</w:t>
      </w:r>
      <w:r w:rsidRPr="000C48F9">
        <w:rPr>
          <w:iCs/>
        </w:rPr>
        <w:t xml:space="preserve"> </w:t>
      </w:r>
      <w:r w:rsidRPr="000C48F9">
        <w:rPr>
          <w:iCs/>
          <w:snapToGrid/>
        </w:rPr>
        <w:t>(see</w:t>
      </w:r>
      <w:r w:rsidR="004E6CF1" w:rsidRPr="000C48F9">
        <w:rPr>
          <w:iCs/>
          <w:snapToGrid/>
        </w:rPr>
        <w:t xml:space="preserve"> </w:t>
      </w:r>
      <w:r w:rsidR="004E6CF1" w:rsidRPr="000C48F9">
        <w:rPr>
          <w:iCs/>
          <w:snapToGrid/>
        </w:rPr>
        <w:fldChar w:fldCharType="begin" w:fldLock="1"/>
      </w:r>
      <w:r w:rsidR="004E6CF1" w:rsidRPr="000C48F9">
        <w:rPr>
          <w:iCs/>
          <w:snapToGrid/>
        </w:rPr>
        <w:instrText xml:space="preserve"> REF _Ref112676286 \h  \* MERGEFORMAT </w:instrText>
      </w:r>
      <w:r w:rsidR="004E6CF1" w:rsidRPr="000C48F9">
        <w:rPr>
          <w:iCs/>
          <w:snapToGrid/>
        </w:rPr>
      </w:r>
      <w:r w:rsidR="004E6CF1" w:rsidRPr="000C48F9">
        <w:rPr>
          <w:iCs/>
          <w:snapToGrid/>
        </w:rPr>
        <w:fldChar w:fldCharType="separate"/>
      </w:r>
      <w:r w:rsidR="009A1227" w:rsidRPr="009A1227">
        <w:rPr>
          <w:iCs/>
        </w:rPr>
        <w:t>Figure 2</w:t>
      </w:r>
      <w:r w:rsidR="004E6CF1" w:rsidRPr="000C48F9">
        <w:rPr>
          <w:iCs/>
          <w:snapToGrid/>
        </w:rPr>
        <w:fldChar w:fldCharType="end"/>
      </w:r>
      <w:r w:rsidRPr="000C48F9">
        <w:rPr>
          <w:iCs/>
          <w:snapToGrid/>
        </w:rPr>
        <w:t>)</w:t>
      </w:r>
      <w:r w:rsidR="00AD6F31" w:rsidRPr="000C48F9">
        <w:rPr>
          <w:iCs/>
        </w:rPr>
        <w:t xml:space="preserve">. </w:t>
      </w:r>
      <w:r w:rsidRPr="000C48F9">
        <w:rPr>
          <w:iCs/>
          <w:snapToGrid/>
        </w:rPr>
        <w:t xml:space="preserve">The </w:t>
      </w:r>
      <w:r w:rsidRPr="000C48F9">
        <w:rPr>
          <w:iCs/>
        </w:rPr>
        <w:t>mean change from baseline in ppFEV</w:t>
      </w:r>
      <w:r w:rsidRPr="000C48F9">
        <w:rPr>
          <w:iCs/>
          <w:vertAlign w:val="subscript"/>
        </w:rPr>
        <w:t>1</w:t>
      </w:r>
      <w:r w:rsidRPr="000C48F9">
        <w:rPr>
          <w:iCs/>
        </w:rPr>
        <w:t xml:space="preserve"> from Study 107 </w:t>
      </w:r>
      <w:r w:rsidRPr="00D26872">
        <w:rPr>
          <w:iCs/>
        </w:rPr>
        <w:t xml:space="preserve">at Week </w:t>
      </w:r>
      <w:r w:rsidR="00DE6E24" w:rsidRPr="00D26872">
        <w:rPr>
          <w:iCs/>
        </w:rPr>
        <w:t>96</w:t>
      </w:r>
      <w:r w:rsidR="000951DA" w:rsidRPr="00D26872">
        <w:rPr>
          <w:iCs/>
        </w:rPr>
        <w:t xml:space="preserve"> </w:t>
      </w:r>
      <w:r w:rsidRPr="00D26872">
        <w:rPr>
          <w:iCs/>
        </w:rPr>
        <w:t xml:space="preserve">was </w:t>
      </w:r>
      <w:r w:rsidR="00DE6E24" w:rsidRPr="00D26872">
        <w:rPr>
          <w:iCs/>
        </w:rPr>
        <w:t>11.2</w:t>
      </w:r>
      <w:r w:rsidR="00AD6F31" w:rsidRPr="00D26872">
        <w:rPr>
          <w:iCs/>
        </w:rPr>
        <w:t>%</w:t>
      </w:r>
      <w:r w:rsidRPr="00D26872">
        <w:rPr>
          <w:iCs/>
        </w:rPr>
        <w:t xml:space="preserve"> (95% </w:t>
      </w:r>
      <w:r w:rsidR="00DD6EA4" w:rsidRPr="00D26872">
        <w:rPr>
          <w:iCs/>
        </w:rPr>
        <w:t>CI:</w:t>
      </w:r>
      <w:r w:rsidRPr="00D26872">
        <w:rPr>
          <w:iCs/>
        </w:rPr>
        <w:t xml:space="preserve"> </w:t>
      </w:r>
      <w:r w:rsidR="00DE6E24" w:rsidRPr="00D26872">
        <w:rPr>
          <w:iCs/>
        </w:rPr>
        <w:t>8.3, 14.2)</w:t>
      </w:r>
      <w:r w:rsidR="00395851" w:rsidRPr="00D26872">
        <w:rPr>
          <w:iCs/>
        </w:rPr>
        <w:t>.</w:t>
      </w:r>
      <w:r w:rsidRPr="00D26872">
        <w:rPr>
          <w:iCs/>
        </w:rPr>
        <w:t xml:space="preserve"> </w:t>
      </w:r>
    </w:p>
    <w:p w14:paraId="248D4CF1" w14:textId="27084708" w:rsidR="00814110" w:rsidRPr="000C48F9" w:rsidRDefault="00814110" w:rsidP="003E016D">
      <w:pPr>
        <w:pStyle w:val="TableFigureHeading"/>
        <w:keepLines/>
      </w:pPr>
      <w:bookmarkStart w:id="26" w:name="_Ref112676286"/>
      <w:r w:rsidRPr="000C48F9">
        <w:t xml:space="preserve">Figure </w:t>
      </w:r>
      <w:r w:rsidR="008E430C">
        <w:fldChar w:fldCharType="begin" w:fldLock="1"/>
      </w:r>
      <w:r w:rsidR="008E430C">
        <w:instrText xml:space="preserve"> SEQ Figure \* ARABIC </w:instrText>
      </w:r>
      <w:r w:rsidR="008E430C">
        <w:fldChar w:fldCharType="separate"/>
      </w:r>
      <w:r w:rsidR="009A1227">
        <w:rPr>
          <w:noProof/>
        </w:rPr>
        <w:t>2</w:t>
      </w:r>
      <w:r w:rsidR="008E430C">
        <w:rPr>
          <w:noProof/>
        </w:rPr>
        <w:fldChar w:fldCharType="end"/>
      </w:r>
      <w:bookmarkEnd w:id="26"/>
      <w:r w:rsidRPr="000C48F9">
        <w:t>: Study 107 in F/MF and F/F patients: absolute change from parent study 106 baseline in ppFEV</w:t>
      </w:r>
      <w:r w:rsidRPr="000C48F9">
        <w:rPr>
          <w:vertAlign w:val="subscript"/>
        </w:rPr>
        <w:t>1</w:t>
      </w:r>
      <w:r w:rsidRPr="000C48F9">
        <w:t xml:space="preserve"> by visit up to extended Week </w:t>
      </w:r>
      <w:r w:rsidRPr="000C48F9">
        <w:rPr>
          <w:i/>
          <w:iCs/>
        </w:rPr>
        <w:t>96</w:t>
      </w:r>
      <w:r w:rsidRPr="000C48F9">
        <w:t xml:space="preserve"> FAS (</w:t>
      </w:r>
      <w:r w:rsidRPr="00D26872">
        <w:t>provided in PSCR)</w:t>
      </w:r>
    </w:p>
    <w:p w14:paraId="45324D3B" w14:textId="77777777" w:rsidR="00814110" w:rsidRPr="000C48F9" w:rsidRDefault="00814110" w:rsidP="003E016D">
      <w:pPr>
        <w:pStyle w:val="TableFigureFooter"/>
        <w:keepNext/>
        <w:keepLines/>
      </w:pPr>
    </w:p>
    <w:p w14:paraId="7E83C8DD" w14:textId="411300F3" w:rsidR="00B519EB" w:rsidRPr="000C48F9" w:rsidRDefault="00814110" w:rsidP="003E016D">
      <w:pPr>
        <w:pStyle w:val="TableFigureFooter"/>
        <w:keepNext/>
        <w:keepLines/>
      </w:pPr>
      <w:r w:rsidRPr="000C48F9">
        <w:rPr>
          <w:noProof/>
        </w:rPr>
        <w:drawing>
          <wp:inline distT="0" distB="0" distL="0" distR="0" wp14:anchorId="11184638" wp14:editId="4D4B680B">
            <wp:extent cx="5905500" cy="3253923"/>
            <wp:effectExtent l="0" t="0" r="0" b="3810"/>
            <wp:docPr id="8" name="Picture 8" descr="Figure 2: Study 107 in F/MF and F/F patients: absolute change from parent study 106 baseline in ppFEV1 by visit up to extended Week 96 FAS (provided in P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Study 107 in F/MF and F/F patients: absolute change from parent study 106 baseline in ppFEV1 by visit up to extended Week 96 FAS (provided in P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792" cy="3284389"/>
                    </a:xfrm>
                    <a:prstGeom prst="rect">
                      <a:avLst/>
                    </a:prstGeom>
                    <a:noFill/>
                  </pic:spPr>
                </pic:pic>
              </a:graphicData>
            </a:graphic>
          </wp:inline>
        </w:drawing>
      </w:r>
    </w:p>
    <w:p w14:paraId="3BF90A90" w14:textId="7C31D47E" w:rsidR="00581B6C" w:rsidRPr="000C48F9" w:rsidRDefault="00581B6C" w:rsidP="003E016D">
      <w:pPr>
        <w:pStyle w:val="TableFigureFooter"/>
        <w:keepNext/>
        <w:keepLines/>
      </w:pPr>
      <w:r w:rsidRPr="000C48F9">
        <w:t xml:space="preserve">Source: </w:t>
      </w:r>
      <w:r w:rsidR="00483CEE" w:rsidRPr="00D26872">
        <w:t>provided with PSCR</w:t>
      </w:r>
    </w:p>
    <w:p w14:paraId="5C171B04" w14:textId="77777777" w:rsidR="00581B6C" w:rsidRPr="000C48F9" w:rsidRDefault="00581B6C" w:rsidP="003E016D">
      <w:pPr>
        <w:pStyle w:val="TableFigureFooter"/>
        <w:keepNext/>
        <w:keepLines/>
      </w:pPr>
      <w:r w:rsidRPr="000C48F9">
        <w:rPr>
          <w:rFonts w:eastAsia="MS Mincho"/>
        </w:rPr>
        <w:t xml:space="preserve">ELX/TEZ/IVA=elexacaftor/tezacaftor/ivacaftor; </w:t>
      </w:r>
      <w:r w:rsidRPr="000C48F9">
        <w:t>FAS=Full Analysis Set; LS=least squares; OLE=open-label extension; ppFEV</w:t>
      </w:r>
      <w:r w:rsidRPr="000C48F9">
        <w:rPr>
          <w:vertAlign w:val="subscript"/>
        </w:rPr>
        <w:t>1</w:t>
      </w:r>
      <w:r w:rsidRPr="000C48F9">
        <w:t>= percent predicted forced expiratory volume over 1 second; SE=standard error.</w:t>
      </w:r>
    </w:p>
    <w:p w14:paraId="7D744716" w14:textId="77777777" w:rsidR="00581B6C" w:rsidRPr="000C48F9" w:rsidRDefault="00581B6C" w:rsidP="003E016D">
      <w:pPr>
        <w:pStyle w:val="TableFigureFooter"/>
        <w:keepNext/>
        <w:keepLines/>
      </w:pPr>
      <w:r w:rsidRPr="000C48F9">
        <w:rPr>
          <w:szCs w:val="18"/>
        </w:rPr>
        <w:t>Note: The y-axis corresponds to the LS means from the MMRM models at the IA.</w:t>
      </w:r>
      <w:r w:rsidRPr="000C48F9">
        <w:t xml:space="preserve"> </w:t>
      </w:r>
    </w:p>
    <w:p w14:paraId="642C6330" w14:textId="0F7A4AE3" w:rsidR="003B6E05" w:rsidRPr="000C48F9" w:rsidRDefault="003B6E05" w:rsidP="00D12357">
      <w:pPr>
        <w:pStyle w:val="3-BodyText"/>
        <w:rPr>
          <w:i/>
          <w:color w:val="0066FF"/>
        </w:rPr>
      </w:pPr>
      <w:r w:rsidRPr="000C48F9">
        <w:t xml:space="preserve">A summary of the results of the absolute change from baseline </w:t>
      </w:r>
      <w:r w:rsidR="004967C5" w:rsidRPr="000C48F9">
        <w:t xml:space="preserve">to 24 weeks </w:t>
      </w:r>
      <w:r w:rsidRPr="000C48F9">
        <w:t>in LCI</w:t>
      </w:r>
      <w:r w:rsidRPr="000C48F9">
        <w:rPr>
          <w:vertAlign w:val="subscript"/>
        </w:rPr>
        <w:t>2.5</w:t>
      </w:r>
      <w:r w:rsidRPr="000C48F9">
        <w:t xml:space="preserve"> across the trials is presented in</w:t>
      </w:r>
      <w:r w:rsidR="004E6CF1" w:rsidRPr="000C48F9">
        <w:t xml:space="preserve"> </w:t>
      </w:r>
      <w:r w:rsidR="004E6CF1" w:rsidRPr="000C48F9">
        <w:fldChar w:fldCharType="begin" w:fldLock="1"/>
      </w:r>
      <w:r w:rsidR="004E6CF1" w:rsidRPr="000C48F9">
        <w:instrText xml:space="preserve"> REF _Ref112923027 \h </w:instrText>
      </w:r>
      <w:r w:rsidR="004E6CF1" w:rsidRPr="000C48F9">
        <w:fldChar w:fldCharType="separate"/>
      </w:r>
      <w:r w:rsidR="009A1227" w:rsidRPr="000C48F9">
        <w:t xml:space="preserve">Table </w:t>
      </w:r>
      <w:r w:rsidR="009A1227">
        <w:rPr>
          <w:noProof/>
        </w:rPr>
        <w:t>6</w:t>
      </w:r>
      <w:r w:rsidR="004E6CF1" w:rsidRPr="000C48F9">
        <w:fldChar w:fldCharType="end"/>
      </w:r>
      <w:r w:rsidRPr="000C48F9">
        <w:t xml:space="preserve">. </w:t>
      </w:r>
    </w:p>
    <w:p w14:paraId="37B24445" w14:textId="74173D43" w:rsidR="003B6E05" w:rsidRPr="000C48F9" w:rsidRDefault="003B6E05" w:rsidP="0034018C">
      <w:pPr>
        <w:pStyle w:val="TableFigureHeading"/>
      </w:pPr>
      <w:bookmarkStart w:id="27" w:name="_Ref112923027"/>
      <w:r w:rsidRPr="000C48F9">
        <w:t xml:space="preserve">Table </w:t>
      </w:r>
      <w:r w:rsidR="008E430C">
        <w:fldChar w:fldCharType="begin" w:fldLock="1"/>
      </w:r>
      <w:r w:rsidR="008E430C">
        <w:instrText xml:space="preserve"> SEQ Table \* ARABIC </w:instrText>
      </w:r>
      <w:r w:rsidR="008E430C">
        <w:fldChar w:fldCharType="separate"/>
      </w:r>
      <w:r w:rsidR="009A1227">
        <w:rPr>
          <w:noProof/>
        </w:rPr>
        <w:t>6</w:t>
      </w:r>
      <w:r w:rsidR="008E430C">
        <w:rPr>
          <w:noProof/>
        </w:rPr>
        <w:fldChar w:fldCharType="end"/>
      </w:r>
      <w:bookmarkEnd w:id="27"/>
      <w:r w:rsidRPr="000C48F9">
        <w:t>: Results of absolute change from baseline in LCI</w:t>
      </w:r>
      <w:r w:rsidRPr="000C48F9">
        <w:rPr>
          <w:vertAlign w:val="subscript"/>
        </w:rPr>
        <w:t>2.5</w:t>
      </w:r>
      <w:r w:rsidRPr="000C48F9">
        <w:t xml:space="preserve"> across the </w:t>
      </w:r>
      <w:r w:rsidR="00DD6EA4" w:rsidRPr="000C48F9">
        <w:t>trials,</w:t>
      </w:r>
      <w:r w:rsidRPr="000C48F9">
        <w:t xml:space="preserve"> Week 24</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446"/>
        <w:gridCol w:w="1048"/>
        <w:gridCol w:w="709"/>
        <w:gridCol w:w="1134"/>
        <w:gridCol w:w="992"/>
        <w:gridCol w:w="709"/>
        <w:gridCol w:w="992"/>
        <w:gridCol w:w="800"/>
        <w:gridCol w:w="1231"/>
      </w:tblGrid>
      <w:tr w:rsidR="003B6E05" w:rsidRPr="000C48F9" w14:paraId="75CD3BC0" w14:textId="77777777" w:rsidTr="005A0287">
        <w:trPr>
          <w:trHeight w:val="19"/>
        </w:trPr>
        <w:tc>
          <w:tcPr>
            <w:tcW w:w="507" w:type="pct"/>
            <w:vMerge w:val="restart"/>
            <w:tcMar>
              <w:left w:w="11" w:type="dxa"/>
              <w:right w:w="11" w:type="dxa"/>
            </w:tcMar>
            <w:vAlign w:val="center"/>
          </w:tcPr>
          <w:p w14:paraId="4CF1E91A" w14:textId="77777777" w:rsidR="003B6E05" w:rsidRPr="000C48F9" w:rsidRDefault="003B6E05" w:rsidP="005A0287">
            <w:pPr>
              <w:pStyle w:val="TableText0"/>
              <w:rPr>
                <w:b/>
              </w:rPr>
            </w:pPr>
            <w:r w:rsidRPr="000C48F9">
              <w:rPr>
                <w:b/>
              </w:rPr>
              <w:t>Trial ID</w:t>
            </w:r>
          </w:p>
        </w:tc>
        <w:tc>
          <w:tcPr>
            <w:tcW w:w="249" w:type="pct"/>
            <w:vMerge w:val="restart"/>
            <w:tcMar>
              <w:left w:w="11" w:type="dxa"/>
              <w:right w:w="11" w:type="dxa"/>
            </w:tcMar>
            <w:vAlign w:val="center"/>
          </w:tcPr>
          <w:p w14:paraId="778862B5" w14:textId="77777777" w:rsidR="003B6E05" w:rsidRPr="000C48F9" w:rsidRDefault="003B6E05" w:rsidP="005A0287">
            <w:pPr>
              <w:pStyle w:val="TableText0"/>
              <w:rPr>
                <w:b/>
              </w:rPr>
            </w:pPr>
            <w:r w:rsidRPr="000C48F9">
              <w:rPr>
                <w:b/>
              </w:rPr>
              <w:t>Sub.</w:t>
            </w:r>
          </w:p>
        </w:tc>
        <w:tc>
          <w:tcPr>
            <w:tcW w:w="584" w:type="pct"/>
            <w:vMerge w:val="restart"/>
            <w:vAlign w:val="center"/>
          </w:tcPr>
          <w:p w14:paraId="463FB8E8" w14:textId="77777777" w:rsidR="003B6E05" w:rsidRPr="000C48F9" w:rsidRDefault="003B6E05" w:rsidP="005A0287">
            <w:pPr>
              <w:pStyle w:val="TableText0"/>
              <w:rPr>
                <w:b/>
                <w:bCs w:val="0"/>
              </w:rPr>
            </w:pPr>
            <w:r w:rsidRPr="000C48F9">
              <w:rPr>
                <w:b/>
              </w:rPr>
              <w:t>Comparison</w:t>
            </w:r>
          </w:p>
        </w:tc>
        <w:tc>
          <w:tcPr>
            <w:tcW w:w="1580" w:type="pct"/>
            <w:gridSpan w:val="3"/>
            <w:tcMar>
              <w:left w:w="11" w:type="dxa"/>
              <w:right w:w="11" w:type="dxa"/>
            </w:tcMar>
            <w:vAlign w:val="center"/>
          </w:tcPr>
          <w:p w14:paraId="15A57F90" w14:textId="77777777" w:rsidR="003B6E05" w:rsidRPr="000C48F9" w:rsidRDefault="003B6E05" w:rsidP="005A0287">
            <w:pPr>
              <w:pStyle w:val="TableText0"/>
              <w:jc w:val="center"/>
              <w:rPr>
                <w:b/>
                <w:bCs w:val="0"/>
              </w:rPr>
            </w:pPr>
            <w:r w:rsidRPr="000C48F9">
              <w:rPr>
                <w:b/>
                <w:bCs w:val="0"/>
              </w:rPr>
              <w:t>Intervention</w:t>
            </w:r>
          </w:p>
        </w:tc>
        <w:tc>
          <w:tcPr>
            <w:tcW w:w="1394" w:type="pct"/>
            <w:gridSpan w:val="3"/>
            <w:tcMar>
              <w:left w:w="11" w:type="dxa"/>
              <w:right w:w="11" w:type="dxa"/>
            </w:tcMar>
            <w:vAlign w:val="center"/>
          </w:tcPr>
          <w:p w14:paraId="091B84A4" w14:textId="77777777" w:rsidR="003B6E05" w:rsidRPr="000C48F9" w:rsidRDefault="003B6E05" w:rsidP="005A0287">
            <w:pPr>
              <w:pStyle w:val="TableText0"/>
              <w:jc w:val="center"/>
              <w:rPr>
                <w:b/>
                <w:bCs w:val="0"/>
              </w:rPr>
            </w:pPr>
            <w:r w:rsidRPr="000C48F9">
              <w:rPr>
                <w:b/>
                <w:bCs w:val="0"/>
              </w:rPr>
              <w:t>PBO</w:t>
            </w:r>
          </w:p>
        </w:tc>
        <w:tc>
          <w:tcPr>
            <w:tcW w:w="685" w:type="pct"/>
            <w:vMerge w:val="restart"/>
            <w:tcMar>
              <w:left w:w="11" w:type="dxa"/>
              <w:right w:w="11" w:type="dxa"/>
            </w:tcMar>
            <w:vAlign w:val="center"/>
          </w:tcPr>
          <w:p w14:paraId="7FBC4C6F" w14:textId="77777777" w:rsidR="003B6E05" w:rsidRPr="000C48F9" w:rsidRDefault="003B6E05" w:rsidP="005A0287">
            <w:pPr>
              <w:pStyle w:val="TableText0"/>
              <w:jc w:val="center"/>
              <w:rPr>
                <w:b/>
              </w:rPr>
            </w:pPr>
            <w:r w:rsidRPr="000C48F9">
              <w:rPr>
                <w:b/>
                <w:iCs/>
              </w:rPr>
              <w:t>LSM difference (95% CI)</w:t>
            </w:r>
          </w:p>
        </w:tc>
      </w:tr>
      <w:tr w:rsidR="003B6E05" w:rsidRPr="000C48F9" w14:paraId="37FAEF9D" w14:textId="77777777" w:rsidTr="005A0287">
        <w:trPr>
          <w:trHeight w:val="19"/>
        </w:trPr>
        <w:tc>
          <w:tcPr>
            <w:tcW w:w="507" w:type="pct"/>
            <w:vMerge/>
            <w:tcMar>
              <w:left w:w="11" w:type="dxa"/>
              <w:right w:w="11" w:type="dxa"/>
            </w:tcMar>
            <w:vAlign w:val="center"/>
          </w:tcPr>
          <w:p w14:paraId="5D7A37A6" w14:textId="77777777" w:rsidR="003B6E05" w:rsidRPr="000C48F9" w:rsidRDefault="003B6E05" w:rsidP="005A0287">
            <w:pPr>
              <w:pStyle w:val="TableText0"/>
              <w:rPr>
                <w:b/>
              </w:rPr>
            </w:pPr>
          </w:p>
        </w:tc>
        <w:tc>
          <w:tcPr>
            <w:tcW w:w="249" w:type="pct"/>
            <w:vMerge/>
            <w:tcMar>
              <w:left w:w="11" w:type="dxa"/>
              <w:right w:w="11" w:type="dxa"/>
            </w:tcMar>
            <w:vAlign w:val="center"/>
          </w:tcPr>
          <w:p w14:paraId="34B5C1BC" w14:textId="77777777" w:rsidR="003B6E05" w:rsidRPr="000C48F9" w:rsidRDefault="003B6E05" w:rsidP="005A0287">
            <w:pPr>
              <w:pStyle w:val="TableText0"/>
              <w:rPr>
                <w:b/>
              </w:rPr>
            </w:pPr>
          </w:p>
        </w:tc>
        <w:tc>
          <w:tcPr>
            <w:tcW w:w="584" w:type="pct"/>
            <w:vMerge/>
            <w:vAlign w:val="center"/>
          </w:tcPr>
          <w:p w14:paraId="3BD60863" w14:textId="77777777" w:rsidR="003B6E05" w:rsidRPr="000C48F9" w:rsidRDefault="003B6E05" w:rsidP="005A0287">
            <w:pPr>
              <w:pStyle w:val="TableText0"/>
              <w:rPr>
                <w:b/>
                <w:bCs w:val="0"/>
              </w:rPr>
            </w:pPr>
          </w:p>
        </w:tc>
        <w:tc>
          <w:tcPr>
            <w:tcW w:w="395" w:type="pct"/>
            <w:tcMar>
              <w:left w:w="11" w:type="dxa"/>
              <w:right w:w="11" w:type="dxa"/>
            </w:tcMar>
            <w:vAlign w:val="center"/>
          </w:tcPr>
          <w:p w14:paraId="1D0C958F" w14:textId="77777777" w:rsidR="003B6E05" w:rsidRPr="000C48F9" w:rsidRDefault="003B6E05" w:rsidP="005A0287">
            <w:pPr>
              <w:pStyle w:val="TableText0"/>
              <w:jc w:val="center"/>
              <w:rPr>
                <w:b/>
                <w:bCs w:val="0"/>
              </w:rPr>
            </w:pPr>
            <w:r w:rsidRPr="000C48F9">
              <w:rPr>
                <w:b/>
                <w:bCs w:val="0"/>
              </w:rPr>
              <w:t>n/N</w:t>
            </w:r>
          </w:p>
        </w:tc>
        <w:tc>
          <w:tcPr>
            <w:tcW w:w="632" w:type="pct"/>
            <w:tcMar>
              <w:left w:w="11" w:type="dxa"/>
              <w:right w:w="11" w:type="dxa"/>
            </w:tcMar>
            <w:vAlign w:val="center"/>
          </w:tcPr>
          <w:p w14:paraId="06D24F64" w14:textId="77777777" w:rsidR="003B6E05" w:rsidRPr="000C48F9" w:rsidRDefault="003B6E05" w:rsidP="005A0287">
            <w:pPr>
              <w:pStyle w:val="TableText0"/>
              <w:jc w:val="center"/>
              <w:rPr>
                <w:b/>
                <w:bCs w:val="0"/>
              </w:rPr>
            </w:pPr>
            <w:r w:rsidRPr="000C48F9">
              <w:rPr>
                <w:b/>
                <w:bCs w:val="0"/>
              </w:rPr>
              <w:t>Baseline mean (SD)</w:t>
            </w:r>
          </w:p>
        </w:tc>
        <w:tc>
          <w:tcPr>
            <w:tcW w:w="553" w:type="pct"/>
            <w:tcMar>
              <w:left w:w="11" w:type="dxa"/>
              <w:right w:w="11" w:type="dxa"/>
            </w:tcMar>
            <w:vAlign w:val="center"/>
          </w:tcPr>
          <w:p w14:paraId="4D3C6AE5" w14:textId="77777777" w:rsidR="003B6E05" w:rsidRPr="000C48F9" w:rsidRDefault="003B6E05" w:rsidP="005A0287">
            <w:pPr>
              <w:pStyle w:val="TableText0"/>
              <w:jc w:val="center"/>
              <w:rPr>
                <w:b/>
                <w:bCs w:val="0"/>
              </w:rPr>
            </w:pPr>
            <w:r w:rsidRPr="000C48F9">
              <w:rPr>
                <w:b/>
                <w:bCs w:val="0"/>
              </w:rPr>
              <w:t>LSM change (SE)</w:t>
            </w:r>
          </w:p>
        </w:tc>
        <w:tc>
          <w:tcPr>
            <w:tcW w:w="395" w:type="pct"/>
            <w:tcMar>
              <w:left w:w="11" w:type="dxa"/>
              <w:right w:w="11" w:type="dxa"/>
            </w:tcMar>
            <w:vAlign w:val="center"/>
          </w:tcPr>
          <w:p w14:paraId="21DDBC8B" w14:textId="77777777" w:rsidR="003B6E05" w:rsidRPr="000C48F9" w:rsidRDefault="003B6E05" w:rsidP="005A0287">
            <w:pPr>
              <w:pStyle w:val="TableText0"/>
              <w:jc w:val="center"/>
              <w:rPr>
                <w:b/>
                <w:bCs w:val="0"/>
              </w:rPr>
            </w:pPr>
            <w:r w:rsidRPr="000C48F9">
              <w:rPr>
                <w:b/>
                <w:bCs w:val="0"/>
              </w:rPr>
              <w:t>n/N</w:t>
            </w:r>
          </w:p>
        </w:tc>
        <w:tc>
          <w:tcPr>
            <w:tcW w:w="553" w:type="pct"/>
            <w:tcMar>
              <w:left w:w="11" w:type="dxa"/>
              <w:right w:w="11" w:type="dxa"/>
            </w:tcMar>
            <w:vAlign w:val="center"/>
          </w:tcPr>
          <w:p w14:paraId="5296E2CF" w14:textId="77777777" w:rsidR="003B6E05" w:rsidRPr="000C48F9" w:rsidRDefault="003B6E05" w:rsidP="005A0287">
            <w:pPr>
              <w:pStyle w:val="TableText0"/>
              <w:jc w:val="center"/>
              <w:rPr>
                <w:b/>
                <w:bCs w:val="0"/>
              </w:rPr>
            </w:pPr>
            <w:r w:rsidRPr="000C48F9">
              <w:rPr>
                <w:b/>
                <w:bCs w:val="0"/>
              </w:rPr>
              <w:t>Baseline mean (SD)</w:t>
            </w:r>
          </w:p>
        </w:tc>
        <w:tc>
          <w:tcPr>
            <w:tcW w:w="446" w:type="pct"/>
            <w:tcMar>
              <w:left w:w="11" w:type="dxa"/>
              <w:right w:w="11" w:type="dxa"/>
            </w:tcMar>
            <w:vAlign w:val="center"/>
          </w:tcPr>
          <w:p w14:paraId="0187EF87" w14:textId="77777777" w:rsidR="003B6E05" w:rsidRPr="000C48F9" w:rsidRDefault="003B6E05" w:rsidP="005A0287">
            <w:pPr>
              <w:pStyle w:val="TableText0"/>
              <w:jc w:val="center"/>
              <w:rPr>
                <w:b/>
                <w:bCs w:val="0"/>
              </w:rPr>
            </w:pPr>
            <w:r w:rsidRPr="000C48F9">
              <w:rPr>
                <w:b/>
                <w:bCs w:val="0"/>
              </w:rPr>
              <w:t>LSM change (SE)</w:t>
            </w:r>
          </w:p>
        </w:tc>
        <w:tc>
          <w:tcPr>
            <w:tcW w:w="685" w:type="pct"/>
            <w:vMerge/>
            <w:tcMar>
              <w:left w:w="11" w:type="dxa"/>
              <w:right w:w="11" w:type="dxa"/>
            </w:tcMar>
            <w:vAlign w:val="center"/>
          </w:tcPr>
          <w:p w14:paraId="56FCB6BA" w14:textId="77777777" w:rsidR="003B6E05" w:rsidRPr="000C48F9" w:rsidRDefault="003B6E05" w:rsidP="005A0287">
            <w:pPr>
              <w:pStyle w:val="TableText0"/>
              <w:jc w:val="center"/>
              <w:rPr>
                <w:b/>
                <w:iCs/>
              </w:rPr>
            </w:pPr>
          </w:p>
        </w:tc>
      </w:tr>
      <w:tr w:rsidR="003B6E05" w:rsidRPr="000C48F9" w14:paraId="63B69A36" w14:textId="77777777" w:rsidTr="005A0287">
        <w:trPr>
          <w:trHeight w:val="19"/>
        </w:trPr>
        <w:tc>
          <w:tcPr>
            <w:tcW w:w="5000" w:type="pct"/>
            <w:gridSpan w:val="10"/>
            <w:tcMar>
              <w:left w:w="11" w:type="dxa"/>
              <w:right w:w="11" w:type="dxa"/>
            </w:tcMar>
            <w:vAlign w:val="center"/>
          </w:tcPr>
          <w:p w14:paraId="30C72A82" w14:textId="77777777" w:rsidR="003B6E05" w:rsidRPr="000C48F9" w:rsidRDefault="003B6E05" w:rsidP="005A0287">
            <w:pPr>
              <w:pStyle w:val="TableText0"/>
              <w:rPr>
                <w:b/>
                <w:bCs w:val="0"/>
                <w:szCs w:val="20"/>
              </w:rPr>
            </w:pPr>
            <w:r w:rsidRPr="000C48F9">
              <w:rPr>
                <w:b/>
              </w:rPr>
              <w:t>Randomised trials</w:t>
            </w:r>
          </w:p>
        </w:tc>
      </w:tr>
      <w:tr w:rsidR="003B6E05" w:rsidRPr="000C48F9" w14:paraId="22BF5307" w14:textId="77777777" w:rsidTr="005A0287">
        <w:trPr>
          <w:trHeight w:val="19"/>
        </w:trPr>
        <w:tc>
          <w:tcPr>
            <w:tcW w:w="507" w:type="pct"/>
            <w:tcMar>
              <w:left w:w="11" w:type="dxa"/>
              <w:right w:w="11" w:type="dxa"/>
            </w:tcMar>
            <w:vAlign w:val="center"/>
          </w:tcPr>
          <w:p w14:paraId="6F46F36A" w14:textId="77777777" w:rsidR="003B6E05" w:rsidRPr="000C48F9" w:rsidRDefault="003B6E05" w:rsidP="005A0287">
            <w:pPr>
              <w:pStyle w:val="TableText0"/>
            </w:pPr>
            <w:r w:rsidRPr="000C48F9">
              <w:t>Study 116</w:t>
            </w:r>
          </w:p>
        </w:tc>
        <w:tc>
          <w:tcPr>
            <w:tcW w:w="249" w:type="pct"/>
            <w:tcMar>
              <w:left w:w="11" w:type="dxa"/>
              <w:right w:w="11" w:type="dxa"/>
            </w:tcMar>
            <w:vAlign w:val="center"/>
          </w:tcPr>
          <w:p w14:paraId="0FF515A2" w14:textId="77777777" w:rsidR="003B6E05" w:rsidRPr="000C48F9" w:rsidRDefault="003B6E05" w:rsidP="005A0287">
            <w:pPr>
              <w:pStyle w:val="TableText0"/>
            </w:pPr>
            <w:r w:rsidRPr="000C48F9">
              <w:t>F/MF</w:t>
            </w:r>
          </w:p>
        </w:tc>
        <w:tc>
          <w:tcPr>
            <w:tcW w:w="584" w:type="pct"/>
            <w:vAlign w:val="center"/>
          </w:tcPr>
          <w:p w14:paraId="484B9F86" w14:textId="77777777" w:rsidR="003B6E05" w:rsidRPr="00A378B7" w:rsidRDefault="003B6E05" w:rsidP="005A0287">
            <w:pPr>
              <w:pStyle w:val="TableText0"/>
              <w:rPr>
                <w:szCs w:val="20"/>
                <w:lang w:val="pt-BR"/>
              </w:rPr>
            </w:pPr>
            <w:r w:rsidRPr="00A378B7">
              <w:rPr>
                <w:szCs w:val="20"/>
                <w:lang w:val="pt-BR"/>
              </w:rPr>
              <w:t>ELX/TEZ/IVA vs PBO</w:t>
            </w:r>
          </w:p>
        </w:tc>
        <w:tc>
          <w:tcPr>
            <w:tcW w:w="395" w:type="pct"/>
            <w:tcMar>
              <w:left w:w="11" w:type="dxa"/>
              <w:right w:w="11" w:type="dxa"/>
            </w:tcMar>
            <w:vAlign w:val="center"/>
          </w:tcPr>
          <w:p w14:paraId="1833AFF3" w14:textId="1DACD410" w:rsidR="003B6E05" w:rsidRPr="000C48F9" w:rsidRDefault="003B6E05" w:rsidP="005A0287">
            <w:pPr>
              <w:pStyle w:val="TableText0"/>
              <w:jc w:val="center"/>
            </w:pPr>
            <w:r w:rsidRPr="000C48F9">
              <w:rPr>
                <w:szCs w:val="20"/>
              </w:rPr>
              <w:t>60/121</w:t>
            </w:r>
          </w:p>
        </w:tc>
        <w:tc>
          <w:tcPr>
            <w:tcW w:w="632" w:type="pct"/>
            <w:tcMar>
              <w:left w:w="11" w:type="dxa"/>
              <w:right w:w="11" w:type="dxa"/>
            </w:tcMar>
            <w:vAlign w:val="center"/>
          </w:tcPr>
          <w:p w14:paraId="11F1AFB5" w14:textId="77777777" w:rsidR="003B6E05" w:rsidRPr="000C48F9" w:rsidRDefault="003B6E05" w:rsidP="005A0287">
            <w:pPr>
              <w:pStyle w:val="TableText0"/>
              <w:jc w:val="center"/>
            </w:pPr>
            <w:r w:rsidRPr="000C48F9">
              <w:rPr>
                <w:szCs w:val="20"/>
              </w:rPr>
              <w:t>10.26 (2.22)</w:t>
            </w:r>
          </w:p>
        </w:tc>
        <w:tc>
          <w:tcPr>
            <w:tcW w:w="553" w:type="pct"/>
            <w:tcMar>
              <w:left w:w="11" w:type="dxa"/>
              <w:right w:w="11" w:type="dxa"/>
            </w:tcMar>
            <w:vAlign w:val="center"/>
          </w:tcPr>
          <w:p w14:paraId="7FEE6F98" w14:textId="77777777" w:rsidR="003B6E05" w:rsidRPr="000C48F9" w:rsidRDefault="003B6E05" w:rsidP="005A0287">
            <w:pPr>
              <w:pStyle w:val="TableText0"/>
              <w:jc w:val="center"/>
            </w:pPr>
            <w:r w:rsidRPr="000C48F9">
              <w:rPr>
                <w:szCs w:val="20"/>
              </w:rPr>
              <w:t>-2.29 (0.16)</w:t>
            </w:r>
          </w:p>
        </w:tc>
        <w:tc>
          <w:tcPr>
            <w:tcW w:w="395" w:type="pct"/>
            <w:tcMar>
              <w:left w:w="11" w:type="dxa"/>
              <w:right w:w="11" w:type="dxa"/>
            </w:tcMar>
            <w:vAlign w:val="center"/>
          </w:tcPr>
          <w:p w14:paraId="793C06F0" w14:textId="0A502622" w:rsidR="003B6E05" w:rsidRPr="000C48F9" w:rsidRDefault="003B6E05" w:rsidP="005A0287">
            <w:pPr>
              <w:pStyle w:val="TableText0"/>
              <w:jc w:val="center"/>
            </w:pPr>
            <w:r w:rsidRPr="000C48F9">
              <w:rPr>
                <w:szCs w:val="20"/>
              </w:rPr>
              <w:t>61/121</w:t>
            </w:r>
          </w:p>
        </w:tc>
        <w:tc>
          <w:tcPr>
            <w:tcW w:w="553" w:type="pct"/>
            <w:tcMar>
              <w:left w:w="11" w:type="dxa"/>
              <w:right w:w="11" w:type="dxa"/>
            </w:tcMar>
            <w:vAlign w:val="center"/>
          </w:tcPr>
          <w:p w14:paraId="0EE3149C" w14:textId="77777777" w:rsidR="003B6E05" w:rsidRPr="000C48F9" w:rsidRDefault="003B6E05" w:rsidP="005A0287">
            <w:pPr>
              <w:pStyle w:val="TableText0"/>
              <w:jc w:val="center"/>
            </w:pPr>
            <w:r w:rsidRPr="000C48F9">
              <w:rPr>
                <w:szCs w:val="20"/>
              </w:rPr>
              <w:t>9.75 (1.95)</w:t>
            </w:r>
          </w:p>
        </w:tc>
        <w:tc>
          <w:tcPr>
            <w:tcW w:w="446" w:type="pct"/>
            <w:tcMar>
              <w:left w:w="11" w:type="dxa"/>
              <w:right w:w="11" w:type="dxa"/>
            </w:tcMar>
            <w:vAlign w:val="center"/>
          </w:tcPr>
          <w:p w14:paraId="389A5C0B" w14:textId="77777777" w:rsidR="003B6E05" w:rsidRPr="000C48F9" w:rsidRDefault="003B6E05" w:rsidP="005A0287">
            <w:pPr>
              <w:pStyle w:val="TableText0"/>
              <w:jc w:val="center"/>
            </w:pPr>
            <w:r w:rsidRPr="000C48F9">
              <w:rPr>
                <w:szCs w:val="20"/>
              </w:rPr>
              <w:t>-0.02 (0.16)</w:t>
            </w:r>
          </w:p>
        </w:tc>
        <w:tc>
          <w:tcPr>
            <w:tcW w:w="685" w:type="pct"/>
            <w:tcMar>
              <w:left w:w="11" w:type="dxa"/>
              <w:right w:w="11" w:type="dxa"/>
            </w:tcMar>
            <w:vAlign w:val="center"/>
          </w:tcPr>
          <w:p w14:paraId="14C9F4C1" w14:textId="77777777" w:rsidR="003B6E05" w:rsidRPr="000C48F9" w:rsidRDefault="003B6E05" w:rsidP="005A0287">
            <w:pPr>
              <w:pStyle w:val="TableText0"/>
              <w:jc w:val="center"/>
              <w:rPr>
                <w:b/>
                <w:bCs w:val="0"/>
              </w:rPr>
            </w:pPr>
            <w:r w:rsidRPr="000C48F9">
              <w:rPr>
                <w:b/>
                <w:bCs w:val="0"/>
                <w:szCs w:val="20"/>
              </w:rPr>
              <w:t>-2.26 (</w:t>
            </w:r>
            <w:r w:rsidRPr="000C48F9">
              <w:rPr>
                <w:b/>
                <w:bCs w:val="0"/>
                <w:szCs w:val="20"/>
              </w:rPr>
              <w:noBreakHyphen/>
              <w:t>2.71,</w:t>
            </w:r>
            <w:r w:rsidRPr="000C48F9">
              <w:rPr>
                <w:b/>
                <w:bCs w:val="0"/>
                <w:szCs w:val="20"/>
              </w:rPr>
              <w:noBreakHyphen/>
              <w:t>1.81)</w:t>
            </w:r>
          </w:p>
        </w:tc>
      </w:tr>
      <w:tr w:rsidR="003B6E05" w:rsidRPr="000C48F9" w14:paraId="3C52A661" w14:textId="77777777" w:rsidTr="004967C5">
        <w:trPr>
          <w:trHeight w:val="19"/>
        </w:trPr>
        <w:tc>
          <w:tcPr>
            <w:tcW w:w="507" w:type="pct"/>
            <w:shd w:val="clear" w:color="auto" w:fill="auto"/>
            <w:tcMar>
              <w:left w:w="11" w:type="dxa"/>
              <w:right w:w="11" w:type="dxa"/>
            </w:tcMar>
            <w:vAlign w:val="center"/>
          </w:tcPr>
          <w:p w14:paraId="20E0EEE3" w14:textId="77777777" w:rsidR="003B6E05" w:rsidRPr="000C48F9" w:rsidRDefault="003B6E05" w:rsidP="005A0287">
            <w:pPr>
              <w:pStyle w:val="TableText0"/>
            </w:pPr>
            <w:r w:rsidRPr="000C48F9">
              <w:t>Study 109</w:t>
            </w:r>
          </w:p>
        </w:tc>
        <w:tc>
          <w:tcPr>
            <w:tcW w:w="249" w:type="pct"/>
            <w:shd w:val="clear" w:color="auto" w:fill="auto"/>
            <w:tcMar>
              <w:left w:w="11" w:type="dxa"/>
              <w:right w:w="11" w:type="dxa"/>
            </w:tcMar>
            <w:vAlign w:val="center"/>
          </w:tcPr>
          <w:p w14:paraId="70394EE8" w14:textId="77777777" w:rsidR="003B6E05" w:rsidRPr="000C48F9" w:rsidRDefault="003B6E05" w:rsidP="005A0287">
            <w:pPr>
              <w:pStyle w:val="TableText0"/>
            </w:pPr>
            <w:r w:rsidRPr="000C48F9">
              <w:t>F/F</w:t>
            </w:r>
          </w:p>
        </w:tc>
        <w:tc>
          <w:tcPr>
            <w:tcW w:w="584" w:type="pct"/>
            <w:shd w:val="clear" w:color="auto" w:fill="auto"/>
            <w:vAlign w:val="center"/>
          </w:tcPr>
          <w:p w14:paraId="61950F51" w14:textId="77777777" w:rsidR="003B6E05" w:rsidRPr="000C48F9" w:rsidRDefault="003B6E05" w:rsidP="005A0287">
            <w:pPr>
              <w:pStyle w:val="TableText0"/>
              <w:rPr>
                <w:szCs w:val="20"/>
              </w:rPr>
            </w:pPr>
            <w:r w:rsidRPr="000C48F9">
              <w:rPr>
                <w:szCs w:val="20"/>
              </w:rPr>
              <w:t>LUM/IVA vs PBO</w:t>
            </w:r>
          </w:p>
        </w:tc>
        <w:tc>
          <w:tcPr>
            <w:tcW w:w="395" w:type="pct"/>
            <w:shd w:val="clear" w:color="auto" w:fill="auto"/>
            <w:tcMar>
              <w:left w:w="11" w:type="dxa"/>
              <w:right w:w="11" w:type="dxa"/>
            </w:tcMar>
            <w:vAlign w:val="center"/>
          </w:tcPr>
          <w:p w14:paraId="2E798C24" w14:textId="3FD3A24B" w:rsidR="003B6E05" w:rsidRPr="000C48F9" w:rsidRDefault="003B6E05" w:rsidP="005A0287">
            <w:pPr>
              <w:pStyle w:val="TableText0"/>
              <w:jc w:val="center"/>
              <w:rPr>
                <w:iCs/>
              </w:rPr>
            </w:pPr>
            <w:r w:rsidRPr="000C48F9">
              <w:rPr>
                <w:iCs/>
                <w:szCs w:val="20"/>
              </w:rPr>
              <w:t>103/204</w:t>
            </w:r>
          </w:p>
        </w:tc>
        <w:tc>
          <w:tcPr>
            <w:tcW w:w="632" w:type="pct"/>
            <w:shd w:val="clear" w:color="auto" w:fill="auto"/>
            <w:tcMar>
              <w:left w:w="11" w:type="dxa"/>
              <w:right w:w="11" w:type="dxa"/>
            </w:tcMar>
            <w:vAlign w:val="center"/>
          </w:tcPr>
          <w:p w14:paraId="08020245" w14:textId="77777777" w:rsidR="003B6E05" w:rsidRPr="000C48F9" w:rsidRDefault="003B6E05" w:rsidP="005A0287">
            <w:pPr>
              <w:pStyle w:val="TableText0"/>
              <w:jc w:val="center"/>
              <w:rPr>
                <w:iCs/>
              </w:rPr>
            </w:pPr>
            <w:r w:rsidRPr="000C48F9">
              <w:rPr>
                <w:iCs/>
                <w:szCs w:val="20"/>
              </w:rPr>
              <w:t>10.30 (2.36)</w:t>
            </w:r>
          </w:p>
        </w:tc>
        <w:tc>
          <w:tcPr>
            <w:tcW w:w="553" w:type="pct"/>
            <w:shd w:val="clear" w:color="auto" w:fill="auto"/>
            <w:tcMar>
              <w:left w:w="11" w:type="dxa"/>
              <w:right w:w="11" w:type="dxa"/>
            </w:tcMar>
            <w:vAlign w:val="center"/>
          </w:tcPr>
          <w:p w14:paraId="501DC597" w14:textId="77777777" w:rsidR="003B6E05" w:rsidRPr="000C48F9" w:rsidRDefault="003B6E05" w:rsidP="005A0287">
            <w:pPr>
              <w:pStyle w:val="TableText0"/>
              <w:jc w:val="center"/>
              <w:rPr>
                <w:iCs/>
              </w:rPr>
            </w:pPr>
            <w:r w:rsidRPr="000C48F9">
              <w:rPr>
                <w:iCs/>
                <w:szCs w:val="20"/>
              </w:rPr>
              <w:t>-1.01 (0.13)</w:t>
            </w:r>
          </w:p>
        </w:tc>
        <w:tc>
          <w:tcPr>
            <w:tcW w:w="395" w:type="pct"/>
            <w:shd w:val="clear" w:color="auto" w:fill="auto"/>
            <w:tcMar>
              <w:left w:w="11" w:type="dxa"/>
              <w:right w:w="11" w:type="dxa"/>
            </w:tcMar>
            <w:vAlign w:val="center"/>
          </w:tcPr>
          <w:p w14:paraId="2132185C" w14:textId="3505FD13" w:rsidR="003B6E05" w:rsidRPr="000C48F9" w:rsidRDefault="003B6E05" w:rsidP="005A0287">
            <w:pPr>
              <w:pStyle w:val="TableText0"/>
              <w:jc w:val="center"/>
              <w:rPr>
                <w:iCs/>
              </w:rPr>
            </w:pPr>
            <w:r w:rsidRPr="000C48F9">
              <w:rPr>
                <w:iCs/>
                <w:szCs w:val="20"/>
              </w:rPr>
              <w:t>101/204</w:t>
            </w:r>
          </w:p>
        </w:tc>
        <w:tc>
          <w:tcPr>
            <w:tcW w:w="553" w:type="pct"/>
            <w:shd w:val="clear" w:color="auto" w:fill="auto"/>
            <w:tcMar>
              <w:left w:w="11" w:type="dxa"/>
              <w:right w:w="11" w:type="dxa"/>
            </w:tcMar>
            <w:vAlign w:val="center"/>
          </w:tcPr>
          <w:p w14:paraId="19DD477C" w14:textId="77777777" w:rsidR="003B6E05" w:rsidRPr="000C48F9" w:rsidRDefault="003B6E05" w:rsidP="005A0287">
            <w:pPr>
              <w:pStyle w:val="TableText0"/>
              <w:jc w:val="center"/>
              <w:rPr>
                <w:iCs/>
              </w:rPr>
            </w:pPr>
            <w:r w:rsidRPr="000C48F9">
              <w:rPr>
                <w:iCs/>
                <w:szCs w:val="20"/>
              </w:rPr>
              <w:t>10.26 (2.24)</w:t>
            </w:r>
          </w:p>
        </w:tc>
        <w:tc>
          <w:tcPr>
            <w:tcW w:w="446" w:type="pct"/>
            <w:shd w:val="clear" w:color="auto" w:fill="auto"/>
            <w:tcMar>
              <w:left w:w="11" w:type="dxa"/>
              <w:right w:w="11" w:type="dxa"/>
            </w:tcMar>
            <w:vAlign w:val="center"/>
          </w:tcPr>
          <w:p w14:paraId="590C0D27" w14:textId="77777777" w:rsidR="003B6E05" w:rsidRPr="000C48F9" w:rsidRDefault="003B6E05" w:rsidP="005A0287">
            <w:pPr>
              <w:pStyle w:val="TableText0"/>
              <w:jc w:val="center"/>
              <w:rPr>
                <w:iCs/>
              </w:rPr>
            </w:pPr>
            <w:r w:rsidRPr="000C48F9">
              <w:rPr>
                <w:iCs/>
                <w:szCs w:val="20"/>
              </w:rPr>
              <w:t>0.08 (0.13)</w:t>
            </w:r>
          </w:p>
        </w:tc>
        <w:tc>
          <w:tcPr>
            <w:tcW w:w="685" w:type="pct"/>
            <w:shd w:val="clear" w:color="auto" w:fill="auto"/>
            <w:tcMar>
              <w:left w:w="11" w:type="dxa"/>
              <w:right w:w="11" w:type="dxa"/>
            </w:tcMar>
            <w:vAlign w:val="center"/>
          </w:tcPr>
          <w:p w14:paraId="3E617858" w14:textId="77777777" w:rsidR="003B6E05" w:rsidRPr="000C48F9" w:rsidRDefault="003B6E05" w:rsidP="005A0287">
            <w:pPr>
              <w:pStyle w:val="TableText0"/>
              <w:jc w:val="center"/>
              <w:rPr>
                <w:b/>
                <w:bCs w:val="0"/>
                <w:iCs/>
              </w:rPr>
            </w:pPr>
            <w:r w:rsidRPr="000C48F9">
              <w:rPr>
                <w:b/>
                <w:iCs/>
                <w:szCs w:val="20"/>
              </w:rPr>
              <w:t>-1.09 (</w:t>
            </w:r>
            <w:r w:rsidRPr="000C48F9">
              <w:rPr>
                <w:b/>
                <w:iCs/>
                <w:szCs w:val="20"/>
              </w:rPr>
              <w:noBreakHyphen/>
              <w:t xml:space="preserve">1.43, </w:t>
            </w:r>
            <w:r w:rsidRPr="000C48F9">
              <w:rPr>
                <w:b/>
                <w:iCs/>
                <w:szCs w:val="20"/>
              </w:rPr>
              <w:noBreakHyphen/>
              <w:t>0.75)</w:t>
            </w:r>
          </w:p>
        </w:tc>
      </w:tr>
      <w:tr w:rsidR="003B6E05" w:rsidRPr="000C48F9" w14:paraId="3F63A6BB" w14:textId="77777777" w:rsidTr="005A0287">
        <w:trPr>
          <w:trHeight w:val="19"/>
        </w:trPr>
        <w:tc>
          <w:tcPr>
            <w:tcW w:w="5000" w:type="pct"/>
            <w:gridSpan w:val="10"/>
            <w:tcMar>
              <w:left w:w="11" w:type="dxa"/>
              <w:right w:w="11" w:type="dxa"/>
            </w:tcMar>
            <w:vAlign w:val="center"/>
          </w:tcPr>
          <w:p w14:paraId="49C5ABFB" w14:textId="03968A7A" w:rsidR="003B6E05" w:rsidRPr="000C48F9" w:rsidRDefault="003B6E05" w:rsidP="005A0287">
            <w:pPr>
              <w:pStyle w:val="TableText0"/>
              <w:rPr>
                <w:b/>
                <w:bCs w:val="0"/>
              </w:rPr>
            </w:pPr>
            <w:r w:rsidRPr="000C48F9">
              <w:rPr>
                <w:b/>
              </w:rPr>
              <w:t xml:space="preserve">Non-randomised, single arm </w:t>
            </w:r>
            <w:r w:rsidR="009A6B42" w:rsidRPr="000C48F9">
              <w:rPr>
                <w:b/>
              </w:rPr>
              <w:t>studies</w:t>
            </w:r>
          </w:p>
        </w:tc>
      </w:tr>
      <w:tr w:rsidR="003B6E05" w:rsidRPr="000C48F9" w14:paraId="6CD209D6" w14:textId="77777777" w:rsidTr="005A0287">
        <w:trPr>
          <w:trHeight w:val="19"/>
        </w:trPr>
        <w:tc>
          <w:tcPr>
            <w:tcW w:w="507" w:type="pct"/>
            <w:vMerge w:val="restart"/>
            <w:tcMar>
              <w:left w:w="11" w:type="dxa"/>
              <w:right w:w="11" w:type="dxa"/>
            </w:tcMar>
            <w:vAlign w:val="center"/>
          </w:tcPr>
          <w:p w14:paraId="6D003902" w14:textId="77777777" w:rsidR="003B6E05" w:rsidRPr="000C48F9" w:rsidRDefault="003B6E05" w:rsidP="005A0287">
            <w:pPr>
              <w:pStyle w:val="TableText0"/>
            </w:pPr>
            <w:r w:rsidRPr="000C48F9">
              <w:t>Study 106</w:t>
            </w:r>
          </w:p>
        </w:tc>
        <w:tc>
          <w:tcPr>
            <w:tcW w:w="249" w:type="pct"/>
            <w:tcMar>
              <w:left w:w="11" w:type="dxa"/>
              <w:right w:w="11" w:type="dxa"/>
            </w:tcMar>
            <w:vAlign w:val="center"/>
          </w:tcPr>
          <w:p w14:paraId="3C980334" w14:textId="77777777" w:rsidR="003B6E05" w:rsidRPr="000C48F9" w:rsidRDefault="003B6E05" w:rsidP="005A0287">
            <w:pPr>
              <w:pStyle w:val="TableText0"/>
            </w:pPr>
            <w:r w:rsidRPr="000C48F9">
              <w:t>F/MF</w:t>
            </w:r>
          </w:p>
        </w:tc>
        <w:tc>
          <w:tcPr>
            <w:tcW w:w="584" w:type="pct"/>
            <w:vMerge w:val="restart"/>
            <w:vAlign w:val="center"/>
          </w:tcPr>
          <w:p w14:paraId="2EBFB6F0" w14:textId="77777777" w:rsidR="003B6E05" w:rsidRPr="000C48F9" w:rsidRDefault="003B6E05" w:rsidP="005A0287">
            <w:pPr>
              <w:pStyle w:val="TableText0"/>
            </w:pPr>
            <w:r w:rsidRPr="000C48F9">
              <w:t>ELX/TEZ/IVA</w:t>
            </w:r>
          </w:p>
        </w:tc>
        <w:tc>
          <w:tcPr>
            <w:tcW w:w="395" w:type="pct"/>
            <w:tcMar>
              <w:left w:w="11" w:type="dxa"/>
              <w:right w:w="11" w:type="dxa"/>
            </w:tcMar>
            <w:vAlign w:val="center"/>
          </w:tcPr>
          <w:p w14:paraId="0BD9CEE3" w14:textId="77777777" w:rsidR="003B6E05" w:rsidRPr="000C48F9" w:rsidRDefault="003B6E05" w:rsidP="005A0287">
            <w:pPr>
              <w:pStyle w:val="TableText0"/>
              <w:jc w:val="center"/>
            </w:pPr>
            <w:r w:rsidRPr="000C48F9">
              <w:t>27/37</w:t>
            </w:r>
          </w:p>
        </w:tc>
        <w:tc>
          <w:tcPr>
            <w:tcW w:w="632" w:type="pct"/>
            <w:tcMar>
              <w:left w:w="11" w:type="dxa"/>
              <w:right w:w="11" w:type="dxa"/>
            </w:tcMar>
            <w:vAlign w:val="center"/>
          </w:tcPr>
          <w:p w14:paraId="3DE288B2" w14:textId="77777777" w:rsidR="003B6E05" w:rsidRPr="000C48F9" w:rsidRDefault="003B6E05" w:rsidP="005A0287">
            <w:pPr>
              <w:pStyle w:val="TableText0"/>
              <w:jc w:val="center"/>
            </w:pPr>
            <w:r w:rsidRPr="000C48F9">
              <w:t>NR</w:t>
            </w:r>
          </w:p>
        </w:tc>
        <w:tc>
          <w:tcPr>
            <w:tcW w:w="553" w:type="pct"/>
            <w:tcMar>
              <w:left w:w="11" w:type="dxa"/>
              <w:right w:w="11" w:type="dxa"/>
            </w:tcMar>
            <w:vAlign w:val="center"/>
          </w:tcPr>
          <w:p w14:paraId="36A2F147" w14:textId="77777777" w:rsidR="003B6E05" w:rsidRPr="000C48F9" w:rsidRDefault="003B6E05" w:rsidP="005A0287">
            <w:pPr>
              <w:pStyle w:val="TableText0"/>
              <w:jc w:val="center"/>
            </w:pPr>
            <w:r w:rsidRPr="000C48F9">
              <w:t>NR</w:t>
            </w:r>
          </w:p>
        </w:tc>
        <w:tc>
          <w:tcPr>
            <w:tcW w:w="395" w:type="pct"/>
            <w:tcMar>
              <w:left w:w="11" w:type="dxa"/>
              <w:right w:w="11" w:type="dxa"/>
            </w:tcMar>
            <w:vAlign w:val="center"/>
          </w:tcPr>
          <w:p w14:paraId="240EF7C1" w14:textId="77777777" w:rsidR="003B6E05" w:rsidRPr="000C48F9" w:rsidRDefault="003B6E05" w:rsidP="005A0287">
            <w:pPr>
              <w:pStyle w:val="TableText0"/>
              <w:jc w:val="center"/>
            </w:pPr>
            <w:r w:rsidRPr="000C48F9">
              <w:t>NA</w:t>
            </w:r>
          </w:p>
        </w:tc>
        <w:tc>
          <w:tcPr>
            <w:tcW w:w="553" w:type="pct"/>
            <w:tcMar>
              <w:left w:w="11" w:type="dxa"/>
              <w:right w:w="11" w:type="dxa"/>
            </w:tcMar>
            <w:vAlign w:val="center"/>
          </w:tcPr>
          <w:p w14:paraId="6D435B1C" w14:textId="77777777" w:rsidR="003B6E05" w:rsidRPr="000C48F9" w:rsidRDefault="003B6E05" w:rsidP="005A0287">
            <w:pPr>
              <w:pStyle w:val="TableText0"/>
              <w:jc w:val="center"/>
            </w:pPr>
            <w:r w:rsidRPr="000C48F9">
              <w:t>NA</w:t>
            </w:r>
          </w:p>
        </w:tc>
        <w:tc>
          <w:tcPr>
            <w:tcW w:w="446" w:type="pct"/>
            <w:tcMar>
              <w:left w:w="11" w:type="dxa"/>
              <w:right w:w="11" w:type="dxa"/>
            </w:tcMar>
            <w:vAlign w:val="center"/>
          </w:tcPr>
          <w:p w14:paraId="4C0B439F" w14:textId="77777777" w:rsidR="003B6E05" w:rsidRPr="000C48F9" w:rsidRDefault="003B6E05" w:rsidP="005A0287">
            <w:pPr>
              <w:pStyle w:val="TableText0"/>
              <w:jc w:val="center"/>
            </w:pPr>
            <w:r w:rsidRPr="000C48F9">
              <w:t>NA</w:t>
            </w:r>
          </w:p>
        </w:tc>
        <w:tc>
          <w:tcPr>
            <w:tcW w:w="685" w:type="pct"/>
            <w:tcMar>
              <w:left w:w="11" w:type="dxa"/>
              <w:right w:w="11" w:type="dxa"/>
            </w:tcMar>
            <w:vAlign w:val="center"/>
          </w:tcPr>
          <w:p w14:paraId="672E0DBD" w14:textId="77777777" w:rsidR="003B6E05" w:rsidRPr="000C48F9" w:rsidRDefault="003B6E05" w:rsidP="005A0287">
            <w:pPr>
              <w:pStyle w:val="TableText0"/>
              <w:jc w:val="center"/>
              <w:rPr>
                <w:b/>
                <w:bCs w:val="0"/>
              </w:rPr>
            </w:pPr>
            <w:r w:rsidRPr="000C48F9">
              <w:rPr>
                <w:b/>
                <w:bCs w:val="0"/>
              </w:rPr>
              <w:t>-1.72 (</w:t>
            </w:r>
            <w:r w:rsidRPr="000C48F9">
              <w:rPr>
                <w:b/>
                <w:bCs w:val="0"/>
              </w:rPr>
              <w:noBreakHyphen/>
              <w:t xml:space="preserve">2.11, </w:t>
            </w:r>
            <w:r w:rsidRPr="000C48F9">
              <w:rPr>
                <w:b/>
                <w:bCs w:val="0"/>
              </w:rPr>
              <w:noBreakHyphen/>
              <w:t>1.33)</w:t>
            </w:r>
          </w:p>
        </w:tc>
      </w:tr>
      <w:tr w:rsidR="003B6E05" w:rsidRPr="000C48F9" w14:paraId="56219A33" w14:textId="77777777" w:rsidTr="005A0287">
        <w:trPr>
          <w:trHeight w:val="19"/>
        </w:trPr>
        <w:tc>
          <w:tcPr>
            <w:tcW w:w="507" w:type="pct"/>
            <w:vMerge/>
            <w:tcMar>
              <w:left w:w="11" w:type="dxa"/>
              <w:right w:w="11" w:type="dxa"/>
            </w:tcMar>
            <w:vAlign w:val="center"/>
          </w:tcPr>
          <w:p w14:paraId="50D05273" w14:textId="77777777" w:rsidR="003B6E05" w:rsidRPr="000C48F9" w:rsidRDefault="003B6E05" w:rsidP="005A0287">
            <w:pPr>
              <w:pStyle w:val="TableText0"/>
            </w:pPr>
          </w:p>
        </w:tc>
        <w:tc>
          <w:tcPr>
            <w:tcW w:w="249" w:type="pct"/>
            <w:tcMar>
              <w:left w:w="11" w:type="dxa"/>
              <w:right w:w="11" w:type="dxa"/>
            </w:tcMar>
            <w:vAlign w:val="center"/>
          </w:tcPr>
          <w:p w14:paraId="62F7DB6B" w14:textId="77777777" w:rsidR="003B6E05" w:rsidRPr="000C48F9" w:rsidRDefault="003B6E05" w:rsidP="005A0287">
            <w:pPr>
              <w:pStyle w:val="TableText0"/>
            </w:pPr>
            <w:r w:rsidRPr="000C48F9">
              <w:t>F/F</w:t>
            </w:r>
          </w:p>
        </w:tc>
        <w:tc>
          <w:tcPr>
            <w:tcW w:w="584" w:type="pct"/>
            <w:vMerge/>
            <w:vAlign w:val="center"/>
          </w:tcPr>
          <w:p w14:paraId="59A98950" w14:textId="77777777" w:rsidR="003B6E05" w:rsidRPr="000C48F9" w:rsidRDefault="003B6E05" w:rsidP="005A0287">
            <w:pPr>
              <w:pStyle w:val="TableText0"/>
            </w:pPr>
          </w:p>
        </w:tc>
        <w:tc>
          <w:tcPr>
            <w:tcW w:w="395" w:type="pct"/>
            <w:tcMar>
              <w:left w:w="11" w:type="dxa"/>
              <w:right w:w="11" w:type="dxa"/>
            </w:tcMar>
            <w:vAlign w:val="center"/>
          </w:tcPr>
          <w:p w14:paraId="58059C0D" w14:textId="77777777" w:rsidR="003B6E05" w:rsidRPr="000C48F9" w:rsidRDefault="003B6E05" w:rsidP="005A0287">
            <w:pPr>
              <w:pStyle w:val="TableText0"/>
              <w:jc w:val="center"/>
            </w:pPr>
            <w:r w:rsidRPr="000C48F9">
              <w:t>23/29</w:t>
            </w:r>
          </w:p>
        </w:tc>
        <w:tc>
          <w:tcPr>
            <w:tcW w:w="632" w:type="pct"/>
            <w:tcMar>
              <w:left w:w="11" w:type="dxa"/>
              <w:right w:w="11" w:type="dxa"/>
            </w:tcMar>
            <w:vAlign w:val="center"/>
          </w:tcPr>
          <w:p w14:paraId="6A407E54" w14:textId="77777777" w:rsidR="003B6E05" w:rsidRPr="000C48F9" w:rsidRDefault="003B6E05" w:rsidP="005A0287">
            <w:pPr>
              <w:pStyle w:val="TableText0"/>
              <w:jc w:val="center"/>
            </w:pPr>
            <w:r w:rsidRPr="000C48F9">
              <w:t>NR</w:t>
            </w:r>
          </w:p>
        </w:tc>
        <w:tc>
          <w:tcPr>
            <w:tcW w:w="553" w:type="pct"/>
            <w:tcMar>
              <w:left w:w="11" w:type="dxa"/>
              <w:right w:w="11" w:type="dxa"/>
            </w:tcMar>
            <w:vAlign w:val="center"/>
          </w:tcPr>
          <w:p w14:paraId="473B5407" w14:textId="77777777" w:rsidR="003B6E05" w:rsidRPr="000C48F9" w:rsidRDefault="003B6E05" w:rsidP="005A0287">
            <w:pPr>
              <w:pStyle w:val="TableText0"/>
              <w:jc w:val="center"/>
            </w:pPr>
            <w:r w:rsidRPr="000C48F9">
              <w:t>NR</w:t>
            </w:r>
          </w:p>
        </w:tc>
        <w:tc>
          <w:tcPr>
            <w:tcW w:w="395" w:type="pct"/>
            <w:tcMar>
              <w:left w:w="11" w:type="dxa"/>
              <w:right w:w="11" w:type="dxa"/>
            </w:tcMar>
            <w:vAlign w:val="center"/>
          </w:tcPr>
          <w:p w14:paraId="4A135F84" w14:textId="77777777" w:rsidR="003B6E05" w:rsidRPr="000C48F9" w:rsidRDefault="003B6E05" w:rsidP="005A0287">
            <w:pPr>
              <w:pStyle w:val="TableText0"/>
              <w:jc w:val="center"/>
            </w:pPr>
            <w:r w:rsidRPr="000C48F9">
              <w:t>NA</w:t>
            </w:r>
          </w:p>
        </w:tc>
        <w:tc>
          <w:tcPr>
            <w:tcW w:w="553" w:type="pct"/>
            <w:tcMar>
              <w:left w:w="11" w:type="dxa"/>
              <w:right w:w="11" w:type="dxa"/>
            </w:tcMar>
            <w:vAlign w:val="center"/>
          </w:tcPr>
          <w:p w14:paraId="64443606" w14:textId="77777777" w:rsidR="003B6E05" w:rsidRPr="000C48F9" w:rsidRDefault="003B6E05" w:rsidP="005A0287">
            <w:pPr>
              <w:pStyle w:val="TableText0"/>
              <w:jc w:val="center"/>
            </w:pPr>
            <w:r w:rsidRPr="000C48F9">
              <w:t>NA</w:t>
            </w:r>
          </w:p>
        </w:tc>
        <w:tc>
          <w:tcPr>
            <w:tcW w:w="446" w:type="pct"/>
            <w:tcMar>
              <w:left w:w="11" w:type="dxa"/>
              <w:right w:w="11" w:type="dxa"/>
            </w:tcMar>
            <w:vAlign w:val="center"/>
          </w:tcPr>
          <w:p w14:paraId="27D973AD" w14:textId="77777777" w:rsidR="003B6E05" w:rsidRPr="000C48F9" w:rsidRDefault="003B6E05" w:rsidP="005A0287">
            <w:pPr>
              <w:pStyle w:val="TableText0"/>
              <w:jc w:val="center"/>
            </w:pPr>
            <w:r w:rsidRPr="000C48F9">
              <w:t>NA</w:t>
            </w:r>
          </w:p>
        </w:tc>
        <w:tc>
          <w:tcPr>
            <w:tcW w:w="685" w:type="pct"/>
            <w:tcMar>
              <w:left w:w="11" w:type="dxa"/>
              <w:right w:w="11" w:type="dxa"/>
            </w:tcMar>
            <w:vAlign w:val="center"/>
          </w:tcPr>
          <w:p w14:paraId="5C37721D" w14:textId="77777777" w:rsidR="003B6E05" w:rsidRPr="000C48F9" w:rsidRDefault="003B6E05" w:rsidP="005A0287">
            <w:pPr>
              <w:pStyle w:val="TableText0"/>
              <w:jc w:val="center"/>
              <w:rPr>
                <w:b/>
                <w:bCs w:val="0"/>
              </w:rPr>
            </w:pPr>
            <w:r w:rsidRPr="000C48F9">
              <w:rPr>
                <w:b/>
                <w:bCs w:val="0"/>
              </w:rPr>
              <w:t>-1.64 (</w:t>
            </w:r>
            <w:r w:rsidRPr="000C48F9">
              <w:rPr>
                <w:b/>
                <w:bCs w:val="0"/>
              </w:rPr>
              <w:noBreakHyphen/>
              <w:t xml:space="preserve">2.34, </w:t>
            </w:r>
            <w:r w:rsidRPr="000C48F9">
              <w:rPr>
                <w:b/>
                <w:bCs w:val="0"/>
              </w:rPr>
              <w:noBreakHyphen/>
              <w:t>0.94)</w:t>
            </w:r>
          </w:p>
        </w:tc>
      </w:tr>
      <w:tr w:rsidR="003B6E05" w:rsidRPr="000C48F9" w14:paraId="153859EF" w14:textId="77777777" w:rsidTr="004270F2">
        <w:trPr>
          <w:trHeight w:val="19"/>
        </w:trPr>
        <w:tc>
          <w:tcPr>
            <w:tcW w:w="507" w:type="pct"/>
            <w:shd w:val="clear" w:color="auto" w:fill="auto"/>
            <w:tcMar>
              <w:left w:w="11" w:type="dxa"/>
              <w:right w:w="11" w:type="dxa"/>
            </w:tcMar>
            <w:vAlign w:val="center"/>
          </w:tcPr>
          <w:p w14:paraId="6225844C" w14:textId="0E1A9E33" w:rsidR="003B6E05" w:rsidRPr="000C48F9" w:rsidRDefault="003B6E05" w:rsidP="005A0287">
            <w:pPr>
              <w:pStyle w:val="TableText0"/>
            </w:pPr>
            <w:r w:rsidRPr="000C48F9">
              <w:t>Study 011</w:t>
            </w:r>
          </w:p>
        </w:tc>
        <w:tc>
          <w:tcPr>
            <w:tcW w:w="249" w:type="pct"/>
            <w:shd w:val="clear" w:color="auto" w:fill="auto"/>
            <w:tcMar>
              <w:left w:w="11" w:type="dxa"/>
              <w:right w:w="11" w:type="dxa"/>
            </w:tcMar>
            <w:vAlign w:val="center"/>
          </w:tcPr>
          <w:p w14:paraId="5451356B" w14:textId="5F81B571" w:rsidR="003B6E05" w:rsidRPr="000C48F9" w:rsidRDefault="003B6E05" w:rsidP="005A0287">
            <w:pPr>
              <w:pStyle w:val="TableText0"/>
            </w:pPr>
            <w:r w:rsidRPr="000C48F9">
              <w:t>F/F</w:t>
            </w:r>
          </w:p>
        </w:tc>
        <w:tc>
          <w:tcPr>
            <w:tcW w:w="584" w:type="pct"/>
            <w:shd w:val="clear" w:color="auto" w:fill="auto"/>
            <w:vAlign w:val="center"/>
          </w:tcPr>
          <w:p w14:paraId="4A7B3398" w14:textId="0805BF1F" w:rsidR="003B6E05" w:rsidRPr="000C48F9" w:rsidRDefault="003B6E05" w:rsidP="005A0287">
            <w:pPr>
              <w:pStyle w:val="TableText0"/>
            </w:pPr>
            <w:r w:rsidRPr="000C48F9">
              <w:t>LUM/IVA</w:t>
            </w:r>
          </w:p>
        </w:tc>
        <w:tc>
          <w:tcPr>
            <w:tcW w:w="395" w:type="pct"/>
            <w:shd w:val="clear" w:color="auto" w:fill="auto"/>
            <w:tcMar>
              <w:left w:w="11" w:type="dxa"/>
              <w:right w:w="11" w:type="dxa"/>
            </w:tcMar>
            <w:vAlign w:val="center"/>
          </w:tcPr>
          <w:p w14:paraId="7377335E" w14:textId="7C774E5A" w:rsidR="003B6E05" w:rsidRPr="000C48F9" w:rsidRDefault="003B6E05" w:rsidP="005A0287">
            <w:pPr>
              <w:pStyle w:val="TableText0"/>
              <w:jc w:val="center"/>
              <w:rPr>
                <w:iCs/>
              </w:rPr>
            </w:pPr>
            <w:r w:rsidRPr="000C48F9">
              <w:rPr>
                <w:iCs/>
              </w:rPr>
              <w:t>30/58</w:t>
            </w:r>
          </w:p>
        </w:tc>
        <w:tc>
          <w:tcPr>
            <w:tcW w:w="632" w:type="pct"/>
            <w:shd w:val="clear" w:color="auto" w:fill="auto"/>
            <w:tcMar>
              <w:left w:w="11" w:type="dxa"/>
              <w:right w:w="11" w:type="dxa"/>
            </w:tcMar>
            <w:vAlign w:val="center"/>
          </w:tcPr>
          <w:p w14:paraId="3EFAA598" w14:textId="0B1695A3" w:rsidR="003B6E05" w:rsidRPr="000C48F9" w:rsidRDefault="003B6E05" w:rsidP="005A0287">
            <w:pPr>
              <w:pStyle w:val="TableText0"/>
              <w:jc w:val="center"/>
              <w:rPr>
                <w:iCs/>
              </w:rPr>
            </w:pPr>
            <w:r w:rsidRPr="000C48F9">
              <w:rPr>
                <w:iCs/>
              </w:rPr>
              <w:t>9.99 (2.67)</w:t>
            </w:r>
          </w:p>
        </w:tc>
        <w:tc>
          <w:tcPr>
            <w:tcW w:w="553" w:type="pct"/>
            <w:shd w:val="clear" w:color="auto" w:fill="auto"/>
            <w:tcMar>
              <w:left w:w="11" w:type="dxa"/>
              <w:right w:w="11" w:type="dxa"/>
            </w:tcMar>
            <w:vAlign w:val="center"/>
          </w:tcPr>
          <w:p w14:paraId="30AF8938" w14:textId="2E659BCB" w:rsidR="003B6E05" w:rsidRPr="000C48F9" w:rsidRDefault="003B6E05" w:rsidP="005A0287">
            <w:pPr>
              <w:pStyle w:val="TableText0"/>
              <w:jc w:val="center"/>
              <w:rPr>
                <w:iCs/>
              </w:rPr>
            </w:pPr>
            <w:r w:rsidRPr="000C48F9">
              <w:rPr>
                <w:iCs/>
              </w:rPr>
              <w:t>NR</w:t>
            </w:r>
          </w:p>
        </w:tc>
        <w:tc>
          <w:tcPr>
            <w:tcW w:w="395" w:type="pct"/>
            <w:shd w:val="clear" w:color="auto" w:fill="auto"/>
            <w:tcMar>
              <w:left w:w="11" w:type="dxa"/>
              <w:right w:w="11" w:type="dxa"/>
            </w:tcMar>
            <w:vAlign w:val="center"/>
          </w:tcPr>
          <w:p w14:paraId="592FEA61" w14:textId="78D21467" w:rsidR="003B6E05" w:rsidRPr="000C48F9" w:rsidRDefault="003B6E05" w:rsidP="005A0287">
            <w:pPr>
              <w:pStyle w:val="TableText0"/>
              <w:jc w:val="center"/>
              <w:rPr>
                <w:iCs/>
              </w:rPr>
            </w:pPr>
            <w:r w:rsidRPr="000C48F9">
              <w:rPr>
                <w:iCs/>
              </w:rPr>
              <w:t>NR</w:t>
            </w:r>
          </w:p>
        </w:tc>
        <w:tc>
          <w:tcPr>
            <w:tcW w:w="553" w:type="pct"/>
            <w:shd w:val="clear" w:color="auto" w:fill="auto"/>
            <w:tcMar>
              <w:left w:w="11" w:type="dxa"/>
              <w:right w:w="11" w:type="dxa"/>
            </w:tcMar>
            <w:vAlign w:val="center"/>
          </w:tcPr>
          <w:p w14:paraId="1E3F7E8E" w14:textId="488386AA" w:rsidR="003B6E05" w:rsidRPr="000C48F9" w:rsidRDefault="003B6E05" w:rsidP="005A0287">
            <w:pPr>
              <w:pStyle w:val="TableText0"/>
              <w:jc w:val="center"/>
              <w:rPr>
                <w:iCs/>
              </w:rPr>
            </w:pPr>
            <w:r w:rsidRPr="000C48F9">
              <w:rPr>
                <w:iCs/>
              </w:rPr>
              <w:t>NR</w:t>
            </w:r>
          </w:p>
        </w:tc>
        <w:tc>
          <w:tcPr>
            <w:tcW w:w="446" w:type="pct"/>
            <w:shd w:val="clear" w:color="auto" w:fill="auto"/>
            <w:tcMar>
              <w:left w:w="11" w:type="dxa"/>
              <w:right w:w="11" w:type="dxa"/>
            </w:tcMar>
            <w:vAlign w:val="center"/>
          </w:tcPr>
          <w:p w14:paraId="04E6D5F8" w14:textId="37335CFF" w:rsidR="003B6E05" w:rsidRPr="000C48F9" w:rsidRDefault="003B6E05" w:rsidP="005A0287">
            <w:pPr>
              <w:pStyle w:val="TableText0"/>
              <w:jc w:val="center"/>
              <w:rPr>
                <w:iCs/>
              </w:rPr>
            </w:pPr>
            <w:r w:rsidRPr="000C48F9">
              <w:rPr>
                <w:iCs/>
              </w:rPr>
              <w:t>NR</w:t>
            </w:r>
          </w:p>
        </w:tc>
        <w:tc>
          <w:tcPr>
            <w:tcW w:w="685" w:type="pct"/>
            <w:shd w:val="clear" w:color="auto" w:fill="auto"/>
            <w:tcMar>
              <w:left w:w="11" w:type="dxa"/>
              <w:right w:w="11" w:type="dxa"/>
            </w:tcMar>
            <w:vAlign w:val="center"/>
          </w:tcPr>
          <w:p w14:paraId="26AB5067" w14:textId="7236B10E" w:rsidR="003B6E05" w:rsidRPr="000C48F9" w:rsidRDefault="003B6E05" w:rsidP="005A0287">
            <w:pPr>
              <w:pStyle w:val="TableText0"/>
              <w:jc w:val="center"/>
              <w:rPr>
                <w:b/>
                <w:bCs w:val="0"/>
                <w:iCs/>
              </w:rPr>
            </w:pPr>
            <w:r w:rsidRPr="000C48F9">
              <w:rPr>
                <w:b/>
                <w:iCs/>
              </w:rPr>
              <w:noBreakHyphen/>
              <w:t>0.88 (</w:t>
            </w:r>
            <w:r w:rsidRPr="000C48F9">
              <w:rPr>
                <w:b/>
                <w:iCs/>
              </w:rPr>
              <w:noBreakHyphen/>
              <w:t xml:space="preserve">1.40, </w:t>
            </w:r>
            <w:r w:rsidRPr="000C48F9">
              <w:rPr>
                <w:b/>
                <w:iCs/>
              </w:rPr>
              <w:noBreakHyphen/>
              <w:t>0.37)</w:t>
            </w:r>
          </w:p>
        </w:tc>
      </w:tr>
    </w:tbl>
    <w:p w14:paraId="2DDEE97C" w14:textId="2D433698" w:rsidR="003B6E05" w:rsidRPr="000C48F9" w:rsidRDefault="003B6E05" w:rsidP="005A0287">
      <w:pPr>
        <w:pStyle w:val="TableFigureFooter"/>
      </w:pPr>
      <w:r w:rsidRPr="000C48F9">
        <w:t>Source: Table 2.5.</w:t>
      </w:r>
      <w:r w:rsidR="000D68A9">
        <w:t>1</w:t>
      </w:r>
      <w:r w:rsidRPr="000C48F9">
        <w:t xml:space="preserve"> p8</w:t>
      </w:r>
      <w:r w:rsidR="000D68A9">
        <w:t>2</w:t>
      </w:r>
      <w:r w:rsidRPr="000C48F9">
        <w:t>4; Table 2.5.5 p87 of the submission; Table 5 p9, LUM/IVA PSD, July 2018; Table 4 p916, Milla et al 2017.</w:t>
      </w:r>
    </w:p>
    <w:p w14:paraId="5BB014B5" w14:textId="1D74D851" w:rsidR="003B6E05" w:rsidRPr="000C48F9" w:rsidRDefault="003B6E05" w:rsidP="005A0287">
      <w:pPr>
        <w:pStyle w:val="TableFigureFooter"/>
      </w:pPr>
      <w:r w:rsidRPr="000C48F9">
        <w:t xml:space="preserve">CI = confidence interval; </w:t>
      </w:r>
      <w:r w:rsidR="000D68A9" w:rsidRPr="00D871EC">
        <w:rPr>
          <w:rFonts w:eastAsia="MS Mincho"/>
        </w:rPr>
        <w:t>ELX/TEZ/IVA=elexacaftor/tezacaftor/ivacaftor</w:t>
      </w:r>
      <w:r w:rsidR="000D68A9">
        <w:t xml:space="preserve">; </w:t>
      </w:r>
      <w:r w:rsidRPr="000C48F9">
        <w:t>F/F = CF patient homozygous for the F508del-CFTR mutation; F/MF = CF patient heterozygous for the F508del in the CFTR gene with a minimal function mutation; LSM= least square measure;</w:t>
      </w:r>
      <w:r w:rsidR="000D68A9" w:rsidRPr="000C48F9">
        <w:rPr>
          <w:rFonts w:eastAsia="Calibri"/>
        </w:rPr>
        <w:t xml:space="preserve"> </w:t>
      </w:r>
      <w:r w:rsidR="000D68A9" w:rsidRPr="00D871EC">
        <w:t>LUM/IVA= lumacaftor/ivacaftor</w:t>
      </w:r>
      <w:r w:rsidR="000D68A9">
        <w:rPr>
          <w:rFonts w:eastAsia="Calibri"/>
        </w:rPr>
        <w:t xml:space="preserve">; </w:t>
      </w:r>
      <w:r w:rsidRPr="000C48F9">
        <w:rPr>
          <w:rFonts w:eastAsia="Calibri"/>
        </w:rPr>
        <w:t>n = number of patients with event; N = total patients in group; NR= not reported; PBO= placebo;</w:t>
      </w:r>
      <w:r w:rsidRPr="000C48F9">
        <w:t xml:space="preserve"> SD = standard deviation; SE = standard error; w = week</w:t>
      </w:r>
    </w:p>
    <w:p w14:paraId="54264DE7" w14:textId="30A194E8" w:rsidR="003B6E05" w:rsidRPr="000C48F9" w:rsidRDefault="003B6E05" w:rsidP="005A0287">
      <w:pPr>
        <w:pStyle w:val="TableFigureFooter"/>
      </w:pPr>
      <w:r w:rsidRPr="000C48F9">
        <w:t>Notes:</w:t>
      </w:r>
      <w:r w:rsidR="0003202A" w:rsidRPr="000C48F9">
        <w:t xml:space="preserve"> </w:t>
      </w:r>
      <w:r w:rsidRPr="000C48F9">
        <w:t xml:space="preserve">Bold indicates statistically significant results </w:t>
      </w:r>
    </w:p>
    <w:p w14:paraId="1C3DC273" w14:textId="5AEA3E04" w:rsidR="003B6E05" w:rsidRPr="000C48F9" w:rsidRDefault="003B6E05" w:rsidP="004967C5">
      <w:pPr>
        <w:pStyle w:val="3-BodyText"/>
        <w:rPr>
          <w:i/>
          <w:color w:val="0066FF"/>
        </w:rPr>
      </w:pPr>
      <w:r w:rsidRPr="000C48F9">
        <w:rPr>
          <w:iCs/>
        </w:rPr>
        <w:t>There is no established, externally validated, MCID for LCI. Furthermore, it is uncertain how an improvement in LCI</w:t>
      </w:r>
      <w:r w:rsidRPr="000C48F9">
        <w:rPr>
          <w:iCs/>
          <w:vertAlign w:val="subscript"/>
        </w:rPr>
        <w:t>2.5</w:t>
      </w:r>
      <w:r w:rsidRPr="000C48F9">
        <w:rPr>
          <w:iCs/>
        </w:rPr>
        <w:t xml:space="preserve"> affects survival (para 6.15</w:t>
      </w:r>
      <w:r w:rsidR="004967C5" w:rsidRPr="000C48F9">
        <w:rPr>
          <w:iCs/>
        </w:rPr>
        <w:t>,</w:t>
      </w:r>
      <w:r w:rsidRPr="000C48F9">
        <w:rPr>
          <w:iCs/>
        </w:rPr>
        <w:t xml:space="preserve"> LUM/IVA</w:t>
      </w:r>
      <w:r w:rsidR="004967C5" w:rsidRPr="000C48F9">
        <w:rPr>
          <w:iCs/>
        </w:rPr>
        <w:t xml:space="preserve"> </w:t>
      </w:r>
      <w:r w:rsidR="00923ABF" w:rsidRPr="00923ABF">
        <w:rPr>
          <w:iCs/>
        </w:rPr>
        <w:t xml:space="preserve">Public Summary Document </w:t>
      </w:r>
      <w:r w:rsidR="008401D4">
        <w:rPr>
          <w:iCs/>
        </w:rPr>
        <w:t>(</w:t>
      </w:r>
      <w:r w:rsidR="004967C5" w:rsidRPr="000C48F9">
        <w:rPr>
          <w:iCs/>
        </w:rPr>
        <w:t>PSD</w:t>
      </w:r>
      <w:r w:rsidR="008401D4">
        <w:rPr>
          <w:iCs/>
        </w:rPr>
        <w:t>)</w:t>
      </w:r>
      <w:r w:rsidR="004967C5" w:rsidRPr="000C48F9">
        <w:rPr>
          <w:iCs/>
        </w:rPr>
        <w:t>,</w:t>
      </w:r>
      <w:r w:rsidRPr="000C48F9">
        <w:rPr>
          <w:iCs/>
        </w:rPr>
        <w:t xml:space="preserve"> July 2018). LCI</w:t>
      </w:r>
      <w:r w:rsidRPr="000C48F9">
        <w:rPr>
          <w:iCs/>
          <w:vertAlign w:val="subscript"/>
        </w:rPr>
        <w:t>2.5</w:t>
      </w:r>
      <w:r w:rsidRPr="000C48F9">
        <w:rPr>
          <w:iCs/>
        </w:rPr>
        <w:t xml:space="preserve"> was not a primary outcome in the submission for CF patients </w:t>
      </w:r>
      <w:r w:rsidRPr="000C48F9">
        <w:rPr>
          <w:rFonts w:cstheme="minorHAnsi"/>
          <w:iCs/>
        </w:rPr>
        <w:t>≥</w:t>
      </w:r>
      <w:r w:rsidRPr="000C48F9">
        <w:rPr>
          <w:iCs/>
        </w:rPr>
        <w:t>12 years and was not used in the economic model in the current submission</w:t>
      </w:r>
      <w:r w:rsidRPr="000C48F9">
        <w:rPr>
          <w:i/>
        </w:rPr>
        <w:t xml:space="preserve">. </w:t>
      </w:r>
    </w:p>
    <w:p w14:paraId="08596BBB" w14:textId="4A31BB9E" w:rsidR="003B6E05" w:rsidRPr="000C48F9" w:rsidRDefault="003B6E05" w:rsidP="00B44292">
      <w:pPr>
        <w:pStyle w:val="3-BodyText"/>
        <w:rPr>
          <w:color w:val="0066FF"/>
        </w:rPr>
      </w:pPr>
      <w:r w:rsidRPr="000C48F9">
        <w:rPr>
          <w:rFonts w:ascii="Calibri" w:hAnsi="Calibri"/>
          <w:snapToGrid/>
          <w:color w:val="000000" w:themeColor="text1"/>
        </w:rPr>
        <w:t xml:space="preserve">A summary of the absolute change from baseline </w:t>
      </w:r>
      <w:r w:rsidR="004967C5" w:rsidRPr="000C48F9">
        <w:rPr>
          <w:rFonts w:ascii="Calibri" w:hAnsi="Calibri"/>
          <w:snapToGrid/>
          <w:color w:val="000000" w:themeColor="text1"/>
        </w:rPr>
        <w:t xml:space="preserve">to 24 weeks </w:t>
      </w:r>
      <w:r w:rsidRPr="000C48F9">
        <w:rPr>
          <w:rFonts w:ascii="Calibri" w:hAnsi="Calibri"/>
          <w:snapToGrid/>
          <w:color w:val="000000" w:themeColor="text1"/>
        </w:rPr>
        <w:t>in the CFQ-R Respiratory Domain results across the trials is presented in</w:t>
      </w:r>
      <w:r w:rsidR="004E6CF1" w:rsidRPr="000C48F9">
        <w:rPr>
          <w:rFonts w:ascii="Calibri" w:hAnsi="Calibri"/>
          <w:snapToGrid/>
          <w:color w:val="000000" w:themeColor="text1"/>
        </w:rPr>
        <w:t xml:space="preserve"> </w:t>
      </w:r>
      <w:r w:rsidR="004E6CF1" w:rsidRPr="000C48F9">
        <w:rPr>
          <w:rFonts w:ascii="Calibri" w:hAnsi="Calibri"/>
          <w:snapToGrid/>
          <w:color w:val="000000" w:themeColor="text1"/>
        </w:rPr>
        <w:fldChar w:fldCharType="begin" w:fldLock="1"/>
      </w:r>
      <w:r w:rsidR="004E6CF1" w:rsidRPr="000C48F9">
        <w:rPr>
          <w:rFonts w:ascii="Calibri" w:hAnsi="Calibri"/>
          <w:snapToGrid/>
          <w:color w:val="000000" w:themeColor="text1"/>
        </w:rPr>
        <w:instrText xml:space="preserve"> REF _Ref112923047 \h </w:instrText>
      </w:r>
      <w:r w:rsidR="004E6CF1" w:rsidRPr="000C48F9">
        <w:rPr>
          <w:rFonts w:ascii="Calibri" w:hAnsi="Calibri"/>
          <w:snapToGrid/>
          <w:color w:val="000000" w:themeColor="text1"/>
        </w:rPr>
      </w:r>
      <w:r w:rsidR="004E6CF1" w:rsidRPr="000C48F9">
        <w:rPr>
          <w:rFonts w:ascii="Calibri" w:hAnsi="Calibri"/>
          <w:snapToGrid/>
          <w:color w:val="000000" w:themeColor="text1"/>
        </w:rPr>
        <w:fldChar w:fldCharType="separate"/>
      </w:r>
      <w:r w:rsidR="009A1227" w:rsidRPr="000C48F9">
        <w:t xml:space="preserve">Table </w:t>
      </w:r>
      <w:r w:rsidR="009A1227">
        <w:rPr>
          <w:noProof/>
        </w:rPr>
        <w:t>7</w:t>
      </w:r>
      <w:r w:rsidR="004E6CF1" w:rsidRPr="000C48F9">
        <w:rPr>
          <w:rFonts w:ascii="Calibri" w:hAnsi="Calibri"/>
          <w:snapToGrid/>
          <w:color w:val="000000" w:themeColor="text1"/>
        </w:rPr>
        <w:fldChar w:fldCharType="end"/>
      </w:r>
      <w:r w:rsidRPr="000C48F9">
        <w:rPr>
          <w:rFonts w:ascii="Calibri" w:hAnsi="Calibri"/>
          <w:snapToGrid/>
          <w:color w:val="000000" w:themeColor="text1"/>
        </w:rPr>
        <w:t xml:space="preserve">. </w:t>
      </w:r>
    </w:p>
    <w:p w14:paraId="69869004" w14:textId="29E26726" w:rsidR="003B6E05" w:rsidRPr="000C48F9" w:rsidRDefault="003B6E05" w:rsidP="0034018C">
      <w:pPr>
        <w:pStyle w:val="TableFigureHeading"/>
      </w:pPr>
      <w:bookmarkStart w:id="28" w:name="_Ref112923047"/>
      <w:r w:rsidRPr="000C48F9">
        <w:t xml:space="preserve">Table </w:t>
      </w:r>
      <w:r w:rsidR="008E430C">
        <w:fldChar w:fldCharType="begin" w:fldLock="1"/>
      </w:r>
      <w:r w:rsidR="008E430C">
        <w:instrText xml:space="preserve"> SEQ Table \* ARABIC </w:instrText>
      </w:r>
      <w:r w:rsidR="008E430C">
        <w:fldChar w:fldCharType="separate"/>
      </w:r>
      <w:r w:rsidR="009A1227">
        <w:rPr>
          <w:noProof/>
        </w:rPr>
        <w:t>7</w:t>
      </w:r>
      <w:r w:rsidR="008E430C">
        <w:rPr>
          <w:noProof/>
        </w:rPr>
        <w:fldChar w:fldCharType="end"/>
      </w:r>
      <w:bookmarkEnd w:id="28"/>
      <w:r w:rsidRPr="000C48F9">
        <w:t>: Results of absolute change from baseline in CFQ-R Respiratory Domain score across the trials</w:t>
      </w:r>
      <w:r w:rsidR="004967C5" w:rsidRPr="000C48F9">
        <w:t>, through 24 weeks</w:t>
      </w:r>
      <w:r w:rsidRPr="000C48F9">
        <w:t xml:space="preserve">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7"/>
        <w:gridCol w:w="506"/>
        <w:gridCol w:w="1052"/>
        <w:gridCol w:w="709"/>
        <w:gridCol w:w="948"/>
        <w:gridCol w:w="957"/>
        <w:gridCol w:w="671"/>
        <w:gridCol w:w="1074"/>
        <w:gridCol w:w="954"/>
        <w:gridCol w:w="1229"/>
      </w:tblGrid>
      <w:tr w:rsidR="003B6E05" w:rsidRPr="000C48F9" w14:paraId="39A76DB5" w14:textId="77777777" w:rsidTr="005A0287">
        <w:trPr>
          <w:trHeight w:val="20"/>
        </w:trPr>
        <w:tc>
          <w:tcPr>
            <w:tcW w:w="473" w:type="pct"/>
            <w:vMerge w:val="restart"/>
            <w:tcMar>
              <w:left w:w="11" w:type="dxa"/>
              <w:right w:w="11" w:type="dxa"/>
            </w:tcMar>
            <w:vAlign w:val="center"/>
          </w:tcPr>
          <w:p w14:paraId="6A4FD44C" w14:textId="77777777" w:rsidR="003B6E05" w:rsidRPr="000C48F9" w:rsidRDefault="003B6E05" w:rsidP="005A0287">
            <w:pPr>
              <w:pStyle w:val="TableText0"/>
              <w:jc w:val="center"/>
              <w:rPr>
                <w:b/>
              </w:rPr>
            </w:pPr>
            <w:r w:rsidRPr="000C48F9">
              <w:rPr>
                <w:b/>
              </w:rPr>
              <w:t>Trial ID</w:t>
            </w:r>
          </w:p>
        </w:tc>
        <w:tc>
          <w:tcPr>
            <w:tcW w:w="283" w:type="pct"/>
            <w:vMerge w:val="restart"/>
            <w:tcMar>
              <w:left w:w="11" w:type="dxa"/>
              <w:right w:w="11" w:type="dxa"/>
            </w:tcMar>
            <w:vAlign w:val="center"/>
          </w:tcPr>
          <w:p w14:paraId="13906890" w14:textId="77777777" w:rsidR="003B6E05" w:rsidRPr="000C48F9" w:rsidRDefault="003B6E05" w:rsidP="005A0287">
            <w:pPr>
              <w:pStyle w:val="TableText0"/>
              <w:jc w:val="center"/>
              <w:rPr>
                <w:b/>
              </w:rPr>
            </w:pPr>
            <w:r w:rsidRPr="000C48F9">
              <w:rPr>
                <w:b/>
              </w:rPr>
              <w:t>Sub.</w:t>
            </w:r>
          </w:p>
        </w:tc>
        <w:tc>
          <w:tcPr>
            <w:tcW w:w="588" w:type="pct"/>
            <w:vMerge w:val="restart"/>
            <w:vAlign w:val="center"/>
          </w:tcPr>
          <w:p w14:paraId="260826F1" w14:textId="77777777" w:rsidR="003B6E05" w:rsidRPr="000C48F9" w:rsidRDefault="003B6E05" w:rsidP="005A0287">
            <w:pPr>
              <w:pStyle w:val="TableText0"/>
              <w:jc w:val="center"/>
              <w:rPr>
                <w:b/>
                <w:bCs w:val="0"/>
              </w:rPr>
            </w:pPr>
            <w:r w:rsidRPr="000C48F9">
              <w:rPr>
                <w:b/>
              </w:rPr>
              <w:t>Comparison</w:t>
            </w:r>
          </w:p>
        </w:tc>
        <w:tc>
          <w:tcPr>
            <w:tcW w:w="1461" w:type="pct"/>
            <w:gridSpan w:val="3"/>
            <w:tcMar>
              <w:left w:w="11" w:type="dxa"/>
              <w:right w:w="11" w:type="dxa"/>
            </w:tcMar>
            <w:vAlign w:val="center"/>
          </w:tcPr>
          <w:p w14:paraId="21CAC218" w14:textId="77777777" w:rsidR="003B6E05" w:rsidRPr="000C48F9" w:rsidRDefault="003B6E05" w:rsidP="005A0287">
            <w:pPr>
              <w:pStyle w:val="TableText0"/>
              <w:jc w:val="center"/>
              <w:rPr>
                <w:b/>
                <w:bCs w:val="0"/>
              </w:rPr>
            </w:pPr>
            <w:r w:rsidRPr="000C48F9">
              <w:rPr>
                <w:b/>
                <w:bCs w:val="0"/>
              </w:rPr>
              <w:t>Intervention</w:t>
            </w:r>
          </w:p>
        </w:tc>
        <w:tc>
          <w:tcPr>
            <w:tcW w:w="1508" w:type="pct"/>
            <w:gridSpan w:val="3"/>
            <w:tcMar>
              <w:left w:w="11" w:type="dxa"/>
              <w:right w:w="11" w:type="dxa"/>
            </w:tcMar>
            <w:vAlign w:val="center"/>
          </w:tcPr>
          <w:p w14:paraId="7A84E4B0" w14:textId="77777777" w:rsidR="003B6E05" w:rsidRPr="000C48F9" w:rsidRDefault="003B6E05" w:rsidP="005A0287">
            <w:pPr>
              <w:pStyle w:val="TableText0"/>
              <w:jc w:val="center"/>
              <w:rPr>
                <w:b/>
                <w:bCs w:val="0"/>
              </w:rPr>
            </w:pPr>
            <w:r w:rsidRPr="000C48F9">
              <w:rPr>
                <w:b/>
                <w:bCs w:val="0"/>
              </w:rPr>
              <w:t>PBO</w:t>
            </w:r>
          </w:p>
        </w:tc>
        <w:tc>
          <w:tcPr>
            <w:tcW w:w="687" w:type="pct"/>
            <w:vMerge w:val="restart"/>
            <w:tcMar>
              <w:left w:w="11" w:type="dxa"/>
              <w:right w:w="11" w:type="dxa"/>
            </w:tcMar>
            <w:vAlign w:val="center"/>
          </w:tcPr>
          <w:p w14:paraId="57462933" w14:textId="77777777" w:rsidR="003B6E05" w:rsidRPr="000C48F9" w:rsidRDefault="003B6E05" w:rsidP="005A0287">
            <w:pPr>
              <w:pStyle w:val="TableText0"/>
              <w:jc w:val="center"/>
              <w:rPr>
                <w:b/>
              </w:rPr>
            </w:pPr>
            <w:r w:rsidRPr="000C48F9">
              <w:rPr>
                <w:b/>
                <w:iCs/>
              </w:rPr>
              <w:t>LSM difference (95% CI)</w:t>
            </w:r>
          </w:p>
        </w:tc>
      </w:tr>
      <w:tr w:rsidR="003B6E05" w:rsidRPr="000C48F9" w14:paraId="53EBE97B" w14:textId="77777777" w:rsidTr="005A0287">
        <w:trPr>
          <w:trHeight w:val="20"/>
        </w:trPr>
        <w:tc>
          <w:tcPr>
            <w:tcW w:w="473" w:type="pct"/>
            <w:vMerge/>
            <w:tcMar>
              <w:left w:w="11" w:type="dxa"/>
              <w:right w:w="11" w:type="dxa"/>
            </w:tcMar>
            <w:vAlign w:val="center"/>
          </w:tcPr>
          <w:p w14:paraId="67288CF9" w14:textId="77777777" w:rsidR="003B6E05" w:rsidRPr="000C48F9" w:rsidRDefault="003B6E05" w:rsidP="005A0287">
            <w:pPr>
              <w:pStyle w:val="TableText0"/>
              <w:jc w:val="center"/>
              <w:rPr>
                <w:b/>
              </w:rPr>
            </w:pPr>
          </w:p>
        </w:tc>
        <w:tc>
          <w:tcPr>
            <w:tcW w:w="283" w:type="pct"/>
            <w:vMerge/>
            <w:tcMar>
              <w:left w:w="11" w:type="dxa"/>
              <w:right w:w="11" w:type="dxa"/>
            </w:tcMar>
            <w:vAlign w:val="center"/>
          </w:tcPr>
          <w:p w14:paraId="19B50C98" w14:textId="77777777" w:rsidR="003B6E05" w:rsidRPr="000C48F9" w:rsidRDefault="003B6E05" w:rsidP="005A0287">
            <w:pPr>
              <w:pStyle w:val="TableText0"/>
              <w:jc w:val="center"/>
              <w:rPr>
                <w:b/>
              </w:rPr>
            </w:pPr>
          </w:p>
        </w:tc>
        <w:tc>
          <w:tcPr>
            <w:tcW w:w="588" w:type="pct"/>
            <w:vMerge/>
            <w:vAlign w:val="center"/>
          </w:tcPr>
          <w:p w14:paraId="51B0D86B" w14:textId="77777777" w:rsidR="003B6E05" w:rsidRPr="000C48F9" w:rsidRDefault="003B6E05" w:rsidP="005A0287">
            <w:pPr>
              <w:pStyle w:val="TableText0"/>
              <w:jc w:val="center"/>
              <w:rPr>
                <w:b/>
                <w:bCs w:val="0"/>
              </w:rPr>
            </w:pPr>
          </w:p>
        </w:tc>
        <w:tc>
          <w:tcPr>
            <w:tcW w:w="396" w:type="pct"/>
            <w:tcMar>
              <w:left w:w="11" w:type="dxa"/>
              <w:right w:w="11" w:type="dxa"/>
            </w:tcMar>
            <w:vAlign w:val="center"/>
          </w:tcPr>
          <w:p w14:paraId="086B595D" w14:textId="77777777" w:rsidR="003B6E05" w:rsidRPr="000C48F9" w:rsidRDefault="003B6E05" w:rsidP="005A0287">
            <w:pPr>
              <w:pStyle w:val="TableText0"/>
              <w:jc w:val="center"/>
              <w:rPr>
                <w:b/>
                <w:bCs w:val="0"/>
              </w:rPr>
            </w:pPr>
            <w:r w:rsidRPr="000C48F9">
              <w:rPr>
                <w:b/>
                <w:bCs w:val="0"/>
              </w:rPr>
              <w:t>n/N</w:t>
            </w:r>
          </w:p>
        </w:tc>
        <w:tc>
          <w:tcPr>
            <w:tcW w:w="530" w:type="pct"/>
            <w:tcMar>
              <w:left w:w="11" w:type="dxa"/>
              <w:right w:w="11" w:type="dxa"/>
            </w:tcMar>
            <w:vAlign w:val="center"/>
          </w:tcPr>
          <w:p w14:paraId="19500C1F" w14:textId="77777777" w:rsidR="003B6E05" w:rsidRPr="000C48F9" w:rsidRDefault="003B6E05" w:rsidP="005A0287">
            <w:pPr>
              <w:pStyle w:val="TableText0"/>
              <w:jc w:val="center"/>
              <w:rPr>
                <w:b/>
                <w:bCs w:val="0"/>
              </w:rPr>
            </w:pPr>
            <w:r w:rsidRPr="000C48F9">
              <w:rPr>
                <w:b/>
                <w:bCs w:val="0"/>
              </w:rPr>
              <w:t>Baseline mean (SD)</w:t>
            </w:r>
          </w:p>
        </w:tc>
        <w:tc>
          <w:tcPr>
            <w:tcW w:w="535" w:type="pct"/>
            <w:tcMar>
              <w:left w:w="11" w:type="dxa"/>
              <w:right w:w="11" w:type="dxa"/>
            </w:tcMar>
            <w:vAlign w:val="center"/>
          </w:tcPr>
          <w:p w14:paraId="2EEDB1BE" w14:textId="77777777" w:rsidR="003B6E05" w:rsidRPr="000C48F9" w:rsidRDefault="003B6E05" w:rsidP="005A0287">
            <w:pPr>
              <w:pStyle w:val="TableText0"/>
              <w:jc w:val="center"/>
              <w:rPr>
                <w:b/>
                <w:bCs w:val="0"/>
              </w:rPr>
            </w:pPr>
            <w:r w:rsidRPr="000C48F9">
              <w:rPr>
                <w:b/>
                <w:bCs w:val="0"/>
              </w:rPr>
              <w:t>LSM change (SE)</w:t>
            </w:r>
          </w:p>
        </w:tc>
        <w:tc>
          <w:tcPr>
            <w:tcW w:w="375" w:type="pct"/>
            <w:tcMar>
              <w:left w:w="11" w:type="dxa"/>
              <w:right w:w="11" w:type="dxa"/>
            </w:tcMar>
            <w:vAlign w:val="center"/>
          </w:tcPr>
          <w:p w14:paraId="6FC88D81" w14:textId="77777777" w:rsidR="003B6E05" w:rsidRPr="000C48F9" w:rsidRDefault="003B6E05" w:rsidP="005A0287">
            <w:pPr>
              <w:pStyle w:val="TableText0"/>
              <w:jc w:val="center"/>
              <w:rPr>
                <w:b/>
                <w:bCs w:val="0"/>
              </w:rPr>
            </w:pPr>
            <w:r w:rsidRPr="000C48F9">
              <w:rPr>
                <w:b/>
                <w:bCs w:val="0"/>
              </w:rPr>
              <w:t>n/N</w:t>
            </w:r>
          </w:p>
        </w:tc>
        <w:tc>
          <w:tcPr>
            <w:tcW w:w="600" w:type="pct"/>
            <w:tcMar>
              <w:left w:w="11" w:type="dxa"/>
              <w:right w:w="11" w:type="dxa"/>
            </w:tcMar>
            <w:vAlign w:val="center"/>
          </w:tcPr>
          <w:p w14:paraId="7BE972A3" w14:textId="77777777" w:rsidR="003B6E05" w:rsidRPr="000C48F9" w:rsidRDefault="003B6E05" w:rsidP="005A0287">
            <w:pPr>
              <w:pStyle w:val="TableText0"/>
              <w:jc w:val="center"/>
              <w:rPr>
                <w:b/>
                <w:bCs w:val="0"/>
              </w:rPr>
            </w:pPr>
            <w:r w:rsidRPr="000C48F9">
              <w:rPr>
                <w:b/>
                <w:bCs w:val="0"/>
              </w:rPr>
              <w:t>Baseline mean (SD)</w:t>
            </w:r>
          </w:p>
        </w:tc>
        <w:tc>
          <w:tcPr>
            <w:tcW w:w="533" w:type="pct"/>
            <w:tcMar>
              <w:left w:w="11" w:type="dxa"/>
              <w:right w:w="11" w:type="dxa"/>
            </w:tcMar>
            <w:vAlign w:val="center"/>
          </w:tcPr>
          <w:p w14:paraId="45DFE341" w14:textId="77777777" w:rsidR="003B6E05" w:rsidRPr="000C48F9" w:rsidRDefault="003B6E05" w:rsidP="005A0287">
            <w:pPr>
              <w:pStyle w:val="TableText0"/>
              <w:jc w:val="center"/>
              <w:rPr>
                <w:b/>
                <w:bCs w:val="0"/>
              </w:rPr>
            </w:pPr>
            <w:r w:rsidRPr="000C48F9">
              <w:rPr>
                <w:b/>
                <w:bCs w:val="0"/>
              </w:rPr>
              <w:t>LSM change (SE)</w:t>
            </w:r>
          </w:p>
        </w:tc>
        <w:tc>
          <w:tcPr>
            <w:tcW w:w="687" w:type="pct"/>
            <w:vMerge/>
            <w:tcMar>
              <w:left w:w="11" w:type="dxa"/>
              <w:right w:w="11" w:type="dxa"/>
            </w:tcMar>
          </w:tcPr>
          <w:p w14:paraId="391E212F" w14:textId="77777777" w:rsidR="003B6E05" w:rsidRPr="000C48F9" w:rsidRDefault="003B6E05" w:rsidP="005A0287">
            <w:pPr>
              <w:pStyle w:val="TableText0"/>
              <w:jc w:val="center"/>
              <w:rPr>
                <w:b/>
                <w:iCs/>
              </w:rPr>
            </w:pPr>
          </w:p>
        </w:tc>
      </w:tr>
      <w:tr w:rsidR="003B6E05" w:rsidRPr="000C48F9" w14:paraId="01307690" w14:textId="77777777" w:rsidTr="005A0287">
        <w:trPr>
          <w:trHeight w:val="20"/>
        </w:trPr>
        <w:tc>
          <w:tcPr>
            <w:tcW w:w="5000" w:type="pct"/>
            <w:gridSpan w:val="10"/>
            <w:tcMar>
              <w:left w:w="11" w:type="dxa"/>
              <w:right w:w="11" w:type="dxa"/>
            </w:tcMar>
          </w:tcPr>
          <w:p w14:paraId="1C68F29F" w14:textId="77777777" w:rsidR="003B6E05" w:rsidRPr="000C48F9" w:rsidRDefault="003B6E05" w:rsidP="005A0287">
            <w:pPr>
              <w:pStyle w:val="TableText0"/>
              <w:rPr>
                <w:rFonts w:cstheme="minorHAnsi"/>
                <w:b/>
                <w:szCs w:val="20"/>
              </w:rPr>
            </w:pPr>
            <w:r w:rsidRPr="000C48F9">
              <w:rPr>
                <w:b/>
              </w:rPr>
              <w:t xml:space="preserve">Randomised trials </w:t>
            </w:r>
          </w:p>
        </w:tc>
      </w:tr>
      <w:tr w:rsidR="003B6E05" w:rsidRPr="000C48F9" w14:paraId="2F9EE9F2" w14:textId="77777777" w:rsidTr="005A0287">
        <w:trPr>
          <w:trHeight w:val="20"/>
        </w:trPr>
        <w:tc>
          <w:tcPr>
            <w:tcW w:w="473" w:type="pct"/>
            <w:tcMar>
              <w:left w:w="11" w:type="dxa"/>
              <w:right w:w="11" w:type="dxa"/>
            </w:tcMar>
          </w:tcPr>
          <w:p w14:paraId="3B4119A7" w14:textId="77777777" w:rsidR="003B6E05" w:rsidRPr="000C48F9" w:rsidRDefault="003B6E05" w:rsidP="005A0287">
            <w:pPr>
              <w:pStyle w:val="TableText0"/>
              <w:jc w:val="center"/>
            </w:pPr>
            <w:r w:rsidRPr="000C48F9">
              <w:t>Study 116</w:t>
            </w:r>
          </w:p>
        </w:tc>
        <w:tc>
          <w:tcPr>
            <w:tcW w:w="283" w:type="pct"/>
            <w:tcMar>
              <w:left w:w="11" w:type="dxa"/>
              <w:right w:w="11" w:type="dxa"/>
            </w:tcMar>
          </w:tcPr>
          <w:p w14:paraId="4B81DD02" w14:textId="77777777" w:rsidR="003B6E05" w:rsidRPr="000C48F9" w:rsidRDefault="003B6E05" w:rsidP="005A0287">
            <w:pPr>
              <w:pStyle w:val="TableText0"/>
              <w:jc w:val="center"/>
            </w:pPr>
            <w:r w:rsidRPr="000C48F9">
              <w:t>F/MF</w:t>
            </w:r>
          </w:p>
        </w:tc>
        <w:tc>
          <w:tcPr>
            <w:tcW w:w="588" w:type="pct"/>
          </w:tcPr>
          <w:p w14:paraId="500863A7" w14:textId="77777777" w:rsidR="003B6E05" w:rsidRPr="00A378B7" w:rsidRDefault="003B6E05" w:rsidP="005A0287">
            <w:pPr>
              <w:pStyle w:val="TableText0"/>
              <w:jc w:val="center"/>
              <w:rPr>
                <w:szCs w:val="20"/>
                <w:lang w:val="pt-BR"/>
              </w:rPr>
            </w:pPr>
            <w:r w:rsidRPr="00A378B7">
              <w:rPr>
                <w:szCs w:val="20"/>
                <w:lang w:val="pt-BR"/>
              </w:rPr>
              <w:t>ELX/TEZ/IVA vs PBO</w:t>
            </w:r>
          </w:p>
        </w:tc>
        <w:tc>
          <w:tcPr>
            <w:tcW w:w="396" w:type="pct"/>
            <w:tcMar>
              <w:left w:w="11" w:type="dxa"/>
              <w:right w:w="11" w:type="dxa"/>
            </w:tcMar>
            <w:vAlign w:val="center"/>
          </w:tcPr>
          <w:p w14:paraId="6CE3D3E8" w14:textId="29BE8F19" w:rsidR="003B6E05" w:rsidRPr="000C48F9" w:rsidRDefault="003B6E05" w:rsidP="005A0287">
            <w:pPr>
              <w:pStyle w:val="TableText0"/>
              <w:jc w:val="center"/>
            </w:pPr>
            <w:r w:rsidRPr="000C48F9">
              <w:rPr>
                <w:szCs w:val="20"/>
              </w:rPr>
              <w:t>60/121</w:t>
            </w:r>
          </w:p>
        </w:tc>
        <w:tc>
          <w:tcPr>
            <w:tcW w:w="530" w:type="pct"/>
            <w:tcMar>
              <w:left w:w="11" w:type="dxa"/>
              <w:right w:w="11" w:type="dxa"/>
            </w:tcMar>
            <w:vAlign w:val="center"/>
          </w:tcPr>
          <w:p w14:paraId="7B456E1A" w14:textId="77777777" w:rsidR="003B6E05" w:rsidRPr="000C48F9" w:rsidRDefault="003B6E05" w:rsidP="005A0287">
            <w:pPr>
              <w:pStyle w:val="TableText0"/>
              <w:jc w:val="center"/>
            </w:pPr>
            <w:r w:rsidRPr="000C48F9">
              <w:rPr>
                <w:rFonts w:cstheme="minorHAnsi"/>
                <w:szCs w:val="20"/>
              </w:rPr>
              <w:t>85.7 (11.7)</w:t>
            </w:r>
          </w:p>
        </w:tc>
        <w:tc>
          <w:tcPr>
            <w:tcW w:w="535" w:type="pct"/>
            <w:tcMar>
              <w:left w:w="11" w:type="dxa"/>
              <w:right w:w="11" w:type="dxa"/>
            </w:tcMar>
            <w:vAlign w:val="center"/>
          </w:tcPr>
          <w:p w14:paraId="319DE158" w14:textId="77777777" w:rsidR="003B6E05" w:rsidRPr="000C48F9" w:rsidRDefault="003B6E05" w:rsidP="005A0287">
            <w:pPr>
              <w:pStyle w:val="TableText0"/>
              <w:jc w:val="center"/>
            </w:pPr>
            <w:r w:rsidRPr="000C48F9">
              <w:rPr>
                <w:szCs w:val="20"/>
              </w:rPr>
              <w:t>5.9 (1.6)</w:t>
            </w:r>
          </w:p>
        </w:tc>
        <w:tc>
          <w:tcPr>
            <w:tcW w:w="375" w:type="pct"/>
            <w:tcMar>
              <w:left w:w="11" w:type="dxa"/>
              <w:right w:w="11" w:type="dxa"/>
            </w:tcMar>
            <w:vAlign w:val="center"/>
          </w:tcPr>
          <w:p w14:paraId="10DAB73A" w14:textId="0E847D50" w:rsidR="003B6E05" w:rsidRPr="000C48F9" w:rsidRDefault="003B6E05" w:rsidP="005A0287">
            <w:pPr>
              <w:pStyle w:val="TableText0"/>
              <w:jc w:val="center"/>
            </w:pPr>
            <w:r w:rsidRPr="000C48F9">
              <w:rPr>
                <w:szCs w:val="20"/>
              </w:rPr>
              <w:t>61/121</w:t>
            </w:r>
          </w:p>
        </w:tc>
        <w:tc>
          <w:tcPr>
            <w:tcW w:w="600" w:type="pct"/>
            <w:tcMar>
              <w:left w:w="11" w:type="dxa"/>
              <w:right w:w="11" w:type="dxa"/>
            </w:tcMar>
            <w:vAlign w:val="center"/>
          </w:tcPr>
          <w:p w14:paraId="31B3DFC6" w14:textId="77777777" w:rsidR="003B6E05" w:rsidRPr="000C48F9" w:rsidRDefault="003B6E05" w:rsidP="005A0287">
            <w:pPr>
              <w:pStyle w:val="TableText0"/>
              <w:jc w:val="center"/>
            </w:pPr>
            <w:r w:rsidRPr="000C48F9">
              <w:rPr>
                <w:rFonts w:cstheme="minorHAnsi"/>
                <w:szCs w:val="20"/>
              </w:rPr>
              <w:t>82.7 (14.1)</w:t>
            </w:r>
          </w:p>
        </w:tc>
        <w:tc>
          <w:tcPr>
            <w:tcW w:w="533" w:type="pct"/>
            <w:tcMar>
              <w:left w:w="11" w:type="dxa"/>
              <w:right w:w="11" w:type="dxa"/>
            </w:tcMar>
            <w:vAlign w:val="center"/>
          </w:tcPr>
          <w:p w14:paraId="5C9C6F24" w14:textId="77777777" w:rsidR="003B6E05" w:rsidRPr="000C48F9" w:rsidRDefault="003B6E05" w:rsidP="005A0287">
            <w:pPr>
              <w:pStyle w:val="TableText0"/>
              <w:jc w:val="center"/>
            </w:pPr>
            <w:r w:rsidRPr="000C48F9">
              <w:rPr>
                <w:szCs w:val="20"/>
              </w:rPr>
              <w:t>0.5 (1.6)</w:t>
            </w:r>
          </w:p>
        </w:tc>
        <w:tc>
          <w:tcPr>
            <w:tcW w:w="687" w:type="pct"/>
            <w:tcMar>
              <w:left w:w="11" w:type="dxa"/>
              <w:right w:w="11" w:type="dxa"/>
            </w:tcMar>
            <w:vAlign w:val="center"/>
          </w:tcPr>
          <w:p w14:paraId="7860AB77" w14:textId="77777777" w:rsidR="003B6E05" w:rsidRPr="000C48F9" w:rsidRDefault="003B6E05" w:rsidP="005A0287">
            <w:pPr>
              <w:pStyle w:val="TableText0"/>
              <w:jc w:val="center"/>
              <w:rPr>
                <w:rFonts w:cstheme="minorHAnsi"/>
                <w:b/>
                <w:szCs w:val="20"/>
              </w:rPr>
            </w:pPr>
            <w:r w:rsidRPr="000C48F9">
              <w:rPr>
                <w:rFonts w:cstheme="minorHAnsi"/>
                <w:b/>
                <w:szCs w:val="20"/>
              </w:rPr>
              <w:t>5.5 (1.0, 10.0)</w:t>
            </w:r>
          </w:p>
        </w:tc>
      </w:tr>
      <w:tr w:rsidR="003B6E05" w:rsidRPr="000C48F9" w14:paraId="7C440072" w14:textId="77777777" w:rsidTr="004967C5">
        <w:trPr>
          <w:trHeight w:val="20"/>
        </w:trPr>
        <w:tc>
          <w:tcPr>
            <w:tcW w:w="473" w:type="pct"/>
            <w:shd w:val="clear" w:color="auto" w:fill="auto"/>
            <w:tcMar>
              <w:left w:w="11" w:type="dxa"/>
              <w:right w:w="11" w:type="dxa"/>
            </w:tcMar>
          </w:tcPr>
          <w:p w14:paraId="7E81AA2C" w14:textId="77777777" w:rsidR="003B6E05" w:rsidRPr="000C48F9" w:rsidRDefault="003B6E05" w:rsidP="005A0287">
            <w:pPr>
              <w:pStyle w:val="TableText0"/>
              <w:jc w:val="center"/>
            </w:pPr>
            <w:r w:rsidRPr="000C48F9">
              <w:t>Study 109</w:t>
            </w:r>
          </w:p>
        </w:tc>
        <w:tc>
          <w:tcPr>
            <w:tcW w:w="283" w:type="pct"/>
            <w:shd w:val="clear" w:color="auto" w:fill="auto"/>
            <w:tcMar>
              <w:left w:w="11" w:type="dxa"/>
              <w:right w:w="11" w:type="dxa"/>
            </w:tcMar>
          </w:tcPr>
          <w:p w14:paraId="4F6A6234" w14:textId="77777777" w:rsidR="003B6E05" w:rsidRPr="000C48F9" w:rsidRDefault="003B6E05" w:rsidP="005A0287">
            <w:pPr>
              <w:pStyle w:val="TableText0"/>
              <w:jc w:val="center"/>
            </w:pPr>
            <w:r w:rsidRPr="000C48F9">
              <w:t>F/F</w:t>
            </w:r>
          </w:p>
        </w:tc>
        <w:tc>
          <w:tcPr>
            <w:tcW w:w="588" w:type="pct"/>
            <w:shd w:val="clear" w:color="auto" w:fill="auto"/>
          </w:tcPr>
          <w:p w14:paraId="3F46476C" w14:textId="77777777" w:rsidR="003B6E05" w:rsidRPr="000C48F9" w:rsidRDefault="003B6E05" w:rsidP="005A0287">
            <w:pPr>
              <w:pStyle w:val="TableText0"/>
              <w:jc w:val="center"/>
              <w:rPr>
                <w:szCs w:val="20"/>
              </w:rPr>
            </w:pPr>
            <w:r w:rsidRPr="000C48F9">
              <w:rPr>
                <w:szCs w:val="20"/>
              </w:rPr>
              <w:t>LUM/IVA vs PBO</w:t>
            </w:r>
          </w:p>
        </w:tc>
        <w:tc>
          <w:tcPr>
            <w:tcW w:w="396" w:type="pct"/>
            <w:shd w:val="clear" w:color="auto" w:fill="auto"/>
            <w:tcMar>
              <w:left w:w="11" w:type="dxa"/>
              <w:right w:w="11" w:type="dxa"/>
            </w:tcMar>
            <w:vAlign w:val="center"/>
          </w:tcPr>
          <w:p w14:paraId="062ECE9C" w14:textId="0BC827A1" w:rsidR="003B6E05" w:rsidRPr="000C48F9" w:rsidRDefault="003B6E05" w:rsidP="005A0287">
            <w:pPr>
              <w:pStyle w:val="TableText0"/>
              <w:jc w:val="center"/>
              <w:rPr>
                <w:iCs/>
              </w:rPr>
            </w:pPr>
            <w:r w:rsidRPr="000C48F9">
              <w:rPr>
                <w:iCs/>
                <w:szCs w:val="20"/>
              </w:rPr>
              <w:t>103/204</w:t>
            </w:r>
          </w:p>
        </w:tc>
        <w:tc>
          <w:tcPr>
            <w:tcW w:w="530" w:type="pct"/>
            <w:shd w:val="clear" w:color="auto" w:fill="auto"/>
            <w:tcMar>
              <w:left w:w="11" w:type="dxa"/>
              <w:right w:w="11" w:type="dxa"/>
            </w:tcMar>
            <w:vAlign w:val="center"/>
          </w:tcPr>
          <w:p w14:paraId="4CB8D804" w14:textId="77777777" w:rsidR="003B6E05" w:rsidRPr="000C48F9" w:rsidRDefault="003B6E05" w:rsidP="005A0287">
            <w:pPr>
              <w:pStyle w:val="TableText0"/>
              <w:jc w:val="center"/>
              <w:rPr>
                <w:iCs/>
              </w:rPr>
            </w:pPr>
            <w:r w:rsidRPr="000C48F9">
              <w:rPr>
                <w:iCs/>
                <w:szCs w:val="20"/>
              </w:rPr>
              <w:t>78.7 (14.0)</w:t>
            </w:r>
          </w:p>
        </w:tc>
        <w:tc>
          <w:tcPr>
            <w:tcW w:w="535" w:type="pct"/>
            <w:shd w:val="clear" w:color="auto" w:fill="auto"/>
            <w:tcMar>
              <w:left w:w="11" w:type="dxa"/>
              <w:right w:w="11" w:type="dxa"/>
            </w:tcMar>
            <w:vAlign w:val="center"/>
          </w:tcPr>
          <w:p w14:paraId="6A43E4C5" w14:textId="77777777" w:rsidR="003B6E05" w:rsidRPr="000C48F9" w:rsidRDefault="003B6E05" w:rsidP="005A0287">
            <w:pPr>
              <w:pStyle w:val="TableText0"/>
              <w:jc w:val="center"/>
              <w:rPr>
                <w:iCs/>
              </w:rPr>
            </w:pPr>
            <w:r w:rsidRPr="000C48F9">
              <w:rPr>
                <w:iCs/>
                <w:szCs w:val="20"/>
              </w:rPr>
              <w:t>5.5 (1.0)</w:t>
            </w:r>
          </w:p>
        </w:tc>
        <w:tc>
          <w:tcPr>
            <w:tcW w:w="375" w:type="pct"/>
            <w:shd w:val="clear" w:color="auto" w:fill="auto"/>
            <w:tcMar>
              <w:left w:w="11" w:type="dxa"/>
              <w:right w:w="11" w:type="dxa"/>
            </w:tcMar>
            <w:vAlign w:val="center"/>
          </w:tcPr>
          <w:p w14:paraId="49AC592B" w14:textId="18A4FC7E" w:rsidR="003B6E05" w:rsidRPr="000C48F9" w:rsidRDefault="003B6E05" w:rsidP="005A0287">
            <w:pPr>
              <w:pStyle w:val="TableText0"/>
              <w:jc w:val="center"/>
              <w:rPr>
                <w:iCs/>
              </w:rPr>
            </w:pPr>
            <w:r w:rsidRPr="000C48F9">
              <w:rPr>
                <w:iCs/>
                <w:szCs w:val="20"/>
              </w:rPr>
              <w:t>101/204</w:t>
            </w:r>
          </w:p>
        </w:tc>
        <w:tc>
          <w:tcPr>
            <w:tcW w:w="600" w:type="pct"/>
            <w:shd w:val="clear" w:color="auto" w:fill="auto"/>
            <w:tcMar>
              <w:left w:w="11" w:type="dxa"/>
              <w:right w:w="11" w:type="dxa"/>
            </w:tcMar>
            <w:vAlign w:val="center"/>
          </w:tcPr>
          <w:p w14:paraId="73E5AD45" w14:textId="77777777" w:rsidR="003B6E05" w:rsidRPr="000C48F9" w:rsidRDefault="003B6E05" w:rsidP="005A0287">
            <w:pPr>
              <w:pStyle w:val="TableText0"/>
              <w:jc w:val="center"/>
              <w:rPr>
                <w:iCs/>
              </w:rPr>
            </w:pPr>
            <w:r w:rsidRPr="000C48F9">
              <w:rPr>
                <w:iCs/>
                <w:szCs w:val="20"/>
              </w:rPr>
              <w:t>77.1 (15.5)</w:t>
            </w:r>
          </w:p>
        </w:tc>
        <w:tc>
          <w:tcPr>
            <w:tcW w:w="533" w:type="pct"/>
            <w:shd w:val="clear" w:color="auto" w:fill="auto"/>
            <w:tcMar>
              <w:left w:w="11" w:type="dxa"/>
              <w:right w:w="11" w:type="dxa"/>
            </w:tcMar>
            <w:vAlign w:val="center"/>
          </w:tcPr>
          <w:p w14:paraId="4D352A6D" w14:textId="77777777" w:rsidR="003B6E05" w:rsidRPr="000C48F9" w:rsidRDefault="003B6E05" w:rsidP="005A0287">
            <w:pPr>
              <w:pStyle w:val="TableText0"/>
              <w:jc w:val="center"/>
              <w:rPr>
                <w:iCs/>
              </w:rPr>
            </w:pPr>
            <w:r w:rsidRPr="000C48F9">
              <w:rPr>
                <w:iCs/>
                <w:szCs w:val="20"/>
              </w:rPr>
              <w:t>3.0 (1.0)</w:t>
            </w:r>
          </w:p>
        </w:tc>
        <w:tc>
          <w:tcPr>
            <w:tcW w:w="687" w:type="pct"/>
            <w:shd w:val="clear" w:color="auto" w:fill="auto"/>
            <w:tcMar>
              <w:left w:w="11" w:type="dxa"/>
              <w:right w:w="11" w:type="dxa"/>
            </w:tcMar>
            <w:vAlign w:val="center"/>
          </w:tcPr>
          <w:p w14:paraId="0BA962E7" w14:textId="77777777" w:rsidR="003B6E05" w:rsidRPr="000C48F9" w:rsidRDefault="003B6E05" w:rsidP="005A0287">
            <w:pPr>
              <w:pStyle w:val="TableText0"/>
              <w:jc w:val="center"/>
              <w:rPr>
                <w:b/>
                <w:bCs w:val="0"/>
                <w:iCs/>
              </w:rPr>
            </w:pPr>
            <w:r w:rsidRPr="000C48F9">
              <w:rPr>
                <w:iCs/>
                <w:szCs w:val="20"/>
              </w:rPr>
              <w:t>2.5 (-0.1, 5.1)</w:t>
            </w:r>
          </w:p>
        </w:tc>
      </w:tr>
      <w:tr w:rsidR="003B6E05" w:rsidRPr="000C48F9" w14:paraId="30972B87" w14:textId="77777777" w:rsidTr="005A0287">
        <w:trPr>
          <w:trHeight w:val="20"/>
        </w:trPr>
        <w:tc>
          <w:tcPr>
            <w:tcW w:w="5000" w:type="pct"/>
            <w:gridSpan w:val="10"/>
            <w:tcMar>
              <w:left w:w="11" w:type="dxa"/>
              <w:right w:w="11" w:type="dxa"/>
            </w:tcMar>
            <w:vAlign w:val="center"/>
          </w:tcPr>
          <w:p w14:paraId="57D20F06" w14:textId="77777777" w:rsidR="003B6E05" w:rsidRPr="000C48F9" w:rsidRDefault="003B6E05" w:rsidP="005A0287">
            <w:pPr>
              <w:pStyle w:val="TableText0"/>
              <w:rPr>
                <w:b/>
                <w:bCs w:val="0"/>
              </w:rPr>
            </w:pPr>
            <w:r w:rsidRPr="000C48F9">
              <w:rPr>
                <w:b/>
              </w:rPr>
              <w:t>Non-randomised trials</w:t>
            </w:r>
          </w:p>
        </w:tc>
      </w:tr>
      <w:tr w:rsidR="003B6E05" w:rsidRPr="000C48F9" w14:paraId="6A21E83C" w14:textId="77777777" w:rsidTr="005A0287">
        <w:trPr>
          <w:trHeight w:val="20"/>
        </w:trPr>
        <w:tc>
          <w:tcPr>
            <w:tcW w:w="473" w:type="pct"/>
            <w:vMerge w:val="restart"/>
            <w:tcMar>
              <w:left w:w="11" w:type="dxa"/>
              <w:right w:w="11" w:type="dxa"/>
            </w:tcMar>
          </w:tcPr>
          <w:p w14:paraId="326DA56C" w14:textId="77777777" w:rsidR="003B6E05" w:rsidRPr="000C48F9" w:rsidRDefault="003B6E05" w:rsidP="005A0287">
            <w:pPr>
              <w:pStyle w:val="TableText0"/>
              <w:jc w:val="center"/>
            </w:pPr>
            <w:r w:rsidRPr="000C48F9">
              <w:t>Study 106</w:t>
            </w:r>
          </w:p>
        </w:tc>
        <w:tc>
          <w:tcPr>
            <w:tcW w:w="283" w:type="pct"/>
            <w:tcMar>
              <w:left w:w="11" w:type="dxa"/>
              <w:right w:w="11" w:type="dxa"/>
            </w:tcMar>
          </w:tcPr>
          <w:p w14:paraId="336FEFBC" w14:textId="77777777" w:rsidR="003B6E05" w:rsidRPr="000C48F9" w:rsidRDefault="003B6E05" w:rsidP="005A0287">
            <w:pPr>
              <w:pStyle w:val="TableText0"/>
              <w:jc w:val="center"/>
            </w:pPr>
            <w:r w:rsidRPr="000C48F9">
              <w:t>F/MF</w:t>
            </w:r>
          </w:p>
        </w:tc>
        <w:tc>
          <w:tcPr>
            <w:tcW w:w="588" w:type="pct"/>
            <w:vMerge w:val="restart"/>
          </w:tcPr>
          <w:p w14:paraId="684CCE6B" w14:textId="77777777" w:rsidR="003B6E05" w:rsidRPr="000C48F9" w:rsidRDefault="003B6E05" w:rsidP="005A0287">
            <w:pPr>
              <w:pStyle w:val="TableText0"/>
              <w:jc w:val="center"/>
            </w:pPr>
            <w:r w:rsidRPr="000C48F9">
              <w:t>ELX/TEZ/IVA</w:t>
            </w:r>
          </w:p>
        </w:tc>
        <w:tc>
          <w:tcPr>
            <w:tcW w:w="396" w:type="pct"/>
            <w:tcMar>
              <w:left w:w="11" w:type="dxa"/>
              <w:right w:w="11" w:type="dxa"/>
            </w:tcMar>
            <w:vAlign w:val="center"/>
          </w:tcPr>
          <w:p w14:paraId="6597D7E1" w14:textId="77777777" w:rsidR="003B6E05" w:rsidRPr="000C48F9" w:rsidRDefault="003B6E05" w:rsidP="005A0287">
            <w:pPr>
              <w:pStyle w:val="TableText0"/>
              <w:jc w:val="center"/>
            </w:pPr>
            <w:r w:rsidRPr="000C48F9">
              <w:t>37/37</w:t>
            </w:r>
          </w:p>
        </w:tc>
        <w:tc>
          <w:tcPr>
            <w:tcW w:w="530" w:type="pct"/>
            <w:tcMar>
              <w:left w:w="11" w:type="dxa"/>
              <w:right w:w="11" w:type="dxa"/>
            </w:tcMar>
            <w:vAlign w:val="center"/>
          </w:tcPr>
          <w:p w14:paraId="0D41B9FE" w14:textId="77777777" w:rsidR="003B6E05" w:rsidRPr="000C48F9" w:rsidRDefault="003B6E05" w:rsidP="005A0287">
            <w:pPr>
              <w:pStyle w:val="TableText0"/>
              <w:jc w:val="center"/>
            </w:pPr>
            <w:r w:rsidRPr="000C48F9">
              <w:t>NR</w:t>
            </w:r>
          </w:p>
        </w:tc>
        <w:tc>
          <w:tcPr>
            <w:tcW w:w="535" w:type="pct"/>
            <w:tcMar>
              <w:left w:w="11" w:type="dxa"/>
              <w:right w:w="11" w:type="dxa"/>
            </w:tcMar>
            <w:vAlign w:val="center"/>
          </w:tcPr>
          <w:p w14:paraId="2D89044A" w14:textId="77777777" w:rsidR="003B6E05" w:rsidRPr="000C48F9" w:rsidRDefault="003B6E05" w:rsidP="005A0287">
            <w:pPr>
              <w:pStyle w:val="TableText0"/>
              <w:jc w:val="center"/>
            </w:pPr>
            <w:r w:rsidRPr="000C48F9">
              <w:t>NR</w:t>
            </w:r>
          </w:p>
        </w:tc>
        <w:tc>
          <w:tcPr>
            <w:tcW w:w="375" w:type="pct"/>
            <w:tcMar>
              <w:left w:w="11" w:type="dxa"/>
              <w:right w:w="11" w:type="dxa"/>
            </w:tcMar>
            <w:vAlign w:val="center"/>
          </w:tcPr>
          <w:p w14:paraId="7C765B81" w14:textId="77777777" w:rsidR="003B6E05" w:rsidRPr="000C48F9" w:rsidRDefault="003B6E05" w:rsidP="005A0287">
            <w:pPr>
              <w:pStyle w:val="TableText0"/>
              <w:jc w:val="center"/>
            </w:pPr>
            <w:r w:rsidRPr="000C48F9">
              <w:t>NA</w:t>
            </w:r>
          </w:p>
        </w:tc>
        <w:tc>
          <w:tcPr>
            <w:tcW w:w="600" w:type="pct"/>
            <w:tcMar>
              <w:left w:w="11" w:type="dxa"/>
              <w:right w:w="11" w:type="dxa"/>
            </w:tcMar>
            <w:vAlign w:val="center"/>
          </w:tcPr>
          <w:p w14:paraId="63A14EC9" w14:textId="77777777" w:rsidR="003B6E05" w:rsidRPr="000C48F9" w:rsidRDefault="003B6E05" w:rsidP="005A0287">
            <w:pPr>
              <w:pStyle w:val="TableText0"/>
              <w:jc w:val="center"/>
            </w:pPr>
            <w:r w:rsidRPr="000C48F9">
              <w:t>NA</w:t>
            </w:r>
          </w:p>
        </w:tc>
        <w:tc>
          <w:tcPr>
            <w:tcW w:w="533" w:type="pct"/>
            <w:tcMar>
              <w:left w:w="11" w:type="dxa"/>
              <w:right w:w="11" w:type="dxa"/>
            </w:tcMar>
            <w:vAlign w:val="center"/>
          </w:tcPr>
          <w:p w14:paraId="3E5856A7" w14:textId="77777777" w:rsidR="003B6E05" w:rsidRPr="000C48F9" w:rsidRDefault="003B6E05" w:rsidP="005A0287">
            <w:pPr>
              <w:pStyle w:val="TableText0"/>
              <w:jc w:val="center"/>
            </w:pPr>
            <w:r w:rsidRPr="000C48F9">
              <w:t>NA</w:t>
            </w:r>
          </w:p>
        </w:tc>
        <w:tc>
          <w:tcPr>
            <w:tcW w:w="687" w:type="pct"/>
            <w:tcMar>
              <w:left w:w="11" w:type="dxa"/>
              <w:right w:w="11" w:type="dxa"/>
            </w:tcMar>
            <w:vAlign w:val="center"/>
          </w:tcPr>
          <w:p w14:paraId="5E011224" w14:textId="77777777" w:rsidR="003B6E05" w:rsidRPr="000C48F9" w:rsidRDefault="003B6E05" w:rsidP="005A0287">
            <w:pPr>
              <w:pStyle w:val="TableText0"/>
              <w:jc w:val="center"/>
              <w:rPr>
                <w:b/>
                <w:bCs w:val="0"/>
              </w:rPr>
            </w:pPr>
            <w:r w:rsidRPr="000C48F9">
              <w:rPr>
                <w:b/>
                <w:bCs w:val="0"/>
              </w:rPr>
              <w:t>6.9 (3.2, 10.6)</w:t>
            </w:r>
          </w:p>
        </w:tc>
      </w:tr>
      <w:tr w:rsidR="003B6E05" w:rsidRPr="000C48F9" w14:paraId="32E4E4EF" w14:textId="77777777" w:rsidTr="005A0287">
        <w:trPr>
          <w:trHeight w:val="20"/>
        </w:trPr>
        <w:tc>
          <w:tcPr>
            <w:tcW w:w="473" w:type="pct"/>
            <w:vMerge/>
            <w:tcMar>
              <w:left w:w="11" w:type="dxa"/>
              <w:right w:w="11" w:type="dxa"/>
            </w:tcMar>
          </w:tcPr>
          <w:p w14:paraId="31D73AFC" w14:textId="77777777" w:rsidR="003B6E05" w:rsidRPr="000C48F9" w:rsidRDefault="003B6E05" w:rsidP="005A0287">
            <w:pPr>
              <w:pStyle w:val="TableText0"/>
              <w:jc w:val="center"/>
            </w:pPr>
          </w:p>
        </w:tc>
        <w:tc>
          <w:tcPr>
            <w:tcW w:w="283" w:type="pct"/>
            <w:tcMar>
              <w:left w:w="11" w:type="dxa"/>
              <w:right w:w="11" w:type="dxa"/>
            </w:tcMar>
          </w:tcPr>
          <w:p w14:paraId="28FEB2AF" w14:textId="77777777" w:rsidR="003B6E05" w:rsidRPr="000C48F9" w:rsidRDefault="003B6E05" w:rsidP="005A0287">
            <w:pPr>
              <w:pStyle w:val="TableText0"/>
              <w:jc w:val="center"/>
            </w:pPr>
            <w:r w:rsidRPr="000C48F9">
              <w:t>F/F</w:t>
            </w:r>
          </w:p>
        </w:tc>
        <w:tc>
          <w:tcPr>
            <w:tcW w:w="588" w:type="pct"/>
            <w:vMerge/>
          </w:tcPr>
          <w:p w14:paraId="4E19B4F2" w14:textId="77777777" w:rsidR="003B6E05" w:rsidRPr="000C48F9" w:rsidRDefault="003B6E05" w:rsidP="005A0287">
            <w:pPr>
              <w:pStyle w:val="TableText0"/>
              <w:jc w:val="center"/>
            </w:pPr>
          </w:p>
        </w:tc>
        <w:tc>
          <w:tcPr>
            <w:tcW w:w="396" w:type="pct"/>
            <w:tcMar>
              <w:left w:w="11" w:type="dxa"/>
              <w:right w:w="11" w:type="dxa"/>
            </w:tcMar>
            <w:vAlign w:val="center"/>
          </w:tcPr>
          <w:p w14:paraId="4B3F8BCB" w14:textId="77777777" w:rsidR="003B6E05" w:rsidRPr="000C48F9" w:rsidRDefault="003B6E05" w:rsidP="005A0287">
            <w:pPr>
              <w:pStyle w:val="TableText0"/>
              <w:jc w:val="center"/>
            </w:pPr>
            <w:r w:rsidRPr="000C48F9">
              <w:t>28/29</w:t>
            </w:r>
          </w:p>
        </w:tc>
        <w:tc>
          <w:tcPr>
            <w:tcW w:w="530" w:type="pct"/>
            <w:tcMar>
              <w:left w:w="11" w:type="dxa"/>
              <w:right w:w="11" w:type="dxa"/>
            </w:tcMar>
            <w:vAlign w:val="center"/>
          </w:tcPr>
          <w:p w14:paraId="5FE2C974" w14:textId="77777777" w:rsidR="003B6E05" w:rsidRPr="000C48F9" w:rsidRDefault="003B6E05" w:rsidP="005A0287">
            <w:pPr>
              <w:pStyle w:val="TableText0"/>
              <w:jc w:val="center"/>
            </w:pPr>
            <w:r w:rsidRPr="000C48F9">
              <w:t>NR</w:t>
            </w:r>
          </w:p>
        </w:tc>
        <w:tc>
          <w:tcPr>
            <w:tcW w:w="535" w:type="pct"/>
            <w:tcMar>
              <w:left w:w="11" w:type="dxa"/>
              <w:right w:w="11" w:type="dxa"/>
            </w:tcMar>
            <w:vAlign w:val="center"/>
          </w:tcPr>
          <w:p w14:paraId="1A5757C3" w14:textId="77777777" w:rsidR="003B6E05" w:rsidRPr="000C48F9" w:rsidRDefault="003B6E05" w:rsidP="005A0287">
            <w:pPr>
              <w:pStyle w:val="TableText0"/>
              <w:jc w:val="center"/>
            </w:pPr>
            <w:r w:rsidRPr="000C48F9">
              <w:t>NR</w:t>
            </w:r>
          </w:p>
        </w:tc>
        <w:tc>
          <w:tcPr>
            <w:tcW w:w="375" w:type="pct"/>
            <w:tcMar>
              <w:left w:w="11" w:type="dxa"/>
              <w:right w:w="11" w:type="dxa"/>
            </w:tcMar>
            <w:vAlign w:val="center"/>
          </w:tcPr>
          <w:p w14:paraId="23CE878B" w14:textId="77777777" w:rsidR="003B6E05" w:rsidRPr="000C48F9" w:rsidRDefault="003B6E05" w:rsidP="005A0287">
            <w:pPr>
              <w:pStyle w:val="TableText0"/>
              <w:jc w:val="center"/>
            </w:pPr>
            <w:r w:rsidRPr="000C48F9">
              <w:t>NA</w:t>
            </w:r>
          </w:p>
        </w:tc>
        <w:tc>
          <w:tcPr>
            <w:tcW w:w="600" w:type="pct"/>
            <w:tcMar>
              <w:left w:w="11" w:type="dxa"/>
              <w:right w:w="11" w:type="dxa"/>
            </w:tcMar>
            <w:vAlign w:val="center"/>
          </w:tcPr>
          <w:p w14:paraId="45329FB6" w14:textId="77777777" w:rsidR="003B6E05" w:rsidRPr="000C48F9" w:rsidRDefault="003B6E05" w:rsidP="005A0287">
            <w:pPr>
              <w:pStyle w:val="TableText0"/>
              <w:jc w:val="center"/>
            </w:pPr>
            <w:r w:rsidRPr="000C48F9">
              <w:t>NA</w:t>
            </w:r>
          </w:p>
        </w:tc>
        <w:tc>
          <w:tcPr>
            <w:tcW w:w="533" w:type="pct"/>
            <w:tcMar>
              <w:left w:w="11" w:type="dxa"/>
              <w:right w:w="11" w:type="dxa"/>
            </w:tcMar>
            <w:vAlign w:val="center"/>
          </w:tcPr>
          <w:p w14:paraId="4225D625" w14:textId="77777777" w:rsidR="003B6E05" w:rsidRPr="000C48F9" w:rsidRDefault="003B6E05" w:rsidP="005A0287">
            <w:pPr>
              <w:pStyle w:val="TableText0"/>
              <w:jc w:val="center"/>
            </w:pPr>
            <w:r w:rsidRPr="000C48F9">
              <w:t>NA</w:t>
            </w:r>
          </w:p>
        </w:tc>
        <w:tc>
          <w:tcPr>
            <w:tcW w:w="687" w:type="pct"/>
            <w:tcMar>
              <w:left w:w="11" w:type="dxa"/>
              <w:right w:w="11" w:type="dxa"/>
            </w:tcMar>
            <w:vAlign w:val="center"/>
          </w:tcPr>
          <w:p w14:paraId="409518CA" w14:textId="77777777" w:rsidR="003B6E05" w:rsidRPr="000C48F9" w:rsidRDefault="003B6E05" w:rsidP="005A0287">
            <w:pPr>
              <w:pStyle w:val="TableText0"/>
              <w:jc w:val="center"/>
              <w:rPr>
                <w:b/>
                <w:bCs w:val="0"/>
              </w:rPr>
            </w:pPr>
            <w:r w:rsidRPr="000C48F9">
              <w:rPr>
                <w:b/>
                <w:bCs w:val="0"/>
              </w:rPr>
              <w:t>7.0 (3.9, 10.1)</w:t>
            </w:r>
          </w:p>
        </w:tc>
      </w:tr>
      <w:tr w:rsidR="003B6E05" w:rsidRPr="000C48F9" w14:paraId="47187AA6" w14:textId="77777777" w:rsidTr="004270F2">
        <w:trPr>
          <w:trHeight w:val="20"/>
        </w:trPr>
        <w:tc>
          <w:tcPr>
            <w:tcW w:w="473" w:type="pct"/>
            <w:shd w:val="clear" w:color="auto" w:fill="auto"/>
            <w:tcMar>
              <w:left w:w="11" w:type="dxa"/>
              <w:right w:w="11" w:type="dxa"/>
            </w:tcMar>
          </w:tcPr>
          <w:p w14:paraId="122F7FB7" w14:textId="38A0F8F4" w:rsidR="003B6E05" w:rsidRPr="000C48F9" w:rsidRDefault="003B6E05" w:rsidP="005A0287">
            <w:pPr>
              <w:pStyle w:val="TableText0"/>
              <w:jc w:val="center"/>
            </w:pPr>
            <w:r w:rsidRPr="000C48F9">
              <w:t xml:space="preserve">Study 011 </w:t>
            </w:r>
          </w:p>
        </w:tc>
        <w:tc>
          <w:tcPr>
            <w:tcW w:w="283" w:type="pct"/>
            <w:shd w:val="clear" w:color="auto" w:fill="auto"/>
            <w:tcMar>
              <w:left w:w="11" w:type="dxa"/>
              <w:right w:w="11" w:type="dxa"/>
            </w:tcMar>
          </w:tcPr>
          <w:p w14:paraId="43434F9F" w14:textId="4F8B935B" w:rsidR="003B6E05" w:rsidRPr="000C48F9" w:rsidRDefault="003B6E05" w:rsidP="005A0287">
            <w:pPr>
              <w:pStyle w:val="TableText0"/>
              <w:jc w:val="center"/>
            </w:pPr>
            <w:r w:rsidRPr="000C48F9">
              <w:t>F/F</w:t>
            </w:r>
          </w:p>
        </w:tc>
        <w:tc>
          <w:tcPr>
            <w:tcW w:w="588" w:type="pct"/>
            <w:shd w:val="clear" w:color="auto" w:fill="auto"/>
          </w:tcPr>
          <w:p w14:paraId="08524CD3" w14:textId="0E578B66" w:rsidR="003B6E05" w:rsidRPr="000C48F9" w:rsidRDefault="003B6E05" w:rsidP="005A0287">
            <w:pPr>
              <w:pStyle w:val="TableText0"/>
              <w:jc w:val="center"/>
            </w:pPr>
            <w:r w:rsidRPr="000C48F9">
              <w:t>LUM/IVA</w:t>
            </w:r>
          </w:p>
        </w:tc>
        <w:tc>
          <w:tcPr>
            <w:tcW w:w="396" w:type="pct"/>
            <w:shd w:val="clear" w:color="auto" w:fill="auto"/>
            <w:tcMar>
              <w:left w:w="11" w:type="dxa"/>
              <w:right w:w="11" w:type="dxa"/>
            </w:tcMar>
            <w:vAlign w:val="center"/>
          </w:tcPr>
          <w:p w14:paraId="5859E7C2" w14:textId="10866183" w:rsidR="003B6E05" w:rsidRPr="000C48F9" w:rsidRDefault="003B6E05" w:rsidP="005A0287">
            <w:pPr>
              <w:pStyle w:val="TableText0"/>
              <w:jc w:val="center"/>
              <w:rPr>
                <w:iCs/>
              </w:rPr>
            </w:pPr>
            <w:r w:rsidRPr="000C48F9">
              <w:rPr>
                <w:iCs/>
              </w:rPr>
              <w:t>58/58</w:t>
            </w:r>
          </w:p>
        </w:tc>
        <w:tc>
          <w:tcPr>
            <w:tcW w:w="530" w:type="pct"/>
            <w:shd w:val="clear" w:color="auto" w:fill="auto"/>
            <w:tcMar>
              <w:left w:w="11" w:type="dxa"/>
              <w:right w:w="11" w:type="dxa"/>
            </w:tcMar>
            <w:vAlign w:val="center"/>
          </w:tcPr>
          <w:p w14:paraId="0C1CE4A8" w14:textId="44FF4853" w:rsidR="003B6E05" w:rsidRPr="000C48F9" w:rsidRDefault="003B6E05" w:rsidP="005A0287">
            <w:pPr>
              <w:pStyle w:val="TableText0"/>
              <w:jc w:val="center"/>
              <w:rPr>
                <w:iCs/>
              </w:rPr>
            </w:pPr>
            <w:r w:rsidRPr="000C48F9">
              <w:rPr>
                <w:iCs/>
              </w:rPr>
              <w:t>78.3 (14.9)</w:t>
            </w:r>
          </w:p>
        </w:tc>
        <w:tc>
          <w:tcPr>
            <w:tcW w:w="535" w:type="pct"/>
            <w:shd w:val="clear" w:color="auto" w:fill="auto"/>
            <w:tcMar>
              <w:left w:w="11" w:type="dxa"/>
              <w:right w:w="11" w:type="dxa"/>
            </w:tcMar>
            <w:vAlign w:val="center"/>
          </w:tcPr>
          <w:p w14:paraId="4B7CB914" w14:textId="7E31510C" w:rsidR="003B6E05" w:rsidRPr="000C48F9" w:rsidRDefault="003B6E05" w:rsidP="005A0287">
            <w:pPr>
              <w:pStyle w:val="TableText0"/>
              <w:jc w:val="center"/>
              <w:rPr>
                <w:iCs/>
              </w:rPr>
            </w:pPr>
            <w:r w:rsidRPr="000C48F9">
              <w:rPr>
                <w:iCs/>
              </w:rPr>
              <w:t>NR</w:t>
            </w:r>
          </w:p>
        </w:tc>
        <w:tc>
          <w:tcPr>
            <w:tcW w:w="375" w:type="pct"/>
            <w:shd w:val="clear" w:color="auto" w:fill="auto"/>
            <w:tcMar>
              <w:left w:w="11" w:type="dxa"/>
              <w:right w:w="11" w:type="dxa"/>
            </w:tcMar>
            <w:vAlign w:val="center"/>
          </w:tcPr>
          <w:p w14:paraId="0AD50903" w14:textId="2D67B256" w:rsidR="003B6E05" w:rsidRPr="000C48F9" w:rsidRDefault="003B6E05" w:rsidP="005A0287">
            <w:pPr>
              <w:pStyle w:val="TableText0"/>
              <w:jc w:val="center"/>
              <w:rPr>
                <w:iCs/>
              </w:rPr>
            </w:pPr>
            <w:r w:rsidRPr="000C48F9">
              <w:rPr>
                <w:iCs/>
              </w:rPr>
              <w:t>NR</w:t>
            </w:r>
          </w:p>
        </w:tc>
        <w:tc>
          <w:tcPr>
            <w:tcW w:w="600" w:type="pct"/>
            <w:shd w:val="clear" w:color="auto" w:fill="auto"/>
            <w:tcMar>
              <w:left w:w="11" w:type="dxa"/>
              <w:right w:w="11" w:type="dxa"/>
            </w:tcMar>
            <w:vAlign w:val="center"/>
          </w:tcPr>
          <w:p w14:paraId="29C77C47" w14:textId="0926B7D9" w:rsidR="003B6E05" w:rsidRPr="000C48F9" w:rsidRDefault="003B6E05" w:rsidP="005A0287">
            <w:pPr>
              <w:pStyle w:val="TableText0"/>
              <w:jc w:val="center"/>
              <w:rPr>
                <w:iCs/>
              </w:rPr>
            </w:pPr>
            <w:r w:rsidRPr="000C48F9">
              <w:rPr>
                <w:iCs/>
              </w:rPr>
              <w:t>NA</w:t>
            </w:r>
          </w:p>
        </w:tc>
        <w:tc>
          <w:tcPr>
            <w:tcW w:w="533" w:type="pct"/>
            <w:shd w:val="clear" w:color="auto" w:fill="auto"/>
            <w:tcMar>
              <w:left w:w="11" w:type="dxa"/>
              <w:right w:w="11" w:type="dxa"/>
            </w:tcMar>
            <w:vAlign w:val="center"/>
          </w:tcPr>
          <w:p w14:paraId="64F76E82" w14:textId="5503AD93" w:rsidR="003B6E05" w:rsidRPr="000C48F9" w:rsidRDefault="003B6E05" w:rsidP="005A0287">
            <w:pPr>
              <w:pStyle w:val="TableText0"/>
              <w:jc w:val="center"/>
              <w:rPr>
                <w:iCs/>
              </w:rPr>
            </w:pPr>
            <w:r w:rsidRPr="000C48F9">
              <w:rPr>
                <w:iCs/>
              </w:rPr>
              <w:t>NA</w:t>
            </w:r>
          </w:p>
        </w:tc>
        <w:tc>
          <w:tcPr>
            <w:tcW w:w="687" w:type="pct"/>
            <w:shd w:val="clear" w:color="auto" w:fill="auto"/>
            <w:tcMar>
              <w:left w:w="11" w:type="dxa"/>
              <w:right w:w="11" w:type="dxa"/>
            </w:tcMar>
            <w:vAlign w:val="center"/>
          </w:tcPr>
          <w:p w14:paraId="03574C58" w14:textId="2DDB66CE" w:rsidR="003B6E05" w:rsidRPr="000C48F9" w:rsidRDefault="003B6E05" w:rsidP="005A0287">
            <w:pPr>
              <w:pStyle w:val="TableText0"/>
              <w:jc w:val="center"/>
              <w:rPr>
                <w:b/>
                <w:bCs w:val="0"/>
                <w:iCs/>
              </w:rPr>
            </w:pPr>
            <w:r w:rsidRPr="000C48F9">
              <w:rPr>
                <w:b/>
                <w:bCs w:val="0"/>
                <w:iCs/>
              </w:rPr>
              <w:t>5.4 (1.4, 9.4)</w:t>
            </w:r>
          </w:p>
        </w:tc>
      </w:tr>
    </w:tbl>
    <w:p w14:paraId="3E1600D9" w14:textId="41DA6724" w:rsidR="003B6E05" w:rsidRPr="000C48F9" w:rsidRDefault="003B6E05" w:rsidP="00B44292">
      <w:pPr>
        <w:pStyle w:val="TableFigureFooter"/>
      </w:pPr>
      <w:r w:rsidRPr="000C48F9">
        <w:rPr>
          <w:szCs w:val="18"/>
        </w:rPr>
        <w:t>Source: Table 2.5.4 p85</w:t>
      </w:r>
      <w:r w:rsidR="000D68A9">
        <w:rPr>
          <w:szCs w:val="18"/>
        </w:rPr>
        <w:t xml:space="preserve">, </w:t>
      </w:r>
      <w:r w:rsidR="000D68A9" w:rsidRPr="00D871EC">
        <w:rPr>
          <w:szCs w:val="18"/>
        </w:rPr>
        <w:t>Table 2.5.5 p87</w:t>
      </w:r>
      <w:r w:rsidRPr="000C48F9">
        <w:rPr>
          <w:szCs w:val="18"/>
        </w:rPr>
        <w:t xml:space="preserve"> of the submission; </w:t>
      </w:r>
      <w:r w:rsidRPr="000C48F9">
        <w:t xml:space="preserve">Table 2.5.4 of the LUM/IVA Commentary, July 2018; Table 4 p916 Milla et al </w:t>
      </w:r>
    </w:p>
    <w:p w14:paraId="6D2B5D2C" w14:textId="5A9C0838" w:rsidR="003B6E05" w:rsidRPr="000C48F9" w:rsidRDefault="000458B2" w:rsidP="00B44292">
      <w:pPr>
        <w:pStyle w:val="TableFigureFooter"/>
        <w:rPr>
          <w:szCs w:val="18"/>
        </w:rPr>
      </w:pPr>
      <w:r w:rsidRPr="00D871EC">
        <w:rPr>
          <w:szCs w:val="18"/>
        </w:rPr>
        <w:t xml:space="preserve">CFQ-R = </w:t>
      </w:r>
      <w:r w:rsidRPr="00D871EC">
        <w:t>Cystic Fibrosis Questionnaire-Revised</w:t>
      </w:r>
      <w:r>
        <w:rPr>
          <w:szCs w:val="18"/>
        </w:rPr>
        <w:t xml:space="preserve">; </w:t>
      </w:r>
      <w:r w:rsidR="003B6E05" w:rsidRPr="000C48F9">
        <w:rPr>
          <w:szCs w:val="18"/>
        </w:rPr>
        <w:t xml:space="preserve">CI = confidence interval; </w:t>
      </w:r>
      <w:r w:rsidRPr="00D871EC">
        <w:rPr>
          <w:rFonts w:eastAsia="MS Mincho"/>
        </w:rPr>
        <w:t>ELX/TEZ/IVA=elexacaftor/tezacaftor/ivacaftor</w:t>
      </w:r>
      <w:r>
        <w:rPr>
          <w:szCs w:val="18"/>
        </w:rPr>
        <w:t xml:space="preserve">; </w:t>
      </w:r>
      <w:r w:rsidR="003B6E05" w:rsidRPr="000C48F9">
        <w:rPr>
          <w:szCs w:val="18"/>
        </w:rPr>
        <w:t>F/F = CF patient homozygous for the F508del-CFTR mutation</w:t>
      </w:r>
      <w:r>
        <w:rPr>
          <w:szCs w:val="18"/>
        </w:rPr>
        <w:t xml:space="preserve">; </w:t>
      </w:r>
      <w:r w:rsidR="003B6E05" w:rsidRPr="000C48F9">
        <w:rPr>
          <w:szCs w:val="18"/>
        </w:rPr>
        <w:t xml:space="preserve">F/MF = CF patient heterozygous for the F508del in the CFTR gene with a minimal function mutation; </w:t>
      </w:r>
      <w:r w:rsidR="00AB4D38" w:rsidRPr="000C48F9">
        <w:rPr>
          <w:szCs w:val="18"/>
        </w:rPr>
        <w:t xml:space="preserve">LSM = least square measure; </w:t>
      </w:r>
      <w:r w:rsidRPr="00D871EC">
        <w:t>LUM/IVA= lumacaftor/ivacaftor</w:t>
      </w:r>
      <w:r>
        <w:rPr>
          <w:szCs w:val="18"/>
        </w:rPr>
        <w:t xml:space="preserve">; </w:t>
      </w:r>
      <w:r w:rsidR="003B6E05" w:rsidRPr="000C48F9">
        <w:rPr>
          <w:szCs w:val="18"/>
        </w:rPr>
        <w:t xml:space="preserve">n = number of patients with event; N = total patients in group; </w:t>
      </w:r>
      <w:r w:rsidRPr="00D871EC">
        <w:rPr>
          <w:szCs w:val="18"/>
        </w:rPr>
        <w:t>NA = not applicable; NR= not reported; PBO = placebo</w:t>
      </w:r>
      <w:r>
        <w:rPr>
          <w:szCs w:val="18"/>
        </w:rPr>
        <w:t xml:space="preserve">; </w:t>
      </w:r>
      <w:r w:rsidR="003B6E05" w:rsidRPr="000C48F9">
        <w:rPr>
          <w:szCs w:val="18"/>
        </w:rPr>
        <w:t>SD = standard deviation; SE = standard error; w = week.</w:t>
      </w:r>
    </w:p>
    <w:p w14:paraId="729A9841" w14:textId="79F005A0" w:rsidR="003B6E05" w:rsidRPr="000C48F9" w:rsidRDefault="003B6E05" w:rsidP="005A0287">
      <w:pPr>
        <w:pStyle w:val="TableFigureFooter"/>
      </w:pPr>
      <w:r w:rsidRPr="000C48F9">
        <w:t>Notes:</w:t>
      </w:r>
      <w:r w:rsidR="0003202A" w:rsidRPr="000C48F9">
        <w:t xml:space="preserve"> </w:t>
      </w:r>
      <w:r w:rsidRPr="000C48F9">
        <w:t>Bold indicates statistically significant results</w:t>
      </w:r>
    </w:p>
    <w:p w14:paraId="1D86867A" w14:textId="509B9D70" w:rsidR="003B6E05" w:rsidRPr="000C48F9" w:rsidRDefault="003B6E05" w:rsidP="00830951">
      <w:pPr>
        <w:pStyle w:val="3-BodyText"/>
        <w:spacing w:before="240"/>
      </w:pPr>
      <w:r w:rsidRPr="000C48F9">
        <w:rPr>
          <w:rFonts w:ascii="Calibri" w:hAnsi="Calibri"/>
          <w:snapToGrid/>
          <w:color w:val="000000" w:themeColor="text1"/>
        </w:rPr>
        <w:t xml:space="preserve">The improvement in CFQ-R </w:t>
      </w:r>
      <w:r w:rsidR="00D928A6" w:rsidRPr="000C48F9">
        <w:rPr>
          <w:rFonts w:ascii="Calibri" w:hAnsi="Calibri"/>
          <w:snapToGrid/>
          <w:color w:val="000000" w:themeColor="text1"/>
        </w:rPr>
        <w:t>with</w:t>
      </w:r>
      <w:r w:rsidRPr="000C48F9">
        <w:rPr>
          <w:rFonts w:ascii="Calibri" w:hAnsi="Calibri"/>
          <w:snapToGrid/>
          <w:color w:val="000000" w:themeColor="text1"/>
        </w:rPr>
        <w:t xml:space="preserve"> ELX/TEZ/IVA </w:t>
      </w:r>
      <w:r w:rsidR="004967C5" w:rsidRPr="000C48F9">
        <w:rPr>
          <w:rFonts w:ascii="Calibri" w:hAnsi="Calibri"/>
          <w:snapToGrid/>
          <w:color w:val="000000" w:themeColor="text1"/>
        </w:rPr>
        <w:t xml:space="preserve">in the F/MF population </w:t>
      </w:r>
      <w:r w:rsidRPr="000C48F9">
        <w:rPr>
          <w:rFonts w:ascii="Calibri" w:hAnsi="Calibri"/>
          <w:snapToGrid/>
          <w:color w:val="000000" w:themeColor="text1"/>
        </w:rPr>
        <w:t xml:space="preserve">exceeded </w:t>
      </w:r>
      <w:r w:rsidR="00D928A6" w:rsidRPr="000C48F9">
        <w:t xml:space="preserve">the </w:t>
      </w:r>
      <w:r w:rsidRPr="000C48F9">
        <w:t>MCID</w:t>
      </w:r>
      <w:r w:rsidR="00D928A6" w:rsidRPr="000C48F9">
        <w:t xml:space="preserve"> nominated by the submission</w:t>
      </w:r>
      <w:r w:rsidRPr="000C48F9">
        <w:t xml:space="preserve"> of an absolute change of 4.0 points. </w:t>
      </w:r>
      <w:r w:rsidR="00830951" w:rsidRPr="000C48F9">
        <w:t>The MCID for CFQ-R has not been previously considered by the PBAC.</w:t>
      </w:r>
    </w:p>
    <w:p w14:paraId="0827A9B1" w14:textId="327A61D2" w:rsidR="003B6E05" w:rsidRPr="000C48F9" w:rsidRDefault="003B6E05" w:rsidP="00B44292">
      <w:pPr>
        <w:pStyle w:val="3-BodyText"/>
        <w:spacing w:before="240"/>
      </w:pPr>
      <w:r w:rsidRPr="000C48F9">
        <w:t>A summary of the absolute change from baseline</w:t>
      </w:r>
      <w:r w:rsidR="004967C5" w:rsidRPr="000C48F9">
        <w:t xml:space="preserve"> to week 24</w:t>
      </w:r>
      <w:r w:rsidRPr="000C48F9">
        <w:t xml:space="preserve"> in sweat chloride across the trials is presented in</w:t>
      </w:r>
      <w:r w:rsidR="004E6CF1" w:rsidRPr="000C48F9">
        <w:t xml:space="preserve"> </w:t>
      </w:r>
      <w:r w:rsidR="004E6CF1" w:rsidRPr="000C48F9">
        <w:fldChar w:fldCharType="begin" w:fldLock="1"/>
      </w:r>
      <w:r w:rsidR="004E6CF1" w:rsidRPr="000C48F9">
        <w:instrText xml:space="preserve"> REF _Ref112923062 \h </w:instrText>
      </w:r>
      <w:r w:rsidR="004E6CF1" w:rsidRPr="000C48F9">
        <w:fldChar w:fldCharType="separate"/>
      </w:r>
      <w:r w:rsidR="009A1227" w:rsidRPr="000C48F9">
        <w:t xml:space="preserve">Table </w:t>
      </w:r>
      <w:r w:rsidR="009A1227">
        <w:rPr>
          <w:noProof/>
        </w:rPr>
        <w:t>8</w:t>
      </w:r>
      <w:r w:rsidR="004E6CF1" w:rsidRPr="000C48F9">
        <w:fldChar w:fldCharType="end"/>
      </w:r>
      <w:r w:rsidRPr="000C48F9">
        <w:t xml:space="preserve">. </w:t>
      </w:r>
    </w:p>
    <w:p w14:paraId="74A594CF" w14:textId="7F84E495" w:rsidR="003B6E05" w:rsidRPr="000C48F9" w:rsidRDefault="003B6E05" w:rsidP="003E016D">
      <w:pPr>
        <w:pStyle w:val="TableFigureHeading"/>
        <w:keepLines/>
      </w:pPr>
      <w:bookmarkStart w:id="29" w:name="_Ref112923062"/>
      <w:r w:rsidRPr="000C48F9">
        <w:t xml:space="preserve">Table </w:t>
      </w:r>
      <w:r w:rsidR="008E430C">
        <w:fldChar w:fldCharType="begin" w:fldLock="1"/>
      </w:r>
      <w:r w:rsidR="008E430C">
        <w:instrText xml:space="preserve"> SEQ Table \* ARABIC </w:instrText>
      </w:r>
      <w:r w:rsidR="008E430C">
        <w:fldChar w:fldCharType="separate"/>
      </w:r>
      <w:r w:rsidR="009A1227">
        <w:rPr>
          <w:noProof/>
        </w:rPr>
        <w:t>8</w:t>
      </w:r>
      <w:r w:rsidR="008E430C">
        <w:rPr>
          <w:noProof/>
        </w:rPr>
        <w:fldChar w:fldCharType="end"/>
      </w:r>
      <w:bookmarkEnd w:id="29"/>
      <w:r w:rsidRPr="000C48F9">
        <w:t>: Results of absolute change from baseline in sweat chloride across the trials</w:t>
      </w:r>
      <w:r w:rsidR="004967C5" w:rsidRPr="000C48F9">
        <w:t xml:space="preserve"> through week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2"/>
        <w:gridCol w:w="476"/>
        <w:gridCol w:w="1032"/>
        <w:gridCol w:w="725"/>
        <w:gridCol w:w="1148"/>
        <w:gridCol w:w="1027"/>
        <w:gridCol w:w="713"/>
        <w:gridCol w:w="875"/>
        <w:gridCol w:w="1021"/>
        <w:gridCol w:w="6"/>
        <w:gridCol w:w="1021"/>
      </w:tblGrid>
      <w:tr w:rsidR="003B6E05" w:rsidRPr="000C48F9" w14:paraId="018D72C2" w14:textId="77777777" w:rsidTr="00174268">
        <w:trPr>
          <w:trHeight w:val="18"/>
        </w:trPr>
        <w:tc>
          <w:tcPr>
            <w:tcW w:w="540" w:type="pct"/>
            <w:vMerge w:val="restart"/>
            <w:tcMar>
              <w:left w:w="11" w:type="dxa"/>
              <w:right w:w="11" w:type="dxa"/>
            </w:tcMar>
            <w:vAlign w:val="center"/>
          </w:tcPr>
          <w:p w14:paraId="0F4ABB2B" w14:textId="77777777" w:rsidR="003B6E05" w:rsidRPr="000C48F9" w:rsidRDefault="003B6E05" w:rsidP="003E016D">
            <w:pPr>
              <w:pStyle w:val="TableText0"/>
              <w:keepLines/>
              <w:rPr>
                <w:b/>
              </w:rPr>
            </w:pPr>
            <w:r w:rsidRPr="000C48F9">
              <w:rPr>
                <w:b/>
              </w:rPr>
              <w:t>Trial ID</w:t>
            </w:r>
          </w:p>
        </w:tc>
        <w:tc>
          <w:tcPr>
            <w:tcW w:w="265" w:type="pct"/>
            <w:vMerge w:val="restart"/>
            <w:tcMar>
              <w:left w:w="11" w:type="dxa"/>
              <w:right w:w="11" w:type="dxa"/>
            </w:tcMar>
            <w:vAlign w:val="center"/>
          </w:tcPr>
          <w:p w14:paraId="40FB1EBD" w14:textId="77777777" w:rsidR="003B6E05" w:rsidRPr="000C48F9" w:rsidRDefault="003B6E05" w:rsidP="003E016D">
            <w:pPr>
              <w:pStyle w:val="TableText0"/>
              <w:keepLines/>
              <w:rPr>
                <w:b/>
              </w:rPr>
            </w:pPr>
            <w:r w:rsidRPr="000C48F9">
              <w:rPr>
                <w:b/>
              </w:rPr>
              <w:t>Sub.</w:t>
            </w:r>
          </w:p>
        </w:tc>
        <w:tc>
          <w:tcPr>
            <w:tcW w:w="565" w:type="pct"/>
            <w:vMerge w:val="restart"/>
            <w:vAlign w:val="center"/>
          </w:tcPr>
          <w:p w14:paraId="7CD70263" w14:textId="77777777" w:rsidR="003B6E05" w:rsidRPr="000C48F9" w:rsidRDefault="003B6E05" w:rsidP="003E016D">
            <w:pPr>
              <w:pStyle w:val="TableText0"/>
              <w:keepLines/>
              <w:rPr>
                <w:b/>
                <w:bCs w:val="0"/>
              </w:rPr>
            </w:pPr>
            <w:r w:rsidRPr="000C48F9">
              <w:rPr>
                <w:b/>
              </w:rPr>
              <w:t>Comparison</w:t>
            </w:r>
          </w:p>
        </w:tc>
        <w:tc>
          <w:tcPr>
            <w:tcW w:w="1610" w:type="pct"/>
            <w:gridSpan w:val="3"/>
            <w:tcMar>
              <w:left w:w="11" w:type="dxa"/>
              <w:right w:w="11" w:type="dxa"/>
            </w:tcMar>
            <w:vAlign w:val="center"/>
          </w:tcPr>
          <w:p w14:paraId="5F8385FA" w14:textId="77777777" w:rsidR="003B6E05" w:rsidRPr="000C48F9" w:rsidRDefault="003B6E05" w:rsidP="003E016D">
            <w:pPr>
              <w:pStyle w:val="TableText0"/>
              <w:keepLines/>
              <w:rPr>
                <w:b/>
                <w:bCs w:val="0"/>
              </w:rPr>
            </w:pPr>
            <w:r w:rsidRPr="000C48F9">
              <w:rPr>
                <w:b/>
                <w:bCs w:val="0"/>
              </w:rPr>
              <w:t>Intervention</w:t>
            </w:r>
          </w:p>
        </w:tc>
        <w:tc>
          <w:tcPr>
            <w:tcW w:w="1453" w:type="pct"/>
            <w:gridSpan w:val="4"/>
            <w:tcMar>
              <w:left w:w="11" w:type="dxa"/>
              <w:right w:w="11" w:type="dxa"/>
            </w:tcMar>
            <w:vAlign w:val="center"/>
          </w:tcPr>
          <w:p w14:paraId="53B7A4F5" w14:textId="77777777" w:rsidR="003B6E05" w:rsidRPr="000C48F9" w:rsidRDefault="003B6E05" w:rsidP="003E016D">
            <w:pPr>
              <w:pStyle w:val="TableText0"/>
              <w:keepLines/>
              <w:rPr>
                <w:b/>
                <w:bCs w:val="0"/>
              </w:rPr>
            </w:pPr>
            <w:r w:rsidRPr="000C48F9">
              <w:rPr>
                <w:b/>
                <w:bCs w:val="0"/>
              </w:rPr>
              <w:t>PBO</w:t>
            </w:r>
          </w:p>
        </w:tc>
        <w:tc>
          <w:tcPr>
            <w:tcW w:w="567" w:type="pct"/>
            <w:tcMar>
              <w:left w:w="11" w:type="dxa"/>
              <w:right w:w="11" w:type="dxa"/>
            </w:tcMar>
            <w:vAlign w:val="center"/>
          </w:tcPr>
          <w:p w14:paraId="47401C60" w14:textId="77777777" w:rsidR="003B6E05" w:rsidRPr="000C48F9" w:rsidRDefault="003B6E05" w:rsidP="003E016D">
            <w:pPr>
              <w:pStyle w:val="TableText0"/>
              <w:keepLines/>
              <w:rPr>
                <w:b/>
              </w:rPr>
            </w:pPr>
            <w:r w:rsidRPr="000C48F9">
              <w:rPr>
                <w:b/>
                <w:iCs/>
              </w:rPr>
              <w:t>LSM difference (95% CI)</w:t>
            </w:r>
          </w:p>
        </w:tc>
      </w:tr>
      <w:tr w:rsidR="003B6E05" w:rsidRPr="000C48F9" w14:paraId="6C8BFEB0" w14:textId="77777777" w:rsidTr="00174268">
        <w:trPr>
          <w:trHeight w:val="18"/>
        </w:trPr>
        <w:tc>
          <w:tcPr>
            <w:tcW w:w="540" w:type="pct"/>
            <w:vMerge/>
            <w:tcMar>
              <w:left w:w="11" w:type="dxa"/>
              <w:right w:w="11" w:type="dxa"/>
            </w:tcMar>
            <w:vAlign w:val="center"/>
          </w:tcPr>
          <w:p w14:paraId="2A7834D3" w14:textId="77777777" w:rsidR="003B6E05" w:rsidRPr="000C48F9" w:rsidRDefault="003B6E05" w:rsidP="003E016D">
            <w:pPr>
              <w:pStyle w:val="TableText0"/>
              <w:keepLines/>
              <w:rPr>
                <w:b/>
              </w:rPr>
            </w:pPr>
          </w:p>
        </w:tc>
        <w:tc>
          <w:tcPr>
            <w:tcW w:w="265" w:type="pct"/>
            <w:vMerge/>
            <w:tcMar>
              <w:left w:w="11" w:type="dxa"/>
              <w:right w:w="11" w:type="dxa"/>
            </w:tcMar>
            <w:vAlign w:val="center"/>
          </w:tcPr>
          <w:p w14:paraId="608F4CE8" w14:textId="77777777" w:rsidR="003B6E05" w:rsidRPr="000C48F9" w:rsidRDefault="003B6E05" w:rsidP="003E016D">
            <w:pPr>
              <w:pStyle w:val="TableText0"/>
              <w:keepLines/>
              <w:rPr>
                <w:b/>
              </w:rPr>
            </w:pPr>
          </w:p>
        </w:tc>
        <w:tc>
          <w:tcPr>
            <w:tcW w:w="565" w:type="pct"/>
            <w:vMerge/>
            <w:vAlign w:val="center"/>
          </w:tcPr>
          <w:p w14:paraId="748645D8" w14:textId="77777777" w:rsidR="003B6E05" w:rsidRPr="000C48F9" w:rsidRDefault="003B6E05" w:rsidP="003E016D">
            <w:pPr>
              <w:pStyle w:val="TableText0"/>
              <w:keepLines/>
              <w:rPr>
                <w:b/>
                <w:bCs w:val="0"/>
              </w:rPr>
            </w:pPr>
          </w:p>
        </w:tc>
        <w:tc>
          <w:tcPr>
            <w:tcW w:w="403" w:type="pct"/>
            <w:tcMar>
              <w:left w:w="11" w:type="dxa"/>
              <w:right w:w="11" w:type="dxa"/>
            </w:tcMar>
            <w:vAlign w:val="center"/>
          </w:tcPr>
          <w:p w14:paraId="5E3264A8" w14:textId="77777777" w:rsidR="003B6E05" w:rsidRPr="000C48F9" w:rsidRDefault="003B6E05" w:rsidP="003E016D">
            <w:pPr>
              <w:pStyle w:val="TableText0"/>
              <w:keepLines/>
              <w:rPr>
                <w:b/>
                <w:bCs w:val="0"/>
              </w:rPr>
            </w:pPr>
            <w:r w:rsidRPr="000C48F9">
              <w:rPr>
                <w:b/>
                <w:bCs w:val="0"/>
              </w:rPr>
              <w:t>n/N</w:t>
            </w:r>
          </w:p>
        </w:tc>
        <w:tc>
          <w:tcPr>
            <w:tcW w:w="637" w:type="pct"/>
            <w:tcMar>
              <w:left w:w="11" w:type="dxa"/>
              <w:right w:w="11" w:type="dxa"/>
            </w:tcMar>
            <w:vAlign w:val="center"/>
          </w:tcPr>
          <w:p w14:paraId="4E4C5E2B" w14:textId="77777777" w:rsidR="003B6E05" w:rsidRPr="000C48F9" w:rsidRDefault="003B6E05" w:rsidP="003E016D">
            <w:pPr>
              <w:pStyle w:val="TableText0"/>
              <w:keepLines/>
              <w:rPr>
                <w:b/>
                <w:bCs w:val="0"/>
              </w:rPr>
            </w:pPr>
            <w:r w:rsidRPr="000C48F9">
              <w:rPr>
                <w:b/>
                <w:bCs w:val="0"/>
              </w:rPr>
              <w:t>Baseline mean (SD)</w:t>
            </w:r>
          </w:p>
        </w:tc>
        <w:tc>
          <w:tcPr>
            <w:tcW w:w="570" w:type="pct"/>
            <w:tcMar>
              <w:left w:w="11" w:type="dxa"/>
              <w:right w:w="11" w:type="dxa"/>
            </w:tcMar>
            <w:vAlign w:val="center"/>
          </w:tcPr>
          <w:p w14:paraId="62C568FE" w14:textId="77777777" w:rsidR="003B6E05" w:rsidRPr="000C48F9" w:rsidRDefault="003B6E05" w:rsidP="003E016D">
            <w:pPr>
              <w:pStyle w:val="TableText0"/>
              <w:keepLines/>
              <w:rPr>
                <w:b/>
                <w:bCs w:val="0"/>
              </w:rPr>
            </w:pPr>
            <w:r w:rsidRPr="000C48F9">
              <w:rPr>
                <w:b/>
                <w:bCs w:val="0"/>
              </w:rPr>
              <w:t>LSM change (SE)</w:t>
            </w:r>
          </w:p>
        </w:tc>
        <w:tc>
          <w:tcPr>
            <w:tcW w:w="396" w:type="pct"/>
            <w:tcMar>
              <w:left w:w="11" w:type="dxa"/>
              <w:right w:w="11" w:type="dxa"/>
            </w:tcMar>
            <w:vAlign w:val="center"/>
          </w:tcPr>
          <w:p w14:paraId="4A59BC27" w14:textId="77777777" w:rsidR="003B6E05" w:rsidRPr="000C48F9" w:rsidRDefault="003B6E05" w:rsidP="003E016D">
            <w:pPr>
              <w:pStyle w:val="TableText0"/>
              <w:keepLines/>
              <w:rPr>
                <w:b/>
                <w:bCs w:val="0"/>
              </w:rPr>
            </w:pPr>
            <w:r w:rsidRPr="000C48F9">
              <w:rPr>
                <w:b/>
                <w:bCs w:val="0"/>
              </w:rPr>
              <w:t>n/N</w:t>
            </w:r>
          </w:p>
        </w:tc>
        <w:tc>
          <w:tcPr>
            <w:tcW w:w="486" w:type="pct"/>
            <w:tcMar>
              <w:left w:w="11" w:type="dxa"/>
              <w:right w:w="11" w:type="dxa"/>
            </w:tcMar>
            <w:vAlign w:val="center"/>
          </w:tcPr>
          <w:p w14:paraId="6F9402E0" w14:textId="77777777" w:rsidR="003B6E05" w:rsidRPr="000C48F9" w:rsidRDefault="003B6E05" w:rsidP="003E016D">
            <w:pPr>
              <w:pStyle w:val="TableText0"/>
              <w:keepLines/>
              <w:rPr>
                <w:b/>
                <w:bCs w:val="0"/>
              </w:rPr>
            </w:pPr>
            <w:r w:rsidRPr="000C48F9">
              <w:rPr>
                <w:b/>
                <w:bCs w:val="0"/>
              </w:rPr>
              <w:t>Baseline mean (SD)</w:t>
            </w:r>
          </w:p>
        </w:tc>
        <w:tc>
          <w:tcPr>
            <w:tcW w:w="567" w:type="pct"/>
            <w:tcMar>
              <w:left w:w="11" w:type="dxa"/>
              <w:right w:w="11" w:type="dxa"/>
            </w:tcMar>
            <w:vAlign w:val="center"/>
          </w:tcPr>
          <w:p w14:paraId="1C3F3BFF" w14:textId="77777777" w:rsidR="003B6E05" w:rsidRPr="000C48F9" w:rsidRDefault="003B6E05" w:rsidP="003E016D">
            <w:pPr>
              <w:pStyle w:val="TableText0"/>
              <w:keepLines/>
              <w:rPr>
                <w:b/>
                <w:bCs w:val="0"/>
              </w:rPr>
            </w:pPr>
            <w:r w:rsidRPr="000C48F9">
              <w:rPr>
                <w:b/>
                <w:bCs w:val="0"/>
              </w:rPr>
              <w:t>LSM change (SE)</w:t>
            </w:r>
          </w:p>
        </w:tc>
        <w:tc>
          <w:tcPr>
            <w:tcW w:w="568" w:type="pct"/>
            <w:gridSpan w:val="2"/>
            <w:tcMar>
              <w:left w:w="11" w:type="dxa"/>
              <w:right w:w="11" w:type="dxa"/>
            </w:tcMar>
            <w:vAlign w:val="center"/>
          </w:tcPr>
          <w:p w14:paraId="40ED596A" w14:textId="77777777" w:rsidR="003B6E05" w:rsidRPr="000C48F9" w:rsidRDefault="003B6E05" w:rsidP="003E016D">
            <w:pPr>
              <w:pStyle w:val="TableText0"/>
              <w:keepLines/>
              <w:rPr>
                <w:b/>
                <w:iCs/>
              </w:rPr>
            </w:pPr>
          </w:p>
        </w:tc>
      </w:tr>
      <w:tr w:rsidR="003B6E05" w:rsidRPr="000C48F9" w14:paraId="6486E20D" w14:textId="77777777" w:rsidTr="00174268">
        <w:trPr>
          <w:trHeight w:val="18"/>
        </w:trPr>
        <w:tc>
          <w:tcPr>
            <w:tcW w:w="5000" w:type="pct"/>
            <w:gridSpan w:val="11"/>
            <w:tcMar>
              <w:left w:w="11" w:type="dxa"/>
              <w:right w:w="11" w:type="dxa"/>
            </w:tcMar>
            <w:vAlign w:val="center"/>
          </w:tcPr>
          <w:p w14:paraId="51B69535" w14:textId="77777777" w:rsidR="003B6E05" w:rsidRPr="000C48F9" w:rsidRDefault="003B6E05" w:rsidP="003E016D">
            <w:pPr>
              <w:pStyle w:val="TableText0"/>
              <w:keepLines/>
              <w:rPr>
                <w:rFonts w:cstheme="minorHAnsi"/>
                <w:b/>
                <w:szCs w:val="20"/>
              </w:rPr>
            </w:pPr>
            <w:r w:rsidRPr="000C48F9">
              <w:rPr>
                <w:b/>
              </w:rPr>
              <w:t xml:space="preserve">Randomised trials </w:t>
            </w:r>
          </w:p>
        </w:tc>
      </w:tr>
      <w:tr w:rsidR="003B6E05" w:rsidRPr="000C48F9" w14:paraId="3F0DCAB6" w14:textId="77777777" w:rsidTr="00174268">
        <w:trPr>
          <w:trHeight w:val="18"/>
        </w:trPr>
        <w:tc>
          <w:tcPr>
            <w:tcW w:w="540" w:type="pct"/>
            <w:tcMar>
              <w:left w:w="11" w:type="dxa"/>
              <w:right w:w="11" w:type="dxa"/>
            </w:tcMar>
            <w:vAlign w:val="center"/>
          </w:tcPr>
          <w:p w14:paraId="259AF7B9" w14:textId="77777777" w:rsidR="003B6E05" w:rsidRPr="000C48F9" w:rsidRDefault="003B6E05" w:rsidP="003E016D">
            <w:pPr>
              <w:pStyle w:val="TableText0"/>
              <w:keepLines/>
            </w:pPr>
            <w:r w:rsidRPr="000C48F9">
              <w:t>Study 116</w:t>
            </w:r>
          </w:p>
        </w:tc>
        <w:tc>
          <w:tcPr>
            <w:tcW w:w="265" w:type="pct"/>
            <w:tcMar>
              <w:left w:w="11" w:type="dxa"/>
              <w:right w:w="11" w:type="dxa"/>
            </w:tcMar>
            <w:vAlign w:val="center"/>
          </w:tcPr>
          <w:p w14:paraId="451E365E" w14:textId="77777777" w:rsidR="003B6E05" w:rsidRPr="000C48F9" w:rsidRDefault="003B6E05" w:rsidP="003E016D">
            <w:pPr>
              <w:pStyle w:val="TableText0"/>
              <w:keepLines/>
            </w:pPr>
            <w:r w:rsidRPr="000C48F9">
              <w:t>F/MF</w:t>
            </w:r>
          </w:p>
        </w:tc>
        <w:tc>
          <w:tcPr>
            <w:tcW w:w="565" w:type="pct"/>
            <w:vAlign w:val="center"/>
          </w:tcPr>
          <w:p w14:paraId="33189CE6" w14:textId="77777777" w:rsidR="003B6E05" w:rsidRPr="00A378B7" w:rsidRDefault="003B6E05" w:rsidP="003E016D">
            <w:pPr>
              <w:pStyle w:val="TableText0"/>
              <w:keepLines/>
              <w:rPr>
                <w:szCs w:val="20"/>
                <w:lang w:val="pt-BR"/>
              </w:rPr>
            </w:pPr>
            <w:r w:rsidRPr="00A378B7">
              <w:rPr>
                <w:szCs w:val="20"/>
                <w:lang w:val="pt-BR"/>
              </w:rPr>
              <w:t>ELX/TEZ/IVA vs PBO</w:t>
            </w:r>
          </w:p>
        </w:tc>
        <w:tc>
          <w:tcPr>
            <w:tcW w:w="403" w:type="pct"/>
            <w:tcMar>
              <w:left w:w="11" w:type="dxa"/>
              <w:right w:w="11" w:type="dxa"/>
            </w:tcMar>
            <w:vAlign w:val="center"/>
          </w:tcPr>
          <w:p w14:paraId="5247FAD8" w14:textId="2EF43C96" w:rsidR="003B6E05" w:rsidRPr="000C48F9" w:rsidRDefault="003B6E05" w:rsidP="003E016D">
            <w:pPr>
              <w:pStyle w:val="TableText0"/>
              <w:keepLines/>
              <w:jc w:val="center"/>
            </w:pPr>
            <w:r w:rsidRPr="000C48F9">
              <w:rPr>
                <w:szCs w:val="20"/>
              </w:rPr>
              <w:t>60/</w:t>
            </w:r>
            <w:r w:rsidR="000458B2">
              <w:rPr>
                <w:szCs w:val="20"/>
              </w:rPr>
              <w:t>121</w:t>
            </w:r>
          </w:p>
        </w:tc>
        <w:tc>
          <w:tcPr>
            <w:tcW w:w="637" w:type="pct"/>
            <w:tcMar>
              <w:left w:w="11" w:type="dxa"/>
              <w:right w:w="11" w:type="dxa"/>
            </w:tcMar>
            <w:vAlign w:val="center"/>
          </w:tcPr>
          <w:p w14:paraId="2E6F21C3" w14:textId="77777777" w:rsidR="003B6E05" w:rsidRPr="000C48F9" w:rsidRDefault="003B6E05" w:rsidP="003E016D">
            <w:pPr>
              <w:pStyle w:val="TableText0"/>
              <w:keepLines/>
              <w:jc w:val="center"/>
            </w:pPr>
            <w:r w:rsidRPr="000C48F9">
              <w:rPr>
                <w:rFonts w:cstheme="minorHAnsi"/>
                <w:szCs w:val="20"/>
              </w:rPr>
              <w:t>102.8 (10.0)</w:t>
            </w:r>
          </w:p>
        </w:tc>
        <w:tc>
          <w:tcPr>
            <w:tcW w:w="570" w:type="pct"/>
            <w:tcMar>
              <w:left w:w="11" w:type="dxa"/>
              <w:right w:w="11" w:type="dxa"/>
            </w:tcMar>
            <w:vAlign w:val="center"/>
          </w:tcPr>
          <w:p w14:paraId="786F01E4" w14:textId="77777777" w:rsidR="003B6E05" w:rsidRPr="000C48F9" w:rsidRDefault="003B6E05" w:rsidP="003E016D">
            <w:pPr>
              <w:pStyle w:val="TableText0"/>
              <w:keepLines/>
              <w:jc w:val="center"/>
            </w:pPr>
            <w:r w:rsidRPr="000C48F9">
              <w:rPr>
                <w:rFonts w:cstheme="minorHAnsi"/>
                <w:szCs w:val="20"/>
              </w:rPr>
              <w:t>-52.1 (1.5)</w:t>
            </w:r>
          </w:p>
        </w:tc>
        <w:tc>
          <w:tcPr>
            <w:tcW w:w="396" w:type="pct"/>
            <w:tcMar>
              <w:left w:w="11" w:type="dxa"/>
              <w:right w:w="11" w:type="dxa"/>
            </w:tcMar>
            <w:vAlign w:val="center"/>
          </w:tcPr>
          <w:p w14:paraId="55A86FAE" w14:textId="558EC845" w:rsidR="003B6E05" w:rsidRPr="000C48F9" w:rsidRDefault="003B6E05" w:rsidP="003E016D">
            <w:pPr>
              <w:pStyle w:val="TableText0"/>
              <w:keepLines/>
              <w:jc w:val="center"/>
            </w:pPr>
            <w:r w:rsidRPr="000C48F9">
              <w:rPr>
                <w:szCs w:val="20"/>
              </w:rPr>
              <w:t>61/</w:t>
            </w:r>
            <w:r w:rsidR="000458B2">
              <w:rPr>
                <w:szCs w:val="20"/>
              </w:rPr>
              <w:t>121</w:t>
            </w:r>
          </w:p>
        </w:tc>
        <w:tc>
          <w:tcPr>
            <w:tcW w:w="486" w:type="pct"/>
            <w:tcMar>
              <w:left w:w="11" w:type="dxa"/>
              <w:right w:w="11" w:type="dxa"/>
            </w:tcMar>
            <w:vAlign w:val="center"/>
          </w:tcPr>
          <w:p w14:paraId="39D136C2" w14:textId="77777777" w:rsidR="003B6E05" w:rsidRPr="000C48F9" w:rsidRDefault="003B6E05" w:rsidP="003E016D">
            <w:pPr>
              <w:pStyle w:val="TableText0"/>
              <w:keepLines/>
              <w:jc w:val="center"/>
            </w:pPr>
            <w:r w:rsidRPr="000C48F9">
              <w:rPr>
                <w:rFonts w:cstheme="minorHAnsi"/>
                <w:szCs w:val="20"/>
              </w:rPr>
              <w:t>102.6 (8.6)</w:t>
            </w:r>
          </w:p>
        </w:tc>
        <w:tc>
          <w:tcPr>
            <w:tcW w:w="567" w:type="pct"/>
            <w:tcMar>
              <w:left w:w="11" w:type="dxa"/>
              <w:right w:w="11" w:type="dxa"/>
            </w:tcMar>
            <w:vAlign w:val="center"/>
          </w:tcPr>
          <w:p w14:paraId="2A2E946F" w14:textId="77777777" w:rsidR="003B6E05" w:rsidRPr="000C48F9" w:rsidRDefault="003B6E05" w:rsidP="003E016D">
            <w:pPr>
              <w:pStyle w:val="TableText0"/>
              <w:keepLines/>
              <w:jc w:val="center"/>
            </w:pPr>
            <w:r w:rsidRPr="000C48F9">
              <w:rPr>
                <w:rFonts w:cstheme="minorHAnsi"/>
                <w:szCs w:val="20"/>
              </w:rPr>
              <w:t>-0.9 (1.5)</w:t>
            </w:r>
          </w:p>
        </w:tc>
        <w:tc>
          <w:tcPr>
            <w:tcW w:w="568" w:type="pct"/>
            <w:gridSpan w:val="2"/>
            <w:tcMar>
              <w:left w:w="11" w:type="dxa"/>
              <w:right w:w="11" w:type="dxa"/>
            </w:tcMar>
            <w:vAlign w:val="center"/>
          </w:tcPr>
          <w:p w14:paraId="580125A3" w14:textId="77777777" w:rsidR="003B6E05" w:rsidRPr="000C48F9" w:rsidRDefault="003B6E05" w:rsidP="003E016D">
            <w:pPr>
              <w:pStyle w:val="TableText0"/>
              <w:keepLines/>
              <w:jc w:val="center"/>
              <w:rPr>
                <w:rFonts w:cstheme="minorHAnsi"/>
                <w:b/>
                <w:szCs w:val="20"/>
              </w:rPr>
            </w:pPr>
            <w:r w:rsidRPr="000C48F9">
              <w:rPr>
                <w:rFonts w:cstheme="minorHAnsi"/>
                <w:b/>
                <w:szCs w:val="20"/>
              </w:rPr>
              <w:t>-51.2 (</w:t>
            </w:r>
            <w:r w:rsidRPr="000C48F9">
              <w:rPr>
                <w:rFonts w:cstheme="minorHAnsi"/>
                <w:b/>
                <w:szCs w:val="20"/>
              </w:rPr>
              <w:noBreakHyphen/>
              <w:t xml:space="preserve">55.3, </w:t>
            </w:r>
            <w:r w:rsidRPr="000C48F9">
              <w:rPr>
                <w:rFonts w:cstheme="minorHAnsi"/>
                <w:b/>
                <w:szCs w:val="20"/>
              </w:rPr>
              <w:noBreakHyphen/>
              <w:t>47.1)</w:t>
            </w:r>
          </w:p>
        </w:tc>
      </w:tr>
      <w:tr w:rsidR="003B6E05" w:rsidRPr="000C48F9" w14:paraId="75E1926D" w14:textId="77777777" w:rsidTr="00174268">
        <w:trPr>
          <w:trHeight w:val="18"/>
        </w:trPr>
        <w:tc>
          <w:tcPr>
            <w:tcW w:w="540" w:type="pct"/>
            <w:shd w:val="clear" w:color="auto" w:fill="auto"/>
            <w:tcMar>
              <w:left w:w="11" w:type="dxa"/>
              <w:right w:w="11" w:type="dxa"/>
            </w:tcMar>
            <w:vAlign w:val="center"/>
          </w:tcPr>
          <w:p w14:paraId="0F26828F" w14:textId="77777777" w:rsidR="003B6E05" w:rsidRPr="000C48F9" w:rsidRDefault="003B6E05" w:rsidP="003E016D">
            <w:pPr>
              <w:pStyle w:val="TableText0"/>
              <w:keepLines/>
            </w:pPr>
            <w:r w:rsidRPr="000C48F9">
              <w:t>Study 109</w:t>
            </w:r>
          </w:p>
        </w:tc>
        <w:tc>
          <w:tcPr>
            <w:tcW w:w="265" w:type="pct"/>
            <w:shd w:val="clear" w:color="auto" w:fill="auto"/>
            <w:tcMar>
              <w:left w:w="11" w:type="dxa"/>
              <w:right w:w="11" w:type="dxa"/>
            </w:tcMar>
            <w:vAlign w:val="center"/>
          </w:tcPr>
          <w:p w14:paraId="536B64A4" w14:textId="77777777" w:rsidR="003B6E05" w:rsidRPr="000C48F9" w:rsidRDefault="003B6E05" w:rsidP="003E016D">
            <w:pPr>
              <w:pStyle w:val="TableText0"/>
              <w:keepLines/>
            </w:pPr>
            <w:r w:rsidRPr="000C48F9">
              <w:t>F/F</w:t>
            </w:r>
          </w:p>
        </w:tc>
        <w:tc>
          <w:tcPr>
            <w:tcW w:w="565" w:type="pct"/>
            <w:shd w:val="clear" w:color="auto" w:fill="auto"/>
            <w:vAlign w:val="center"/>
          </w:tcPr>
          <w:p w14:paraId="5A00C65C" w14:textId="77777777" w:rsidR="003B6E05" w:rsidRPr="000C48F9" w:rsidRDefault="003B6E05" w:rsidP="003E016D">
            <w:pPr>
              <w:pStyle w:val="TableText0"/>
              <w:keepLines/>
              <w:rPr>
                <w:szCs w:val="20"/>
              </w:rPr>
            </w:pPr>
            <w:r w:rsidRPr="000C48F9">
              <w:rPr>
                <w:szCs w:val="20"/>
              </w:rPr>
              <w:t>LUM/IVA vs PBO</w:t>
            </w:r>
          </w:p>
        </w:tc>
        <w:tc>
          <w:tcPr>
            <w:tcW w:w="403" w:type="pct"/>
            <w:shd w:val="clear" w:color="auto" w:fill="auto"/>
            <w:tcMar>
              <w:left w:w="11" w:type="dxa"/>
              <w:right w:w="11" w:type="dxa"/>
            </w:tcMar>
            <w:vAlign w:val="center"/>
          </w:tcPr>
          <w:p w14:paraId="6AC6AF01" w14:textId="516A59D7" w:rsidR="003B6E05" w:rsidRPr="000C48F9" w:rsidRDefault="003B6E05" w:rsidP="003E016D">
            <w:pPr>
              <w:pStyle w:val="TableText0"/>
              <w:keepLines/>
              <w:jc w:val="center"/>
              <w:rPr>
                <w:iCs/>
              </w:rPr>
            </w:pPr>
            <w:r w:rsidRPr="000C48F9">
              <w:rPr>
                <w:iCs/>
                <w:szCs w:val="20"/>
              </w:rPr>
              <w:t>103/</w:t>
            </w:r>
            <w:r w:rsidR="000458B2">
              <w:rPr>
                <w:iCs/>
                <w:szCs w:val="20"/>
              </w:rPr>
              <w:t>204</w:t>
            </w:r>
          </w:p>
        </w:tc>
        <w:tc>
          <w:tcPr>
            <w:tcW w:w="637" w:type="pct"/>
            <w:shd w:val="clear" w:color="auto" w:fill="auto"/>
            <w:tcMar>
              <w:left w:w="11" w:type="dxa"/>
              <w:right w:w="11" w:type="dxa"/>
            </w:tcMar>
            <w:vAlign w:val="center"/>
          </w:tcPr>
          <w:p w14:paraId="6334B5AB" w14:textId="77777777" w:rsidR="003B6E05" w:rsidRPr="000C48F9" w:rsidRDefault="003B6E05" w:rsidP="003E016D">
            <w:pPr>
              <w:pStyle w:val="TableText0"/>
              <w:keepLines/>
              <w:jc w:val="center"/>
              <w:rPr>
                <w:iCs/>
              </w:rPr>
            </w:pPr>
            <w:r w:rsidRPr="000C48F9">
              <w:rPr>
                <w:iCs/>
                <w:szCs w:val="20"/>
              </w:rPr>
              <w:t>102.6 (10.3)</w:t>
            </w:r>
          </w:p>
        </w:tc>
        <w:tc>
          <w:tcPr>
            <w:tcW w:w="570" w:type="pct"/>
            <w:shd w:val="clear" w:color="auto" w:fill="auto"/>
            <w:tcMar>
              <w:left w:w="11" w:type="dxa"/>
              <w:right w:w="11" w:type="dxa"/>
            </w:tcMar>
            <w:vAlign w:val="center"/>
          </w:tcPr>
          <w:p w14:paraId="782A4825" w14:textId="77777777" w:rsidR="003B6E05" w:rsidRPr="000C48F9" w:rsidRDefault="003B6E05" w:rsidP="003E016D">
            <w:pPr>
              <w:pStyle w:val="TableText0"/>
              <w:keepLines/>
              <w:jc w:val="center"/>
              <w:rPr>
                <w:iCs/>
              </w:rPr>
            </w:pPr>
            <w:r w:rsidRPr="000C48F9">
              <w:rPr>
                <w:iCs/>
                <w:szCs w:val="20"/>
              </w:rPr>
              <w:t>-21.6 (1.3)</w:t>
            </w:r>
          </w:p>
        </w:tc>
        <w:tc>
          <w:tcPr>
            <w:tcW w:w="396" w:type="pct"/>
            <w:shd w:val="clear" w:color="auto" w:fill="auto"/>
            <w:tcMar>
              <w:left w:w="11" w:type="dxa"/>
              <w:right w:w="11" w:type="dxa"/>
            </w:tcMar>
            <w:vAlign w:val="center"/>
          </w:tcPr>
          <w:p w14:paraId="091EAA48" w14:textId="53B44A94" w:rsidR="003B6E05" w:rsidRPr="000C48F9" w:rsidRDefault="003B6E05" w:rsidP="003E016D">
            <w:pPr>
              <w:pStyle w:val="TableText0"/>
              <w:keepLines/>
              <w:jc w:val="center"/>
              <w:rPr>
                <w:iCs/>
              </w:rPr>
            </w:pPr>
            <w:r w:rsidRPr="000C48F9">
              <w:rPr>
                <w:iCs/>
                <w:szCs w:val="20"/>
              </w:rPr>
              <w:t>101/</w:t>
            </w:r>
            <w:r w:rsidR="000458B2">
              <w:rPr>
                <w:iCs/>
                <w:szCs w:val="20"/>
              </w:rPr>
              <w:t>204</w:t>
            </w:r>
          </w:p>
        </w:tc>
        <w:tc>
          <w:tcPr>
            <w:tcW w:w="486" w:type="pct"/>
            <w:shd w:val="clear" w:color="auto" w:fill="auto"/>
            <w:tcMar>
              <w:left w:w="11" w:type="dxa"/>
              <w:right w:w="11" w:type="dxa"/>
            </w:tcMar>
            <w:vAlign w:val="center"/>
          </w:tcPr>
          <w:p w14:paraId="787742ED" w14:textId="77777777" w:rsidR="003B6E05" w:rsidRPr="000C48F9" w:rsidRDefault="003B6E05" w:rsidP="003E016D">
            <w:pPr>
              <w:pStyle w:val="TableText0"/>
              <w:keepLines/>
              <w:jc w:val="center"/>
              <w:rPr>
                <w:iCs/>
              </w:rPr>
            </w:pPr>
            <w:r w:rsidRPr="000C48F9">
              <w:rPr>
                <w:iCs/>
                <w:szCs w:val="20"/>
              </w:rPr>
              <w:t>103.4 (9.8)</w:t>
            </w:r>
          </w:p>
        </w:tc>
        <w:tc>
          <w:tcPr>
            <w:tcW w:w="567" w:type="pct"/>
            <w:shd w:val="clear" w:color="auto" w:fill="auto"/>
            <w:tcMar>
              <w:left w:w="11" w:type="dxa"/>
              <w:right w:w="11" w:type="dxa"/>
            </w:tcMar>
            <w:vAlign w:val="center"/>
          </w:tcPr>
          <w:p w14:paraId="124F75D6" w14:textId="77777777" w:rsidR="003B6E05" w:rsidRPr="000C48F9" w:rsidRDefault="003B6E05" w:rsidP="003E016D">
            <w:pPr>
              <w:pStyle w:val="TableText0"/>
              <w:keepLines/>
              <w:jc w:val="center"/>
              <w:rPr>
                <w:iCs/>
              </w:rPr>
            </w:pPr>
            <w:r w:rsidRPr="000C48F9">
              <w:rPr>
                <w:iCs/>
                <w:szCs w:val="20"/>
              </w:rPr>
              <w:t>3.2 (1.3)</w:t>
            </w:r>
          </w:p>
        </w:tc>
        <w:tc>
          <w:tcPr>
            <w:tcW w:w="568" w:type="pct"/>
            <w:gridSpan w:val="2"/>
            <w:shd w:val="clear" w:color="auto" w:fill="auto"/>
            <w:tcMar>
              <w:left w:w="11" w:type="dxa"/>
              <w:right w:w="11" w:type="dxa"/>
            </w:tcMar>
            <w:vAlign w:val="center"/>
          </w:tcPr>
          <w:p w14:paraId="0D685069" w14:textId="77777777" w:rsidR="003B6E05" w:rsidRPr="000C48F9" w:rsidRDefault="003B6E05" w:rsidP="003E016D">
            <w:pPr>
              <w:pStyle w:val="TableText0"/>
              <w:keepLines/>
              <w:jc w:val="center"/>
              <w:rPr>
                <w:b/>
                <w:bCs w:val="0"/>
                <w:iCs/>
              </w:rPr>
            </w:pPr>
            <w:r w:rsidRPr="000C48F9">
              <w:rPr>
                <w:b/>
                <w:iCs/>
                <w:szCs w:val="20"/>
              </w:rPr>
              <w:t>-24.9 (</w:t>
            </w:r>
            <w:r w:rsidRPr="000C48F9">
              <w:rPr>
                <w:b/>
                <w:iCs/>
                <w:szCs w:val="20"/>
              </w:rPr>
              <w:noBreakHyphen/>
              <w:t xml:space="preserve">28.3, </w:t>
            </w:r>
            <w:r w:rsidRPr="000C48F9">
              <w:rPr>
                <w:b/>
                <w:iCs/>
                <w:szCs w:val="20"/>
              </w:rPr>
              <w:noBreakHyphen/>
              <w:t>21.4)</w:t>
            </w:r>
          </w:p>
        </w:tc>
      </w:tr>
      <w:tr w:rsidR="003B6E05" w:rsidRPr="000C48F9" w14:paraId="50C4F658" w14:textId="77777777" w:rsidTr="00174268">
        <w:trPr>
          <w:trHeight w:val="18"/>
        </w:trPr>
        <w:tc>
          <w:tcPr>
            <w:tcW w:w="5000" w:type="pct"/>
            <w:gridSpan w:val="11"/>
            <w:tcMar>
              <w:left w:w="11" w:type="dxa"/>
              <w:right w:w="11" w:type="dxa"/>
            </w:tcMar>
            <w:vAlign w:val="center"/>
          </w:tcPr>
          <w:p w14:paraId="69BB47F8" w14:textId="77777777" w:rsidR="003B6E05" w:rsidRPr="000C48F9" w:rsidRDefault="003B6E05" w:rsidP="003E016D">
            <w:pPr>
              <w:pStyle w:val="TableText0"/>
              <w:keepLines/>
              <w:rPr>
                <w:b/>
                <w:bCs w:val="0"/>
              </w:rPr>
            </w:pPr>
            <w:r w:rsidRPr="000C48F9">
              <w:rPr>
                <w:b/>
              </w:rPr>
              <w:t>Non-randomised trial</w:t>
            </w:r>
          </w:p>
        </w:tc>
      </w:tr>
      <w:tr w:rsidR="003B6E05" w:rsidRPr="000C48F9" w14:paraId="65C81DDA" w14:textId="77777777" w:rsidTr="00174268">
        <w:trPr>
          <w:trHeight w:val="18"/>
        </w:trPr>
        <w:tc>
          <w:tcPr>
            <w:tcW w:w="540" w:type="pct"/>
            <w:vMerge w:val="restart"/>
            <w:tcMar>
              <w:left w:w="11" w:type="dxa"/>
              <w:right w:w="11" w:type="dxa"/>
            </w:tcMar>
            <w:vAlign w:val="center"/>
          </w:tcPr>
          <w:p w14:paraId="2F2B7479" w14:textId="77777777" w:rsidR="003B6E05" w:rsidRPr="000C48F9" w:rsidRDefault="003B6E05" w:rsidP="003E016D">
            <w:pPr>
              <w:pStyle w:val="TableText0"/>
              <w:keepLines/>
            </w:pPr>
            <w:r w:rsidRPr="000C48F9">
              <w:t>Study 106</w:t>
            </w:r>
          </w:p>
        </w:tc>
        <w:tc>
          <w:tcPr>
            <w:tcW w:w="265" w:type="pct"/>
            <w:tcMar>
              <w:left w:w="11" w:type="dxa"/>
              <w:right w:w="11" w:type="dxa"/>
            </w:tcMar>
            <w:vAlign w:val="center"/>
          </w:tcPr>
          <w:p w14:paraId="31200C04" w14:textId="77777777" w:rsidR="003B6E05" w:rsidRPr="000C48F9" w:rsidRDefault="003B6E05" w:rsidP="003E016D">
            <w:pPr>
              <w:pStyle w:val="TableText0"/>
              <w:keepLines/>
            </w:pPr>
            <w:r w:rsidRPr="000C48F9">
              <w:t>F/MF</w:t>
            </w:r>
          </w:p>
        </w:tc>
        <w:tc>
          <w:tcPr>
            <w:tcW w:w="565" w:type="pct"/>
            <w:vMerge w:val="restart"/>
            <w:vAlign w:val="center"/>
          </w:tcPr>
          <w:p w14:paraId="3579C8ED" w14:textId="77777777" w:rsidR="003B6E05" w:rsidRPr="000C48F9" w:rsidRDefault="003B6E05" w:rsidP="003E016D">
            <w:pPr>
              <w:pStyle w:val="TableText0"/>
              <w:keepLines/>
            </w:pPr>
            <w:r w:rsidRPr="000C48F9">
              <w:t>ELX/TEZ/IVA</w:t>
            </w:r>
          </w:p>
        </w:tc>
        <w:tc>
          <w:tcPr>
            <w:tcW w:w="403" w:type="pct"/>
            <w:tcMar>
              <w:left w:w="11" w:type="dxa"/>
              <w:right w:w="11" w:type="dxa"/>
            </w:tcMar>
            <w:vAlign w:val="center"/>
          </w:tcPr>
          <w:p w14:paraId="1C1DECEA" w14:textId="77777777" w:rsidR="003B6E05" w:rsidRPr="000C48F9" w:rsidRDefault="003B6E05" w:rsidP="003E016D">
            <w:pPr>
              <w:pStyle w:val="TableText0"/>
              <w:keepLines/>
              <w:jc w:val="center"/>
            </w:pPr>
            <w:r w:rsidRPr="000C48F9">
              <w:t>34/37</w:t>
            </w:r>
          </w:p>
        </w:tc>
        <w:tc>
          <w:tcPr>
            <w:tcW w:w="637" w:type="pct"/>
            <w:tcMar>
              <w:left w:w="11" w:type="dxa"/>
              <w:right w:w="11" w:type="dxa"/>
            </w:tcMar>
            <w:vAlign w:val="center"/>
          </w:tcPr>
          <w:p w14:paraId="4316850E" w14:textId="77777777" w:rsidR="003B6E05" w:rsidRPr="000C48F9" w:rsidRDefault="003B6E05" w:rsidP="003E016D">
            <w:pPr>
              <w:pStyle w:val="TableText0"/>
              <w:keepLines/>
              <w:jc w:val="center"/>
            </w:pPr>
            <w:r w:rsidRPr="000C48F9">
              <w:rPr>
                <w:rFonts w:cstheme="minorHAnsi"/>
                <w:i/>
                <w:szCs w:val="20"/>
              </w:rPr>
              <w:t>104.4 (7.2)</w:t>
            </w:r>
          </w:p>
        </w:tc>
        <w:tc>
          <w:tcPr>
            <w:tcW w:w="570" w:type="pct"/>
            <w:tcMar>
              <w:left w:w="11" w:type="dxa"/>
              <w:right w:w="11" w:type="dxa"/>
            </w:tcMar>
            <w:vAlign w:val="center"/>
          </w:tcPr>
          <w:p w14:paraId="51FB3ED4" w14:textId="77777777" w:rsidR="003B6E05" w:rsidRPr="000C48F9" w:rsidRDefault="003B6E05" w:rsidP="003E016D">
            <w:pPr>
              <w:pStyle w:val="TableText0"/>
              <w:keepLines/>
              <w:jc w:val="center"/>
            </w:pPr>
            <w:r w:rsidRPr="000C48F9">
              <w:t>NR</w:t>
            </w:r>
          </w:p>
        </w:tc>
        <w:tc>
          <w:tcPr>
            <w:tcW w:w="396" w:type="pct"/>
            <w:tcMar>
              <w:left w:w="11" w:type="dxa"/>
              <w:right w:w="11" w:type="dxa"/>
            </w:tcMar>
            <w:vAlign w:val="center"/>
          </w:tcPr>
          <w:p w14:paraId="2EA63591" w14:textId="77777777" w:rsidR="003B6E05" w:rsidRPr="000C48F9" w:rsidRDefault="003B6E05" w:rsidP="003E016D">
            <w:pPr>
              <w:pStyle w:val="TableText0"/>
              <w:keepLines/>
              <w:jc w:val="center"/>
            </w:pPr>
            <w:r w:rsidRPr="000C48F9">
              <w:t>NA</w:t>
            </w:r>
          </w:p>
        </w:tc>
        <w:tc>
          <w:tcPr>
            <w:tcW w:w="486" w:type="pct"/>
            <w:tcMar>
              <w:left w:w="11" w:type="dxa"/>
              <w:right w:w="11" w:type="dxa"/>
            </w:tcMar>
            <w:vAlign w:val="center"/>
          </w:tcPr>
          <w:p w14:paraId="3961BA64" w14:textId="77777777" w:rsidR="003B6E05" w:rsidRPr="000C48F9" w:rsidRDefault="003B6E05" w:rsidP="003E016D">
            <w:pPr>
              <w:pStyle w:val="TableText0"/>
              <w:keepLines/>
              <w:jc w:val="center"/>
            </w:pPr>
            <w:r w:rsidRPr="000C48F9">
              <w:t>NA</w:t>
            </w:r>
          </w:p>
        </w:tc>
        <w:tc>
          <w:tcPr>
            <w:tcW w:w="567" w:type="pct"/>
            <w:tcMar>
              <w:left w:w="11" w:type="dxa"/>
              <w:right w:w="11" w:type="dxa"/>
            </w:tcMar>
            <w:vAlign w:val="center"/>
          </w:tcPr>
          <w:p w14:paraId="75386970" w14:textId="738F036F" w:rsidR="003B6E05" w:rsidRPr="000C48F9" w:rsidRDefault="003B6E05" w:rsidP="003E016D">
            <w:pPr>
              <w:pStyle w:val="TableText0"/>
              <w:keepLines/>
              <w:jc w:val="center"/>
            </w:pPr>
            <w:r w:rsidRPr="000C48F9">
              <w:t>NA</w:t>
            </w:r>
          </w:p>
        </w:tc>
        <w:tc>
          <w:tcPr>
            <w:tcW w:w="568" w:type="pct"/>
            <w:gridSpan w:val="2"/>
            <w:tcMar>
              <w:left w:w="11" w:type="dxa"/>
              <w:right w:w="11" w:type="dxa"/>
            </w:tcMar>
            <w:vAlign w:val="center"/>
          </w:tcPr>
          <w:p w14:paraId="1031E919" w14:textId="77777777" w:rsidR="003B6E05" w:rsidRPr="000C48F9" w:rsidRDefault="003B6E05" w:rsidP="003E016D">
            <w:pPr>
              <w:pStyle w:val="TableText0"/>
              <w:keepLines/>
              <w:jc w:val="center"/>
              <w:rPr>
                <w:b/>
                <w:bCs w:val="0"/>
              </w:rPr>
            </w:pPr>
            <w:r w:rsidRPr="000C48F9">
              <w:rPr>
                <w:b/>
                <w:bCs w:val="0"/>
              </w:rPr>
              <w:t>-55.1 (</w:t>
            </w:r>
            <w:r w:rsidRPr="000C48F9">
              <w:rPr>
                <w:b/>
                <w:bCs w:val="0"/>
              </w:rPr>
              <w:noBreakHyphen/>
              <w:t xml:space="preserve">59.0, </w:t>
            </w:r>
            <w:r w:rsidRPr="000C48F9">
              <w:rPr>
                <w:b/>
                <w:bCs w:val="0"/>
              </w:rPr>
              <w:noBreakHyphen/>
              <w:t>51.2)</w:t>
            </w:r>
          </w:p>
        </w:tc>
      </w:tr>
      <w:tr w:rsidR="003B6E05" w:rsidRPr="000C48F9" w14:paraId="61CE96BE" w14:textId="77777777" w:rsidTr="00174268">
        <w:trPr>
          <w:trHeight w:val="18"/>
        </w:trPr>
        <w:tc>
          <w:tcPr>
            <w:tcW w:w="540" w:type="pct"/>
            <w:vMerge/>
            <w:tcMar>
              <w:left w:w="11" w:type="dxa"/>
              <w:right w:w="11" w:type="dxa"/>
            </w:tcMar>
            <w:vAlign w:val="center"/>
          </w:tcPr>
          <w:p w14:paraId="492E0FC2" w14:textId="77777777" w:rsidR="003B6E05" w:rsidRPr="000C48F9" w:rsidRDefault="003B6E05" w:rsidP="003E016D">
            <w:pPr>
              <w:pStyle w:val="TableText0"/>
              <w:keepLines/>
            </w:pPr>
          </w:p>
        </w:tc>
        <w:tc>
          <w:tcPr>
            <w:tcW w:w="265" w:type="pct"/>
            <w:tcMar>
              <w:left w:w="11" w:type="dxa"/>
              <w:right w:w="11" w:type="dxa"/>
            </w:tcMar>
            <w:vAlign w:val="center"/>
          </w:tcPr>
          <w:p w14:paraId="071F5DF8" w14:textId="77777777" w:rsidR="003B6E05" w:rsidRPr="000C48F9" w:rsidRDefault="003B6E05" w:rsidP="003E016D">
            <w:pPr>
              <w:pStyle w:val="TableText0"/>
              <w:keepLines/>
            </w:pPr>
            <w:r w:rsidRPr="000C48F9">
              <w:t>F/F</w:t>
            </w:r>
          </w:p>
        </w:tc>
        <w:tc>
          <w:tcPr>
            <w:tcW w:w="565" w:type="pct"/>
            <w:vMerge/>
            <w:vAlign w:val="center"/>
          </w:tcPr>
          <w:p w14:paraId="5964BA6D" w14:textId="77777777" w:rsidR="003B6E05" w:rsidRPr="000C48F9" w:rsidRDefault="003B6E05" w:rsidP="003E016D">
            <w:pPr>
              <w:pStyle w:val="TableText0"/>
              <w:keepLines/>
            </w:pPr>
          </w:p>
        </w:tc>
        <w:tc>
          <w:tcPr>
            <w:tcW w:w="403" w:type="pct"/>
            <w:tcMar>
              <w:left w:w="11" w:type="dxa"/>
              <w:right w:w="11" w:type="dxa"/>
            </w:tcMar>
            <w:vAlign w:val="center"/>
          </w:tcPr>
          <w:p w14:paraId="0850BE71" w14:textId="77777777" w:rsidR="003B6E05" w:rsidRPr="000C48F9" w:rsidRDefault="003B6E05" w:rsidP="003E016D">
            <w:pPr>
              <w:pStyle w:val="TableText0"/>
              <w:keepLines/>
              <w:jc w:val="center"/>
            </w:pPr>
            <w:r w:rsidRPr="000C48F9">
              <w:t>26/29</w:t>
            </w:r>
          </w:p>
        </w:tc>
        <w:tc>
          <w:tcPr>
            <w:tcW w:w="637" w:type="pct"/>
            <w:tcMar>
              <w:left w:w="11" w:type="dxa"/>
              <w:right w:w="11" w:type="dxa"/>
            </w:tcMar>
            <w:vAlign w:val="center"/>
          </w:tcPr>
          <w:p w14:paraId="1CA6BC89" w14:textId="77777777" w:rsidR="003B6E05" w:rsidRPr="000C48F9" w:rsidRDefault="003B6E05" w:rsidP="003E016D">
            <w:pPr>
              <w:pStyle w:val="TableText0"/>
              <w:keepLines/>
              <w:jc w:val="center"/>
            </w:pPr>
            <w:r w:rsidRPr="000C48F9">
              <w:rPr>
                <w:rFonts w:cstheme="minorHAnsi"/>
                <w:i/>
                <w:szCs w:val="20"/>
              </w:rPr>
              <w:t>99.3 (10.8)</w:t>
            </w:r>
          </w:p>
        </w:tc>
        <w:tc>
          <w:tcPr>
            <w:tcW w:w="570" w:type="pct"/>
            <w:tcMar>
              <w:left w:w="11" w:type="dxa"/>
              <w:right w:w="11" w:type="dxa"/>
            </w:tcMar>
            <w:vAlign w:val="center"/>
          </w:tcPr>
          <w:p w14:paraId="439B922F" w14:textId="77777777" w:rsidR="003B6E05" w:rsidRPr="000C48F9" w:rsidRDefault="003B6E05" w:rsidP="003E016D">
            <w:pPr>
              <w:pStyle w:val="TableText0"/>
              <w:keepLines/>
              <w:jc w:val="center"/>
            </w:pPr>
            <w:r w:rsidRPr="000C48F9">
              <w:t>NR</w:t>
            </w:r>
          </w:p>
        </w:tc>
        <w:tc>
          <w:tcPr>
            <w:tcW w:w="396" w:type="pct"/>
            <w:tcMar>
              <w:left w:w="11" w:type="dxa"/>
              <w:right w:w="11" w:type="dxa"/>
            </w:tcMar>
            <w:vAlign w:val="center"/>
          </w:tcPr>
          <w:p w14:paraId="4243FAAD" w14:textId="77777777" w:rsidR="003B6E05" w:rsidRPr="000C48F9" w:rsidRDefault="003B6E05" w:rsidP="003E016D">
            <w:pPr>
              <w:pStyle w:val="TableText0"/>
              <w:keepLines/>
              <w:jc w:val="center"/>
            </w:pPr>
            <w:r w:rsidRPr="000C48F9">
              <w:t>NA</w:t>
            </w:r>
          </w:p>
        </w:tc>
        <w:tc>
          <w:tcPr>
            <w:tcW w:w="486" w:type="pct"/>
            <w:tcMar>
              <w:left w:w="11" w:type="dxa"/>
              <w:right w:w="11" w:type="dxa"/>
            </w:tcMar>
            <w:vAlign w:val="center"/>
          </w:tcPr>
          <w:p w14:paraId="44F4A460" w14:textId="77777777" w:rsidR="003B6E05" w:rsidRPr="000C48F9" w:rsidRDefault="003B6E05" w:rsidP="003E016D">
            <w:pPr>
              <w:pStyle w:val="TableText0"/>
              <w:keepLines/>
              <w:jc w:val="center"/>
            </w:pPr>
            <w:r w:rsidRPr="000C48F9">
              <w:t>NA</w:t>
            </w:r>
          </w:p>
        </w:tc>
        <w:tc>
          <w:tcPr>
            <w:tcW w:w="567" w:type="pct"/>
            <w:tcMar>
              <w:left w:w="11" w:type="dxa"/>
              <w:right w:w="11" w:type="dxa"/>
            </w:tcMar>
            <w:vAlign w:val="center"/>
          </w:tcPr>
          <w:p w14:paraId="7852D56E" w14:textId="5083B328" w:rsidR="003B6E05" w:rsidRPr="000C48F9" w:rsidRDefault="003B6E05" w:rsidP="003E016D">
            <w:pPr>
              <w:pStyle w:val="TableText0"/>
              <w:keepLines/>
              <w:jc w:val="center"/>
            </w:pPr>
            <w:r w:rsidRPr="000C48F9">
              <w:t>NA</w:t>
            </w:r>
          </w:p>
        </w:tc>
        <w:tc>
          <w:tcPr>
            <w:tcW w:w="568" w:type="pct"/>
            <w:gridSpan w:val="2"/>
            <w:tcMar>
              <w:left w:w="11" w:type="dxa"/>
              <w:right w:w="11" w:type="dxa"/>
            </w:tcMar>
            <w:vAlign w:val="center"/>
          </w:tcPr>
          <w:p w14:paraId="1CD2E602" w14:textId="77777777" w:rsidR="003B6E05" w:rsidRPr="000C48F9" w:rsidRDefault="003B6E05" w:rsidP="003E016D">
            <w:pPr>
              <w:pStyle w:val="TableText0"/>
              <w:keepLines/>
              <w:jc w:val="center"/>
              <w:rPr>
                <w:b/>
                <w:bCs w:val="0"/>
              </w:rPr>
            </w:pPr>
            <w:r w:rsidRPr="000C48F9">
              <w:rPr>
                <w:b/>
                <w:bCs w:val="0"/>
              </w:rPr>
              <w:t>-70.4 (</w:t>
            </w:r>
            <w:r w:rsidRPr="000C48F9">
              <w:rPr>
                <w:b/>
                <w:bCs w:val="0"/>
              </w:rPr>
              <w:noBreakHyphen/>
              <w:t xml:space="preserve">75.6, </w:t>
            </w:r>
            <w:r w:rsidRPr="000C48F9">
              <w:rPr>
                <w:b/>
                <w:bCs w:val="0"/>
              </w:rPr>
              <w:noBreakHyphen/>
              <w:t>65.3)</w:t>
            </w:r>
          </w:p>
        </w:tc>
      </w:tr>
    </w:tbl>
    <w:p w14:paraId="648F5A8C" w14:textId="1FB1166D" w:rsidR="000458B2" w:rsidRDefault="003B6E05" w:rsidP="003E016D">
      <w:pPr>
        <w:pStyle w:val="TableFigureFooter"/>
        <w:keepNext/>
        <w:keepLines/>
        <w:jc w:val="left"/>
        <w:rPr>
          <w:szCs w:val="18"/>
        </w:rPr>
      </w:pPr>
      <w:r w:rsidRPr="000C48F9">
        <w:rPr>
          <w:szCs w:val="18"/>
        </w:rPr>
        <w:t>Source: Table 2.5.</w:t>
      </w:r>
      <w:r w:rsidR="000458B2">
        <w:rPr>
          <w:szCs w:val="18"/>
        </w:rPr>
        <w:t>2</w:t>
      </w:r>
      <w:r w:rsidRPr="000C48F9">
        <w:rPr>
          <w:szCs w:val="18"/>
        </w:rPr>
        <w:t xml:space="preserve"> p8</w:t>
      </w:r>
      <w:r w:rsidR="000458B2">
        <w:rPr>
          <w:szCs w:val="18"/>
        </w:rPr>
        <w:t>3</w:t>
      </w:r>
      <w:r w:rsidRPr="000C48F9">
        <w:rPr>
          <w:szCs w:val="18"/>
        </w:rPr>
        <w:t xml:space="preserve">; Table 2.5.5 p87 of the submission; </w:t>
      </w:r>
      <w:r w:rsidRPr="000C48F9">
        <w:t>Table 14.2.2.7b p307 Study 106 CSR; Table 6 p10, LUM/IVA PSD; Table 2.5.3 of the LUM/IVA Commentary, July 2018</w:t>
      </w:r>
      <w:r w:rsidRPr="000C48F9">
        <w:rPr>
          <w:szCs w:val="18"/>
        </w:rPr>
        <w:t xml:space="preserve">: </w:t>
      </w:r>
    </w:p>
    <w:p w14:paraId="69DFB452" w14:textId="4EFD8145" w:rsidR="003B6E05" w:rsidRPr="000C48F9" w:rsidRDefault="003B6E05" w:rsidP="003E016D">
      <w:pPr>
        <w:pStyle w:val="TableFigureFooter"/>
        <w:keepNext/>
        <w:keepLines/>
        <w:jc w:val="left"/>
        <w:rPr>
          <w:szCs w:val="18"/>
        </w:rPr>
      </w:pPr>
      <w:r w:rsidRPr="000C48F9">
        <w:rPr>
          <w:szCs w:val="18"/>
        </w:rPr>
        <w:t xml:space="preserve">CI = confidence interval; </w:t>
      </w:r>
      <w:r w:rsidR="000458B2" w:rsidRPr="00D871EC">
        <w:rPr>
          <w:szCs w:val="18"/>
        </w:rPr>
        <w:t>ELX/TEZ/IVA=elexacaftor/tezacaftor/ivacaftor</w:t>
      </w:r>
      <w:r w:rsidR="000458B2">
        <w:rPr>
          <w:szCs w:val="18"/>
        </w:rPr>
        <w:t xml:space="preserve">; </w:t>
      </w:r>
      <w:r w:rsidRPr="000C48F9">
        <w:rPr>
          <w:szCs w:val="18"/>
        </w:rPr>
        <w:t>F/F = CF patient homozygous for the F508del-CFTR mutation; F/MF = CF patient heterozygous for the F508del in the CFTR gene with a minimal function mutation;</w:t>
      </w:r>
      <w:r w:rsidR="000458B2" w:rsidRPr="000458B2">
        <w:rPr>
          <w:szCs w:val="18"/>
        </w:rPr>
        <w:t xml:space="preserve"> </w:t>
      </w:r>
      <w:r w:rsidR="000458B2" w:rsidRPr="00D871EC">
        <w:rPr>
          <w:szCs w:val="18"/>
        </w:rPr>
        <w:t>LSM= least square measure; LUM/IVA= lumacaftor/ivacaftor</w:t>
      </w:r>
      <w:r w:rsidR="000458B2">
        <w:rPr>
          <w:szCs w:val="18"/>
        </w:rPr>
        <w:t>;</w:t>
      </w:r>
      <w:r w:rsidRPr="000C48F9">
        <w:rPr>
          <w:szCs w:val="18"/>
        </w:rPr>
        <w:t xml:space="preserve"> n = number of patients with event; N = total patients in group; NR = not reported; SD = standard deviation; SE = standard error; w = week; Sub = subpopulation</w:t>
      </w:r>
    </w:p>
    <w:p w14:paraId="4615A467" w14:textId="1EB1E933" w:rsidR="003B6E05" w:rsidRPr="000C48F9" w:rsidRDefault="00255CC8" w:rsidP="003E016D">
      <w:pPr>
        <w:pStyle w:val="TableFigureFooter"/>
        <w:keepNext/>
        <w:keepLines/>
        <w:jc w:val="left"/>
        <w:rPr>
          <w:sz w:val="20"/>
        </w:rPr>
      </w:pPr>
      <w:r w:rsidRPr="000C48F9">
        <w:rPr>
          <w:szCs w:val="18"/>
        </w:rPr>
        <w:t xml:space="preserve">Notes: </w:t>
      </w:r>
      <w:r w:rsidR="003B6E05" w:rsidRPr="000C48F9">
        <w:rPr>
          <w:szCs w:val="18"/>
        </w:rPr>
        <w:t>Bold indicates statistically significant difference</w:t>
      </w:r>
    </w:p>
    <w:p w14:paraId="4F5CDDD6" w14:textId="05ADBB15" w:rsidR="003B6E05" w:rsidRPr="000C48F9" w:rsidRDefault="003B6E05" w:rsidP="005A0287">
      <w:pPr>
        <w:pStyle w:val="3-BodyText"/>
        <w:spacing w:before="240"/>
      </w:pPr>
      <w:r w:rsidRPr="000C48F9">
        <w:t xml:space="preserve">Only Study 106 reported the improvement in body mass index (BMI) outcomes for ELX/TEZ/IVA. </w:t>
      </w:r>
      <w:r w:rsidR="00D009B2" w:rsidRPr="000C48F9">
        <w:t>There was</w:t>
      </w:r>
      <w:r w:rsidRPr="000C48F9">
        <w:t xml:space="preserve"> a statistically significant improvement in the absolute change in BMI from baseline of 1.0</w:t>
      </w:r>
      <w:r w:rsidR="000F6DD0" w:rsidRPr="000C48F9">
        <w:t>2</w:t>
      </w:r>
      <w:r w:rsidRPr="000C48F9">
        <w:t xml:space="preserve"> </w:t>
      </w:r>
      <w:r w:rsidR="000F6DD0" w:rsidRPr="000C48F9">
        <w:t>kg/m</w:t>
      </w:r>
      <w:r w:rsidR="000F6DD0" w:rsidRPr="000C48F9">
        <w:rPr>
          <w:vertAlign w:val="superscript"/>
        </w:rPr>
        <w:t>2</w:t>
      </w:r>
      <w:r w:rsidR="000F6DD0" w:rsidRPr="000C48F9">
        <w:t xml:space="preserve"> </w:t>
      </w:r>
      <w:r w:rsidRPr="000C48F9">
        <w:t>(95% CI: 0.76, 1.28; P&lt;0.0001) through Week 24</w:t>
      </w:r>
      <w:r w:rsidR="00D009B2" w:rsidRPr="000C48F9">
        <w:t>,</w:t>
      </w:r>
      <w:r w:rsidRPr="000C48F9">
        <w:t xml:space="preserve"> and</w:t>
      </w:r>
      <w:r w:rsidR="00D009B2" w:rsidRPr="000C48F9">
        <w:t xml:space="preserve"> a</w:t>
      </w:r>
      <w:r w:rsidRPr="000C48F9">
        <w:t xml:space="preserve"> further improve</w:t>
      </w:r>
      <w:r w:rsidR="00D009B2" w:rsidRPr="000C48F9">
        <w:t>ment</w:t>
      </w:r>
      <w:r w:rsidRPr="000C48F9">
        <w:t xml:space="preserve"> over </w:t>
      </w:r>
      <w:r w:rsidR="000F6DD0" w:rsidRPr="000C48F9">
        <w:t xml:space="preserve">an additional 24 </w:t>
      </w:r>
      <w:r w:rsidRPr="000C48F9">
        <w:t>weeks</w:t>
      </w:r>
      <w:r w:rsidR="00D009B2" w:rsidRPr="000C48F9">
        <w:t xml:space="preserve"> </w:t>
      </w:r>
      <w:r w:rsidR="000F6DD0" w:rsidRPr="000C48F9">
        <w:t xml:space="preserve">of </w:t>
      </w:r>
      <w:r w:rsidR="00D009B2" w:rsidRPr="000C48F9">
        <w:t>follow-up</w:t>
      </w:r>
      <w:r w:rsidRPr="000C48F9">
        <w:t xml:space="preserve"> in Study 107 (1.27</w:t>
      </w:r>
      <w:r w:rsidR="000F6DD0" w:rsidRPr="000C48F9">
        <w:t xml:space="preserve"> kg/m</w:t>
      </w:r>
      <w:r w:rsidR="000F6DD0" w:rsidRPr="000C48F9">
        <w:rPr>
          <w:vertAlign w:val="superscript"/>
        </w:rPr>
        <w:t>2</w:t>
      </w:r>
      <w:r w:rsidR="009C075E" w:rsidRPr="000C48F9">
        <w:t xml:space="preserve">; </w:t>
      </w:r>
      <w:r w:rsidRPr="000C48F9">
        <w:t>95% CI 0.96, 1.57). The PBAC previously noted that changes in BMI beyond 24 weeks may indicate clinical effectiveness (para 7.6, LUM/IVA PSD, July 2017). However, the improvement in BMI in Study 106 should be interpreted with caution due to substantial reporting bias</w:t>
      </w:r>
      <w:r w:rsidR="00D26D38" w:rsidRPr="000C48F9">
        <w:t xml:space="preserve"> beyond Week 12</w:t>
      </w:r>
      <w:r w:rsidRPr="000C48F9">
        <w:t xml:space="preserve"> caused by the COVID-19 pandemic. </w:t>
      </w:r>
    </w:p>
    <w:p w14:paraId="55F28A11" w14:textId="4C96D9EF" w:rsidR="003B6E05" w:rsidRPr="000C48F9" w:rsidRDefault="003B6E05" w:rsidP="00270FA2">
      <w:pPr>
        <w:pStyle w:val="3-BodyText"/>
        <w:spacing w:before="240"/>
        <w:rPr>
          <w:i/>
          <w:iCs/>
          <w:u w:val="single"/>
        </w:rPr>
      </w:pPr>
      <w:r w:rsidRPr="000C48F9">
        <w:t xml:space="preserve">Only Study 106 reported pulmonary exacerbations (PEx) as an efficacy outcome. </w:t>
      </w:r>
      <w:r w:rsidR="00303CD4" w:rsidRPr="000C48F9">
        <w:t xml:space="preserve">The rate of PEx with </w:t>
      </w:r>
      <w:r w:rsidRPr="000C48F9">
        <w:t xml:space="preserve">ELX/TEZ/IVA </w:t>
      </w:r>
      <w:r w:rsidR="00303CD4" w:rsidRPr="000C48F9">
        <w:t>was</w:t>
      </w:r>
      <w:r w:rsidRPr="000C48F9">
        <w:t xml:space="preserve"> 0.12 per year through Week 24 in Study 106, and further decline to 0.07 </w:t>
      </w:r>
      <w:r w:rsidR="00715178" w:rsidRPr="000C48F9">
        <w:t xml:space="preserve">per year </w:t>
      </w:r>
      <w:r w:rsidRPr="000C48F9">
        <w:t xml:space="preserve">after </w:t>
      </w:r>
      <w:r w:rsidR="00715178" w:rsidRPr="000C48F9">
        <w:t xml:space="preserve">an </w:t>
      </w:r>
      <w:r w:rsidRPr="000C48F9">
        <w:t xml:space="preserve">additional 24 weeks follow-up in Study 107. </w:t>
      </w:r>
    </w:p>
    <w:p w14:paraId="54A7944D" w14:textId="5087FB44" w:rsidR="003B6E05" w:rsidRPr="000C48F9" w:rsidRDefault="003B6E05" w:rsidP="00B44292">
      <w:pPr>
        <w:pStyle w:val="3-BodyText"/>
        <w:rPr>
          <w:i/>
          <w:iCs/>
        </w:rPr>
      </w:pPr>
      <w:r w:rsidRPr="000C48F9">
        <w:t xml:space="preserve">The submission presented an indirect treatment comparison (ITC) using a mixed model repeated measures (MMRM) meta-analysis </w:t>
      </w:r>
      <w:r w:rsidR="003C695C" w:rsidRPr="000C48F9">
        <w:t xml:space="preserve">to support the claim that ELX/TEZ/IVA was superior in terms of efficacy compared to LUM/IVA. </w:t>
      </w:r>
      <w:r w:rsidRPr="000C48F9">
        <w:t>The results of the ITC are presented in</w:t>
      </w:r>
      <w:r w:rsidR="004E6CF1" w:rsidRPr="000C48F9">
        <w:t xml:space="preserve"> </w:t>
      </w:r>
      <w:r w:rsidR="004E6CF1" w:rsidRPr="000C48F9">
        <w:fldChar w:fldCharType="begin" w:fldLock="1"/>
      </w:r>
      <w:r w:rsidR="004E6CF1" w:rsidRPr="000C48F9">
        <w:instrText xml:space="preserve"> REF _Ref112923080 \h </w:instrText>
      </w:r>
      <w:r w:rsidR="004E6CF1" w:rsidRPr="000C48F9">
        <w:fldChar w:fldCharType="separate"/>
      </w:r>
      <w:r w:rsidR="009A1227" w:rsidRPr="000C48F9">
        <w:t xml:space="preserve">Table </w:t>
      </w:r>
      <w:r w:rsidR="009A1227">
        <w:rPr>
          <w:noProof/>
        </w:rPr>
        <w:t>9</w:t>
      </w:r>
      <w:r w:rsidR="004E6CF1" w:rsidRPr="000C48F9">
        <w:fldChar w:fldCharType="end"/>
      </w:r>
      <w:r w:rsidRPr="000C48F9">
        <w:t xml:space="preserve">. </w:t>
      </w:r>
    </w:p>
    <w:p w14:paraId="4211A9F8" w14:textId="5F75E69D" w:rsidR="003B6E05" w:rsidRPr="000C48F9" w:rsidRDefault="003B6E05" w:rsidP="003E016D">
      <w:pPr>
        <w:pStyle w:val="TableFigureHeading"/>
        <w:keepLines/>
      </w:pPr>
      <w:bookmarkStart w:id="30" w:name="_Ref112923080"/>
      <w:r w:rsidRPr="000C48F9">
        <w:t xml:space="preserve">Table </w:t>
      </w:r>
      <w:r w:rsidR="008E430C">
        <w:fldChar w:fldCharType="begin" w:fldLock="1"/>
      </w:r>
      <w:r w:rsidR="008E430C">
        <w:instrText xml:space="preserve"> SEQ Table \*</w:instrText>
      </w:r>
      <w:r w:rsidR="008E430C">
        <w:instrText xml:space="preserve"> ARABIC </w:instrText>
      </w:r>
      <w:r w:rsidR="008E430C">
        <w:fldChar w:fldCharType="separate"/>
      </w:r>
      <w:r w:rsidR="009A1227">
        <w:rPr>
          <w:noProof/>
        </w:rPr>
        <w:t>9</w:t>
      </w:r>
      <w:r w:rsidR="008E430C">
        <w:rPr>
          <w:noProof/>
        </w:rPr>
        <w:fldChar w:fldCharType="end"/>
      </w:r>
      <w:bookmarkEnd w:id="30"/>
      <w:r w:rsidRPr="000C48F9">
        <w:t>: Results of the indirect comparison for the key effectiveness outcomes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417"/>
        <w:gridCol w:w="1418"/>
        <w:gridCol w:w="1912"/>
      </w:tblGrid>
      <w:tr w:rsidR="003B6E05" w:rsidRPr="000C48F9" w14:paraId="384E0364" w14:textId="77777777" w:rsidTr="00242AF8">
        <w:trPr>
          <w:trHeight w:val="224"/>
          <w:tblHeader/>
          <w:jc w:val="center"/>
        </w:trPr>
        <w:tc>
          <w:tcPr>
            <w:tcW w:w="2547" w:type="dxa"/>
            <w:shd w:val="clear" w:color="auto" w:fill="auto"/>
          </w:tcPr>
          <w:p w14:paraId="3AB25920" w14:textId="77777777" w:rsidR="003B6E05" w:rsidRPr="000C48F9" w:rsidRDefault="003B6E05" w:rsidP="003E016D">
            <w:pPr>
              <w:pStyle w:val="Tabletext"/>
              <w:keepNext/>
              <w:keepLines/>
              <w:jc w:val="center"/>
              <w:rPr>
                <w:szCs w:val="20"/>
              </w:rPr>
            </w:pPr>
          </w:p>
        </w:tc>
        <w:tc>
          <w:tcPr>
            <w:tcW w:w="1701" w:type="dxa"/>
            <w:shd w:val="clear" w:color="auto" w:fill="auto"/>
            <w:vAlign w:val="center"/>
          </w:tcPr>
          <w:p w14:paraId="6711E5C8" w14:textId="77777777" w:rsidR="003B6E05" w:rsidRPr="000C48F9" w:rsidRDefault="003B6E05" w:rsidP="003E016D">
            <w:pPr>
              <w:pStyle w:val="In-tableHeading"/>
              <w:keepLines/>
              <w:jc w:val="center"/>
              <w:rPr>
                <w:szCs w:val="20"/>
                <w:lang w:val="en-AU"/>
              </w:rPr>
            </w:pPr>
            <w:r w:rsidRPr="000C48F9">
              <w:rPr>
                <w:szCs w:val="20"/>
                <w:lang w:val="en-AU"/>
              </w:rPr>
              <w:t>ELX/TEZ/IVA</w:t>
            </w:r>
          </w:p>
          <w:p w14:paraId="34A91C99" w14:textId="77777777" w:rsidR="003B6E05" w:rsidRPr="000C48F9" w:rsidRDefault="003B6E05" w:rsidP="003E016D">
            <w:pPr>
              <w:pStyle w:val="In-tableHeading"/>
              <w:keepLines/>
              <w:jc w:val="center"/>
              <w:rPr>
                <w:szCs w:val="20"/>
                <w:lang w:val="en-AU"/>
              </w:rPr>
            </w:pPr>
            <w:r w:rsidRPr="000C48F9">
              <w:rPr>
                <w:szCs w:val="20"/>
                <w:lang w:val="en-AU"/>
              </w:rPr>
              <w:t>N=29</w:t>
            </w:r>
          </w:p>
        </w:tc>
        <w:tc>
          <w:tcPr>
            <w:tcW w:w="1417" w:type="dxa"/>
            <w:shd w:val="clear" w:color="auto" w:fill="auto"/>
            <w:vAlign w:val="center"/>
          </w:tcPr>
          <w:p w14:paraId="56BAE57C" w14:textId="77777777" w:rsidR="003B6E05" w:rsidRPr="000C48F9" w:rsidRDefault="003B6E05" w:rsidP="003E016D">
            <w:pPr>
              <w:pStyle w:val="In-tableHeading"/>
              <w:keepLines/>
              <w:jc w:val="center"/>
              <w:rPr>
                <w:szCs w:val="20"/>
                <w:lang w:val="en-AU"/>
              </w:rPr>
            </w:pPr>
            <w:r w:rsidRPr="000C48F9">
              <w:rPr>
                <w:szCs w:val="20"/>
                <w:lang w:val="en-AU"/>
              </w:rPr>
              <w:t>PBO</w:t>
            </w:r>
          </w:p>
          <w:p w14:paraId="5B029FF6" w14:textId="77777777" w:rsidR="003B6E05" w:rsidRPr="000C48F9" w:rsidRDefault="003B6E05" w:rsidP="003E016D">
            <w:pPr>
              <w:pStyle w:val="In-tableHeading"/>
              <w:keepLines/>
              <w:jc w:val="center"/>
              <w:rPr>
                <w:szCs w:val="20"/>
                <w:lang w:val="en-AU"/>
              </w:rPr>
            </w:pPr>
            <w:r w:rsidRPr="000C48F9">
              <w:rPr>
                <w:szCs w:val="20"/>
                <w:lang w:val="en-AU"/>
              </w:rPr>
              <w:t>N=101</w:t>
            </w:r>
          </w:p>
        </w:tc>
        <w:tc>
          <w:tcPr>
            <w:tcW w:w="1418" w:type="dxa"/>
            <w:shd w:val="clear" w:color="auto" w:fill="auto"/>
            <w:vAlign w:val="center"/>
          </w:tcPr>
          <w:p w14:paraId="0EBF7903" w14:textId="77777777" w:rsidR="003B6E05" w:rsidRPr="000C48F9" w:rsidRDefault="003B6E05" w:rsidP="003E016D">
            <w:pPr>
              <w:pStyle w:val="In-tableHeading"/>
              <w:keepLines/>
              <w:jc w:val="center"/>
              <w:rPr>
                <w:szCs w:val="20"/>
                <w:lang w:val="en-AU"/>
              </w:rPr>
            </w:pPr>
            <w:r w:rsidRPr="000C48F9">
              <w:rPr>
                <w:szCs w:val="20"/>
                <w:lang w:val="en-AU"/>
              </w:rPr>
              <w:t>LUM/IVA</w:t>
            </w:r>
          </w:p>
          <w:p w14:paraId="629216FE" w14:textId="77777777" w:rsidR="003B6E05" w:rsidRPr="000C48F9" w:rsidRDefault="003B6E05" w:rsidP="003E016D">
            <w:pPr>
              <w:pStyle w:val="In-tableHeading"/>
              <w:keepLines/>
              <w:jc w:val="center"/>
              <w:rPr>
                <w:szCs w:val="20"/>
                <w:lang w:val="en-AU"/>
              </w:rPr>
            </w:pPr>
            <w:r w:rsidRPr="000C48F9">
              <w:rPr>
                <w:szCs w:val="20"/>
                <w:lang w:val="en-AU"/>
              </w:rPr>
              <w:t>N=160</w:t>
            </w:r>
          </w:p>
        </w:tc>
        <w:tc>
          <w:tcPr>
            <w:tcW w:w="1912" w:type="dxa"/>
            <w:shd w:val="clear" w:color="auto" w:fill="auto"/>
            <w:vAlign w:val="center"/>
          </w:tcPr>
          <w:p w14:paraId="1989033D" w14:textId="77777777" w:rsidR="003B6E05" w:rsidRPr="000C48F9" w:rsidRDefault="003B6E05" w:rsidP="003E016D">
            <w:pPr>
              <w:pStyle w:val="Tabletext"/>
              <w:keepNext/>
              <w:keepLines/>
              <w:jc w:val="center"/>
              <w:rPr>
                <w:b/>
                <w:szCs w:val="20"/>
              </w:rPr>
            </w:pPr>
            <w:r w:rsidRPr="000C48F9">
              <w:rPr>
                <w:b/>
                <w:szCs w:val="20"/>
              </w:rPr>
              <w:t>LSM (95% CI)</w:t>
            </w:r>
          </w:p>
        </w:tc>
      </w:tr>
      <w:tr w:rsidR="003B6E05" w:rsidRPr="000C48F9" w14:paraId="2100D592" w14:textId="77777777" w:rsidTr="005A0287">
        <w:trPr>
          <w:trHeight w:val="224"/>
          <w:jc w:val="center"/>
        </w:trPr>
        <w:tc>
          <w:tcPr>
            <w:tcW w:w="8995" w:type="dxa"/>
            <w:gridSpan w:val="5"/>
            <w:shd w:val="clear" w:color="auto" w:fill="auto"/>
            <w:vAlign w:val="center"/>
          </w:tcPr>
          <w:p w14:paraId="23E4F111" w14:textId="4EFA7300" w:rsidR="003B6E05" w:rsidRPr="000C48F9" w:rsidRDefault="003B6E05" w:rsidP="003E016D">
            <w:pPr>
              <w:pStyle w:val="TableText0"/>
              <w:keepLines/>
              <w:rPr>
                <w:szCs w:val="20"/>
              </w:rPr>
            </w:pPr>
            <w:r w:rsidRPr="000C48F9">
              <w:rPr>
                <w:b/>
                <w:szCs w:val="20"/>
              </w:rPr>
              <w:t>Absolute change (95% CI) in ppFEV</w:t>
            </w:r>
            <w:r w:rsidRPr="000C48F9">
              <w:rPr>
                <w:b/>
                <w:szCs w:val="20"/>
                <w:vertAlign w:val="subscript"/>
              </w:rPr>
              <w:t>1</w:t>
            </w:r>
            <w:r w:rsidRPr="000C48F9">
              <w:rPr>
                <w:b/>
                <w:szCs w:val="20"/>
              </w:rPr>
              <w:t xml:space="preserve"> from baseline through 24 weeks</w:t>
            </w:r>
          </w:p>
        </w:tc>
      </w:tr>
      <w:tr w:rsidR="003B6E05" w:rsidRPr="000C48F9" w14:paraId="289706F0" w14:textId="77777777" w:rsidTr="00296F37">
        <w:trPr>
          <w:trHeight w:val="141"/>
          <w:jc w:val="center"/>
        </w:trPr>
        <w:tc>
          <w:tcPr>
            <w:tcW w:w="2547" w:type="dxa"/>
            <w:shd w:val="clear" w:color="auto" w:fill="auto"/>
          </w:tcPr>
          <w:p w14:paraId="380E04F3" w14:textId="77777777" w:rsidR="003B6E05" w:rsidRPr="000C48F9" w:rsidRDefault="003B6E05" w:rsidP="003E016D">
            <w:pPr>
              <w:pStyle w:val="TableText0"/>
              <w:keepLines/>
              <w:rPr>
                <w:szCs w:val="20"/>
              </w:rPr>
            </w:pPr>
            <w:r w:rsidRPr="000C48F9">
              <w:rPr>
                <w:szCs w:val="20"/>
              </w:rPr>
              <w:t>Study 106 (F/F patients)</w:t>
            </w:r>
          </w:p>
        </w:tc>
        <w:tc>
          <w:tcPr>
            <w:tcW w:w="1701" w:type="dxa"/>
            <w:shd w:val="clear" w:color="auto" w:fill="auto"/>
            <w:vAlign w:val="center"/>
          </w:tcPr>
          <w:p w14:paraId="0CE0BFFD" w14:textId="2D87FF81" w:rsidR="003B6E05" w:rsidRPr="000C48F9" w:rsidRDefault="003B6E05" w:rsidP="003E016D">
            <w:pPr>
              <w:keepNext/>
              <w:keepLines/>
              <w:tabs>
                <w:tab w:val="left" w:pos="6750"/>
              </w:tabs>
              <w:jc w:val="center"/>
              <w:rPr>
                <w:rFonts w:ascii="Arial Narrow" w:hAnsi="Arial Narrow"/>
                <w:sz w:val="20"/>
                <w:szCs w:val="20"/>
              </w:rPr>
            </w:pPr>
            <w:r w:rsidRPr="000C48F9">
              <w:rPr>
                <w:rFonts w:ascii="Arial Narrow" w:hAnsi="Arial Narrow" w:cstheme="minorHAnsi"/>
                <w:sz w:val="20"/>
                <w:szCs w:val="20"/>
              </w:rPr>
              <w:t>11.7 (8.4, 15.1)</w:t>
            </w:r>
            <w:r w:rsidR="0003202A" w:rsidRPr="000C48F9">
              <w:rPr>
                <w:rFonts w:ascii="Arial Narrow" w:hAnsi="Arial Narrow" w:cstheme="minorHAnsi"/>
                <w:sz w:val="20"/>
                <w:szCs w:val="20"/>
                <w:vertAlign w:val="superscript"/>
              </w:rPr>
              <w:t>a</w:t>
            </w:r>
          </w:p>
        </w:tc>
        <w:tc>
          <w:tcPr>
            <w:tcW w:w="1417" w:type="dxa"/>
            <w:shd w:val="clear" w:color="auto" w:fill="auto"/>
            <w:vAlign w:val="center"/>
          </w:tcPr>
          <w:p w14:paraId="2531FAFE" w14:textId="77777777" w:rsidR="003B6E05" w:rsidRPr="000C48F9" w:rsidRDefault="003B6E05" w:rsidP="003E016D">
            <w:pPr>
              <w:pStyle w:val="TableText0"/>
              <w:keepLines/>
              <w:jc w:val="center"/>
              <w:rPr>
                <w:szCs w:val="20"/>
              </w:rPr>
            </w:pPr>
          </w:p>
        </w:tc>
        <w:tc>
          <w:tcPr>
            <w:tcW w:w="1418" w:type="dxa"/>
            <w:shd w:val="clear" w:color="auto" w:fill="auto"/>
            <w:vAlign w:val="center"/>
          </w:tcPr>
          <w:p w14:paraId="0976B0F4" w14:textId="77777777" w:rsidR="003B6E05" w:rsidRPr="000C48F9" w:rsidRDefault="003B6E05" w:rsidP="003E016D">
            <w:pPr>
              <w:pStyle w:val="TableText0"/>
              <w:keepLines/>
              <w:jc w:val="center"/>
              <w:rPr>
                <w:szCs w:val="20"/>
              </w:rPr>
            </w:pPr>
          </w:p>
        </w:tc>
        <w:tc>
          <w:tcPr>
            <w:tcW w:w="1912" w:type="dxa"/>
            <w:shd w:val="clear" w:color="auto" w:fill="auto"/>
            <w:vAlign w:val="center"/>
          </w:tcPr>
          <w:p w14:paraId="296F297A" w14:textId="77777777" w:rsidR="003B6E05" w:rsidRPr="000C48F9" w:rsidRDefault="003B6E05" w:rsidP="003E016D">
            <w:pPr>
              <w:pStyle w:val="TableText0"/>
              <w:keepLines/>
              <w:jc w:val="center"/>
              <w:rPr>
                <w:szCs w:val="20"/>
              </w:rPr>
            </w:pPr>
          </w:p>
        </w:tc>
      </w:tr>
      <w:tr w:rsidR="003B6E05" w:rsidRPr="000C48F9" w14:paraId="4B72CAC9" w14:textId="77777777" w:rsidTr="00242AF8">
        <w:trPr>
          <w:trHeight w:val="463"/>
          <w:jc w:val="center"/>
        </w:trPr>
        <w:tc>
          <w:tcPr>
            <w:tcW w:w="2547" w:type="dxa"/>
            <w:shd w:val="clear" w:color="auto" w:fill="auto"/>
          </w:tcPr>
          <w:p w14:paraId="44F1E1F4" w14:textId="77777777" w:rsidR="003B6E05" w:rsidRPr="000C48F9" w:rsidRDefault="003B6E05" w:rsidP="003E016D">
            <w:pPr>
              <w:pStyle w:val="TableText0"/>
              <w:keepLines/>
              <w:rPr>
                <w:szCs w:val="20"/>
                <w:highlight w:val="yellow"/>
              </w:rPr>
            </w:pPr>
            <w:r w:rsidRPr="000C48F9">
              <w:rPr>
                <w:szCs w:val="20"/>
              </w:rPr>
              <w:t>Study 109 &amp; Study 011 Part B (F/F patients)</w:t>
            </w:r>
          </w:p>
        </w:tc>
        <w:tc>
          <w:tcPr>
            <w:tcW w:w="1701" w:type="dxa"/>
            <w:shd w:val="clear" w:color="auto" w:fill="auto"/>
            <w:vAlign w:val="center"/>
          </w:tcPr>
          <w:p w14:paraId="0E763366" w14:textId="77777777" w:rsidR="003B6E05" w:rsidRPr="000C48F9" w:rsidRDefault="003B6E05" w:rsidP="003E016D">
            <w:pPr>
              <w:pStyle w:val="TableText0"/>
              <w:keepLines/>
              <w:jc w:val="center"/>
              <w:rPr>
                <w:szCs w:val="20"/>
                <w:highlight w:val="yellow"/>
              </w:rPr>
            </w:pPr>
          </w:p>
        </w:tc>
        <w:tc>
          <w:tcPr>
            <w:tcW w:w="1417" w:type="dxa"/>
            <w:shd w:val="clear" w:color="auto" w:fill="auto"/>
            <w:vAlign w:val="center"/>
          </w:tcPr>
          <w:p w14:paraId="679E76CA" w14:textId="77777777" w:rsidR="003B6E05" w:rsidRPr="000C48F9" w:rsidRDefault="003B6E05" w:rsidP="003E016D">
            <w:pPr>
              <w:keepNext/>
              <w:keepLines/>
              <w:tabs>
                <w:tab w:val="left" w:pos="6750"/>
              </w:tabs>
              <w:jc w:val="center"/>
              <w:rPr>
                <w:rFonts w:ascii="Arial Narrow" w:hAnsi="Arial Narrow"/>
                <w:sz w:val="20"/>
                <w:szCs w:val="20"/>
              </w:rPr>
            </w:pPr>
            <w:r w:rsidRPr="000C48F9">
              <w:rPr>
                <w:rFonts w:ascii="Arial Narrow" w:hAnsi="Arial Narrow" w:cstheme="minorHAnsi"/>
                <w:sz w:val="20"/>
                <w:szCs w:val="20"/>
              </w:rPr>
              <w:t>-2.1 (-3.6, -0.6)</w:t>
            </w:r>
          </w:p>
        </w:tc>
        <w:tc>
          <w:tcPr>
            <w:tcW w:w="1418" w:type="dxa"/>
            <w:shd w:val="clear" w:color="auto" w:fill="auto"/>
            <w:vAlign w:val="center"/>
          </w:tcPr>
          <w:p w14:paraId="45402010" w14:textId="77777777" w:rsidR="003B6E05" w:rsidRPr="000C48F9" w:rsidRDefault="003B6E05" w:rsidP="003E016D">
            <w:pPr>
              <w:keepNext/>
              <w:keepLines/>
              <w:tabs>
                <w:tab w:val="left" w:pos="6750"/>
              </w:tabs>
              <w:jc w:val="center"/>
              <w:rPr>
                <w:rFonts w:ascii="Arial Narrow" w:hAnsi="Arial Narrow"/>
                <w:sz w:val="20"/>
                <w:szCs w:val="20"/>
              </w:rPr>
            </w:pPr>
            <w:r w:rsidRPr="000C48F9">
              <w:rPr>
                <w:rFonts w:ascii="Arial Narrow" w:hAnsi="Arial Narrow" w:cstheme="minorHAnsi"/>
                <w:sz w:val="20"/>
                <w:szCs w:val="20"/>
              </w:rPr>
              <w:t>0.2 (-1.0, 1.4)</w:t>
            </w:r>
          </w:p>
        </w:tc>
        <w:tc>
          <w:tcPr>
            <w:tcW w:w="1912" w:type="dxa"/>
            <w:shd w:val="clear" w:color="auto" w:fill="auto"/>
            <w:vAlign w:val="center"/>
          </w:tcPr>
          <w:p w14:paraId="481AE93E" w14:textId="77777777" w:rsidR="003B6E05" w:rsidRPr="0044604E" w:rsidRDefault="003B6E05" w:rsidP="003E016D">
            <w:pPr>
              <w:keepNext/>
              <w:keepLines/>
              <w:tabs>
                <w:tab w:val="left" w:pos="6750"/>
              </w:tabs>
              <w:jc w:val="center"/>
              <w:rPr>
                <w:rFonts w:ascii="Arial Narrow" w:hAnsi="Arial Narrow"/>
                <w:b/>
                <w:sz w:val="20"/>
                <w:szCs w:val="20"/>
              </w:rPr>
            </w:pPr>
            <w:r w:rsidRPr="0044604E">
              <w:rPr>
                <w:rFonts w:ascii="Arial Narrow" w:hAnsi="Arial Narrow" w:cstheme="minorHAnsi"/>
                <w:b/>
                <w:sz w:val="20"/>
                <w:szCs w:val="20"/>
              </w:rPr>
              <w:t>2.4 (0.4, 4.3)</w:t>
            </w:r>
          </w:p>
        </w:tc>
      </w:tr>
      <w:tr w:rsidR="003B6E05" w:rsidRPr="000C48F9" w14:paraId="0F0CC646" w14:textId="77777777" w:rsidTr="00242AF8">
        <w:trPr>
          <w:trHeight w:val="224"/>
          <w:jc w:val="center"/>
        </w:trPr>
        <w:tc>
          <w:tcPr>
            <w:tcW w:w="7083" w:type="dxa"/>
            <w:gridSpan w:val="4"/>
            <w:shd w:val="clear" w:color="auto" w:fill="auto"/>
            <w:vAlign w:val="center"/>
          </w:tcPr>
          <w:p w14:paraId="0DDA6401" w14:textId="77777777" w:rsidR="003B6E05" w:rsidRPr="00A378B7" w:rsidRDefault="003B6E05" w:rsidP="003E016D">
            <w:pPr>
              <w:pStyle w:val="TableText0"/>
              <w:keepLines/>
              <w:rPr>
                <w:szCs w:val="20"/>
                <w:lang w:val="pt-BR"/>
              </w:rPr>
            </w:pPr>
            <w:r w:rsidRPr="00A378B7">
              <w:rPr>
                <w:szCs w:val="20"/>
                <w:lang w:val="pt-BR"/>
              </w:rPr>
              <w:t>ELX/TEZ/IVA versus LUM/IVA</w:t>
            </w:r>
          </w:p>
        </w:tc>
        <w:tc>
          <w:tcPr>
            <w:tcW w:w="1912" w:type="dxa"/>
            <w:shd w:val="clear" w:color="auto" w:fill="auto"/>
            <w:vAlign w:val="center"/>
          </w:tcPr>
          <w:p w14:paraId="0E3B2BD2" w14:textId="77777777" w:rsidR="003B6E05" w:rsidRPr="0044604E" w:rsidRDefault="003B6E05" w:rsidP="003E016D">
            <w:pPr>
              <w:keepNext/>
              <w:keepLines/>
              <w:tabs>
                <w:tab w:val="left" w:pos="6750"/>
              </w:tabs>
              <w:jc w:val="center"/>
              <w:rPr>
                <w:rFonts w:ascii="Arial Narrow" w:hAnsi="Arial Narrow" w:cstheme="minorHAnsi"/>
                <w:b/>
                <w:sz w:val="20"/>
                <w:szCs w:val="20"/>
              </w:rPr>
            </w:pPr>
            <w:r w:rsidRPr="0044604E">
              <w:rPr>
                <w:rFonts w:ascii="Arial Narrow" w:hAnsi="Arial Narrow" w:cstheme="minorHAnsi"/>
                <w:b/>
                <w:sz w:val="20"/>
                <w:szCs w:val="20"/>
              </w:rPr>
              <w:t>11.5 (7.9, 15.1)</w:t>
            </w:r>
          </w:p>
        </w:tc>
      </w:tr>
      <w:tr w:rsidR="003B6E05" w:rsidRPr="000C48F9" w14:paraId="297F8557" w14:textId="77777777" w:rsidTr="00242AF8">
        <w:trPr>
          <w:trHeight w:val="224"/>
          <w:jc w:val="center"/>
        </w:trPr>
        <w:tc>
          <w:tcPr>
            <w:tcW w:w="7083" w:type="dxa"/>
            <w:gridSpan w:val="4"/>
            <w:shd w:val="clear" w:color="auto" w:fill="auto"/>
            <w:vAlign w:val="center"/>
          </w:tcPr>
          <w:p w14:paraId="781F1AA2" w14:textId="77777777" w:rsidR="003B6E05" w:rsidRPr="00A378B7" w:rsidRDefault="003B6E05" w:rsidP="003E016D">
            <w:pPr>
              <w:pStyle w:val="TableText0"/>
              <w:keepLines/>
              <w:rPr>
                <w:szCs w:val="20"/>
                <w:lang w:val="pt-BR"/>
              </w:rPr>
            </w:pPr>
            <w:r w:rsidRPr="00A378B7">
              <w:rPr>
                <w:szCs w:val="20"/>
                <w:lang w:val="pt-BR"/>
              </w:rPr>
              <w:t>ELX/TEZ/IVA versus PBO</w:t>
            </w:r>
          </w:p>
        </w:tc>
        <w:tc>
          <w:tcPr>
            <w:tcW w:w="1912" w:type="dxa"/>
            <w:shd w:val="clear" w:color="auto" w:fill="auto"/>
            <w:vAlign w:val="center"/>
          </w:tcPr>
          <w:p w14:paraId="5C4DA353" w14:textId="77777777" w:rsidR="003B6E05" w:rsidRPr="0044604E" w:rsidRDefault="003B6E05" w:rsidP="003E016D">
            <w:pPr>
              <w:keepNext/>
              <w:keepLines/>
              <w:tabs>
                <w:tab w:val="left" w:pos="6750"/>
              </w:tabs>
              <w:jc w:val="center"/>
              <w:rPr>
                <w:rFonts w:ascii="Arial Narrow" w:hAnsi="Arial Narrow" w:cstheme="minorHAnsi"/>
                <w:b/>
                <w:sz w:val="20"/>
                <w:szCs w:val="20"/>
              </w:rPr>
            </w:pPr>
            <w:r w:rsidRPr="0044604E">
              <w:rPr>
                <w:rFonts w:ascii="Arial Narrow" w:hAnsi="Arial Narrow" w:cstheme="minorHAnsi"/>
                <w:b/>
                <w:sz w:val="20"/>
                <w:szCs w:val="20"/>
              </w:rPr>
              <w:t>13.9 (10.2, 17.6)</w:t>
            </w:r>
          </w:p>
        </w:tc>
      </w:tr>
      <w:tr w:rsidR="003B6E05" w:rsidRPr="000C48F9" w14:paraId="3CA257F6" w14:textId="77777777" w:rsidTr="005A0287">
        <w:trPr>
          <w:trHeight w:val="224"/>
          <w:jc w:val="center"/>
        </w:trPr>
        <w:tc>
          <w:tcPr>
            <w:tcW w:w="8995" w:type="dxa"/>
            <w:gridSpan w:val="5"/>
            <w:shd w:val="clear" w:color="auto" w:fill="auto"/>
            <w:vAlign w:val="center"/>
          </w:tcPr>
          <w:p w14:paraId="1C2B1A72" w14:textId="77777777" w:rsidR="003B6E05" w:rsidRPr="0044604E" w:rsidRDefault="003B6E05" w:rsidP="003E016D">
            <w:pPr>
              <w:keepNext/>
              <w:keepLines/>
              <w:tabs>
                <w:tab w:val="left" w:pos="6750"/>
              </w:tabs>
              <w:rPr>
                <w:rFonts w:ascii="Arial Narrow" w:hAnsi="Arial Narrow" w:cstheme="minorHAnsi"/>
                <w:b/>
                <w:sz w:val="20"/>
                <w:szCs w:val="20"/>
              </w:rPr>
            </w:pPr>
            <w:r w:rsidRPr="0044604E">
              <w:rPr>
                <w:rFonts w:ascii="Arial Narrow" w:hAnsi="Arial Narrow" w:cstheme="minorHAnsi"/>
                <w:b/>
                <w:bCs/>
                <w:sz w:val="20"/>
                <w:szCs w:val="20"/>
              </w:rPr>
              <w:t>Absolute change (95% CI) in LCI</w:t>
            </w:r>
            <w:r w:rsidRPr="0044604E">
              <w:rPr>
                <w:rFonts w:ascii="Arial Narrow" w:hAnsi="Arial Narrow" w:cstheme="minorHAnsi"/>
                <w:b/>
                <w:bCs/>
                <w:sz w:val="20"/>
                <w:szCs w:val="20"/>
                <w:vertAlign w:val="subscript"/>
              </w:rPr>
              <w:t xml:space="preserve">2.5 </w:t>
            </w:r>
            <w:r w:rsidRPr="0044604E">
              <w:rPr>
                <w:rFonts w:ascii="Arial Narrow" w:hAnsi="Arial Narrow" w:cstheme="minorHAnsi"/>
                <w:b/>
                <w:bCs/>
                <w:sz w:val="20"/>
                <w:szCs w:val="20"/>
              </w:rPr>
              <w:t>from baseline through 24 weeks</w:t>
            </w:r>
          </w:p>
        </w:tc>
      </w:tr>
      <w:tr w:rsidR="003B6E05" w:rsidRPr="000C48F9" w14:paraId="3B6E2450" w14:textId="77777777" w:rsidTr="00296F37">
        <w:trPr>
          <w:trHeight w:val="193"/>
          <w:jc w:val="center"/>
        </w:trPr>
        <w:tc>
          <w:tcPr>
            <w:tcW w:w="2547" w:type="dxa"/>
            <w:shd w:val="clear" w:color="auto" w:fill="auto"/>
          </w:tcPr>
          <w:p w14:paraId="3B155C52" w14:textId="77777777" w:rsidR="003B6E05" w:rsidRPr="000C48F9" w:rsidRDefault="003B6E05" w:rsidP="003E016D">
            <w:pPr>
              <w:pStyle w:val="TableText0"/>
              <w:keepLines/>
              <w:rPr>
                <w:szCs w:val="20"/>
              </w:rPr>
            </w:pPr>
            <w:r w:rsidRPr="000C48F9">
              <w:rPr>
                <w:szCs w:val="20"/>
              </w:rPr>
              <w:t>Study 106 (F/F patients)</w:t>
            </w:r>
          </w:p>
        </w:tc>
        <w:tc>
          <w:tcPr>
            <w:tcW w:w="1701" w:type="dxa"/>
            <w:shd w:val="clear" w:color="auto" w:fill="auto"/>
            <w:vAlign w:val="center"/>
          </w:tcPr>
          <w:p w14:paraId="3D839B78"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-2.00 (-2.68, -1.33)</w:t>
            </w:r>
          </w:p>
        </w:tc>
        <w:tc>
          <w:tcPr>
            <w:tcW w:w="1417" w:type="dxa"/>
            <w:shd w:val="clear" w:color="auto" w:fill="auto"/>
            <w:vAlign w:val="center"/>
          </w:tcPr>
          <w:p w14:paraId="7CF010B9" w14:textId="77777777" w:rsidR="003B6E05" w:rsidRPr="000C48F9" w:rsidRDefault="003B6E05" w:rsidP="003E016D">
            <w:pPr>
              <w:pStyle w:val="TableText0"/>
              <w:keepLines/>
              <w:jc w:val="center"/>
              <w:rPr>
                <w:szCs w:val="20"/>
              </w:rPr>
            </w:pPr>
          </w:p>
        </w:tc>
        <w:tc>
          <w:tcPr>
            <w:tcW w:w="1418" w:type="dxa"/>
            <w:shd w:val="clear" w:color="auto" w:fill="auto"/>
            <w:vAlign w:val="center"/>
          </w:tcPr>
          <w:p w14:paraId="20BE8A03" w14:textId="77777777" w:rsidR="003B6E05" w:rsidRPr="000C48F9" w:rsidRDefault="003B6E05" w:rsidP="003E016D">
            <w:pPr>
              <w:pStyle w:val="TableText0"/>
              <w:keepLines/>
              <w:jc w:val="center"/>
              <w:rPr>
                <w:szCs w:val="20"/>
              </w:rPr>
            </w:pPr>
          </w:p>
        </w:tc>
        <w:tc>
          <w:tcPr>
            <w:tcW w:w="1912" w:type="dxa"/>
            <w:shd w:val="clear" w:color="auto" w:fill="auto"/>
            <w:vAlign w:val="center"/>
          </w:tcPr>
          <w:p w14:paraId="48C151DB" w14:textId="77777777" w:rsidR="003B6E05" w:rsidRPr="0044604E" w:rsidRDefault="003B6E05" w:rsidP="003E016D">
            <w:pPr>
              <w:keepNext/>
              <w:keepLines/>
              <w:tabs>
                <w:tab w:val="left" w:pos="6750"/>
              </w:tabs>
              <w:jc w:val="center"/>
              <w:rPr>
                <w:rFonts w:ascii="Arial Narrow" w:hAnsi="Arial Narrow" w:cstheme="minorHAnsi"/>
                <w:b/>
                <w:sz w:val="20"/>
                <w:szCs w:val="20"/>
              </w:rPr>
            </w:pPr>
          </w:p>
        </w:tc>
      </w:tr>
      <w:tr w:rsidR="003B6E05" w:rsidRPr="000C48F9" w14:paraId="4290EC87" w14:textId="77777777" w:rsidTr="00242AF8">
        <w:trPr>
          <w:trHeight w:val="448"/>
          <w:jc w:val="center"/>
        </w:trPr>
        <w:tc>
          <w:tcPr>
            <w:tcW w:w="2547" w:type="dxa"/>
            <w:shd w:val="clear" w:color="auto" w:fill="auto"/>
          </w:tcPr>
          <w:p w14:paraId="0B73DE2B" w14:textId="77777777" w:rsidR="003B6E05" w:rsidRPr="000C48F9" w:rsidRDefault="003B6E05" w:rsidP="003E016D">
            <w:pPr>
              <w:pStyle w:val="TableText0"/>
              <w:keepLines/>
              <w:rPr>
                <w:szCs w:val="20"/>
              </w:rPr>
            </w:pPr>
            <w:r w:rsidRPr="000C48F9">
              <w:rPr>
                <w:szCs w:val="20"/>
              </w:rPr>
              <w:t>Study 109 &amp; Study 011 Part B (F/F patients)</w:t>
            </w:r>
          </w:p>
        </w:tc>
        <w:tc>
          <w:tcPr>
            <w:tcW w:w="1701" w:type="dxa"/>
            <w:shd w:val="clear" w:color="auto" w:fill="auto"/>
            <w:vAlign w:val="center"/>
          </w:tcPr>
          <w:p w14:paraId="771EC792" w14:textId="77777777" w:rsidR="003B6E05" w:rsidRPr="000C48F9" w:rsidRDefault="003B6E05" w:rsidP="003E016D">
            <w:pPr>
              <w:pStyle w:val="TableText0"/>
              <w:keepLines/>
              <w:jc w:val="center"/>
              <w:rPr>
                <w:szCs w:val="20"/>
              </w:rPr>
            </w:pPr>
          </w:p>
        </w:tc>
        <w:tc>
          <w:tcPr>
            <w:tcW w:w="1417" w:type="dxa"/>
            <w:shd w:val="clear" w:color="auto" w:fill="auto"/>
            <w:vAlign w:val="center"/>
          </w:tcPr>
          <w:p w14:paraId="72DB35D4"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-0.05 (-0.31, 0.22)</w:t>
            </w:r>
          </w:p>
        </w:tc>
        <w:tc>
          <w:tcPr>
            <w:tcW w:w="1418" w:type="dxa"/>
            <w:shd w:val="clear" w:color="auto" w:fill="auto"/>
            <w:vAlign w:val="center"/>
          </w:tcPr>
          <w:p w14:paraId="5EAD07B7"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-1.11 (-1.35, -0.88)</w:t>
            </w:r>
          </w:p>
        </w:tc>
        <w:tc>
          <w:tcPr>
            <w:tcW w:w="1912" w:type="dxa"/>
            <w:shd w:val="clear" w:color="auto" w:fill="auto"/>
            <w:vAlign w:val="center"/>
          </w:tcPr>
          <w:p w14:paraId="2F0DE181"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-1.07 (-1.42, -0.71)</w:t>
            </w:r>
          </w:p>
        </w:tc>
      </w:tr>
      <w:tr w:rsidR="003B6E05" w:rsidRPr="000C48F9" w14:paraId="34C9E859" w14:textId="77777777" w:rsidTr="00242AF8">
        <w:trPr>
          <w:trHeight w:val="224"/>
          <w:jc w:val="center"/>
        </w:trPr>
        <w:tc>
          <w:tcPr>
            <w:tcW w:w="7083" w:type="dxa"/>
            <w:gridSpan w:val="4"/>
            <w:shd w:val="clear" w:color="auto" w:fill="auto"/>
            <w:vAlign w:val="center"/>
          </w:tcPr>
          <w:p w14:paraId="4CCEC8A4" w14:textId="77777777" w:rsidR="003B6E05" w:rsidRPr="00A378B7" w:rsidRDefault="003B6E05" w:rsidP="003E016D">
            <w:pPr>
              <w:pStyle w:val="TableText0"/>
              <w:keepLines/>
              <w:rPr>
                <w:szCs w:val="20"/>
                <w:lang w:val="pt-BR"/>
              </w:rPr>
            </w:pPr>
            <w:r w:rsidRPr="00A378B7">
              <w:rPr>
                <w:szCs w:val="20"/>
                <w:lang w:val="pt-BR"/>
              </w:rPr>
              <w:t>ELX/TEZ/IVA versus LUM/IVA</w:t>
            </w:r>
          </w:p>
        </w:tc>
        <w:tc>
          <w:tcPr>
            <w:tcW w:w="1912" w:type="dxa"/>
            <w:shd w:val="clear" w:color="auto" w:fill="auto"/>
            <w:vAlign w:val="center"/>
          </w:tcPr>
          <w:p w14:paraId="33F40E00"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-0.89 (-1.60, -0.18)</w:t>
            </w:r>
          </w:p>
        </w:tc>
      </w:tr>
      <w:tr w:rsidR="003B6E05" w:rsidRPr="000C48F9" w14:paraId="19E48E86" w14:textId="77777777" w:rsidTr="00242AF8">
        <w:trPr>
          <w:trHeight w:val="224"/>
          <w:jc w:val="center"/>
        </w:trPr>
        <w:tc>
          <w:tcPr>
            <w:tcW w:w="7083" w:type="dxa"/>
            <w:gridSpan w:val="4"/>
            <w:shd w:val="clear" w:color="auto" w:fill="auto"/>
            <w:vAlign w:val="center"/>
          </w:tcPr>
          <w:p w14:paraId="40E369B6" w14:textId="77777777" w:rsidR="003B6E05" w:rsidRPr="00A378B7" w:rsidRDefault="003B6E05" w:rsidP="003E016D">
            <w:pPr>
              <w:pStyle w:val="TableText0"/>
              <w:keepLines/>
              <w:rPr>
                <w:szCs w:val="20"/>
                <w:lang w:val="pt-BR"/>
              </w:rPr>
            </w:pPr>
            <w:r w:rsidRPr="00A378B7">
              <w:rPr>
                <w:szCs w:val="20"/>
                <w:lang w:val="pt-BR"/>
              </w:rPr>
              <w:t>ELX/TEZ/IVA versus PBO</w:t>
            </w:r>
          </w:p>
        </w:tc>
        <w:tc>
          <w:tcPr>
            <w:tcW w:w="1912" w:type="dxa"/>
            <w:shd w:val="clear" w:color="auto" w:fill="auto"/>
            <w:vAlign w:val="center"/>
          </w:tcPr>
          <w:p w14:paraId="6F5B3A9D"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-1.96 (-2.68, -1.23)</w:t>
            </w:r>
          </w:p>
        </w:tc>
      </w:tr>
      <w:tr w:rsidR="003B6E05" w:rsidRPr="000C48F9" w14:paraId="5BA0C067" w14:textId="77777777" w:rsidTr="005A0287">
        <w:trPr>
          <w:trHeight w:val="224"/>
          <w:jc w:val="center"/>
        </w:trPr>
        <w:tc>
          <w:tcPr>
            <w:tcW w:w="8995" w:type="dxa"/>
            <w:gridSpan w:val="5"/>
            <w:shd w:val="clear" w:color="auto" w:fill="auto"/>
            <w:vAlign w:val="center"/>
          </w:tcPr>
          <w:p w14:paraId="703C7D53" w14:textId="77777777" w:rsidR="003B6E05" w:rsidRPr="0044604E" w:rsidRDefault="003B6E05" w:rsidP="003E016D">
            <w:pPr>
              <w:keepNext/>
              <w:keepLines/>
              <w:tabs>
                <w:tab w:val="left" w:pos="6750"/>
              </w:tabs>
              <w:rPr>
                <w:rFonts w:ascii="Arial Narrow" w:hAnsi="Arial Narrow" w:cstheme="minorHAnsi"/>
                <w:b/>
                <w:sz w:val="20"/>
                <w:szCs w:val="20"/>
              </w:rPr>
            </w:pPr>
            <w:r w:rsidRPr="0044604E">
              <w:rPr>
                <w:rFonts w:ascii="Arial Narrow" w:hAnsi="Arial Narrow" w:cstheme="minorHAnsi"/>
                <w:b/>
                <w:bCs/>
                <w:sz w:val="20"/>
                <w:szCs w:val="20"/>
              </w:rPr>
              <w:t>Absolute change (95% CI) in weight-for-age z-score from baseline at 24 weeks</w:t>
            </w:r>
          </w:p>
        </w:tc>
      </w:tr>
      <w:tr w:rsidR="003B6E05" w:rsidRPr="000C48F9" w14:paraId="3637C496" w14:textId="77777777" w:rsidTr="00296F37">
        <w:trPr>
          <w:trHeight w:val="103"/>
          <w:jc w:val="center"/>
        </w:trPr>
        <w:tc>
          <w:tcPr>
            <w:tcW w:w="2547" w:type="dxa"/>
            <w:shd w:val="clear" w:color="auto" w:fill="auto"/>
          </w:tcPr>
          <w:p w14:paraId="410214F2" w14:textId="77777777" w:rsidR="003B6E05" w:rsidRPr="000C48F9" w:rsidRDefault="003B6E05" w:rsidP="003E016D">
            <w:pPr>
              <w:pStyle w:val="TableText0"/>
              <w:keepLines/>
              <w:rPr>
                <w:szCs w:val="20"/>
              </w:rPr>
            </w:pPr>
            <w:r w:rsidRPr="000C48F9">
              <w:rPr>
                <w:szCs w:val="20"/>
              </w:rPr>
              <w:t>Study 106 (F/F patients)</w:t>
            </w:r>
          </w:p>
        </w:tc>
        <w:tc>
          <w:tcPr>
            <w:tcW w:w="1701" w:type="dxa"/>
            <w:shd w:val="clear" w:color="auto" w:fill="auto"/>
            <w:vAlign w:val="center"/>
          </w:tcPr>
          <w:p w14:paraId="07EA667A"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0.28 (0.18, 0.39)</w:t>
            </w:r>
          </w:p>
        </w:tc>
        <w:tc>
          <w:tcPr>
            <w:tcW w:w="1417" w:type="dxa"/>
            <w:shd w:val="clear" w:color="auto" w:fill="auto"/>
            <w:vAlign w:val="center"/>
          </w:tcPr>
          <w:p w14:paraId="466A12A3" w14:textId="77777777" w:rsidR="003B6E05" w:rsidRPr="000C48F9" w:rsidRDefault="003B6E05" w:rsidP="003E016D">
            <w:pPr>
              <w:pStyle w:val="TableText0"/>
              <w:keepLines/>
              <w:jc w:val="center"/>
              <w:rPr>
                <w:szCs w:val="20"/>
              </w:rPr>
            </w:pPr>
          </w:p>
        </w:tc>
        <w:tc>
          <w:tcPr>
            <w:tcW w:w="1418" w:type="dxa"/>
            <w:shd w:val="clear" w:color="auto" w:fill="auto"/>
            <w:vAlign w:val="center"/>
          </w:tcPr>
          <w:p w14:paraId="6E59D985" w14:textId="77777777" w:rsidR="003B6E05" w:rsidRPr="000C48F9" w:rsidRDefault="003B6E05" w:rsidP="003E016D">
            <w:pPr>
              <w:pStyle w:val="TableText0"/>
              <w:keepLines/>
              <w:jc w:val="center"/>
              <w:rPr>
                <w:szCs w:val="20"/>
              </w:rPr>
            </w:pPr>
          </w:p>
        </w:tc>
        <w:tc>
          <w:tcPr>
            <w:tcW w:w="1912" w:type="dxa"/>
            <w:shd w:val="clear" w:color="auto" w:fill="auto"/>
            <w:vAlign w:val="center"/>
          </w:tcPr>
          <w:p w14:paraId="07FAA926" w14:textId="77777777" w:rsidR="003B6E05" w:rsidRPr="0044604E" w:rsidRDefault="003B6E05" w:rsidP="003E016D">
            <w:pPr>
              <w:keepNext/>
              <w:keepLines/>
              <w:tabs>
                <w:tab w:val="left" w:pos="6750"/>
              </w:tabs>
              <w:jc w:val="center"/>
              <w:rPr>
                <w:rFonts w:ascii="Arial Narrow" w:hAnsi="Arial Narrow" w:cstheme="minorHAnsi"/>
                <w:b/>
                <w:sz w:val="20"/>
                <w:szCs w:val="20"/>
              </w:rPr>
            </w:pPr>
          </w:p>
        </w:tc>
      </w:tr>
      <w:tr w:rsidR="003B6E05" w:rsidRPr="000C48F9" w14:paraId="38DF3D8A" w14:textId="77777777" w:rsidTr="00242AF8">
        <w:trPr>
          <w:trHeight w:val="463"/>
          <w:jc w:val="center"/>
        </w:trPr>
        <w:tc>
          <w:tcPr>
            <w:tcW w:w="2547" w:type="dxa"/>
            <w:shd w:val="clear" w:color="auto" w:fill="auto"/>
          </w:tcPr>
          <w:p w14:paraId="147D87A9" w14:textId="77777777" w:rsidR="003B6E05" w:rsidRPr="000C48F9" w:rsidRDefault="003B6E05" w:rsidP="003E016D">
            <w:pPr>
              <w:pStyle w:val="TableText0"/>
              <w:keepLines/>
              <w:rPr>
                <w:szCs w:val="20"/>
              </w:rPr>
            </w:pPr>
            <w:r w:rsidRPr="000C48F9">
              <w:rPr>
                <w:szCs w:val="20"/>
              </w:rPr>
              <w:t>Study 109 &amp; Study 011 Part B (F/F patients)</w:t>
            </w:r>
          </w:p>
        </w:tc>
        <w:tc>
          <w:tcPr>
            <w:tcW w:w="1701" w:type="dxa"/>
            <w:shd w:val="clear" w:color="auto" w:fill="auto"/>
            <w:vAlign w:val="center"/>
          </w:tcPr>
          <w:p w14:paraId="2ECA17B7" w14:textId="77777777" w:rsidR="003B6E05" w:rsidRPr="000C48F9" w:rsidRDefault="003B6E05" w:rsidP="003E016D">
            <w:pPr>
              <w:pStyle w:val="TableText0"/>
              <w:keepLines/>
              <w:jc w:val="center"/>
              <w:rPr>
                <w:szCs w:val="20"/>
              </w:rPr>
            </w:pPr>
          </w:p>
        </w:tc>
        <w:tc>
          <w:tcPr>
            <w:tcW w:w="1417" w:type="dxa"/>
            <w:shd w:val="clear" w:color="auto" w:fill="auto"/>
            <w:vAlign w:val="center"/>
          </w:tcPr>
          <w:p w14:paraId="19FC9F99"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0.02 (-0.02, 0.07)</w:t>
            </w:r>
          </w:p>
        </w:tc>
        <w:tc>
          <w:tcPr>
            <w:tcW w:w="1418" w:type="dxa"/>
            <w:shd w:val="clear" w:color="auto" w:fill="auto"/>
            <w:vAlign w:val="center"/>
          </w:tcPr>
          <w:p w14:paraId="0B837B70"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0.09 (0.05, 0.12)</w:t>
            </w:r>
          </w:p>
        </w:tc>
        <w:tc>
          <w:tcPr>
            <w:tcW w:w="1912" w:type="dxa"/>
            <w:shd w:val="clear" w:color="auto" w:fill="auto"/>
            <w:vAlign w:val="center"/>
          </w:tcPr>
          <w:p w14:paraId="4E233CC5"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0.06 (0.01, 0.12)</w:t>
            </w:r>
          </w:p>
        </w:tc>
      </w:tr>
      <w:tr w:rsidR="003B6E05" w:rsidRPr="000C48F9" w14:paraId="114E25B4" w14:textId="77777777" w:rsidTr="00242AF8">
        <w:trPr>
          <w:trHeight w:val="224"/>
          <w:jc w:val="center"/>
        </w:trPr>
        <w:tc>
          <w:tcPr>
            <w:tcW w:w="7083" w:type="dxa"/>
            <w:gridSpan w:val="4"/>
            <w:shd w:val="clear" w:color="auto" w:fill="auto"/>
            <w:vAlign w:val="center"/>
          </w:tcPr>
          <w:p w14:paraId="6748A727" w14:textId="77777777" w:rsidR="003B6E05" w:rsidRPr="00A378B7" w:rsidRDefault="003B6E05" w:rsidP="003E016D">
            <w:pPr>
              <w:pStyle w:val="TableText0"/>
              <w:keepLines/>
              <w:rPr>
                <w:szCs w:val="20"/>
                <w:lang w:val="pt-BR"/>
              </w:rPr>
            </w:pPr>
            <w:r w:rsidRPr="00A378B7">
              <w:rPr>
                <w:szCs w:val="20"/>
                <w:lang w:val="pt-BR"/>
              </w:rPr>
              <w:t>ELX/TEZ/IVA versus LUM/IVA</w:t>
            </w:r>
          </w:p>
        </w:tc>
        <w:tc>
          <w:tcPr>
            <w:tcW w:w="1912" w:type="dxa"/>
            <w:shd w:val="clear" w:color="auto" w:fill="auto"/>
            <w:vAlign w:val="center"/>
          </w:tcPr>
          <w:p w14:paraId="69418312"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0.20 (0.08, 0.31)</w:t>
            </w:r>
          </w:p>
        </w:tc>
      </w:tr>
      <w:tr w:rsidR="003B6E05" w:rsidRPr="000C48F9" w14:paraId="53886AC8" w14:textId="77777777" w:rsidTr="00242AF8">
        <w:trPr>
          <w:trHeight w:val="224"/>
          <w:jc w:val="center"/>
        </w:trPr>
        <w:tc>
          <w:tcPr>
            <w:tcW w:w="7083" w:type="dxa"/>
            <w:gridSpan w:val="4"/>
            <w:shd w:val="clear" w:color="auto" w:fill="auto"/>
            <w:vAlign w:val="center"/>
          </w:tcPr>
          <w:p w14:paraId="7E092DE6" w14:textId="77777777" w:rsidR="003B6E05" w:rsidRPr="00A378B7" w:rsidRDefault="003B6E05" w:rsidP="003E016D">
            <w:pPr>
              <w:pStyle w:val="TableText0"/>
              <w:keepLines/>
              <w:rPr>
                <w:szCs w:val="20"/>
                <w:lang w:val="pt-BR"/>
              </w:rPr>
            </w:pPr>
            <w:r w:rsidRPr="00A378B7">
              <w:rPr>
                <w:szCs w:val="20"/>
                <w:lang w:val="pt-BR"/>
              </w:rPr>
              <w:t>ELX/TEZ/IVA versus PBO</w:t>
            </w:r>
          </w:p>
        </w:tc>
        <w:tc>
          <w:tcPr>
            <w:tcW w:w="1912" w:type="dxa"/>
            <w:shd w:val="clear" w:color="auto" w:fill="auto"/>
            <w:vAlign w:val="center"/>
          </w:tcPr>
          <w:p w14:paraId="4132C3A5"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0.26 (0.14, 0.37)</w:t>
            </w:r>
          </w:p>
        </w:tc>
      </w:tr>
      <w:tr w:rsidR="003B6E05" w:rsidRPr="000C48F9" w14:paraId="35FE0BE8" w14:textId="77777777" w:rsidTr="005A0287">
        <w:trPr>
          <w:trHeight w:val="209"/>
          <w:jc w:val="center"/>
        </w:trPr>
        <w:tc>
          <w:tcPr>
            <w:tcW w:w="8995" w:type="dxa"/>
            <w:gridSpan w:val="5"/>
            <w:shd w:val="clear" w:color="auto" w:fill="auto"/>
            <w:vAlign w:val="center"/>
          </w:tcPr>
          <w:p w14:paraId="33754C54" w14:textId="77777777" w:rsidR="003B6E05" w:rsidRPr="0044604E" w:rsidRDefault="003B6E05" w:rsidP="003E016D">
            <w:pPr>
              <w:keepNext/>
              <w:keepLines/>
              <w:tabs>
                <w:tab w:val="left" w:pos="6750"/>
              </w:tabs>
              <w:rPr>
                <w:rFonts w:ascii="Arial Narrow" w:hAnsi="Arial Narrow" w:cstheme="minorHAnsi"/>
                <w:b/>
                <w:sz w:val="20"/>
                <w:szCs w:val="20"/>
              </w:rPr>
            </w:pPr>
            <w:r w:rsidRPr="0044604E">
              <w:rPr>
                <w:rFonts w:ascii="Arial Narrow" w:hAnsi="Arial Narrow" w:cstheme="minorHAnsi"/>
                <w:b/>
                <w:bCs/>
                <w:sz w:val="20"/>
                <w:szCs w:val="20"/>
              </w:rPr>
              <w:t>Absolute change (95% CI) in BMI-for-age z-score (kg/m</w:t>
            </w:r>
            <w:r w:rsidRPr="0044604E">
              <w:rPr>
                <w:rFonts w:ascii="Arial Narrow" w:hAnsi="Arial Narrow" w:cstheme="minorHAnsi"/>
                <w:b/>
                <w:bCs/>
                <w:sz w:val="20"/>
                <w:szCs w:val="20"/>
                <w:vertAlign w:val="superscript"/>
              </w:rPr>
              <w:t>2</w:t>
            </w:r>
            <w:r w:rsidRPr="0044604E">
              <w:rPr>
                <w:rFonts w:ascii="Arial Narrow" w:hAnsi="Arial Narrow" w:cstheme="minorHAnsi"/>
                <w:b/>
                <w:bCs/>
                <w:sz w:val="20"/>
                <w:szCs w:val="20"/>
              </w:rPr>
              <w:t>) from baseline at 24 weeks</w:t>
            </w:r>
          </w:p>
        </w:tc>
      </w:tr>
      <w:tr w:rsidR="003B6E05" w:rsidRPr="000C48F9" w14:paraId="6BC2FC68" w14:textId="77777777" w:rsidTr="00296F37">
        <w:trPr>
          <w:trHeight w:val="155"/>
          <w:jc w:val="center"/>
        </w:trPr>
        <w:tc>
          <w:tcPr>
            <w:tcW w:w="2547" w:type="dxa"/>
            <w:shd w:val="clear" w:color="auto" w:fill="auto"/>
          </w:tcPr>
          <w:p w14:paraId="6E1B9181" w14:textId="77777777" w:rsidR="003B6E05" w:rsidRPr="000C48F9" w:rsidRDefault="003B6E05" w:rsidP="003E016D">
            <w:pPr>
              <w:pStyle w:val="TableText0"/>
              <w:keepLines/>
              <w:rPr>
                <w:szCs w:val="20"/>
              </w:rPr>
            </w:pPr>
            <w:r w:rsidRPr="000C48F9">
              <w:rPr>
                <w:szCs w:val="20"/>
              </w:rPr>
              <w:t>Study 106 (F/F patients)</w:t>
            </w:r>
          </w:p>
        </w:tc>
        <w:tc>
          <w:tcPr>
            <w:tcW w:w="1701" w:type="dxa"/>
            <w:shd w:val="clear" w:color="auto" w:fill="auto"/>
            <w:vAlign w:val="center"/>
          </w:tcPr>
          <w:p w14:paraId="32A9F3FB" w14:textId="77777777" w:rsidR="003B6E05" w:rsidRPr="000C48F9" w:rsidRDefault="003B6E05" w:rsidP="003E016D">
            <w:pPr>
              <w:keepNext/>
              <w:keepLines/>
              <w:jc w:val="center"/>
              <w:rPr>
                <w:rFonts w:ascii="Arial Narrow" w:hAnsi="Arial Narrow" w:cstheme="minorHAnsi"/>
                <w:sz w:val="20"/>
                <w:szCs w:val="20"/>
              </w:rPr>
            </w:pPr>
            <w:r w:rsidRPr="000C48F9">
              <w:rPr>
                <w:rFonts w:ascii="Arial Narrow" w:hAnsi="Arial Narrow" w:cstheme="minorHAnsi"/>
                <w:sz w:val="20"/>
                <w:szCs w:val="20"/>
              </w:rPr>
              <w:t>0.40 (0.25, 0.55)</w:t>
            </w:r>
          </w:p>
        </w:tc>
        <w:tc>
          <w:tcPr>
            <w:tcW w:w="1417" w:type="dxa"/>
            <w:shd w:val="clear" w:color="auto" w:fill="auto"/>
            <w:vAlign w:val="center"/>
          </w:tcPr>
          <w:p w14:paraId="3D01B03C" w14:textId="77777777" w:rsidR="003B6E05" w:rsidRPr="000C48F9" w:rsidRDefault="003B6E05" w:rsidP="003E016D">
            <w:pPr>
              <w:pStyle w:val="TableText0"/>
              <w:keepLines/>
              <w:jc w:val="center"/>
              <w:rPr>
                <w:szCs w:val="20"/>
              </w:rPr>
            </w:pPr>
          </w:p>
        </w:tc>
        <w:tc>
          <w:tcPr>
            <w:tcW w:w="1418" w:type="dxa"/>
            <w:shd w:val="clear" w:color="auto" w:fill="auto"/>
            <w:vAlign w:val="center"/>
          </w:tcPr>
          <w:p w14:paraId="04D2D5A7" w14:textId="77777777" w:rsidR="003B6E05" w:rsidRPr="000C48F9" w:rsidRDefault="003B6E05" w:rsidP="003E016D">
            <w:pPr>
              <w:pStyle w:val="TableText0"/>
              <w:keepLines/>
              <w:jc w:val="center"/>
              <w:rPr>
                <w:szCs w:val="20"/>
              </w:rPr>
            </w:pPr>
          </w:p>
        </w:tc>
        <w:tc>
          <w:tcPr>
            <w:tcW w:w="1912" w:type="dxa"/>
            <w:shd w:val="clear" w:color="auto" w:fill="auto"/>
            <w:vAlign w:val="center"/>
          </w:tcPr>
          <w:p w14:paraId="275B11B4" w14:textId="77777777" w:rsidR="003B6E05" w:rsidRPr="0044604E" w:rsidRDefault="003B6E05" w:rsidP="003E016D">
            <w:pPr>
              <w:keepNext/>
              <w:keepLines/>
              <w:tabs>
                <w:tab w:val="left" w:pos="6750"/>
              </w:tabs>
              <w:jc w:val="center"/>
              <w:rPr>
                <w:rFonts w:ascii="Arial Narrow" w:hAnsi="Arial Narrow" w:cstheme="minorHAnsi"/>
                <w:b/>
                <w:sz w:val="20"/>
                <w:szCs w:val="20"/>
              </w:rPr>
            </w:pPr>
          </w:p>
        </w:tc>
      </w:tr>
      <w:tr w:rsidR="003B6E05" w:rsidRPr="000C48F9" w14:paraId="46338D80" w14:textId="77777777" w:rsidTr="00242AF8">
        <w:trPr>
          <w:trHeight w:val="463"/>
          <w:jc w:val="center"/>
        </w:trPr>
        <w:tc>
          <w:tcPr>
            <w:tcW w:w="2547" w:type="dxa"/>
            <w:shd w:val="clear" w:color="auto" w:fill="auto"/>
          </w:tcPr>
          <w:p w14:paraId="325A0FB4" w14:textId="77777777" w:rsidR="003B6E05" w:rsidRPr="000C48F9" w:rsidRDefault="003B6E05" w:rsidP="003E016D">
            <w:pPr>
              <w:pStyle w:val="TableText0"/>
              <w:keepLines/>
              <w:rPr>
                <w:szCs w:val="20"/>
              </w:rPr>
            </w:pPr>
            <w:r w:rsidRPr="000C48F9">
              <w:rPr>
                <w:szCs w:val="20"/>
              </w:rPr>
              <w:t>Study 109 &amp; Study 011 Part B (F/F patients)</w:t>
            </w:r>
          </w:p>
        </w:tc>
        <w:tc>
          <w:tcPr>
            <w:tcW w:w="1701" w:type="dxa"/>
            <w:shd w:val="clear" w:color="auto" w:fill="auto"/>
            <w:vAlign w:val="center"/>
          </w:tcPr>
          <w:p w14:paraId="441931D9" w14:textId="77777777" w:rsidR="003B6E05" w:rsidRPr="000C48F9" w:rsidRDefault="003B6E05" w:rsidP="003E016D">
            <w:pPr>
              <w:pStyle w:val="TableText0"/>
              <w:keepLines/>
              <w:jc w:val="center"/>
              <w:rPr>
                <w:szCs w:val="20"/>
              </w:rPr>
            </w:pPr>
          </w:p>
        </w:tc>
        <w:tc>
          <w:tcPr>
            <w:tcW w:w="1417" w:type="dxa"/>
            <w:shd w:val="clear" w:color="auto" w:fill="auto"/>
            <w:vAlign w:val="center"/>
          </w:tcPr>
          <w:p w14:paraId="159A3A49"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0.10 (0.05, 0.16)</w:t>
            </w:r>
          </w:p>
        </w:tc>
        <w:tc>
          <w:tcPr>
            <w:tcW w:w="1418" w:type="dxa"/>
            <w:shd w:val="clear" w:color="auto" w:fill="auto"/>
            <w:vAlign w:val="center"/>
          </w:tcPr>
          <w:p w14:paraId="58BABDF0"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0.05 (-0.02, 0.11)</w:t>
            </w:r>
          </w:p>
        </w:tc>
        <w:tc>
          <w:tcPr>
            <w:tcW w:w="1912" w:type="dxa"/>
            <w:shd w:val="clear" w:color="auto" w:fill="auto"/>
            <w:vAlign w:val="center"/>
          </w:tcPr>
          <w:p w14:paraId="0F157B9A"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0.06 (-0.02, 0.14)</w:t>
            </w:r>
          </w:p>
        </w:tc>
      </w:tr>
      <w:tr w:rsidR="003B6E05" w:rsidRPr="000C48F9" w14:paraId="0C876A2A" w14:textId="77777777" w:rsidTr="00242AF8">
        <w:trPr>
          <w:trHeight w:val="209"/>
          <w:jc w:val="center"/>
        </w:trPr>
        <w:tc>
          <w:tcPr>
            <w:tcW w:w="7083" w:type="dxa"/>
            <w:gridSpan w:val="4"/>
            <w:shd w:val="clear" w:color="auto" w:fill="auto"/>
            <w:vAlign w:val="center"/>
          </w:tcPr>
          <w:p w14:paraId="42C83713" w14:textId="77777777" w:rsidR="003B6E05" w:rsidRPr="00A378B7" w:rsidRDefault="003B6E05" w:rsidP="003E016D">
            <w:pPr>
              <w:pStyle w:val="TableText0"/>
              <w:keepLines/>
              <w:rPr>
                <w:szCs w:val="20"/>
                <w:lang w:val="pt-BR"/>
              </w:rPr>
            </w:pPr>
            <w:r w:rsidRPr="00A378B7">
              <w:rPr>
                <w:szCs w:val="20"/>
                <w:lang w:val="pt-BR"/>
              </w:rPr>
              <w:t>ELX/TEZ/IVA versus LUM/IVA</w:t>
            </w:r>
          </w:p>
        </w:tc>
        <w:tc>
          <w:tcPr>
            <w:tcW w:w="1912" w:type="dxa"/>
            <w:shd w:val="clear" w:color="auto" w:fill="auto"/>
            <w:vAlign w:val="center"/>
          </w:tcPr>
          <w:p w14:paraId="15F5A9FF"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0.29 (0.13, 0.46)</w:t>
            </w:r>
          </w:p>
        </w:tc>
      </w:tr>
      <w:tr w:rsidR="003B6E05" w:rsidRPr="000C48F9" w14:paraId="0224885F" w14:textId="77777777" w:rsidTr="00242AF8">
        <w:trPr>
          <w:trHeight w:val="224"/>
          <w:jc w:val="center"/>
        </w:trPr>
        <w:tc>
          <w:tcPr>
            <w:tcW w:w="7083" w:type="dxa"/>
            <w:gridSpan w:val="4"/>
            <w:shd w:val="clear" w:color="auto" w:fill="auto"/>
            <w:vAlign w:val="center"/>
          </w:tcPr>
          <w:p w14:paraId="42008E85" w14:textId="77777777" w:rsidR="003B6E05" w:rsidRPr="00A378B7" w:rsidRDefault="003B6E05" w:rsidP="003E016D">
            <w:pPr>
              <w:pStyle w:val="TableText0"/>
              <w:keepLines/>
              <w:rPr>
                <w:szCs w:val="20"/>
                <w:lang w:val="pt-BR"/>
              </w:rPr>
            </w:pPr>
            <w:r w:rsidRPr="00A378B7">
              <w:rPr>
                <w:szCs w:val="20"/>
                <w:lang w:val="pt-BR"/>
              </w:rPr>
              <w:t>ELX/TEZ/IVA versus PBO</w:t>
            </w:r>
          </w:p>
        </w:tc>
        <w:tc>
          <w:tcPr>
            <w:tcW w:w="1912" w:type="dxa"/>
            <w:shd w:val="clear" w:color="auto" w:fill="auto"/>
            <w:vAlign w:val="center"/>
          </w:tcPr>
          <w:p w14:paraId="2A68662D"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0.35 (0.19, 0.52)</w:t>
            </w:r>
          </w:p>
        </w:tc>
      </w:tr>
      <w:tr w:rsidR="003B6E05" w:rsidRPr="000C48F9" w14:paraId="0FA3D815" w14:textId="77777777" w:rsidTr="005A0287">
        <w:trPr>
          <w:trHeight w:val="224"/>
          <w:jc w:val="center"/>
        </w:trPr>
        <w:tc>
          <w:tcPr>
            <w:tcW w:w="8995" w:type="dxa"/>
            <w:gridSpan w:val="5"/>
            <w:shd w:val="clear" w:color="auto" w:fill="auto"/>
            <w:vAlign w:val="center"/>
          </w:tcPr>
          <w:p w14:paraId="4E904495" w14:textId="77777777" w:rsidR="003B6E05" w:rsidRPr="0044604E" w:rsidRDefault="003B6E05" w:rsidP="003E016D">
            <w:pPr>
              <w:keepNext/>
              <w:keepLines/>
              <w:tabs>
                <w:tab w:val="left" w:pos="6750"/>
              </w:tabs>
              <w:rPr>
                <w:rFonts w:ascii="Arial Narrow" w:hAnsi="Arial Narrow" w:cstheme="minorHAnsi"/>
                <w:b/>
                <w:sz w:val="20"/>
                <w:szCs w:val="20"/>
              </w:rPr>
            </w:pPr>
            <w:r w:rsidRPr="0044604E">
              <w:rPr>
                <w:rFonts w:ascii="Arial Narrow" w:hAnsi="Arial Narrow" w:cstheme="minorHAnsi"/>
                <w:b/>
                <w:bCs/>
                <w:sz w:val="20"/>
                <w:szCs w:val="20"/>
              </w:rPr>
              <w:t>Absolute change (95% CI) from baseline through 24 weeks in CFQ-R RD score</w:t>
            </w:r>
          </w:p>
        </w:tc>
      </w:tr>
      <w:tr w:rsidR="003B6E05" w:rsidRPr="000C48F9" w14:paraId="3C34C15B" w14:textId="77777777" w:rsidTr="00296F37">
        <w:trPr>
          <w:trHeight w:val="223"/>
          <w:jc w:val="center"/>
        </w:trPr>
        <w:tc>
          <w:tcPr>
            <w:tcW w:w="2547" w:type="dxa"/>
            <w:shd w:val="clear" w:color="auto" w:fill="auto"/>
          </w:tcPr>
          <w:p w14:paraId="1BA560D8" w14:textId="77777777" w:rsidR="003B6E05" w:rsidRPr="000C48F9" w:rsidRDefault="003B6E05" w:rsidP="003E016D">
            <w:pPr>
              <w:pStyle w:val="TableText0"/>
              <w:keepLines/>
              <w:rPr>
                <w:szCs w:val="20"/>
              </w:rPr>
            </w:pPr>
            <w:r w:rsidRPr="000C48F9">
              <w:rPr>
                <w:szCs w:val="20"/>
              </w:rPr>
              <w:t>Study 106 (F/F patients)</w:t>
            </w:r>
          </w:p>
        </w:tc>
        <w:tc>
          <w:tcPr>
            <w:tcW w:w="1701" w:type="dxa"/>
            <w:shd w:val="clear" w:color="auto" w:fill="auto"/>
            <w:vAlign w:val="center"/>
          </w:tcPr>
          <w:p w14:paraId="3280EF53" w14:textId="77777777" w:rsidR="003B6E05" w:rsidRPr="000C48F9" w:rsidRDefault="003B6E05" w:rsidP="003E016D">
            <w:pPr>
              <w:keepNext/>
              <w:keepLines/>
              <w:jc w:val="center"/>
              <w:rPr>
                <w:rFonts w:ascii="Arial Narrow" w:hAnsi="Arial Narrow" w:cstheme="minorHAnsi"/>
                <w:sz w:val="20"/>
                <w:szCs w:val="20"/>
              </w:rPr>
            </w:pPr>
            <w:r w:rsidRPr="000C48F9">
              <w:rPr>
                <w:rFonts w:ascii="Arial Narrow" w:hAnsi="Arial Narrow" w:cstheme="minorHAnsi"/>
                <w:sz w:val="20"/>
                <w:szCs w:val="20"/>
              </w:rPr>
              <w:t>7.8 (4.3, 11.3)</w:t>
            </w:r>
          </w:p>
        </w:tc>
        <w:tc>
          <w:tcPr>
            <w:tcW w:w="1417" w:type="dxa"/>
            <w:shd w:val="clear" w:color="auto" w:fill="auto"/>
            <w:vAlign w:val="center"/>
          </w:tcPr>
          <w:p w14:paraId="176A071D" w14:textId="77777777" w:rsidR="003B6E05" w:rsidRPr="000C48F9" w:rsidRDefault="003B6E05" w:rsidP="003E016D">
            <w:pPr>
              <w:pStyle w:val="TableText0"/>
              <w:keepLines/>
              <w:jc w:val="center"/>
              <w:rPr>
                <w:szCs w:val="20"/>
              </w:rPr>
            </w:pPr>
          </w:p>
        </w:tc>
        <w:tc>
          <w:tcPr>
            <w:tcW w:w="1418" w:type="dxa"/>
            <w:shd w:val="clear" w:color="auto" w:fill="auto"/>
            <w:vAlign w:val="center"/>
          </w:tcPr>
          <w:p w14:paraId="599FB3B5" w14:textId="77777777" w:rsidR="003B6E05" w:rsidRPr="000C48F9" w:rsidRDefault="003B6E05" w:rsidP="003E016D">
            <w:pPr>
              <w:pStyle w:val="TableText0"/>
              <w:keepLines/>
              <w:jc w:val="center"/>
              <w:rPr>
                <w:szCs w:val="20"/>
              </w:rPr>
            </w:pPr>
          </w:p>
        </w:tc>
        <w:tc>
          <w:tcPr>
            <w:tcW w:w="1912" w:type="dxa"/>
            <w:shd w:val="clear" w:color="auto" w:fill="auto"/>
            <w:vAlign w:val="center"/>
          </w:tcPr>
          <w:p w14:paraId="5EBE0E3A" w14:textId="77777777" w:rsidR="003B6E05" w:rsidRPr="0044604E" w:rsidRDefault="003B6E05" w:rsidP="003E016D">
            <w:pPr>
              <w:keepNext/>
              <w:keepLines/>
              <w:tabs>
                <w:tab w:val="left" w:pos="6750"/>
              </w:tabs>
              <w:jc w:val="center"/>
              <w:rPr>
                <w:rFonts w:ascii="Arial Narrow" w:hAnsi="Arial Narrow" w:cstheme="minorHAnsi"/>
                <w:b/>
                <w:sz w:val="20"/>
                <w:szCs w:val="20"/>
              </w:rPr>
            </w:pPr>
          </w:p>
        </w:tc>
      </w:tr>
      <w:tr w:rsidR="003B6E05" w:rsidRPr="000C48F9" w14:paraId="42DA11E1" w14:textId="77777777" w:rsidTr="00242AF8">
        <w:trPr>
          <w:trHeight w:val="448"/>
          <w:jc w:val="center"/>
        </w:trPr>
        <w:tc>
          <w:tcPr>
            <w:tcW w:w="2547" w:type="dxa"/>
            <w:shd w:val="clear" w:color="auto" w:fill="auto"/>
          </w:tcPr>
          <w:p w14:paraId="4EEA8451" w14:textId="77777777" w:rsidR="003B6E05" w:rsidRPr="000C48F9" w:rsidRDefault="003B6E05" w:rsidP="003E016D">
            <w:pPr>
              <w:pStyle w:val="TableText0"/>
              <w:keepLines/>
              <w:rPr>
                <w:szCs w:val="20"/>
              </w:rPr>
            </w:pPr>
            <w:r w:rsidRPr="000C48F9">
              <w:rPr>
                <w:szCs w:val="20"/>
              </w:rPr>
              <w:t>Study 109 &amp; Study 011 Part B (F/F patients)</w:t>
            </w:r>
          </w:p>
        </w:tc>
        <w:tc>
          <w:tcPr>
            <w:tcW w:w="1701" w:type="dxa"/>
            <w:shd w:val="clear" w:color="auto" w:fill="auto"/>
            <w:vAlign w:val="center"/>
          </w:tcPr>
          <w:p w14:paraId="15E3037A" w14:textId="77777777" w:rsidR="003B6E05" w:rsidRPr="000C48F9" w:rsidRDefault="003B6E05" w:rsidP="003E016D">
            <w:pPr>
              <w:pStyle w:val="TableText0"/>
              <w:keepLines/>
              <w:jc w:val="center"/>
              <w:rPr>
                <w:szCs w:val="20"/>
              </w:rPr>
            </w:pPr>
          </w:p>
        </w:tc>
        <w:tc>
          <w:tcPr>
            <w:tcW w:w="1417" w:type="dxa"/>
            <w:shd w:val="clear" w:color="auto" w:fill="auto"/>
            <w:vAlign w:val="center"/>
          </w:tcPr>
          <w:p w14:paraId="41090FF3"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4.6 (3.1, 6.1)</w:t>
            </w:r>
          </w:p>
        </w:tc>
        <w:tc>
          <w:tcPr>
            <w:tcW w:w="1418" w:type="dxa"/>
            <w:shd w:val="clear" w:color="auto" w:fill="auto"/>
            <w:vAlign w:val="center"/>
          </w:tcPr>
          <w:p w14:paraId="13B5B2B3" w14:textId="77777777" w:rsidR="003B6E05" w:rsidRPr="000C48F9" w:rsidRDefault="003B6E05" w:rsidP="003E016D">
            <w:pPr>
              <w:keepNext/>
              <w:keepLines/>
              <w:jc w:val="center"/>
              <w:rPr>
                <w:rFonts w:ascii="Arial Narrow" w:hAnsi="Arial Narrow"/>
                <w:sz w:val="20"/>
                <w:szCs w:val="20"/>
              </w:rPr>
            </w:pPr>
            <w:r w:rsidRPr="000C48F9">
              <w:rPr>
                <w:rFonts w:ascii="Arial Narrow" w:hAnsi="Arial Narrow" w:cstheme="minorHAnsi"/>
                <w:sz w:val="20"/>
                <w:szCs w:val="20"/>
              </w:rPr>
              <w:t>2.6 (0.6, 4.6)</w:t>
            </w:r>
          </w:p>
        </w:tc>
        <w:tc>
          <w:tcPr>
            <w:tcW w:w="1912" w:type="dxa"/>
            <w:shd w:val="clear" w:color="auto" w:fill="auto"/>
            <w:vAlign w:val="center"/>
          </w:tcPr>
          <w:p w14:paraId="3C953333" w14:textId="77777777" w:rsidR="003B6E05" w:rsidRPr="0044604E" w:rsidRDefault="003B6E05" w:rsidP="003E016D">
            <w:pPr>
              <w:keepNext/>
              <w:keepLines/>
              <w:tabs>
                <w:tab w:val="left" w:pos="6750"/>
              </w:tabs>
              <w:jc w:val="center"/>
              <w:rPr>
                <w:rFonts w:ascii="Arial Narrow" w:hAnsi="Arial Narrow" w:cstheme="minorHAnsi"/>
                <w:sz w:val="20"/>
                <w:szCs w:val="20"/>
              </w:rPr>
            </w:pPr>
            <w:r w:rsidRPr="0044604E">
              <w:rPr>
                <w:rFonts w:ascii="Arial Narrow" w:hAnsi="Arial Narrow" w:cstheme="minorHAnsi"/>
                <w:sz w:val="20"/>
                <w:szCs w:val="20"/>
              </w:rPr>
              <w:t>2.0 (-0.5, 4.5)</w:t>
            </w:r>
          </w:p>
        </w:tc>
      </w:tr>
      <w:tr w:rsidR="003B6E05" w:rsidRPr="000C48F9" w14:paraId="73E3184C" w14:textId="77777777" w:rsidTr="00242AF8">
        <w:trPr>
          <w:trHeight w:val="224"/>
          <w:jc w:val="center"/>
        </w:trPr>
        <w:tc>
          <w:tcPr>
            <w:tcW w:w="7083" w:type="dxa"/>
            <w:gridSpan w:val="4"/>
            <w:shd w:val="clear" w:color="auto" w:fill="auto"/>
            <w:vAlign w:val="center"/>
          </w:tcPr>
          <w:p w14:paraId="42ECC339" w14:textId="77777777" w:rsidR="003B6E05" w:rsidRPr="00A378B7" w:rsidRDefault="003B6E05" w:rsidP="003E016D">
            <w:pPr>
              <w:keepNext/>
              <w:keepLines/>
              <w:rPr>
                <w:rFonts w:ascii="Arial Narrow" w:hAnsi="Arial Narrow"/>
                <w:sz w:val="20"/>
                <w:szCs w:val="20"/>
                <w:lang w:val="pt-BR"/>
              </w:rPr>
            </w:pPr>
            <w:r w:rsidRPr="00A378B7">
              <w:rPr>
                <w:rFonts w:ascii="Arial Narrow" w:hAnsi="Arial Narrow"/>
                <w:sz w:val="20"/>
                <w:szCs w:val="20"/>
                <w:lang w:val="pt-BR"/>
              </w:rPr>
              <w:t>ELX/TEZ/IVA versus LUM/IVA</w:t>
            </w:r>
          </w:p>
        </w:tc>
        <w:tc>
          <w:tcPr>
            <w:tcW w:w="1912" w:type="dxa"/>
            <w:shd w:val="clear" w:color="auto" w:fill="auto"/>
            <w:vAlign w:val="center"/>
          </w:tcPr>
          <w:p w14:paraId="100A3D6C"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3.2 (-0.6, 7.0)</w:t>
            </w:r>
          </w:p>
        </w:tc>
      </w:tr>
      <w:tr w:rsidR="003B6E05" w:rsidRPr="000C48F9" w14:paraId="53DF07F6" w14:textId="77777777" w:rsidTr="00242AF8">
        <w:trPr>
          <w:trHeight w:val="224"/>
          <w:jc w:val="center"/>
        </w:trPr>
        <w:tc>
          <w:tcPr>
            <w:tcW w:w="7083" w:type="dxa"/>
            <w:gridSpan w:val="4"/>
            <w:shd w:val="clear" w:color="auto" w:fill="auto"/>
            <w:vAlign w:val="center"/>
          </w:tcPr>
          <w:p w14:paraId="6A28010F" w14:textId="77777777" w:rsidR="003B6E05" w:rsidRPr="00A378B7" w:rsidRDefault="003B6E05" w:rsidP="003E016D">
            <w:pPr>
              <w:pStyle w:val="TableText0"/>
              <w:keepLines/>
              <w:rPr>
                <w:szCs w:val="20"/>
                <w:lang w:val="pt-BR"/>
              </w:rPr>
            </w:pPr>
            <w:r w:rsidRPr="00A378B7">
              <w:rPr>
                <w:szCs w:val="20"/>
                <w:lang w:val="pt-BR"/>
              </w:rPr>
              <w:t>ELX/TEZ/IVA versus PBO</w:t>
            </w:r>
          </w:p>
        </w:tc>
        <w:tc>
          <w:tcPr>
            <w:tcW w:w="1912" w:type="dxa"/>
            <w:shd w:val="clear" w:color="auto" w:fill="auto"/>
            <w:vAlign w:val="center"/>
          </w:tcPr>
          <w:p w14:paraId="1BBD9A8E" w14:textId="77777777" w:rsidR="003B6E05" w:rsidRPr="0044604E" w:rsidRDefault="003B6E05" w:rsidP="003E016D">
            <w:pPr>
              <w:keepNext/>
              <w:keepLines/>
              <w:jc w:val="center"/>
              <w:rPr>
                <w:rFonts w:ascii="Arial Narrow" w:hAnsi="Arial Narrow" w:cstheme="minorHAnsi"/>
                <w:b/>
                <w:sz w:val="20"/>
                <w:szCs w:val="20"/>
              </w:rPr>
            </w:pPr>
            <w:r w:rsidRPr="0044604E">
              <w:rPr>
                <w:rFonts w:ascii="Arial Narrow" w:hAnsi="Arial Narrow" w:cstheme="minorHAnsi"/>
                <w:b/>
                <w:sz w:val="20"/>
                <w:szCs w:val="20"/>
              </w:rPr>
              <w:t>5.2 (1.2, 9.2)</w:t>
            </w:r>
          </w:p>
        </w:tc>
      </w:tr>
    </w:tbl>
    <w:p w14:paraId="2E41420F" w14:textId="77777777" w:rsidR="003B6E05" w:rsidRPr="000C48F9" w:rsidRDefault="003B6E05" w:rsidP="003E016D">
      <w:pPr>
        <w:pStyle w:val="FooterTableFigure"/>
        <w:keepNext/>
        <w:keepLines/>
      </w:pPr>
      <w:r w:rsidRPr="000C48F9">
        <w:t>Source: Table 2.6.3 p98 of the submission.</w:t>
      </w:r>
    </w:p>
    <w:p w14:paraId="188FFD30" w14:textId="1196CF02" w:rsidR="003B6E05" w:rsidRPr="000C48F9" w:rsidRDefault="003B6E05" w:rsidP="003E016D">
      <w:pPr>
        <w:pStyle w:val="FooterTableFigure"/>
        <w:keepNext/>
        <w:keepLines/>
      </w:pPr>
      <w:r w:rsidRPr="000C48F9">
        <w:t>BMI, body mass index; CFQ-R RD, cystic fibrosis questionnaire – revised respiratory domain; CI, confidence interval; ELX/TEZ/IVA, elexacaftor/tezacaftor/ivacaftor; GLI, Global Lung Initiative; LCI, lung clearance index; LS, least squares; LSM = least squares mean MMRM, mixed-effects model for repeated measures; LUM/IVA= lumacaftor plus ivacaftor; LSM= least square measures; PBO= placebo; ppFEV</w:t>
      </w:r>
      <w:r w:rsidR="00DD6EA4" w:rsidRPr="000C48F9">
        <w:rPr>
          <w:vertAlign w:val="subscript"/>
        </w:rPr>
        <w:t>1</w:t>
      </w:r>
      <w:r w:rsidR="00DD6EA4" w:rsidRPr="000C48F9">
        <w:t>,</w:t>
      </w:r>
      <w:r w:rsidRPr="000C48F9">
        <w:t xml:space="preserve"> percent predicted forced expiratory volume over 1 second.</w:t>
      </w:r>
    </w:p>
    <w:p w14:paraId="256BCFEB" w14:textId="47678AB0" w:rsidR="0003202A" w:rsidRPr="00D26872" w:rsidRDefault="0003202A" w:rsidP="003E016D">
      <w:pPr>
        <w:pStyle w:val="FooterTableFigure"/>
        <w:keepNext/>
        <w:keepLines/>
      </w:pPr>
      <w:r w:rsidRPr="00D26872">
        <w:rPr>
          <w:vertAlign w:val="superscript"/>
        </w:rPr>
        <w:t>a</w:t>
      </w:r>
      <w:r w:rsidRPr="00D26872">
        <w:t xml:space="preserve"> </w:t>
      </w:r>
      <w:r w:rsidR="00DE6E24" w:rsidRPr="00D26872">
        <w:t xml:space="preserve">The ITC report provided with the submission stated </w:t>
      </w:r>
      <w:r w:rsidR="00FC3E68" w:rsidRPr="00D26872">
        <w:t xml:space="preserve">that results may differ from those presented in the clinical study reports [i.e., as presented in </w:t>
      </w:r>
      <w:r w:rsidR="00FC3E68" w:rsidRPr="00D26872">
        <w:fldChar w:fldCharType="begin" w:fldLock="1"/>
      </w:r>
      <w:r w:rsidR="00FC3E68" w:rsidRPr="00D26872">
        <w:instrText xml:space="preserve"> REF _Ref112922932 \h  \* MERGEFORMAT </w:instrText>
      </w:r>
      <w:r w:rsidR="00FC3E68" w:rsidRPr="00D26872">
        <w:fldChar w:fldCharType="separate"/>
      </w:r>
      <w:r w:rsidR="009A1227" w:rsidRPr="000C48F9">
        <w:t xml:space="preserve">Table </w:t>
      </w:r>
      <w:r w:rsidR="009A1227">
        <w:t>5</w:t>
      </w:r>
      <w:r w:rsidR="00FC3E68" w:rsidRPr="00D26872">
        <w:fldChar w:fldCharType="end"/>
      </w:r>
      <w:r w:rsidR="00FC3E68" w:rsidRPr="00D26872">
        <w:t>] due to methods used in ITC to provide consistency across the included studies (e.g., covariates included in MMRM, method used to normalize ppFEV</w:t>
      </w:r>
      <w:r w:rsidR="00FC3E68" w:rsidRPr="00D26872">
        <w:rPr>
          <w:vertAlign w:val="subscript"/>
        </w:rPr>
        <w:t>1</w:t>
      </w:r>
      <w:r w:rsidR="00FC3E68" w:rsidRPr="00D26872">
        <w:t>).</w:t>
      </w:r>
    </w:p>
    <w:p w14:paraId="711D003A" w14:textId="66AF6165" w:rsidR="003B6E05" w:rsidRPr="000C48F9" w:rsidRDefault="003B6E05" w:rsidP="003E016D">
      <w:pPr>
        <w:pStyle w:val="FooterTableFigure"/>
        <w:keepNext/>
        <w:keepLines/>
        <w:rPr>
          <w:sz w:val="20"/>
        </w:rPr>
      </w:pPr>
      <w:r w:rsidRPr="000C48F9">
        <w:t>Notes:</w:t>
      </w:r>
      <w:r w:rsidR="0044604E">
        <w:t xml:space="preserve"> </w:t>
      </w:r>
      <w:r w:rsidRPr="000C48F9">
        <w:t>Bold indicates statistically significant results</w:t>
      </w:r>
      <w:r w:rsidR="00E43794" w:rsidRPr="000C48F9">
        <w:t>.</w:t>
      </w:r>
      <w:r w:rsidRPr="000C48F9">
        <w:t xml:space="preserve"> </w:t>
      </w:r>
    </w:p>
    <w:p w14:paraId="5EBDA0C1" w14:textId="77777777" w:rsidR="0003202A" w:rsidRPr="000C48F9" w:rsidRDefault="0003202A" w:rsidP="0003202A">
      <w:pPr>
        <w:pStyle w:val="3-BodyText"/>
      </w:pPr>
      <w:r w:rsidRPr="000C48F9">
        <w:t xml:space="preserve">Some transitivity issues between the ELX/TEZ/IVA study (Study 106) and the LUM/IVA studies (Study 109 and Study 011) were identified, mainly: </w:t>
      </w:r>
    </w:p>
    <w:p w14:paraId="2BCCF9F6" w14:textId="77777777" w:rsidR="0003202A" w:rsidRPr="000C48F9" w:rsidRDefault="0003202A" w:rsidP="0003202A">
      <w:pPr>
        <w:pStyle w:val="3-BodyText"/>
        <w:numPr>
          <w:ilvl w:val="0"/>
          <w:numId w:val="17"/>
        </w:numPr>
      </w:pPr>
      <w:r w:rsidRPr="000C48F9">
        <w:t xml:space="preserve">All patients in Study 011 were enrolled in the US while &gt;30% of patients in Study 109 and Study 106 were from Europe and Australia. </w:t>
      </w:r>
      <w:r w:rsidRPr="000C48F9">
        <w:rPr>
          <w:rFonts w:cstheme="minorHAnsi"/>
        </w:rPr>
        <w:t>There may be differences across jurisdictions in treatment practices for the management of CF that may have impacted the transitivity of the studies.</w:t>
      </w:r>
    </w:p>
    <w:p w14:paraId="719E10C8" w14:textId="77777777" w:rsidR="0003202A" w:rsidRPr="000C48F9" w:rsidRDefault="0003202A" w:rsidP="0003202A">
      <w:pPr>
        <w:pStyle w:val="3-BodyText"/>
        <w:numPr>
          <w:ilvl w:val="0"/>
          <w:numId w:val="17"/>
        </w:numPr>
      </w:pPr>
      <w:r w:rsidRPr="000C48F9">
        <w:t xml:space="preserve">Study 109 was conducted from Oct 2013 to Oct 2015 while Study 106 was conducted between Oct 2018 and Aug 2020. This temporal difference may have impacted the underlying management of the disease, although the impact is likely to be relatively small. </w:t>
      </w:r>
    </w:p>
    <w:p w14:paraId="57F6AE42" w14:textId="77777777" w:rsidR="0003202A" w:rsidRPr="000C48F9" w:rsidRDefault="0003202A" w:rsidP="0003202A">
      <w:pPr>
        <w:pStyle w:val="3-BodyText"/>
        <w:numPr>
          <w:ilvl w:val="0"/>
          <w:numId w:val="17"/>
        </w:numPr>
      </w:pPr>
      <w:r w:rsidRPr="000C48F9">
        <w:t xml:space="preserve">Several differences across the studies for medications used prior to enrolment. In particular, patients in Study 106 had received prior CFTR treatment (48.3%). </w:t>
      </w:r>
    </w:p>
    <w:p w14:paraId="009EA643" w14:textId="6B38D7DA" w:rsidR="003B6E05" w:rsidRPr="000C48F9" w:rsidRDefault="003B6E05" w:rsidP="00B44292">
      <w:pPr>
        <w:pStyle w:val="3-BodyText"/>
        <w:rPr>
          <w:i/>
          <w:iCs/>
        </w:rPr>
      </w:pPr>
      <w:r w:rsidRPr="000C48F9">
        <w:rPr>
          <w:iCs/>
        </w:rPr>
        <w:t>Safety endpoints (i.e. PEx, PEx requiring hospitalisation or PEx requiring IV antibiotic therapy) were not included in the ITC presented by the submission due to the limited number of PEx events reported in Study 106.</w:t>
      </w:r>
      <w:r w:rsidRPr="000C48F9">
        <w:rPr>
          <w:i/>
          <w:iCs/>
        </w:rPr>
        <w:t xml:space="preserve"> </w:t>
      </w:r>
    </w:p>
    <w:p w14:paraId="4217797B" w14:textId="437560B9" w:rsidR="00D15A19" w:rsidRPr="000C48F9" w:rsidRDefault="00D15A19" w:rsidP="00D15A19">
      <w:pPr>
        <w:pStyle w:val="3-BodyText"/>
        <w:rPr>
          <w:i/>
          <w:iCs/>
        </w:rPr>
      </w:pPr>
      <w:r w:rsidRPr="000C48F9">
        <w:t xml:space="preserve">The submission presented the long-term safety and efficacy results for ELX/TEZ/IVA in patients </w:t>
      </w:r>
      <w:r w:rsidRPr="000C48F9">
        <w:rPr>
          <w:rFonts w:cstheme="minorHAnsi"/>
        </w:rPr>
        <w:t>≥</w:t>
      </w:r>
      <w:r w:rsidRPr="000C48F9">
        <w:t>12 years based on Study 105 at 144 weeks (IA4). The submission stated that these results were consistent with the results from Study 106/107, showing a similar sustained benefit for up to 48 weeks of treatment as measured by ppFEV</w:t>
      </w:r>
      <w:r w:rsidRPr="000C48F9">
        <w:rPr>
          <w:vertAlign w:val="subscript"/>
        </w:rPr>
        <w:t>1</w:t>
      </w:r>
      <w:r w:rsidRPr="000C48F9">
        <w:t xml:space="preserve">, sweat chloride and BMI. The submission claimed that this demonstrated the validity of extrapolating evidence for efficacy of ELX/TEZ/IVA from adult to paediatric patients and strongly suggested validity of extrapolation of data for longer-term sustained benefit beyond 48 weeks. </w:t>
      </w:r>
      <w:r w:rsidRPr="000C48F9">
        <w:rPr>
          <w:iCs/>
        </w:rPr>
        <w:t xml:space="preserve">The results of IA4 appeared to be consistent with the results reported in IA3 which were used to support the long-term effect in patients ≥12 years. The clinical relevance of </w:t>
      </w:r>
      <w:r w:rsidR="00953633" w:rsidRPr="000C48F9">
        <w:rPr>
          <w:iCs/>
        </w:rPr>
        <w:t xml:space="preserve">the </w:t>
      </w:r>
      <w:r w:rsidRPr="000C48F9">
        <w:rPr>
          <w:iCs/>
        </w:rPr>
        <w:t>improvements</w:t>
      </w:r>
      <w:r w:rsidR="00953633" w:rsidRPr="000C48F9">
        <w:rPr>
          <w:iCs/>
        </w:rPr>
        <w:t xml:space="preserve"> observed in patients </w:t>
      </w:r>
      <w:r w:rsidR="00953633" w:rsidRPr="000C48F9">
        <w:rPr>
          <w:rFonts w:cstheme="minorHAnsi"/>
          <w:iCs/>
        </w:rPr>
        <w:t>≥</w:t>
      </w:r>
      <w:r w:rsidR="00953633" w:rsidRPr="000C48F9">
        <w:rPr>
          <w:iCs/>
        </w:rPr>
        <w:t>12 years</w:t>
      </w:r>
      <w:r w:rsidRPr="000C48F9">
        <w:rPr>
          <w:iCs/>
        </w:rPr>
        <w:t xml:space="preserve"> to younger patients with normal lung function remains for PBAC consideration.</w:t>
      </w:r>
    </w:p>
    <w:p w14:paraId="7727FF43" w14:textId="2A4C1415" w:rsidR="003B6E05" w:rsidRPr="000C48F9" w:rsidRDefault="003B6E05" w:rsidP="00B44292">
      <w:pPr>
        <w:pStyle w:val="3-BodyText"/>
      </w:pPr>
      <w:r w:rsidRPr="000C48F9">
        <w:t xml:space="preserve">A comparison </w:t>
      </w:r>
      <w:r w:rsidR="00125E60" w:rsidRPr="000C48F9">
        <w:t xml:space="preserve">of single treatment arms </w:t>
      </w:r>
      <w:r w:rsidRPr="000C48F9">
        <w:t xml:space="preserve">was conducted during the </w:t>
      </w:r>
      <w:r w:rsidR="001719B8" w:rsidRPr="000C48F9">
        <w:t>e</w:t>
      </w:r>
      <w:r w:rsidRPr="000C48F9">
        <w:t xml:space="preserve">valuation to compare the outcomes in patients treated with ELX/TEZ/IVA across the age groups 6 to 11 years and </w:t>
      </w:r>
      <w:r w:rsidRPr="000C48F9">
        <w:rPr>
          <w:rFonts w:cstheme="minorHAnsi"/>
        </w:rPr>
        <w:t>≥</w:t>
      </w:r>
      <w:r w:rsidRPr="000C48F9">
        <w:t xml:space="preserve">12 years, which was only possible for F/F and F/MF patients. Acknowledging the inherent limitations of a comparison </w:t>
      </w:r>
      <w:r w:rsidR="00125E60" w:rsidRPr="000C48F9">
        <w:t xml:space="preserve">across treatment arms </w:t>
      </w:r>
      <w:r w:rsidRPr="000C48F9">
        <w:t>and differences across study design</w:t>
      </w:r>
      <w:r w:rsidR="005F7468" w:rsidRPr="000C48F9">
        <w:t>,</w:t>
      </w:r>
      <w:r w:rsidRPr="000C48F9">
        <w:t xml:space="preserve"> treatment effect </w:t>
      </w:r>
      <w:r w:rsidR="005F7468" w:rsidRPr="000C48F9">
        <w:rPr>
          <w:rFonts w:cs="Calibri"/>
        </w:rPr>
        <w:t>and patient’s pathophysiology across these patient groups</w:t>
      </w:r>
      <w:r w:rsidRPr="000C48F9">
        <w:t>, the following may be concluded:</w:t>
      </w:r>
    </w:p>
    <w:p w14:paraId="5478ADFE" w14:textId="1EFF3335" w:rsidR="003B6E05" w:rsidRPr="000C48F9" w:rsidRDefault="003B6E05" w:rsidP="00BC1217">
      <w:pPr>
        <w:pStyle w:val="3-BodyText"/>
        <w:numPr>
          <w:ilvl w:val="0"/>
          <w:numId w:val="9"/>
        </w:numPr>
        <w:ind w:left="1418" w:hanging="425"/>
      </w:pPr>
      <w:r w:rsidRPr="000C48F9">
        <w:t>In patients with an F/F mutation, similar ppFEV</w:t>
      </w:r>
      <w:r w:rsidRPr="000C48F9">
        <w:rPr>
          <w:vertAlign w:val="subscript"/>
        </w:rPr>
        <w:t>1</w:t>
      </w:r>
      <w:r w:rsidRPr="000C48F9">
        <w:t xml:space="preserve"> change from baseline was observed in the 6 to 11 years cohort at 24 weeks follow up in Study 106 (mean change = 11.2) versus the ≥12 years population at </w:t>
      </w:r>
      <w:r w:rsidR="004A787A" w:rsidRPr="000C48F9">
        <w:t xml:space="preserve">24 weeks </w:t>
      </w:r>
      <w:r w:rsidRPr="000C48F9">
        <w:t>(mean change</w:t>
      </w:r>
      <w:r w:rsidR="00E153EA" w:rsidRPr="000C48F9">
        <w:t xml:space="preserve"> </w:t>
      </w:r>
      <w:r w:rsidRPr="000C48F9">
        <w:t xml:space="preserve">= </w:t>
      </w:r>
      <w:r w:rsidR="004A787A" w:rsidRPr="000C48F9">
        <w:t>1</w:t>
      </w:r>
      <w:r w:rsidR="00125E60" w:rsidRPr="000C48F9">
        <w:t>1</w:t>
      </w:r>
      <w:r w:rsidR="004A787A" w:rsidRPr="000C48F9">
        <w:t>.2, in Study 109</w:t>
      </w:r>
      <w:r w:rsidR="00E153EA" w:rsidRPr="000C48F9">
        <w:rPr>
          <w:rStyle w:val="FootnoteReference"/>
        </w:rPr>
        <w:footnoteReference w:id="3"/>
      </w:r>
      <w:r w:rsidRPr="000C48F9">
        <w:t>).</w:t>
      </w:r>
    </w:p>
    <w:p w14:paraId="24FB1B60" w14:textId="3448073D" w:rsidR="00FD57CF" w:rsidRPr="000C48F9" w:rsidRDefault="003B6E05" w:rsidP="00FD57CF">
      <w:pPr>
        <w:pStyle w:val="3-BodyText"/>
        <w:numPr>
          <w:ilvl w:val="0"/>
          <w:numId w:val="9"/>
        </w:numPr>
        <w:ind w:left="1418" w:hanging="425"/>
      </w:pPr>
      <w:r w:rsidRPr="000C48F9">
        <w:t>In patients with an F/MF mutation, the results of Study 106 in patients 6 to 11 years reported a lower ppFEV</w:t>
      </w:r>
      <w:r w:rsidRPr="000C48F9">
        <w:rPr>
          <w:vertAlign w:val="subscript"/>
        </w:rPr>
        <w:t>1</w:t>
      </w:r>
      <w:r w:rsidRPr="000C48F9">
        <w:t xml:space="preserve"> change from baseline at Week 24 (mean change= 9.1) compared to the results </w:t>
      </w:r>
      <w:r w:rsidR="00125E60" w:rsidRPr="000C48F9">
        <w:t xml:space="preserve">at 24 weeks </w:t>
      </w:r>
      <w:r w:rsidRPr="000C48F9">
        <w:t>in patients ≥12 years (mean change</w:t>
      </w:r>
      <w:r w:rsidR="0044652A" w:rsidRPr="000C48F9">
        <w:t xml:space="preserve"> </w:t>
      </w:r>
      <w:r w:rsidRPr="000C48F9">
        <w:t>= 13.9</w:t>
      </w:r>
      <w:r w:rsidR="001719B8" w:rsidRPr="000C48F9">
        <w:rPr>
          <w:rStyle w:val="FootnoteReference"/>
        </w:rPr>
        <w:footnoteReference w:id="4"/>
      </w:r>
      <w:r w:rsidR="00125E60" w:rsidRPr="000C48F9">
        <w:t xml:space="preserve"> in Study 102</w:t>
      </w:r>
      <w:r w:rsidRPr="000C48F9">
        <w:t xml:space="preserve">). </w:t>
      </w:r>
    </w:p>
    <w:p w14:paraId="6082D2E5" w14:textId="409165CC" w:rsidR="000951DA" w:rsidRPr="00D26872" w:rsidRDefault="000951DA" w:rsidP="00FD57CF">
      <w:pPr>
        <w:pStyle w:val="3-BodyText"/>
        <w:numPr>
          <w:ilvl w:val="0"/>
          <w:numId w:val="9"/>
        </w:numPr>
        <w:ind w:left="1418" w:hanging="425"/>
      </w:pPr>
      <w:r w:rsidRPr="00D26872">
        <w:t xml:space="preserve">The ESC noted </w:t>
      </w:r>
      <w:r w:rsidR="00FD57CF" w:rsidRPr="00D26872">
        <w:t xml:space="preserve">that, while still meeting the MCID of 4 points, </w:t>
      </w:r>
      <w:r w:rsidRPr="00D26872">
        <w:t xml:space="preserve">the magnitude of benefit for change in CFQ-R Respiratory Domain score </w:t>
      </w:r>
      <w:r w:rsidR="00FD57CF" w:rsidRPr="00D26872">
        <w:t xml:space="preserve">at 24 weeks </w:t>
      </w:r>
      <w:r w:rsidRPr="00D26872">
        <w:t xml:space="preserve">was </w:t>
      </w:r>
      <w:r w:rsidR="00FD57CF" w:rsidRPr="00D26872">
        <w:t xml:space="preserve">substantially </w:t>
      </w:r>
      <w:r w:rsidRPr="00D26872">
        <w:t xml:space="preserve">lower for the younger children </w:t>
      </w:r>
      <w:r w:rsidR="00FD57CF" w:rsidRPr="00D26872">
        <w:t xml:space="preserve">(change of 6 – 7 points) compared to those over 12 years of age (change of approximately 17 points).  </w:t>
      </w:r>
    </w:p>
    <w:p w14:paraId="0636C662" w14:textId="77777777" w:rsidR="00681CAF" w:rsidRPr="000C48F9" w:rsidRDefault="003B6E05" w:rsidP="00681CAF">
      <w:pPr>
        <w:pStyle w:val="3-BodyText"/>
      </w:pPr>
      <w:r w:rsidRPr="000C48F9">
        <w:t xml:space="preserve">The submission did not provide any direct evidence for efficacy or safety for ELX/TEZ/IVA in patients aged 6 to 11 years with a F/G, F/RF or F/R117H mutation. Instead, the submission </w:t>
      </w:r>
      <w:r w:rsidR="00C51F89" w:rsidRPr="000C48F9">
        <w:t xml:space="preserve">relied on </w:t>
      </w:r>
      <w:r w:rsidRPr="000C48F9">
        <w:t>extrapolated evidence from Study 104, which measured efficacy in patients ≥12 years with a F/RF or F/G mutation</w:t>
      </w:r>
      <w:r w:rsidR="00125E60" w:rsidRPr="000C48F9">
        <w:t xml:space="preserve"> vs TEZ</w:t>
      </w:r>
      <w:r w:rsidR="00953633" w:rsidRPr="000C48F9">
        <w:t>/</w:t>
      </w:r>
      <w:r w:rsidR="00125E60" w:rsidRPr="000C48F9">
        <w:t>IVA (for F/RF population) and IV (for the F/G population)</w:t>
      </w:r>
      <w:r w:rsidRPr="000C48F9">
        <w:t xml:space="preserve">. </w:t>
      </w:r>
      <w:r w:rsidR="00681CAF" w:rsidRPr="00D26872">
        <w:t>The PSCR maintained that in CF</w:t>
      </w:r>
      <w:r w:rsidR="00681CAF" w:rsidRPr="000C48F9">
        <w:rPr>
          <w:i/>
          <w:iCs/>
        </w:rPr>
        <w:t xml:space="preserve"> </w:t>
      </w:r>
      <w:r w:rsidR="00681CAF" w:rsidRPr="00D26872">
        <w:t>patients aged 6 to 11 years old, the efficacy of ELX/TEZ/IVA can be extrapolated to all F/any patients including F/RF, F/F and F/R117H based on the well-established link between CFTR gene mutations and CF and PBAC’s previous assessment of ELX/TEZ/IVA in the 12+ F/any population.</w:t>
      </w:r>
    </w:p>
    <w:p w14:paraId="697C7080" w14:textId="4B2E9388" w:rsidR="00AF6ADF" w:rsidRPr="000C48F9" w:rsidRDefault="003B6E05" w:rsidP="00AF6ADF">
      <w:pPr>
        <w:pStyle w:val="3-BodyText"/>
        <w:rPr>
          <w:iCs/>
        </w:rPr>
      </w:pPr>
      <w:r w:rsidRPr="000C48F9">
        <w:t>The submission presented an analysis that aimed to evaluate the impact of age at IVA initiation among patients ≥6 years with an F/G mutation on pulmonary outcomes, including ppFEV</w:t>
      </w:r>
      <w:r w:rsidRPr="000C48F9">
        <w:rPr>
          <w:vertAlign w:val="subscript"/>
        </w:rPr>
        <w:t>1</w:t>
      </w:r>
      <w:r w:rsidRPr="000C48F9">
        <w:t xml:space="preserve"> and PEx rates, using </w:t>
      </w:r>
      <w:r w:rsidR="00A422A7" w:rsidRPr="000C48F9">
        <w:t xml:space="preserve">the </w:t>
      </w:r>
      <w:r w:rsidRPr="000C48F9">
        <w:t xml:space="preserve">United States CF Foundation Patients Registry </w:t>
      </w:r>
      <w:r w:rsidR="00A422A7" w:rsidRPr="000C48F9">
        <w:t xml:space="preserve">(US CFFPR) </w:t>
      </w:r>
      <w:r w:rsidRPr="000C48F9">
        <w:t>data through 2019. The results of the analysis showed that patients who had initiated IVA between ages 6 to 10 years had a ppFEV</w:t>
      </w:r>
      <w:r w:rsidRPr="000C48F9">
        <w:rPr>
          <w:vertAlign w:val="subscript"/>
        </w:rPr>
        <w:t>1</w:t>
      </w:r>
      <w:r w:rsidRPr="000C48F9">
        <w:t xml:space="preserve">, on average, 6.3 percentage points higher (101.82 %) than patients who initiated IVA between ages 11 to 15 years (96.09%). </w:t>
      </w:r>
      <w:r w:rsidRPr="000C48F9">
        <w:rPr>
          <w:iCs/>
        </w:rPr>
        <w:t xml:space="preserve">The clinical significance of </w:t>
      </w:r>
      <w:r w:rsidR="00AF6ADF" w:rsidRPr="000C48F9">
        <w:rPr>
          <w:iCs/>
        </w:rPr>
        <w:t xml:space="preserve">the difference in </w:t>
      </w:r>
      <w:r w:rsidRPr="000C48F9">
        <w:rPr>
          <w:iCs/>
        </w:rPr>
        <w:t>mean ppFEV</w:t>
      </w:r>
      <w:r w:rsidRPr="000C48F9">
        <w:rPr>
          <w:iCs/>
          <w:vertAlign w:val="subscript"/>
        </w:rPr>
        <w:t>1</w:t>
      </w:r>
      <w:r w:rsidRPr="000C48F9">
        <w:rPr>
          <w:iCs/>
        </w:rPr>
        <w:t xml:space="preserve"> is uncertain</w:t>
      </w:r>
      <w:r w:rsidR="00AF6ADF" w:rsidRPr="000C48F9">
        <w:rPr>
          <w:iCs/>
        </w:rPr>
        <w:t>.</w:t>
      </w:r>
      <w:r w:rsidRPr="000C48F9">
        <w:rPr>
          <w:i/>
        </w:rPr>
        <w:t xml:space="preserve"> </w:t>
      </w:r>
      <w:r w:rsidR="00AF6ADF" w:rsidRPr="000C48F9">
        <w:rPr>
          <w:iCs/>
        </w:rPr>
        <w:t>Further, the submission reported that</w:t>
      </w:r>
      <w:r w:rsidR="00AF6ADF" w:rsidRPr="000C48F9">
        <w:t xml:space="preserve"> initiation with IVA between the ages of 6 to 10 years versus 11 to 15 was associated with a 50% lower rate of PEx at ages 11 to 15 years. </w:t>
      </w:r>
      <w:r w:rsidR="00AF6ADF" w:rsidRPr="000C48F9">
        <w:rPr>
          <w:iCs/>
        </w:rPr>
        <w:t xml:space="preserve">It is uncertain whether the differences reported in the incidence in PEx are due to lung function deterioration because of age or early treatment.  </w:t>
      </w:r>
    </w:p>
    <w:p w14:paraId="10B6AEA8" w14:textId="6D3A5653" w:rsidR="003B6E05" w:rsidRPr="000C48F9" w:rsidRDefault="00A02EFE" w:rsidP="00B44292">
      <w:pPr>
        <w:pStyle w:val="3-BodyText"/>
        <w:rPr>
          <w:iCs/>
        </w:rPr>
      </w:pPr>
      <w:r w:rsidRPr="000C48F9">
        <w:rPr>
          <w:iCs/>
        </w:rPr>
        <w:t>T</w:t>
      </w:r>
      <w:r w:rsidR="003B6E05" w:rsidRPr="000C48F9">
        <w:rPr>
          <w:iCs/>
        </w:rPr>
        <w:t>he PBAC</w:t>
      </w:r>
      <w:r w:rsidR="00705FC0" w:rsidRPr="000C48F9">
        <w:rPr>
          <w:iCs/>
        </w:rPr>
        <w:t xml:space="preserve"> previously</w:t>
      </w:r>
      <w:r w:rsidR="003B6E05" w:rsidRPr="000C48F9">
        <w:rPr>
          <w:iCs/>
        </w:rPr>
        <w:t xml:space="preserve"> considered that on the basis of the aetiology of CF and evidence of similar response in patients aged 2 to 5 years compared to older patients, that it was biologically plausible that earlier treatment would confer some benefit to patients, however the magnitude of any incremental benefit in the short term and over the lifetime of the patient was unknown (para 6.22, ivacaftor PSD, November 2016). </w:t>
      </w:r>
    </w:p>
    <w:p w14:paraId="67ED408D" w14:textId="77777777" w:rsidR="003B6E05" w:rsidRPr="000C48F9" w:rsidRDefault="003B6E05" w:rsidP="00B44292">
      <w:pPr>
        <w:pStyle w:val="4-SubsectionHeading"/>
      </w:pPr>
      <w:bookmarkStart w:id="31" w:name="_Toc114047715"/>
      <w:r w:rsidRPr="000C48F9">
        <w:t>Comparative harms</w:t>
      </w:r>
      <w:bookmarkEnd w:id="31"/>
    </w:p>
    <w:p w14:paraId="13D24A33" w14:textId="77B20526" w:rsidR="003B6E05" w:rsidRPr="000C48F9" w:rsidRDefault="003B6E05" w:rsidP="00B44292">
      <w:pPr>
        <w:pStyle w:val="3-BodyText"/>
      </w:pPr>
      <w:r w:rsidRPr="000C48F9">
        <w:t xml:space="preserve">The TGA CER concluded that the safety profile of ELX/TEZ/IVA in patients 6 to 11 years was favourable with no new safety concerns. It was noted </w:t>
      </w:r>
      <w:r w:rsidR="007502B5" w:rsidRPr="000C48F9">
        <w:t xml:space="preserve">by the TGA clinical evaluator </w:t>
      </w:r>
      <w:r w:rsidRPr="000C48F9">
        <w:t>that the main limitation of the evidence (based on Study 106 only) was the absence of long-term safety data.</w:t>
      </w:r>
    </w:p>
    <w:p w14:paraId="05754C5D" w14:textId="30AA4045" w:rsidR="003B6E05" w:rsidRPr="000C48F9" w:rsidRDefault="003B6E05" w:rsidP="00B44292">
      <w:pPr>
        <w:pStyle w:val="3-BodyText"/>
      </w:pPr>
      <w:r w:rsidRPr="000C48F9">
        <w:t>A summary of the adverse events for ELX/TEZ/IVA versus placebo in Study 116 for F/MF patients is presented in</w:t>
      </w:r>
      <w:r w:rsidR="007F4CA0" w:rsidRPr="000C48F9">
        <w:t xml:space="preserve"> </w:t>
      </w:r>
      <w:r w:rsidR="007F4CA0" w:rsidRPr="000C48F9">
        <w:fldChar w:fldCharType="begin" w:fldLock="1"/>
      </w:r>
      <w:r w:rsidR="007F4CA0" w:rsidRPr="000C48F9">
        <w:instrText xml:space="preserve"> REF _Ref112923164 \h </w:instrText>
      </w:r>
      <w:r w:rsidR="007F4CA0" w:rsidRPr="000C48F9">
        <w:fldChar w:fldCharType="separate"/>
      </w:r>
      <w:r w:rsidR="009A1227" w:rsidRPr="000C48F9">
        <w:t xml:space="preserve">Table </w:t>
      </w:r>
      <w:r w:rsidR="009A1227">
        <w:rPr>
          <w:noProof/>
        </w:rPr>
        <w:t>10</w:t>
      </w:r>
      <w:r w:rsidR="007F4CA0" w:rsidRPr="000C48F9">
        <w:fldChar w:fldCharType="end"/>
      </w:r>
      <w:r w:rsidRPr="000C48F9">
        <w:t xml:space="preserve">. </w:t>
      </w:r>
    </w:p>
    <w:p w14:paraId="7FFF4A59" w14:textId="21AE365C" w:rsidR="003B6E05" w:rsidRPr="000C48F9" w:rsidRDefault="003B6E05" w:rsidP="003E016D">
      <w:pPr>
        <w:pStyle w:val="TableFigureHeading"/>
        <w:keepLines/>
      </w:pPr>
      <w:bookmarkStart w:id="32" w:name="_Ref112923164"/>
      <w:r w:rsidRPr="000C48F9">
        <w:t xml:space="preserve">Table </w:t>
      </w:r>
      <w:r w:rsidR="008E430C">
        <w:fldChar w:fldCharType="begin" w:fldLock="1"/>
      </w:r>
      <w:r w:rsidR="008E430C">
        <w:instrText xml:space="preserve"> SEQ Table \* ARABIC </w:instrText>
      </w:r>
      <w:r w:rsidR="008E430C">
        <w:fldChar w:fldCharType="separate"/>
      </w:r>
      <w:r w:rsidR="009A1227">
        <w:rPr>
          <w:noProof/>
        </w:rPr>
        <w:t>10</w:t>
      </w:r>
      <w:r w:rsidR="008E430C">
        <w:rPr>
          <w:noProof/>
        </w:rPr>
        <w:fldChar w:fldCharType="end"/>
      </w:r>
      <w:bookmarkEnd w:id="32"/>
      <w:r w:rsidRPr="000C48F9">
        <w:t>: Summary of key adverse events in Study 116 F/MF patients, Safety Set</w:t>
      </w:r>
    </w:p>
    <w:tbl>
      <w:tblPr>
        <w:tblStyle w:val="HTATableshaded"/>
        <w:tblW w:w="5000" w:type="pct"/>
        <w:tblLayout w:type="fixed"/>
        <w:tblLook w:val="04A0" w:firstRow="1" w:lastRow="0" w:firstColumn="1" w:lastColumn="0" w:noHBand="0" w:noVBand="1"/>
      </w:tblPr>
      <w:tblGrid>
        <w:gridCol w:w="5273"/>
        <w:gridCol w:w="1828"/>
        <w:gridCol w:w="1915"/>
      </w:tblGrid>
      <w:tr w:rsidR="003B6E05" w:rsidRPr="000C48F9" w14:paraId="09887B55" w14:textId="77777777" w:rsidTr="007502B5">
        <w:trPr>
          <w:cnfStyle w:val="100000000000" w:firstRow="1" w:lastRow="0" w:firstColumn="0" w:lastColumn="0" w:oddVBand="0" w:evenVBand="0" w:oddHBand="0" w:evenHBand="0" w:firstRowFirstColumn="0" w:firstRowLastColumn="0" w:lastRowFirstColumn="0" w:lastRowLastColumn="0"/>
          <w:trHeight w:val="361"/>
          <w:tblHeader/>
        </w:trPr>
        <w:tc>
          <w:tcPr>
            <w:tcW w:w="5274" w:type="dxa"/>
            <w:shd w:val="clear" w:color="auto" w:fill="auto"/>
          </w:tcPr>
          <w:p w14:paraId="7FD42BDE" w14:textId="77777777" w:rsidR="003B6E05" w:rsidRPr="000C48F9" w:rsidRDefault="003B6E05" w:rsidP="003E016D">
            <w:pPr>
              <w:pStyle w:val="TableHeadingleft"/>
              <w:keepNext/>
              <w:keepLines/>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Category, n (%)</w:t>
            </w:r>
          </w:p>
        </w:tc>
        <w:tc>
          <w:tcPr>
            <w:tcW w:w="1828" w:type="dxa"/>
            <w:shd w:val="clear" w:color="auto" w:fill="auto"/>
            <w:vAlign w:val="center"/>
          </w:tcPr>
          <w:p w14:paraId="09A3E773" w14:textId="77777777" w:rsidR="003B6E05" w:rsidRPr="000C48F9" w:rsidRDefault="003B6E05" w:rsidP="003E016D">
            <w:pPr>
              <w:pStyle w:val="Tableheadingcent"/>
              <w:keepNext/>
              <w:keepLines/>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ELX/TEZ/IVA</w:t>
            </w:r>
          </w:p>
          <w:p w14:paraId="6FF2EDBB" w14:textId="77777777" w:rsidR="003B6E05" w:rsidRPr="000C48F9" w:rsidRDefault="003B6E05" w:rsidP="003E016D">
            <w:pPr>
              <w:pStyle w:val="Tableheadingcent"/>
              <w:keepNext/>
              <w:keepLines/>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N=60</w:t>
            </w:r>
          </w:p>
        </w:tc>
        <w:tc>
          <w:tcPr>
            <w:tcW w:w="1915" w:type="dxa"/>
            <w:shd w:val="clear" w:color="auto" w:fill="auto"/>
            <w:vAlign w:val="center"/>
          </w:tcPr>
          <w:p w14:paraId="55971FA9" w14:textId="77777777" w:rsidR="003B6E05" w:rsidRPr="000C48F9" w:rsidRDefault="003B6E05" w:rsidP="003E016D">
            <w:pPr>
              <w:pStyle w:val="Tableheadingcent"/>
              <w:keepNext/>
              <w:keepLines/>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Placebo</w:t>
            </w:r>
          </w:p>
          <w:p w14:paraId="21A672A2" w14:textId="77777777" w:rsidR="003B6E05" w:rsidRPr="000C48F9" w:rsidRDefault="003B6E05" w:rsidP="003E016D">
            <w:pPr>
              <w:pStyle w:val="Tableheadingcent"/>
              <w:keepNext/>
              <w:keepLines/>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N=61</w:t>
            </w:r>
          </w:p>
        </w:tc>
      </w:tr>
      <w:tr w:rsidR="003B6E05" w:rsidRPr="000C48F9" w14:paraId="506E498F" w14:textId="77777777" w:rsidTr="007502B5">
        <w:trPr>
          <w:trHeight w:val="306"/>
        </w:trPr>
        <w:tc>
          <w:tcPr>
            <w:tcW w:w="5274" w:type="dxa"/>
          </w:tcPr>
          <w:p w14:paraId="53F0347C"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Number of AEs (Total) </w:t>
            </w:r>
          </w:p>
        </w:tc>
        <w:tc>
          <w:tcPr>
            <w:tcW w:w="1828" w:type="dxa"/>
            <w:vAlign w:val="center"/>
          </w:tcPr>
          <w:p w14:paraId="411A5343"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212</w:t>
            </w:r>
          </w:p>
        </w:tc>
        <w:tc>
          <w:tcPr>
            <w:tcW w:w="1915" w:type="dxa"/>
            <w:vAlign w:val="center"/>
          </w:tcPr>
          <w:p w14:paraId="29F8FF7E"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335</w:t>
            </w:r>
          </w:p>
        </w:tc>
      </w:tr>
      <w:tr w:rsidR="003B6E05" w:rsidRPr="000C48F9" w14:paraId="46145130" w14:textId="77777777" w:rsidTr="007502B5">
        <w:trPr>
          <w:trHeight w:val="306"/>
        </w:trPr>
        <w:tc>
          <w:tcPr>
            <w:tcW w:w="5274" w:type="dxa"/>
          </w:tcPr>
          <w:p w14:paraId="3208C30C"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any AEs </w:t>
            </w:r>
          </w:p>
        </w:tc>
        <w:tc>
          <w:tcPr>
            <w:tcW w:w="1828" w:type="dxa"/>
            <w:vAlign w:val="center"/>
          </w:tcPr>
          <w:p w14:paraId="152F83DF"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48 (80.0)</w:t>
            </w:r>
          </w:p>
        </w:tc>
        <w:tc>
          <w:tcPr>
            <w:tcW w:w="1915" w:type="dxa"/>
            <w:vAlign w:val="center"/>
          </w:tcPr>
          <w:p w14:paraId="5AE2B3B0"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57 (93.4)</w:t>
            </w:r>
          </w:p>
        </w:tc>
      </w:tr>
      <w:tr w:rsidR="003B6E05" w:rsidRPr="000C48F9" w14:paraId="6273D31B" w14:textId="77777777" w:rsidTr="007502B5">
        <w:trPr>
          <w:trHeight w:val="306"/>
        </w:trPr>
        <w:tc>
          <w:tcPr>
            <w:tcW w:w="5274" w:type="dxa"/>
          </w:tcPr>
          <w:p w14:paraId="4851BB1E"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AEs leading to study drug discontinuation </w:t>
            </w:r>
          </w:p>
        </w:tc>
        <w:tc>
          <w:tcPr>
            <w:tcW w:w="1828" w:type="dxa"/>
            <w:vAlign w:val="center"/>
          </w:tcPr>
          <w:p w14:paraId="0284584D"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1 (1.7)</w:t>
            </w:r>
          </w:p>
        </w:tc>
        <w:tc>
          <w:tcPr>
            <w:tcW w:w="1915" w:type="dxa"/>
            <w:vAlign w:val="center"/>
          </w:tcPr>
          <w:p w14:paraId="2A3C32C1"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0</w:t>
            </w:r>
          </w:p>
        </w:tc>
      </w:tr>
      <w:tr w:rsidR="003B6E05" w:rsidRPr="000C48F9" w14:paraId="7BA6AA15" w14:textId="77777777" w:rsidTr="007502B5">
        <w:trPr>
          <w:trHeight w:val="306"/>
        </w:trPr>
        <w:tc>
          <w:tcPr>
            <w:tcW w:w="5274" w:type="dxa"/>
          </w:tcPr>
          <w:p w14:paraId="10769E1C"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AEs leading to study drug interruption </w:t>
            </w:r>
          </w:p>
        </w:tc>
        <w:tc>
          <w:tcPr>
            <w:tcW w:w="1828" w:type="dxa"/>
            <w:vAlign w:val="center"/>
          </w:tcPr>
          <w:p w14:paraId="319C4FD8"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7 (11.7)</w:t>
            </w:r>
          </w:p>
        </w:tc>
        <w:tc>
          <w:tcPr>
            <w:tcW w:w="1915" w:type="dxa"/>
            <w:vAlign w:val="center"/>
          </w:tcPr>
          <w:p w14:paraId="54AFE9BC"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0</w:t>
            </w:r>
          </w:p>
        </w:tc>
      </w:tr>
      <w:tr w:rsidR="003B6E05" w:rsidRPr="000C48F9" w14:paraId="0355541C" w14:textId="77777777" w:rsidTr="007502B5">
        <w:trPr>
          <w:trHeight w:val="306"/>
        </w:trPr>
        <w:tc>
          <w:tcPr>
            <w:tcW w:w="5274" w:type="dxa"/>
          </w:tcPr>
          <w:p w14:paraId="43D7F133"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Grade 3/4 AEs </w:t>
            </w:r>
          </w:p>
        </w:tc>
        <w:tc>
          <w:tcPr>
            <w:tcW w:w="1828" w:type="dxa"/>
            <w:vAlign w:val="center"/>
          </w:tcPr>
          <w:p w14:paraId="4E4CF7E2"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2 (3.3)</w:t>
            </w:r>
          </w:p>
        </w:tc>
        <w:tc>
          <w:tcPr>
            <w:tcW w:w="1915" w:type="dxa"/>
            <w:vAlign w:val="center"/>
          </w:tcPr>
          <w:p w14:paraId="79CE8871"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2 (3.3)</w:t>
            </w:r>
          </w:p>
        </w:tc>
      </w:tr>
      <w:tr w:rsidR="003B6E05" w:rsidRPr="000C48F9" w14:paraId="401A04A3" w14:textId="77777777" w:rsidTr="007502B5">
        <w:trPr>
          <w:trHeight w:val="306"/>
        </w:trPr>
        <w:tc>
          <w:tcPr>
            <w:tcW w:w="5274" w:type="dxa"/>
          </w:tcPr>
          <w:p w14:paraId="7B886FCA"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related AEs </w:t>
            </w:r>
          </w:p>
        </w:tc>
        <w:tc>
          <w:tcPr>
            <w:tcW w:w="1828" w:type="dxa"/>
            <w:vAlign w:val="center"/>
          </w:tcPr>
          <w:p w14:paraId="3C358C60"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26 (43.3)</w:t>
            </w:r>
          </w:p>
        </w:tc>
        <w:tc>
          <w:tcPr>
            <w:tcW w:w="1915" w:type="dxa"/>
            <w:vAlign w:val="center"/>
          </w:tcPr>
          <w:p w14:paraId="6D571052"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23 (37.7)</w:t>
            </w:r>
          </w:p>
        </w:tc>
      </w:tr>
      <w:tr w:rsidR="003B6E05" w:rsidRPr="000C48F9" w14:paraId="2A61954F" w14:textId="77777777" w:rsidTr="007502B5">
        <w:trPr>
          <w:trHeight w:val="306"/>
        </w:trPr>
        <w:tc>
          <w:tcPr>
            <w:tcW w:w="5274" w:type="dxa"/>
          </w:tcPr>
          <w:p w14:paraId="4130BBF4"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SAEs </w:t>
            </w:r>
          </w:p>
        </w:tc>
        <w:tc>
          <w:tcPr>
            <w:tcW w:w="1828" w:type="dxa"/>
            <w:vAlign w:val="center"/>
          </w:tcPr>
          <w:p w14:paraId="05A75836"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4 (6.7)</w:t>
            </w:r>
          </w:p>
        </w:tc>
        <w:tc>
          <w:tcPr>
            <w:tcW w:w="1915" w:type="dxa"/>
            <w:vAlign w:val="center"/>
          </w:tcPr>
          <w:p w14:paraId="7FEFB78D"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9 (14..8)</w:t>
            </w:r>
          </w:p>
        </w:tc>
      </w:tr>
      <w:tr w:rsidR="003B6E05" w:rsidRPr="000C48F9" w14:paraId="066AB260" w14:textId="77777777" w:rsidTr="007502B5">
        <w:trPr>
          <w:trHeight w:val="306"/>
        </w:trPr>
        <w:tc>
          <w:tcPr>
            <w:tcW w:w="5274" w:type="dxa"/>
          </w:tcPr>
          <w:p w14:paraId="7CA9BF8D"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Subjects with related SAEs</w:t>
            </w:r>
          </w:p>
        </w:tc>
        <w:tc>
          <w:tcPr>
            <w:tcW w:w="1828" w:type="dxa"/>
            <w:vAlign w:val="center"/>
          </w:tcPr>
          <w:p w14:paraId="17268BD8"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1 (1.7)</w:t>
            </w:r>
          </w:p>
        </w:tc>
        <w:tc>
          <w:tcPr>
            <w:tcW w:w="1915" w:type="dxa"/>
            <w:vAlign w:val="center"/>
          </w:tcPr>
          <w:p w14:paraId="3CCFAE9E"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1 (1.6)</w:t>
            </w:r>
          </w:p>
        </w:tc>
      </w:tr>
      <w:tr w:rsidR="003B6E05" w:rsidRPr="000C48F9" w14:paraId="0CA25BFF" w14:textId="77777777" w:rsidTr="007502B5">
        <w:trPr>
          <w:trHeight w:val="306"/>
        </w:trPr>
        <w:tc>
          <w:tcPr>
            <w:tcW w:w="5274" w:type="dxa"/>
          </w:tcPr>
          <w:p w14:paraId="4649D196" w14:textId="77777777" w:rsidR="003B6E05" w:rsidRPr="000C48F9" w:rsidRDefault="003B6E05" w:rsidP="003E016D">
            <w:pPr>
              <w:pStyle w:val="Tabletextleft"/>
              <w:keepNext/>
              <w:keepLines/>
              <w:spacing w:before="0" w:after="0"/>
              <w:rPr>
                <w:rFonts w:ascii="Arial Narrow" w:hAnsi="Arial Narrow" w:cstheme="minorHAnsi"/>
                <w:sz w:val="20"/>
              </w:rPr>
            </w:pPr>
            <w:r w:rsidRPr="000C48F9">
              <w:rPr>
                <w:rFonts w:ascii="Arial Narrow" w:hAnsi="Arial Narrow" w:cstheme="minorHAnsi"/>
                <w:sz w:val="20"/>
              </w:rPr>
              <w:t xml:space="preserve">Subjects with AEs leading to death </w:t>
            </w:r>
          </w:p>
        </w:tc>
        <w:tc>
          <w:tcPr>
            <w:tcW w:w="1828" w:type="dxa"/>
            <w:vAlign w:val="center"/>
          </w:tcPr>
          <w:p w14:paraId="18FA30A0"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0</w:t>
            </w:r>
          </w:p>
        </w:tc>
        <w:tc>
          <w:tcPr>
            <w:tcW w:w="1915" w:type="dxa"/>
            <w:vAlign w:val="center"/>
          </w:tcPr>
          <w:p w14:paraId="51282864" w14:textId="77777777" w:rsidR="003B6E05" w:rsidRPr="000C48F9" w:rsidRDefault="003B6E05" w:rsidP="003E016D">
            <w:pPr>
              <w:pStyle w:val="Tabletextcent"/>
              <w:keepNext/>
              <w:keepLines/>
              <w:spacing w:before="0" w:after="0"/>
              <w:rPr>
                <w:rFonts w:ascii="Arial Narrow" w:hAnsi="Arial Narrow" w:cstheme="minorHAnsi"/>
                <w:sz w:val="20"/>
                <w:lang w:val="en-AU"/>
              </w:rPr>
            </w:pPr>
            <w:r w:rsidRPr="000C48F9">
              <w:rPr>
                <w:rFonts w:ascii="Arial Narrow" w:hAnsi="Arial Narrow" w:cstheme="minorHAnsi"/>
                <w:sz w:val="20"/>
                <w:lang w:val="en-AU"/>
              </w:rPr>
              <w:t>0</w:t>
            </w:r>
          </w:p>
        </w:tc>
      </w:tr>
    </w:tbl>
    <w:p w14:paraId="4BB00D0B" w14:textId="77777777" w:rsidR="003B6E05" w:rsidRPr="000C48F9" w:rsidRDefault="003B6E05" w:rsidP="003E016D">
      <w:pPr>
        <w:pStyle w:val="TableFigureFooter"/>
        <w:keepNext/>
        <w:keepLines/>
      </w:pPr>
      <w:r w:rsidRPr="000C48F9">
        <w:t xml:space="preserve">Source: 2.5.6 p89-90 of the submission. </w:t>
      </w:r>
    </w:p>
    <w:p w14:paraId="3BF13CCF" w14:textId="35CD93E4" w:rsidR="003B6E05" w:rsidRPr="000C48F9" w:rsidRDefault="003B6E05" w:rsidP="003E016D">
      <w:pPr>
        <w:pStyle w:val="TableFigureFooter"/>
        <w:keepNext/>
        <w:keepLines/>
      </w:pPr>
      <w:r w:rsidRPr="000C48F9">
        <w:t>AE = adverse event; CI = confidence interval; ELX = elexacaftor; IVA = ivacaftor; RD = risk difference; SAE = serious adverse event; TEZ = tezacaftor</w:t>
      </w:r>
    </w:p>
    <w:p w14:paraId="30B69490" w14:textId="77777777" w:rsidR="003B6E05" w:rsidRPr="000C48F9" w:rsidRDefault="003B6E05" w:rsidP="003E016D">
      <w:pPr>
        <w:pStyle w:val="TableFigureFooter"/>
        <w:keepNext/>
        <w:keepLines/>
      </w:pPr>
      <w:r w:rsidRPr="000C48F9">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14:paraId="676E171A" w14:textId="77777777" w:rsidR="003B6E05" w:rsidRPr="000C48F9" w:rsidRDefault="003B6E05" w:rsidP="003E016D">
      <w:pPr>
        <w:pStyle w:val="TableFigureFooter"/>
        <w:keepNext/>
        <w:keepLines/>
      </w:pPr>
      <w:r w:rsidRPr="000C48F9">
        <w:t>Note:</w:t>
      </w:r>
    </w:p>
    <w:p w14:paraId="05792288" w14:textId="252D4A1A" w:rsidR="003B6E05" w:rsidRPr="000C48F9" w:rsidRDefault="003B6E05" w:rsidP="003E016D">
      <w:pPr>
        <w:pStyle w:val="TableFigureFooter"/>
        <w:keepNext/>
        <w:keepLines/>
      </w:pPr>
      <w:r w:rsidRPr="000C48F9">
        <w:rPr>
          <w:vertAlign w:val="superscript"/>
        </w:rPr>
        <w:t>a</w:t>
      </w:r>
      <w:r w:rsidRPr="000C48F9">
        <w:t>When summarising number of subjects with related SAE, AEs with relationship of related, possibly related, and missing were counted.</w:t>
      </w:r>
    </w:p>
    <w:p w14:paraId="132E65F8" w14:textId="51F9926D" w:rsidR="003B6E05" w:rsidRPr="000C48F9" w:rsidRDefault="003B6E05" w:rsidP="00B44292">
      <w:pPr>
        <w:pStyle w:val="3-BodyText"/>
      </w:pPr>
      <w:r w:rsidRPr="000C48F9">
        <w:t>A summary of the adverse events for ELX/TEZ/IVA in Study 107, which reflects the most updated data, for F/MF and F/F patients is presented in</w:t>
      </w:r>
      <w:r w:rsidR="007F4CA0" w:rsidRPr="000C48F9">
        <w:t xml:space="preserve"> </w:t>
      </w:r>
      <w:r w:rsidR="007F4CA0" w:rsidRPr="000C48F9">
        <w:fldChar w:fldCharType="begin" w:fldLock="1"/>
      </w:r>
      <w:r w:rsidR="007F4CA0" w:rsidRPr="000C48F9">
        <w:instrText xml:space="preserve"> REF _Ref112923188 \h </w:instrText>
      </w:r>
      <w:r w:rsidR="007F4CA0" w:rsidRPr="000C48F9">
        <w:fldChar w:fldCharType="separate"/>
      </w:r>
      <w:r w:rsidR="009A1227" w:rsidRPr="000C48F9">
        <w:t xml:space="preserve">Table </w:t>
      </w:r>
      <w:r w:rsidR="009A1227">
        <w:rPr>
          <w:noProof/>
        </w:rPr>
        <w:t>11</w:t>
      </w:r>
      <w:r w:rsidR="007F4CA0" w:rsidRPr="000C48F9">
        <w:fldChar w:fldCharType="end"/>
      </w:r>
      <w:r w:rsidRPr="000C48F9">
        <w:t xml:space="preserve">. </w:t>
      </w:r>
      <w:r w:rsidR="00983F62" w:rsidRPr="000C48F9">
        <w:t>At the time of the IA for Study 107</w:t>
      </w:r>
      <w:r w:rsidR="00257DD1" w:rsidRPr="000C48F9">
        <w:t>, 79.7% patients experienced an AEs, all of which were mild or moderate in severity and generally consistent with manifestations of CF. No children discontinued study drug because of AEs in Study 107.</w:t>
      </w:r>
    </w:p>
    <w:p w14:paraId="760A9529" w14:textId="4C4CDF6A" w:rsidR="003B6E05" w:rsidRPr="000C48F9" w:rsidRDefault="003B6E05" w:rsidP="00B44292">
      <w:pPr>
        <w:pStyle w:val="TableFigureHeading"/>
      </w:pPr>
      <w:bookmarkStart w:id="33" w:name="_Ref112923188"/>
      <w:r w:rsidRPr="000C48F9">
        <w:t xml:space="preserve">Table </w:t>
      </w:r>
      <w:r w:rsidR="008E430C">
        <w:fldChar w:fldCharType="begin" w:fldLock="1"/>
      </w:r>
      <w:r w:rsidR="008E430C">
        <w:instrText xml:space="preserve"> SEQ Table \* ARABIC </w:instrText>
      </w:r>
      <w:r w:rsidR="008E430C">
        <w:fldChar w:fldCharType="separate"/>
      </w:r>
      <w:r w:rsidR="009A1227">
        <w:rPr>
          <w:noProof/>
        </w:rPr>
        <w:t>11</w:t>
      </w:r>
      <w:r w:rsidR="008E430C">
        <w:rPr>
          <w:noProof/>
        </w:rPr>
        <w:fldChar w:fldCharType="end"/>
      </w:r>
      <w:bookmarkEnd w:id="33"/>
      <w:r w:rsidRPr="000C48F9">
        <w:t>: Summary of key adverse events in Study 106 F/F and F/MF patients, Safety Set</w:t>
      </w:r>
    </w:p>
    <w:tbl>
      <w:tblPr>
        <w:tblStyle w:val="HTATableshaded"/>
        <w:tblW w:w="5000" w:type="pct"/>
        <w:tblLayout w:type="fixed"/>
        <w:tblLook w:val="04A0" w:firstRow="1" w:lastRow="0" w:firstColumn="1" w:lastColumn="0" w:noHBand="0" w:noVBand="1"/>
      </w:tblPr>
      <w:tblGrid>
        <w:gridCol w:w="6306"/>
        <w:gridCol w:w="2710"/>
      </w:tblGrid>
      <w:tr w:rsidR="002345B8" w:rsidRPr="000C48F9" w14:paraId="2D664E4C" w14:textId="77777777" w:rsidTr="002345B8">
        <w:trPr>
          <w:cnfStyle w:val="100000000000" w:firstRow="1" w:lastRow="0" w:firstColumn="0" w:lastColumn="0" w:oddVBand="0" w:evenVBand="0" w:oddHBand="0" w:evenHBand="0" w:firstRowFirstColumn="0" w:firstRowLastColumn="0" w:lastRowFirstColumn="0" w:lastRowLastColumn="0"/>
          <w:trHeight w:val="365"/>
          <w:tblHeader/>
        </w:trPr>
        <w:tc>
          <w:tcPr>
            <w:tcW w:w="6307" w:type="dxa"/>
            <w:vMerge w:val="restart"/>
            <w:shd w:val="clear" w:color="auto" w:fill="auto"/>
            <w:vAlign w:val="center"/>
          </w:tcPr>
          <w:p w14:paraId="0F093D55" w14:textId="77777777" w:rsidR="002345B8" w:rsidRPr="000C48F9" w:rsidRDefault="002345B8" w:rsidP="008A6997">
            <w:pPr>
              <w:pStyle w:val="TableHeadingleft"/>
              <w:spacing w:before="0" w:after="0"/>
              <w:rPr>
                <w:rFonts w:ascii="Arial Narrow" w:hAnsi="Arial Narrow" w:cstheme="minorHAnsi"/>
                <w:sz w:val="20"/>
                <w:szCs w:val="20"/>
                <w:lang w:val="en-AU"/>
              </w:rPr>
            </w:pPr>
            <w:r w:rsidRPr="000C48F9">
              <w:rPr>
                <w:lang w:val="en-AU"/>
              </w:rPr>
              <w:t xml:space="preserve"> </w:t>
            </w:r>
            <w:r w:rsidRPr="000C48F9">
              <w:rPr>
                <w:rFonts w:ascii="Arial Narrow" w:hAnsi="Arial Narrow" w:cstheme="minorHAnsi"/>
                <w:sz w:val="20"/>
                <w:szCs w:val="20"/>
                <w:lang w:val="en-AU"/>
              </w:rPr>
              <w:t>Category, n (%)</w:t>
            </w:r>
          </w:p>
        </w:tc>
        <w:tc>
          <w:tcPr>
            <w:tcW w:w="2710" w:type="dxa"/>
          </w:tcPr>
          <w:p w14:paraId="3D6B3B1A" w14:textId="116C60D4" w:rsidR="002345B8" w:rsidRPr="000C48F9" w:rsidRDefault="002345B8" w:rsidP="008A6997">
            <w:pPr>
              <w:pStyle w:val="Tableheadingcent"/>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Study 106 F/F and F/MF</w:t>
            </w:r>
          </w:p>
        </w:tc>
      </w:tr>
      <w:tr w:rsidR="002345B8" w:rsidRPr="000C48F9" w14:paraId="71863F29" w14:textId="77777777" w:rsidTr="002345B8">
        <w:trPr>
          <w:cnfStyle w:val="100000000000" w:firstRow="1" w:lastRow="0" w:firstColumn="0" w:lastColumn="0" w:oddVBand="0" w:evenVBand="0" w:oddHBand="0" w:evenHBand="0" w:firstRowFirstColumn="0" w:firstRowLastColumn="0" w:lastRowFirstColumn="0" w:lastRowLastColumn="0"/>
          <w:trHeight w:val="364"/>
          <w:tblHeader/>
        </w:trPr>
        <w:tc>
          <w:tcPr>
            <w:tcW w:w="6307" w:type="dxa"/>
            <w:vMerge/>
            <w:shd w:val="clear" w:color="auto" w:fill="auto"/>
            <w:vAlign w:val="center"/>
          </w:tcPr>
          <w:p w14:paraId="48D68A15" w14:textId="77777777" w:rsidR="002345B8" w:rsidRPr="000C48F9" w:rsidRDefault="002345B8" w:rsidP="008A6997">
            <w:pPr>
              <w:pStyle w:val="TableHeadingleft"/>
              <w:spacing w:before="0" w:after="0"/>
              <w:rPr>
                <w:rFonts w:ascii="Arial Narrow" w:hAnsi="Arial Narrow" w:cstheme="minorHAnsi"/>
                <w:sz w:val="20"/>
                <w:szCs w:val="20"/>
                <w:lang w:val="en-AU"/>
              </w:rPr>
            </w:pPr>
          </w:p>
        </w:tc>
        <w:tc>
          <w:tcPr>
            <w:tcW w:w="2710" w:type="dxa"/>
            <w:vAlign w:val="center"/>
          </w:tcPr>
          <w:p w14:paraId="05CB6096" w14:textId="77777777" w:rsidR="002345B8" w:rsidRPr="000C48F9" w:rsidRDefault="002345B8" w:rsidP="008A6997">
            <w:pPr>
              <w:pStyle w:val="Tableheadingcent"/>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ELX/TEZ/IVA</w:t>
            </w:r>
          </w:p>
          <w:p w14:paraId="54E12CAF" w14:textId="66451D7A" w:rsidR="002345B8" w:rsidRPr="000C48F9" w:rsidRDefault="002345B8" w:rsidP="008A6997">
            <w:pPr>
              <w:pStyle w:val="Tableheadingcent"/>
              <w:spacing w:before="0" w:after="0"/>
              <w:rPr>
                <w:rFonts w:ascii="Arial Narrow" w:hAnsi="Arial Narrow" w:cstheme="minorHAnsi"/>
                <w:sz w:val="20"/>
                <w:szCs w:val="20"/>
                <w:lang w:val="en-AU"/>
              </w:rPr>
            </w:pPr>
            <w:r w:rsidRPr="000C48F9">
              <w:rPr>
                <w:rFonts w:ascii="Arial Narrow" w:hAnsi="Arial Narrow" w:cstheme="minorHAnsi"/>
                <w:sz w:val="20"/>
                <w:szCs w:val="20"/>
                <w:lang w:val="en-AU"/>
              </w:rPr>
              <w:t>N=66</w:t>
            </w:r>
          </w:p>
        </w:tc>
      </w:tr>
      <w:tr w:rsidR="002345B8" w:rsidRPr="000C48F9" w14:paraId="2B4EC467" w14:textId="77777777" w:rsidTr="002345B8">
        <w:trPr>
          <w:trHeight w:val="302"/>
        </w:trPr>
        <w:tc>
          <w:tcPr>
            <w:tcW w:w="6307" w:type="dxa"/>
            <w:vAlign w:val="center"/>
          </w:tcPr>
          <w:p w14:paraId="46320B2B"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Number of AEs (Total) </w:t>
            </w:r>
          </w:p>
        </w:tc>
        <w:tc>
          <w:tcPr>
            <w:tcW w:w="2710" w:type="dxa"/>
          </w:tcPr>
          <w:p w14:paraId="5C39A1B4" w14:textId="0488BA00" w:rsidR="002345B8" w:rsidRPr="000C48F9" w:rsidRDefault="002345B8" w:rsidP="008A6997">
            <w:pPr>
              <w:pStyle w:val="Tabletextcent"/>
              <w:spacing w:before="0" w:after="0"/>
              <w:rPr>
                <w:rFonts w:ascii="Arial Narrow" w:hAnsi="Arial Narrow" w:cstheme="minorHAnsi"/>
                <w:sz w:val="20"/>
                <w:lang w:val="en-AU"/>
              </w:rPr>
            </w:pPr>
            <w:r w:rsidRPr="000C48F9">
              <w:rPr>
                <w:rFonts w:ascii="Arial Narrow" w:hAnsi="Arial Narrow" w:cstheme="minorHAnsi"/>
                <w:sz w:val="20"/>
                <w:lang w:val="en-AU"/>
              </w:rPr>
              <w:t>341</w:t>
            </w:r>
          </w:p>
        </w:tc>
      </w:tr>
      <w:tr w:rsidR="002345B8" w:rsidRPr="000C48F9" w14:paraId="1F8D404E" w14:textId="77777777" w:rsidTr="002345B8">
        <w:trPr>
          <w:trHeight w:val="302"/>
        </w:trPr>
        <w:tc>
          <w:tcPr>
            <w:tcW w:w="6307" w:type="dxa"/>
            <w:vAlign w:val="center"/>
          </w:tcPr>
          <w:p w14:paraId="07D1783E"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any AEs </w:t>
            </w:r>
          </w:p>
        </w:tc>
        <w:tc>
          <w:tcPr>
            <w:tcW w:w="2710" w:type="dxa"/>
          </w:tcPr>
          <w:p w14:paraId="3DDE70F0" w14:textId="0C543BF7"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65 (98.5)</w:t>
            </w:r>
          </w:p>
        </w:tc>
      </w:tr>
      <w:tr w:rsidR="002345B8" w:rsidRPr="000C48F9" w14:paraId="5350C10F" w14:textId="77777777" w:rsidTr="002345B8">
        <w:trPr>
          <w:trHeight w:val="302"/>
        </w:trPr>
        <w:tc>
          <w:tcPr>
            <w:tcW w:w="6307" w:type="dxa"/>
            <w:vAlign w:val="center"/>
          </w:tcPr>
          <w:p w14:paraId="1B63EFF3"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AEs leading to study drug discontinuation </w:t>
            </w:r>
          </w:p>
        </w:tc>
        <w:tc>
          <w:tcPr>
            <w:tcW w:w="2710" w:type="dxa"/>
          </w:tcPr>
          <w:p w14:paraId="278457C1" w14:textId="73B61080"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1 (1.5)</w:t>
            </w:r>
          </w:p>
        </w:tc>
      </w:tr>
      <w:tr w:rsidR="002345B8" w:rsidRPr="000C48F9" w14:paraId="718D4051" w14:textId="77777777" w:rsidTr="002345B8">
        <w:trPr>
          <w:trHeight w:val="302"/>
        </w:trPr>
        <w:tc>
          <w:tcPr>
            <w:tcW w:w="6307" w:type="dxa"/>
            <w:vAlign w:val="center"/>
          </w:tcPr>
          <w:p w14:paraId="5C0B383C"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AEs leading to study drug interruption </w:t>
            </w:r>
          </w:p>
        </w:tc>
        <w:tc>
          <w:tcPr>
            <w:tcW w:w="2710" w:type="dxa"/>
          </w:tcPr>
          <w:p w14:paraId="7BC36999" w14:textId="2AA3E36E"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1 (1.5)</w:t>
            </w:r>
          </w:p>
        </w:tc>
      </w:tr>
      <w:tr w:rsidR="002345B8" w:rsidRPr="000C48F9" w14:paraId="697A715E" w14:textId="77777777" w:rsidTr="002345B8">
        <w:trPr>
          <w:trHeight w:val="302"/>
        </w:trPr>
        <w:tc>
          <w:tcPr>
            <w:tcW w:w="6307" w:type="dxa"/>
            <w:vAlign w:val="center"/>
          </w:tcPr>
          <w:p w14:paraId="52E946B4"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Grade 3/4 AEs </w:t>
            </w:r>
          </w:p>
        </w:tc>
        <w:tc>
          <w:tcPr>
            <w:tcW w:w="2710" w:type="dxa"/>
          </w:tcPr>
          <w:p w14:paraId="664A695A" w14:textId="6C58C036"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1 (1.5)</w:t>
            </w:r>
          </w:p>
        </w:tc>
      </w:tr>
      <w:tr w:rsidR="002345B8" w:rsidRPr="000C48F9" w14:paraId="17125CBB" w14:textId="77777777" w:rsidTr="002345B8">
        <w:trPr>
          <w:trHeight w:val="302"/>
        </w:trPr>
        <w:tc>
          <w:tcPr>
            <w:tcW w:w="6307" w:type="dxa"/>
            <w:vAlign w:val="center"/>
          </w:tcPr>
          <w:p w14:paraId="195BFFFD"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Subjects with related AEs</w:t>
            </w:r>
            <w:r w:rsidRPr="000C48F9">
              <w:rPr>
                <w:rFonts w:ascii="Arial Narrow" w:hAnsi="Arial Narrow" w:cstheme="minorHAnsi"/>
                <w:sz w:val="20"/>
                <w:vertAlign w:val="superscript"/>
              </w:rPr>
              <w:t>a</w:t>
            </w:r>
            <w:r w:rsidRPr="000C48F9">
              <w:rPr>
                <w:rFonts w:ascii="Arial Narrow" w:hAnsi="Arial Narrow" w:cstheme="minorHAnsi"/>
                <w:sz w:val="20"/>
              </w:rPr>
              <w:t xml:space="preserve"> </w:t>
            </w:r>
          </w:p>
        </w:tc>
        <w:tc>
          <w:tcPr>
            <w:tcW w:w="2710" w:type="dxa"/>
          </w:tcPr>
          <w:p w14:paraId="300C041E" w14:textId="23D2BBE0"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33 (50.0)</w:t>
            </w:r>
          </w:p>
        </w:tc>
      </w:tr>
      <w:tr w:rsidR="002345B8" w:rsidRPr="000C48F9" w14:paraId="1621DD75" w14:textId="77777777" w:rsidTr="002345B8">
        <w:trPr>
          <w:trHeight w:val="302"/>
        </w:trPr>
        <w:tc>
          <w:tcPr>
            <w:tcW w:w="6307" w:type="dxa"/>
            <w:vAlign w:val="center"/>
          </w:tcPr>
          <w:p w14:paraId="367C2AE1" w14:textId="77777777"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SAEs </w:t>
            </w:r>
          </w:p>
        </w:tc>
        <w:tc>
          <w:tcPr>
            <w:tcW w:w="2710" w:type="dxa"/>
          </w:tcPr>
          <w:p w14:paraId="41F88FD8" w14:textId="667E3559" w:rsidR="002345B8" w:rsidRPr="000C48F9"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1 (1.5)</w:t>
            </w:r>
          </w:p>
        </w:tc>
      </w:tr>
      <w:tr w:rsidR="002345B8" w:rsidRPr="000C48F9" w14:paraId="0EA2F569" w14:textId="0FFBF6ED" w:rsidTr="002345B8">
        <w:trPr>
          <w:trHeight w:val="302"/>
        </w:trPr>
        <w:tc>
          <w:tcPr>
            <w:tcW w:w="6307" w:type="dxa"/>
            <w:vAlign w:val="center"/>
          </w:tcPr>
          <w:p w14:paraId="2C39825C" w14:textId="1F8CC5E1"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Subjects with related SAEs</w:t>
            </w:r>
            <w:r w:rsidRPr="000C48F9">
              <w:rPr>
                <w:rFonts w:ascii="Arial Narrow" w:hAnsi="Arial Narrow" w:cstheme="minorHAnsi"/>
                <w:sz w:val="20"/>
                <w:vertAlign w:val="superscript"/>
              </w:rPr>
              <w:t>a</w:t>
            </w:r>
            <w:r w:rsidRPr="000C48F9">
              <w:rPr>
                <w:rFonts w:ascii="Arial Narrow" w:hAnsi="Arial Narrow" w:cstheme="minorHAnsi"/>
                <w:sz w:val="20"/>
              </w:rPr>
              <w:t xml:space="preserve"> </w:t>
            </w:r>
          </w:p>
        </w:tc>
        <w:tc>
          <w:tcPr>
            <w:tcW w:w="2710" w:type="dxa"/>
          </w:tcPr>
          <w:p w14:paraId="5325B016" w14:textId="12D18149" w:rsidR="002345B8" w:rsidRPr="000C48F9" w:rsidDel="00EC1178"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0</w:t>
            </w:r>
          </w:p>
        </w:tc>
      </w:tr>
      <w:tr w:rsidR="002345B8" w:rsidRPr="000C48F9" w14:paraId="280CE6B0" w14:textId="1A4DB1C3" w:rsidTr="002345B8">
        <w:trPr>
          <w:trHeight w:val="302"/>
        </w:trPr>
        <w:tc>
          <w:tcPr>
            <w:tcW w:w="6307" w:type="dxa"/>
            <w:vAlign w:val="center"/>
          </w:tcPr>
          <w:p w14:paraId="1CAD6AB4" w14:textId="420BDA00" w:rsidR="002345B8" w:rsidRPr="000C48F9" w:rsidRDefault="002345B8" w:rsidP="008A6997">
            <w:pPr>
              <w:pStyle w:val="Tabletextleft"/>
              <w:spacing w:before="0" w:after="0"/>
              <w:rPr>
                <w:rFonts w:ascii="Arial Narrow" w:hAnsi="Arial Narrow" w:cstheme="minorHAnsi"/>
                <w:sz w:val="20"/>
              </w:rPr>
            </w:pPr>
            <w:r w:rsidRPr="000C48F9">
              <w:rPr>
                <w:rFonts w:ascii="Arial Narrow" w:hAnsi="Arial Narrow" w:cstheme="minorHAnsi"/>
                <w:sz w:val="20"/>
              </w:rPr>
              <w:t xml:space="preserve">Subjects with AEs leading to death </w:t>
            </w:r>
          </w:p>
        </w:tc>
        <w:tc>
          <w:tcPr>
            <w:tcW w:w="2710" w:type="dxa"/>
          </w:tcPr>
          <w:p w14:paraId="13F63E2F" w14:textId="0A597ADB" w:rsidR="002345B8" w:rsidRPr="000C48F9" w:rsidDel="00EC1178" w:rsidRDefault="002345B8" w:rsidP="008A6997">
            <w:pPr>
              <w:pStyle w:val="Tabletextcent"/>
              <w:spacing w:before="0" w:after="0"/>
              <w:rPr>
                <w:rFonts w:ascii="Arial Narrow" w:hAnsi="Arial Narrow" w:cstheme="minorHAnsi"/>
                <w:i/>
                <w:sz w:val="20"/>
                <w:lang w:val="en-AU"/>
              </w:rPr>
            </w:pPr>
            <w:r w:rsidRPr="000C48F9">
              <w:rPr>
                <w:rFonts w:ascii="Arial Narrow" w:hAnsi="Arial Narrow" w:cstheme="minorHAnsi"/>
                <w:sz w:val="20"/>
                <w:lang w:val="en-AU"/>
              </w:rPr>
              <w:t>0</w:t>
            </w:r>
          </w:p>
        </w:tc>
      </w:tr>
    </w:tbl>
    <w:p w14:paraId="11FAC35C" w14:textId="77777777" w:rsidR="003B6E05" w:rsidRPr="000C48F9" w:rsidRDefault="003B6E05" w:rsidP="00B44292">
      <w:pPr>
        <w:pStyle w:val="TableFigureFooter"/>
      </w:pPr>
      <w:r w:rsidRPr="000C48F9">
        <w:t xml:space="preserve">Source: Table 2.5.8 p92 of the submission, Ratjen et al 2017, Study 107 IA results poster </w:t>
      </w:r>
    </w:p>
    <w:p w14:paraId="5C25643B" w14:textId="2AAF7017" w:rsidR="003B6E05" w:rsidRPr="000C48F9" w:rsidRDefault="003B6E05" w:rsidP="00B44292">
      <w:pPr>
        <w:pStyle w:val="TableFigureFooter"/>
      </w:pPr>
      <w:r w:rsidRPr="000C48F9">
        <w:t>AE, adverse event; ELX, elexacaftor; IVA, ivacaftor; SAE, serious adverse event; TEZ, tezacaftor</w:t>
      </w:r>
    </w:p>
    <w:p w14:paraId="21831409" w14:textId="77777777" w:rsidR="003B6E05" w:rsidRPr="000C48F9" w:rsidRDefault="003B6E05" w:rsidP="00B44292">
      <w:pPr>
        <w:pStyle w:val="TableFigureFooter"/>
      </w:pPr>
      <w:r w:rsidRPr="000C48F9">
        <w:t>Notes: AEs were coded using MedDRA version 21.1. When summarising number of events, a subject with multiple events within a category was counted multiple times in that category. When summarising number and percentage of subjects, a subject with multiple events within a category was counted only once in that category.</w:t>
      </w:r>
    </w:p>
    <w:p w14:paraId="0A01DB4D" w14:textId="12E926B2" w:rsidR="003B6E05" w:rsidRPr="000C48F9" w:rsidRDefault="003B6E05" w:rsidP="00B44292">
      <w:pPr>
        <w:pStyle w:val="3-BodyText"/>
      </w:pPr>
      <w:r w:rsidRPr="000C48F9">
        <w:t xml:space="preserve">The safety data indicated that ELX/TEZ/IVA appeared to be generally well tolerated </w:t>
      </w:r>
      <w:r w:rsidR="00AA40CB" w:rsidRPr="000C48F9">
        <w:t xml:space="preserve">in the CF population aged 6 to 11 years of age. </w:t>
      </w:r>
      <w:r w:rsidRPr="000C48F9">
        <w:t xml:space="preserve">  </w:t>
      </w:r>
    </w:p>
    <w:p w14:paraId="0446BDEB" w14:textId="77777777" w:rsidR="003B6E05" w:rsidRPr="000C48F9" w:rsidRDefault="003B6E05" w:rsidP="00B44292">
      <w:pPr>
        <w:pStyle w:val="4-SubsectionHeading"/>
      </w:pPr>
      <w:bookmarkStart w:id="34" w:name="_Toc114047716"/>
      <w:r w:rsidRPr="000C48F9">
        <w:t>Benefits/harms</w:t>
      </w:r>
      <w:bookmarkEnd w:id="34"/>
    </w:p>
    <w:p w14:paraId="43E0A45C" w14:textId="78FF8DAF" w:rsidR="007F4CA0" w:rsidRPr="000C48F9" w:rsidRDefault="003B6E05" w:rsidP="005A0287">
      <w:pPr>
        <w:pStyle w:val="3-BodyText"/>
      </w:pPr>
      <w:r w:rsidRPr="000C48F9">
        <w:t xml:space="preserve">A summary of the comparative benefits and harms for </w:t>
      </w:r>
      <w:r w:rsidRPr="000C48F9">
        <w:rPr>
          <w:snapToGrid/>
        </w:rPr>
        <w:t xml:space="preserve">ELX/TEZ/IVA </w:t>
      </w:r>
      <w:r w:rsidRPr="000C48F9">
        <w:t xml:space="preserve">versus placebo for the F/MF population </w:t>
      </w:r>
      <w:r w:rsidR="007502B5" w:rsidRPr="000C48F9">
        <w:t xml:space="preserve">and versus LUM/IVA for the F/F population </w:t>
      </w:r>
      <w:r w:rsidRPr="000C48F9">
        <w:t>is presented in</w:t>
      </w:r>
      <w:r w:rsidR="007F4CA0" w:rsidRPr="000C48F9">
        <w:t xml:space="preserve"> </w:t>
      </w:r>
      <w:r w:rsidR="007F4CA0" w:rsidRPr="000C48F9">
        <w:fldChar w:fldCharType="begin" w:fldLock="1"/>
      </w:r>
      <w:r w:rsidR="007F4CA0" w:rsidRPr="000C48F9">
        <w:instrText xml:space="preserve"> REF _Ref112923232 \h </w:instrText>
      </w:r>
      <w:r w:rsidR="007F4CA0" w:rsidRPr="000C48F9">
        <w:fldChar w:fldCharType="separate"/>
      </w:r>
      <w:r w:rsidR="009A1227" w:rsidRPr="000C48F9">
        <w:t xml:space="preserve">Table </w:t>
      </w:r>
      <w:r w:rsidR="009A1227">
        <w:rPr>
          <w:noProof/>
        </w:rPr>
        <w:t>12</w:t>
      </w:r>
      <w:r w:rsidR="007F4CA0" w:rsidRPr="000C48F9">
        <w:fldChar w:fldCharType="end"/>
      </w:r>
      <w:r w:rsidRPr="000C48F9">
        <w:t xml:space="preserve">. </w:t>
      </w:r>
    </w:p>
    <w:p w14:paraId="2DCCBB61" w14:textId="7C6F4E34" w:rsidR="003B6E05" w:rsidRPr="000C48F9" w:rsidRDefault="003B6E05" w:rsidP="007F4CA0">
      <w:pPr>
        <w:pStyle w:val="TableFigureHeading"/>
      </w:pPr>
      <w:bookmarkStart w:id="35" w:name="_Ref112923232"/>
      <w:r w:rsidRPr="000C48F9">
        <w:t xml:space="preserve">Table </w:t>
      </w:r>
      <w:r w:rsidR="008E430C">
        <w:fldChar w:fldCharType="begin" w:fldLock="1"/>
      </w:r>
      <w:r w:rsidR="008E430C">
        <w:instrText xml:space="preserve"> SEQ Table \* ARABIC </w:instrText>
      </w:r>
      <w:r w:rsidR="008E430C">
        <w:fldChar w:fldCharType="separate"/>
      </w:r>
      <w:r w:rsidR="009A1227">
        <w:rPr>
          <w:noProof/>
        </w:rPr>
        <w:t>12</w:t>
      </w:r>
      <w:r w:rsidR="008E430C">
        <w:rPr>
          <w:noProof/>
        </w:rPr>
        <w:fldChar w:fldCharType="end"/>
      </w:r>
      <w:bookmarkEnd w:id="35"/>
      <w:r w:rsidRPr="000C48F9">
        <w:t>: Summary of comparative benefits and harms for ELX/TEZ/IVA versus comparators</w:t>
      </w:r>
    </w:p>
    <w:tbl>
      <w:tblPr>
        <w:tblW w:w="5000" w:type="pct"/>
        <w:tblLayout w:type="fixed"/>
        <w:tblCellMar>
          <w:left w:w="28" w:type="dxa"/>
          <w:right w:w="28" w:type="dxa"/>
        </w:tblCellMar>
        <w:tblLook w:val="04A0" w:firstRow="1" w:lastRow="0" w:firstColumn="1" w:lastColumn="0" w:noHBand="0" w:noVBand="1"/>
      </w:tblPr>
      <w:tblGrid>
        <w:gridCol w:w="1555"/>
        <w:gridCol w:w="1134"/>
        <w:gridCol w:w="709"/>
        <w:gridCol w:w="710"/>
        <w:gridCol w:w="849"/>
        <w:gridCol w:w="1136"/>
        <w:gridCol w:w="137"/>
        <w:gridCol w:w="857"/>
        <w:gridCol w:w="420"/>
        <w:gridCol w:w="1509"/>
      </w:tblGrid>
      <w:tr w:rsidR="003B6E05" w:rsidRPr="000C48F9" w14:paraId="24604800" w14:textId="77777777" w:rsidTr="00B44292">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3D4A83" w14:textId="09BF9E5E" w:rsidR="003B6E05" w:rsidRPr="000C48F9" w:rsidRDefault="003B6E05" w:rsidP="00B44292">
            <w:pPr>
              <w:pStyle w:val="Default"/>
              <w:rPr>
                <w:rFonts w:ascii="Arial Narrow" w:hAnsi="Arial Narrow"/>
                <w:sz w:val="20"/>
                <w:szCs w:val="20"/>
              </w:rPr>
            </w:pPr>
            <w:r w:rsidRPr="000C48F9">
              <w:rPr>
                <w:rFonts w:ascii="Arial Narrow" w:hAnsi="Arial Narrow"/>
                <w:b/>
                <w:bCs/>
                <w:sz w:val="20"/>
                <w:szCs w:val="20"/>
              </w:rPr>
              <w:t>Benefits: Change from baseline at week 24 in absolute change in ppFEV</w:t>
            </w:r>
            <w:r w:rsidRPr="000C48F9">
              <w:rPr>
                <w:rFonts w:ascii="Arial Narrow" w:hAnsi="Arial Narrow"/>
                <w:b/>
                <w:bCs/>
                <w:sz w:val="20"/>
                <w:szCs w:val="20"/>
                <w:vertAlign w:val="subscript"/>
              </w:rPr>
              <w:t xml:space="preserve">1, </w:t>
            </w:r>
          </w:p>
        </w:tc>
      </w:tr>
      <w:tr w:rsidR="003B6E05" w:rsidRPr="000C48F9" w14:paraId="5BB47C99" w14:textId="77777777" w:rsidTr="005A0287">
        <w:trPr>
          <w:cantSplit/>
          <w:trHeight w:val="225"/>
        </w:trPr>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B6FB9F" w14:textId="172B3CE4" w:rsidR="003B6E05" w:rsidRPr="000C48F9" w:rsidRDefault="007502B5" w:rsidP="00B44292">
            <w:pPr>
              <w:pStyle w:val="TableText0"/>
              <w:rPr>
                <w:b/>
                <w:bCs w:val="0"/>
              </w:rPr>
            </w:pPr>
            <w:r w:rsidRPr="000C48F9">
              <w:rPr>
                <w:b/>
                <w:bCs w:val="0"/>
              </w:rPr>
              <w:t>F/MF</w:t>
            </w:r>
          </w:p>
        </w:tc>
        <w:tc>
          <w:tcPr>
            <w:tcW w:w="1416" w:type="pct"/>
            <w:gridSpan w:val="3"/>
            <w:tcBorders>
              <w:top w:val="single" w:sz="4" w:space="0" w:color="auto"/>
              <w:left w:val="single" w:sz="4" w:space="0" w:color="auto"/>
              <w:bottom w:val="single" w:sz="4" w:space="0" w:color="auto"/>
              <w:right w:val="single" w:sz="4" w:space="0" w:color="auto"/>
            </w:tcBorders>
            <w:vAlign w:val="center"/>
          </w:tcPr>
          <w:p w14:paraId="32DFD183" w14:textId="77777777" w:rsidR="003B6E05" w:rsidRPr="000C48F9" w:rsidRDefault="003B6E05" w:rsidP="005A0287">
            <w:pPr>
              <w:pStyle w:val="In-tableHeading"/>
              <w:jc w:val="center"/>
              <w:rPr>
                <w:lang w:val="en-AU"/>
              </w:rPr>
            </w:pPr>
            <w:r w:rsidRPr="000C48F9">
              <w:rPr>
                <w:lang w:val="en-AU"/>
              </w:rPr>
              <w:t>ELX/TEZ/IVA</w:t>
            </w:r>
          </w:p>
        </w:tc>
        <w:tc>
          <w:tcPr>
            <w:tcW w:w="1652" w:type="pct"/>
            <w:gridSpan w:val="4"/>
            <w:tcBorders>
              <w:top w:val="single" w:sz="4" w:space="0" w:color="auto"/>
              <w:left w:val="single" w:sz="4" w:space="0" w:color="auto"/>
              <w:bottom w:val="single" w:sz="4" w:space="0" w:color="auto"/>
              <w:right w:val="single" w:sz="4" w:space="0" w:color="auto"/>
            </w:tcBorders>
            <w:vAlign w:val="center"/>
          </w:tcPr>
          <w:p w14:paraId="4F7564C2" w14:textId="68829EB2" w:rsidR="003B6E05" w:rsidRPr="000C48F9" w:rsidRDefault="003B6E05" w:rsidP="005A0287">
            <w:pPr>
              <w:pStyle w:val="In-tableHeading"/>
              <w:jc w:val="center"/>
              <w:rPr>
                <w:lang w:val="en-AU"/>
              </w:rPr>
            </w:pPr>
            <w:r w:rsidRPr="000C48F9">
              <w:rPr>
                <w:lang w:val="en-AU"/>
              </w:rPr>
              <w:t xml:space="preserve">PBO </w:t>
            </w:r>
          </w:p>
        </w:tc>
        <w:tc>
          <w:tcPr>
            <w:tcW w:w="1070" w:type="pct"/>
            <w:gridSpan w:val="2"/>
            <w:vMerge w:val="restart"/>
            <w:tcBorders>
              <w:top w:val="single" w:sz="4" w:space="0" w:color="auto"/>
              <w:left w:val="single" w:sz="4" w:space="0" w:color="auto"/>
              <w:bottom w:val="single" w:sz="4" w:space="0" w:color="auto"/>
              <w:right w:val="single" w:sz="4" w:space="0" w:color="auto"/>
            </w:tcBorders>
            <w:vAlign w:val="center"/>
          </w:tcPr>
          <w:p w14:paraId="65A73BF8" w14:textId="77777777" w:rsidR="003B6E05" w:rsidRPr="000C48F9" w:rsidRDefault="003B6E05" w:rsidP="005A0287">
            <w:pPr>
              <w:pStyle w:val="In-tableHeading"/>
              <w:jc w:val="center"/>
              <w:rPr>
                <w:szCs w:val="18"/>
                <w:lang w:val="en-AU"/>
              </w:rPr>
            </w:pPr>
            <w:r w:rsidRPr="000C48F9">
              <w:rPr>
                <w:iCs/>
                <w:lang w:val="en-AU"/>
              </w:rPr>
              <w:t>Mean difference (95% CI)</w:t>
            </w:r>
          </w:p>
        </w:tc>
      </w:tr>
      <w:tr w:rsidR="003B6E05" w:rsidRPr="000C48F9" w14:paraId="05C24494" w14:textId="77777777" w:rsidTr="005A0287">
        <w:trPr>
          <w:cantSplit/>
          <w:trHeight w:val="225"/>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1CDBD0" w14:textId="77777777" w:rsidR="003B6E05" w:rsidRPr="000C48F9" w:rsidRDefault="003B6E05" w:rsidP="00B44292">
            <w:pPr>
              <w:keepNext/>
              <w:keepLines/>
              <w:jc w:val="left"/>
              <w:rPr>
                <w:rFonts w:ascii="Arial Narrow" w:hAnsi="Arial Narrow"/>
                <w:color w:val="000000"/>
                <w:sz w:val="20"/>
                <w:szCs w:val="18"/>
              </w:rPr>
            </w:pPr>
          </w:p>
        </w:tc>
        <w:tc>
          <w:tcPr>
            <w:tcW w:w="629" w:type="pct"/>
            <w:tcBorders>
              <w:top w:val="single" w:sz="4" w:space="0" w:color="auto"/>
              <w:left w:val="single" w:sz="4" w:space="0" w:color="auto"/>
              <w:bottom w:val="single" w:sz="4" w:space="0" w:color="auto"/>
              <w:right w:val="single" w:sz="4" w:space="0" w:color="auto"/>
            </w:tcBorders>
            <w:vAlign w:val="center"/>
          </w:tcPr>
          <w:p w14:paraId="0C29996D" w14:textId="77777777" w:rsidR="003B6E05" w:rsidRPr="000C48F9" w:rsidRDefault="003B6E05" w:rsidP="005A0287">
            <w:pPr>
              <w:pStyle w:val="In-tableHeading"/>
              <w:jc w:val="center"/>
              <w:rPr>
                <w:lang w:val="en-AU"/>
              </w:rPr>
            </w:pPr>
            <w:r w:rsidRPr="000C48F9">
              <w:rPr>
                <w:lang w:val="en-AU"/>
              </w:rPr>
              <w:t>N</w:t>
            </w:r>
          </w:p>
        </w:tc>
        <w:tc>
          <w:tcPr>
            <w:tcW w:w="393" w:type="pct"/>
            <w:tcBorders>
              <w:top w:val="single" w:sz="4" w:space="0" w:color="auto"/>
              <w:left w:val="single" w:sz="4" w:space="0" w:color="auto"/>
              <w:bottom w:val="single" w:sz="4" w:space="0" w:color="auto"/>
              <w:right w:val="single" w:sz="4" w:space="0" w:color="auto"/>
            </w:tcBorders>
            <w:vAlign w:val="center"/>
          </w:tcPr>
          <w:p w14:paraId="32EF9C6D" w14:textId="77777777" w:rsidR="003B6E05" w:rsidRPr="000C48F9" w:rsidRDefault="003B6E05" w:rsidP="005A0287">
            <w:pPr>
              <w:pStyle w:val="In-tableHeading"/>
              <w:jc w:val="center"/>
              <w:rPr>
                <w:lang w:val="en-AU"/>
              </w:rPr>
            </w:pPr>
            <w:r w:rsidRPr="000C48F9">
              <w:rPr>
                <w:lang w:val="en-AU"/>
              </w:rPr>
              <w:t>Mean change</w:t>
            </w:r>
          </w:p>
        </w:tc>
        <w:tc>
          <w:tcPr>
            <w:tcW w:w="394" w:type="pct"/>
            <w:tcBorders>
              <w:top w:val="single" w:sz="4" w:space="0" w:color="auto"/>
              <w:left w:val="single" w:sz="4" w:space="0" w:color="auto"/>
              <w:bottom w:val="single" w:sz="4" w:space="0" w:color="auto"/>
              <w:right w:val="single" w:sz="4" w:space="0" w:color="auto"/>
            </w:tcBorders>
            <w:vAlign w:val="center"/>
          </w:tcPr>
          <w:p w14:paraId="2D50D36C" w14:textId="77777777" w:rsidR="003B6E05" w:rsidRPr="000C48F9" w:rsidRDefault="003B6E05" w:rsidP="005A0287">
            <w:pPr>
              <w:pStyle w:val="In-tableHeading"/>
              <w:jc w:val="center"/>
              <w:rPr>
                <w:lang w:val="en-AU"/>
              </w:rPr>
            </w:pPr>
            <w:r w:rsidRPr="000C48F9">
              <w:rPr>
                <w:lang w:val="en-AU"/>
              </w:rPr>
              <w:t>SE</w:t>
            </w:r>
          </w:p>
        </w:tc>
        <w:tc>
          <w:tcPr>
            <w:tcW w:w="471" w:type="pct"/>
            <w:tcBorders>
              <w:top w:val="single" w:sz="4" w:space="0" w:color="auto"/>
              <w:left w:val="single" w:sz="4" w:space="0" w:color="auto"/>
              <w:bottom w:val="single" w:sz="4" w:space="0" w:color="auto"/>
              <w:right w:val="single" w:sz="4" w:space="0" w:color="auto"/>
            </w:tcBorders>
            <w:vAlign w:val="center"/>
          </w:tcPr>
          <w:p w14:paraId="10CB9733" w14:textId="77777777" w:rsidR="003B6E05" w:rsidRPr="000C48F9" w:rsidRDefault="003B6E05" w:rsidP="005A0287">
            <w:pPr>
              <w:pStyle w:val="In-tableHeading"/>
              <w:jc w:val="center"/>
              <w:rPr>
                <w:lang w:val="en-AU"/>
              </w:rPr>
            </w:pPr>
            <w:r w:rsidRPr="000C48F9">
              <w:rPr>
                <w:lang w:val="en-AU"/>
              </w:rPr>
              <w:t>N</w:t>
            </w:r>
          </w:p>
        </w:tc>
        <w:tc>
          <w:tcPr>
            <w:tcW w:w="630" w:type="pct"/>
            <w:tcBorders>
              <w:top w:val="single" w:sz="4" w:space="0" w:color="auto"/>
              <w:left w:val="single" w:sz="4" w:space="0" w:color="auto"/>
              <w:bottom w:val="single" w:sz="4" w:space="0" w:color="auto"/>
              <w:right w:val="single" w:sz="4" w:space="0" w:color="auto"/>
            </w:tcBorders>
            <w:vAlign w:val="center"/>
          </w:tcPr>
          <w:p w14:paraId="6D744582" w14:textId="77777777" w:rsidR="003B6E05" w:rsidRPr="000C48F9" w:rsidRDefault="003B6E05" w:rsidP="005A0287">
            <w:pPr>
              <w:pStyle w:val="In-tableHeading"/>
              <w:jc w:val="center"/>
              <w:rPr>
                <w:lang w:val="en-AU"/>
              </w:rPr>
            </w:pPr>
            <w:r w:rsidRPr="000C48F9">
              <w:rPr>
                <w:lang w:val="en-AU"/>
              </w:rPr>
              <w:t>Mean change</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209B7F18" w14:textId="77777777" w:rsidR="003B6E05" w:rsidRPr="000C48F9" w:rsidRDefault="003B6E05" w:rsidP="005A0287">
            <w:pPr>
              <w:pStyle w:val="In-tableHeading"/>
              <w:jc w:val="center"/>
              <w:rPr>
                <w:lang w:val="en-AU"/>
              </w:rPr>
            </w:pPr>
            <w:r w:rsidRPr="000C48F9">
              <w:rPr>
                <w:lang w:val="en-AU"/>
              </w:rPr>
              <w:t>SE</w:t>
            </w:r>
          </w:p>
        </w:tc>
        <w:tc>
          <w:tcPr>
            <w:tcW w:w="1070" w:type="pct"/>
            <w:gridSpan w:val="2"/>
            <w:vMerge/>
            <w:tcBorders>
              <w:top w:val="single" w:sz="4" w:space="0" w:color="auto"/>
              <w:left w:val="single" w:sz="4" w:space="0" w:color="auto"/>
              <w:bottom w:val="single" w:sz="4" w:space="0" w:color="auto"/>
              <w:right w:val="single" w:sz="4" w:space="0" w:color="auto"/>
            </w:tcBorders>
            <w:vAlign w:val="center"/>
          </w:tcPr>
          <w:p w14:paraId="086780BB" w14:textId="77777777" w:rsidR="003B6E05" w:rsidRPr="000C48F9" w:rsidRDefault="003B6E05" w:rsidP="005A0287">
            <w:pPr>
              <w:keepNext/>
              <w:keepLines/>
              <w:jc w:val="center"/>
              <w:rPr>
                <w:rFonts w:ascii="Arial Narrow" w:hAnsi="Arial Narrow"/>
                <w:b/>
                <w:sz w:val="20"/>
                <w:szCs w:val="18"/>
              </w:rPr>
            </w:pPr>
          </w:p>
        </w:tc>
      </w:tr>
      <w:tr w:rsidR="003B6E05" w:rsidRPr="000C48F9" w14:paraId="163BB7C9" w14:textId="77777777" w:rsidTr="005A0287">
        <w:trPr>
          <w:cantSplit/>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8CD8F8D" w14:textId="4FF54825" w:rsidR="003B6E05" w:rsidRPr="000C48F9" w:rsidRDefault="003B6E05" w:rsidP="00B44292">
            <w:pPr>
              <w:pStyle w:val="TableText0"/>
            </w:pPr>
            <w:r w:rsidRPr="000C48F9">
              <w:t>Study 116</w:t>
            </w:r>
            <w:r w:rsidR="007502B5" w:rsidRPr="000C48F9">
              <w:t xml:space="preserve">, 24 weeks </w:t>
            </w:r>
          </w:p>
        </w:tc>
        <w:tc>
          <w:tcPr>
            <w:tcW w:w="629" w:type="pct"/>
            <w:tcBorders>
              <w:top w:val="single" w:sz="4" w:space="0" w:color="auto"/>
              <w:left w:val="single" w:sz="4" w:space="0" w:color="auto"/>
              <w:bottom w:val="single" w:sz="4" w:space="0" w:color="auto"/>
              <w:right w:val="single" w:sz="4" w:space="0" w:color="auto"/>
            </w:tcBorders>
            <w:vAlign w:val="center"/>
          </w:tcPr>
          <w:p w14:paraId="5108C706" w14:textId="760F0514" w:rsidR="003B6E05" w:rsidRPr="000C48F9" w:rsidRDefault="003B6E05" w:rsidP="005A0287">
            <w:pPr>
              <w:pStyle w:val="TableText0"/>
              <w:jc w:val="center"/>
            </w:pPr>
            <w:r w:rsidRPr="000C48F9">
              <w:rPr>
                <w:szCs w:val="20"/>
              </w:rPr>
              <w:t>60</w:t>
            </w:r>
          </w:p>
        </w:tc>
        <w:tc>
          <w:tcPr>
            <w:tcW w:w="393" w:type="pct"/>
            <w:tcBorders>
              <w:top w:val="single" w:sz="4" w:space="0" w:color="auto"/>
              <w:left w:val="single" w:sz="4" w:space="0" w:color="auto"/>
              <w:bottom w:val="single" w:sz="4" w:space="0" w:color="auto"/>
              <w:right w:val="single" w:sz="4" w:space="0" w:color="auto"/>
            </w:tcBorders>
            <w:vAlign w:val="center"/>
          </w:tcPr>
          <w:p w14:paraId="58C810DD" w14:textId="3942B81E" w:rsidR="003B6E05" w:rsidRPr="000C48F9" w:rsidRDefault="003B6E05" w:rsidP="005A0287">
            <w:pPr>
              <w:pStyle w:val="TableText0"/>
              <w:jc w:val="center"/>
            </w:pPr>
            <w:r w:rsidRPr="000C48F9">
              <w:rPr>
                <w:rFonts w:cstheme="minorHAnsi"/>
                <w:szCs w:val="20"/>
              </w:rPr>
              <w:t>9.5</w:t>
            </w:r>
          </w:p>
        </w:tc>
        <w:tc>
          <w:tcPr>
            <w:tcW w:w="394" w:type="pct"/>
            <w:tcBorders>
              <w:top w:val="single" w:sz="4" w:space="0" w:color="auto"/>
              <w:left w:val="single" w:sz="4" w:space="0" w:color="auto"/>
              <w:bottom w:val="single" w:sz="4" w:space="0" w:color="auto"/>
              <w:right w:val="single" w:sz="4" w:space="0" w:color="auto"/>
            </w:tcBorders>
            <w:vAlign w:val="center"/>
          </w:tcPr>
          <w:p w14:paraId="0E3BC667" w14:textId="015C245F" w:rsidR="003B6E05" w:rsidRPr="000C48F9" w:rsidRDefault="003B6E05" w:rsidP="005A0287">
            <w:pPr>
              <w:pStyle w:val="TableText0"/>
              <w:jc w:val="center"/>
            </w:pPr>
            <w:r w:rsidRPr="000C48F9">
              <w:rPr>
                <w:szCs w:val="20"/>
              </w:rPr>
              <w:t>1.5</w:t>
            </w:r>
          </w:p>
        </w:tc>
        <w:tc>
          <w:tcPr>
            <w:tcW w:w="471" w:type="pct"/>
            <w:tcBorders>
              <w:top w:val="single" w:sz="4" w:space="0" w:color="auto"/>
              <w:left w:val="single" w:sz="4" w:space="0" w:color="auto"/>
              <w:bottom w:val="single" w:sz="4" w:space="0" w:color="auto"/>
              <w:right w:val="single" w:sz="4" w:space="0" w:color="auto"/>
            </w:tcBorders>
            <w:vAlign w:val="center"/>
          </w:tcPr>
          <w:p w14:paraId="26372846" w14:textId="46EC0FD3" w:rsidR="003B6E05" w:rsidRPr="000C48F9" w:rsidRDefault="003B6E05" w:rsidP="005A0287">
            <w:pPr>
              <w:pStyle w:val="TableText0"/>
              <w:jc w:val="center"/>
            </w:pPr>
            <w:r w:rsidRPr="000C48F9">
              <w:rPr>
                <w:szCs w:val="20"/>
              </w:rPr>
              <w:t>61</w:t>
            </w:r>
          </w:p>
        </w:tc>
        <w:tc>
          <w:tcPr>
            <w:tcW w:w="630" w:type="pct"/>
            <w:tcBorders>
              <w:top w:val="single" w:sz="4" w:space="0" w:color="auto"/>
              <w:left w:val="single" w:sz="4" w:space="0" w:color="auto"/>
              <w:bottom w:val="single" w:sz="4" w:space="0" w:color="auto"/>
              <w:right w:val="single" w:sz="4" w:space="0" w:color="auto"/>
            </w:tcBorders>
            <w:vAlign w:val="center"/>
          </w:tcPr>
          <w:p w14:paraId="2D10CA84" w14:textId="6927FE26" w:rsidR="003B6E05" w:rsidRPr="000C48F9" w:rsidRDefault="003B6E05" w:rsidP="005A0287">
            <w:pPr>
              <w:pStyle w:val="TableText0"/>
              <w:jc w:val="center"/>
            </w:pPr>
            <w:r w:rsidRPr="000C48F9">
              <w:rPr>
                <w:rFonts w:cstheme="minorHAnsi"/>
                <w:szCs w:val="20"/>
              </w:rPr>
              <w:noBreakHyphen/>
              <w:t>1.5</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7835EF8F" w14:textId="4C3F43CB" w:rsidR="003B6E05" w:rsidRPr="000C48F9" w:rsidRDefault="003B6E05" w:rsidP="005A0287">
            <w:pPr>
              <w:pStyle w:val="TableText0"/>
              <w:jc w:val="center"/>
            </w:pPr>
            <w:r w:rsidRPr="000C48F9">
              <w:rPr>
                <w:szCs w:val="20"/>
              </w:rPr>
              <w:t>-1.5</w:t>
            </w:r>
          </w:p>
        </w:tc>
        <w:tc>
          <w:tcPr>
            <w:tcW w:w="1070" w:type="pct"/>
            <w:gridSpan w:val="2"/>
            <w:tcBorders>
              <w:top w:val="single" w:sz="4" w:space="0" w:color="auto"/>
              <w:left w:val="single" w:sz="4" w:space="0" w:color="auto"/>
              <w:bottom w:val="single" w:sz="4" w:space="0" w:color="auto"/>
              <w:right w:val="single" w:sz="4" w:space="0" w:color="auto"/>
            </w:tcBorders>
            <w:vAlign w:val="center"/>
          </w:tcPr>
          <w:p w14:paraId="48343756" w14:textId="77777777" w:rsidR="003B6E05" w:rsidRPr="000C48F9" w:rsidRDefault="003B6E05" w:rsidP="005A0287">
            <w:pPr>
              <w:pStyle w:val="TableText0"/>
              <w:jc w:val="center"/>
            </w:pPr>
            <w:r w:rsidRPr="000C48F9">
              <w:rPr>
                <w:b/>
                <w:szCs w:val="20"/>
              </w:rPr>
              <w:t>11.0 (</w:t>
            </w:r>
            <w:r w:rsidRPr="000C48F9">
              <w:rPr>
                <w:rFonts w:cstheme="minorHAnsi"/>
                <w:b/>
                <w:szCs w:val="20"/>
              </w:rPr>
              <w:t>6.9, 15.1</w:t>
            </w:r>
            <w:r w:rsidRPr="000C48F9">
              <w:rPr>
                <w:b/>
                <w:szCs w:val="20"/>
              </w:rPr>
              <w:t>)</w:t>
            </w:r>
          </w:p>
        </w:tc>
      </w:tr>
      <w:tr w:rsidR="007502B5" w:rsidRPr="000C48F9" w14:paraId="696D53C6" w14:textId="77777777" w:rsidTr="00667919">
        <w:trPr>
          <w:cantSplit/>
          <w:trHeight w:val="289"/>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4672CB8C" w14:textId="77777777" w:rsidR="007502B5" w:rsidRPr="000C48F9" w:rsidRDefault="007502B5" w:rsidP="00B44292">
            <w:pPr>
              <w:pStyle w:val="TableText0"/>
            </w:pPr>
          </w:p>
        </w:tc>
        <w:tc>
          <w:tcPr>
            <w:tcW w:w="1416" w:type="pct"/>
            <w:gridSpan w:val="3"/>
            <w:tcBorders>
              <w:top w:val="single" w:sz="4" w:space="0" w:color="auto"/>
              <w:left w:val="single" w:sz="4" w:space="0" w:color="auto"/>
              <w:bottom w:val="single" w:sz="4" w:space="0" w:color="auto"/>
              <w:right w:val="single" w:sz="4" w:space="0" w:color="auto"/>
            </w:tcBorders>
            <w:vAlign w:val="center"/>
          </w:tcPr>
          <w:p w14:paraId="68EF5426" w14:textId="301D3F8C" w:rsidR="007502B5" w:rsidRPr="000C48F9" w:rsidRDefault="007502B5" w:rsidP="005A0287">
            <w:pPr>
              <w:pStyle w:val="TableText0"/>
              <w:jc w:val="center"/>
              <w:rPr>
                <w:b/>
                <w:bCs w:val="0"/>
                <w:szCs w:val="20"/>
              </w:rPr>
            </w:pPr>
            <w:r w:rsidRPr="000C48F9">
              <w:rPr>
                <w:b/>
                <w:bCs w:val="0"/>
                <w:szCs w:val="20"/>
              </w:rPr>
              <w:t>EL</w:t>
            </w:r>
            <w:r w:rsidR="000C48F9">
              <w:rPr>
                <w:b/>
                <w:bCs w:val="0"/>
                <w:szCs w:val="20"/>
              </w:rPr>
              <w:t>X</w:t>
            </w:r>
            <w:r w:rsidRPr="000C48F9">
              <w:rPr>
                <w:b/>
                <w:bCs w:val="0"/>
                <w:szCs w:val="20"/>
              </w:rPr>
              <w:t>/TEZ/IVA</w:t>
            </w:r>
          </w:p>
        </w:tc>
        <w:tc>
          <w:tcPr>
            <w:tcW w:w="1652" w:type="pct"/>
            <w:gridSpan w:val="4"/>
            <w:tcBorders>
              <w:top w:val="single" w:sz="4" w:space="0" w:color="auto"/>
              <w:left w:val="single" w:sz="4" w:space="0" w:color="auto"/>
              <w:bottom w:val="single" w:sz="4" w:space="0" w:color="auto"/>
              <w:right w:val="single" w:sz="4" w:space="0" w:color="auto"/>
            </w:tcBorders>
            <w:vAlign w:val="center"/>
          </w:tcPr>
          <w:p w14:paraId="656C6945" w14:textId="48B89EB0" w:rsidR="007502B5" w:rsidRPr="000C48F9" w:rsidRDefault="007502B5" w:rsidP="005A0287">
            <w:pPr>
              <w:pStyle w:val="TableText0"/>
              <w:jc w:val="center"/>
              <w:rPr>
                <w:b/>
                <w:bCs w:val="0"/>
                <w:szCs w:val="20"/>
              </w:rPr>
            </w:pPr>
            <w:r w:rsidRPr="000C48F9">
              <w:rPr>
                <w:rFonts w:cstheme="minorHAnsi"/>
                <w:b/>
                <w:bCs w:val="0"/>
                <w:szCs w:val="20"/>
              </w:rPr>
              <w:t>LUM/IVA</w:t>
            </w:r>
          </w:p>
        </w:tc>
        <w:tc>
          <w:tcPr>
            <w:tcW w:w="1070" w:type="pct"/>
            <w:gridSpan w:val="2"/>
            <w:vMerge w:val="restart"/>
            <w:tcBorders>
              <w:top w:val="single" w:sz="4" w:space="0" w:color="auto"/>
              <w:left w:val="single" w:sz="4" w:space="0" w:color="auto"/>
              <w:right w:val="single" w:sz="4" w:space="0" w:color="auto"/>
            </w:tcBorders>
            <w:vAlign w:val="center"/>
          </w:tcPr>
          <w:p w14:paraId="0B0F6A4A" w14:textId="10314C92" w:rsidR="007502B5" w:rsidRPr="000C48F9" w:rsidRDefault="007502B5" w:rsidP="005A0287">
            <w:pPr>
              <w:pStyle w:val="TableText0"/>
              <w:jc w:val="center"/>
              <w:rPr>
                <w:rFonts w:cs="Calibri"/>
                <w:b/>
                <w:bCs w:val="0"/>
                <w:lang w:eastAsia="en-US"/>
              </w:rPr>
            </w:pPr>
            <w:r w:rsidRPr="000C48F9">
              <w:rPr>
                <w:b/>
                <w:bCs w:val="0"/>
                <w:iCs/>
              </w:rPr>
              <w:t>Mean difference (95% CI)</w:t>
            </w:r>
          </w:p>
        </w:tc>
      </w:tr>
      <w:tr w:rsidR="007502B5" w:rsidRPr="000C48F9" w14:paraId="097C91BF" w14:textId="77777777" w:rsidTr="00667919">
        <w:trPr>
          <w:cantSplit/>
          <w:trHeight w:val="512"/>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1CE795E" w14:textId="01C784AE" w:rsidR="007502B5" w:rsidRPr="000C48F9" w:rsidRDefault="007502B5" w:rsidP="007502B5">
            <w:pPr>
              <w:pStyle w:val="TableText0"/>
            </w:pPr>
            <w:r w:rsidRPr="000C48F9">
              <w:t>F/F</w:t>
            </w:r>
          </w:p>
        </w:tc>
        <w:tc>
          <w:tcPr>
            <w:tcW w:w="629" w:type="pct"/>
            <w:tcBorders>
              <w:top w:val="single" w:sz="4" w:space="0" w:color="auto"/>
              <w:left w:val="single" w:sz="4" w:space="0" w:color="auto"/>
              <w:bottom w:val="single" w:sz="4" w:space="0" w:color="auto"/>
              <w:right w:val="single" w:sz="4" w:space="0" w:color="auto"/>
            </w:tcBorders>
            <w:vAlign w:val="center"/>
          </w:tcPr>
          <w:p w14:paraId="3912D8DA" w14:textId="1B51214F" w:rsidR="007502B5" w:rsidRPr="000C48F9" w:rsidRDefault="007502B5" w:rsidP="007502B5">
            <w:pPr>
              <w:pStyle w:val="TableText0"/>
              <w:jc w:val="center"/>
              <w:rPr>
                <w:b/>
                <w:bCs w:val="0"/>
                <w:szCs w:val="20"/>
              </w:rPr>
            </w:pPr>
            <w:r w:rsidRPr="000C48F9">
              <w:rPr>
                <w:b/>
                <w:bCs w:val="0"/>
              </w:rPr>
              <w:t>N</w:t>
            </w:r>
          </w:p>
        </w:tc>
        <w:tc>
          <w:tcPr>
            <w:tcW w:w="393" w:type="pct"/>
            <w:tcBorders>
              <w:top w:val="single" w:sz="4" w:space="0" w:color="auto"/>
              <w:left w:val="single" w:sz="4" w:space="0" w:color="auto"/>
              <w:bottom w:val="single" w:sz="4" w:space="0" w:color="auto"/>
              <w:right w:val="single" w:sz="4" w:space="0" w:color="auto"/>
            </w:tcBorders>
            <w:vAlign w:val="center"/>
          </w:tcPr>
          <w:p w14:paraId="2315F009" w14:textId="127787A1" w:rsidR="007502B5" w:rsidRPr="000C48F9" w:rsidRDefault="007502B5" w:rsidP="007502B5">
            <w:pPr>
              <w:pStyle w:val="TableText0"/>
              <w:jc w:val="center"/>
              <w:rPr>
                <w:rFonts w:cstheme="minorHAnsi"/>
                <w:b/>
                <w:bCs w:val="0"/>
                <w:szCs w:val="20"/>
              </w:rPr>
            </w:pPr>
            <w:r w:rsidRPr="000C48F9">
              <w:rPr>
                <w:b/>
                <w:bCs w:val="0"/>
              </w:rPr>
              <w:t>Mean change</w:t>
            </w:r>
          </w:p>
        </w:tc>
        <w:tc>
          <w:tcPr>
            <w:tcW w:w="394" w:type="pct"/>
            <w:tcBorders>
              <w:top w:val="single" w:sz="4" w:space="0" w:color="auto"/>
              <w:left w:val="single" w:sz="4" w:space="0" w:color="auto"/>
              <w:bottom w:val="single" w:sz="4" w:space="0" w:color="auto"/>
              <w:right w:val="single" w:sz="4" w:space="0" w:color="auto"/>
            </w:tcBorders>
            <w:vAlign w:val="center"/>
          </w:tcPr>
          <w:p w14:paraId="1BA65A58" w14:textId="0E9ADA3F" w:rsidR="007502B5" w:rsidRPr="000C48F9" w:rsidRDefault="007502B5" w:rsidP="007502B5">
            <w:pPr>
              <w:pStyle w:val="TableText0"/>
              <w:jc w:val="center"/>
              <w:rPr>
                <w:b/>
                <w:bCs w:val="0"/>
                <w:szCs w:val="20"/>
              </w:rPr>
            </w:pPr>
            <w:r w:rsidRPr="000C48F9">
              <w:rPr>
                <w:b/>
                <w:bCs w:val="0"/>
              </w:rPr>
              <w:t>SE</w:t>
            </w:r>
          </w:p>
        </w:tc>
        <w:tc>
          <w:tcPr>
            <w:tcW w:w="471" w:type="pct"/>
            <w:tcBorders>
              <w:top w:val="single" w:sz="4" w:space="0" w:color="auto"/>
              <w:left w:val="single" w:sz="4" w:space="0" w:color="auto"/>
              <w:bottom w:val="single" w:sz="4" w:space="0" w:color="auto"/>
              <w:right w:val="single" w:sz="4" w:space="0" w:color="auto"/>
            </w:tcBorders>
            <w:vAlign w:val="center"/>
          </w:tcPr>
          <w:p w14:paraId="57E4A9F9" w14:textId="65B3638C" w:rsidR="007502B5" w:rsidRPr="000C48F9" w:rsidRDefault="007502B5" w:rsidP="007502B5">
            <w:pPr>
              <w:pStyle w:val="TableText0"/>
              <w:jc w:val="center"/>
              <w:rPr>
                <w:b/>
                <w:bCs w:val="0"/>
                <w:szCs w:val="20"/>
              </w:rPr>
            </w:pPr>
            <w:r w:rsidRPr="000C48F9">
              <w:rPr>
                <w:b/>
                <w:bCs w:val="0"/>
              </w:rPr>
              <w:t>N</w:t>
            </w:r>
          </w:p>
        </w:tc>
        <w:tc>
          <w:tcPr>
            <w:tcW w:w="630" w:type="pct"/>
            <w:tcBorders>
              <w:top w:val="single" w:sz="4" w:space="0" w:color="auto"/>
              <w:left w:val="single" w:sz="4" w:space="0" w:color="auto"/>
              <w:bottom w:val="single" w:sz="4" w:space="0" w:color="auto"/>
              <w:right w:val="single" w:sz="4" w:space="0" w:color="auto"/>
            </w:tcBorders>
            <w:vAlign w:val="center"/>
          </w:tcPr>
          <w:p w14:paraId="7A59A4A6" w14:textId="2DFEE8B2" w:rsidR="007502B5" w:rsidRPr="000C48F9" w:rsidRDefault="007502B5" w:rsidP="007502B5">
            <w:pPr>
              <w:pStyle w:val="TableText0"/>
              <w:jc w:val="center"/>
              <w:rPr>
                <w:rFonts w:cstheme="minorHAnsi"/>
                <w:b/>
                <w:bCs w:val="0"/>
                <w:szCs w:val="20"/>
              </w:rPr>
            </w:pPr>
            <w:r w:rsidRPr="000C48F9">
              <w:rPr>
                <w:b/>
                <w:bCs w:val="0"/>
              </w:rPr>
              <w:t>Mean change</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5C0E636C" w14:textId="2731D1A7" w:rsidR="007502B5" w:rsidRPr="000C48F9" w:rsidRDefault="007502B5" w:rsidP="007502B5">
            <w:pPr>
              <w:pStyle w:val="TableText0"/>
              <w:jc w:val="center"/>
              <w:rPr>
                <w:b/>
                <w:bCs w:val="0"/>
                <w:szCs w:val="20"/>
              </w:rPr>
            </w:pPr>
            <w:r w:rsidRPr="000C48F9">
              <w:rPr>
                <w:b/>
                <w:bCs w:val="0"/>
              </w:rPr>
              <w:t>SE</w:t>
            </w:r>
          </w:p>
        </w:tc>
        <w:tc>
          <w:tcPr>
            <w:tcW w:w="1070" w:type="pct"/>
            <w:gridSpan w:val="2"/>
            <w:vMerge/>
            <w:tcBorders>
              <w:left w:val="single" w:sz="4" w:space="0" w:color="auto"/>
              <w:bottom w:val="single" w:sz="4" w:space="0" w:color="auto"/>
              <w:right w:val="single" w:sz="4" w:space="0" w:color="auto"/>
            </w:tcBorders>
            <w:vAlign w:val="center"/>
          </w:tcPr>
          <w:p w14:paraId="2F090E76" w14:textId="77777777" w:rsidR="007502B5" w:rsidRPr="000C48F9" w:rsidRDefault="007502B5" w:rsidP="007502B5">
            <w:pPr>
              <w:pStyle w:val="TableText0"/>
              <w:jc w:val="center"/>
              <w:rPr>
                <w:rFonts w:cs="Calibri"/>
                <w:b/>
                <w:bCs w:val="0"/>
                <w:lang w:eastAsia="en-US"/>
              </w:rPr>
            </w:pPr>
          </w:p>
        </w:tc>
      </w:tr>
      <w:tr w:rsidR="007502B5" w:rsidRPr="000C48F9" w14:paraId="5D885693" w14:textId="77777777" w:rsidTr="005A0287">
        <w:trPr>
          <w:cantSplit/>
          <w:trHeight w:val="512"/>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930EECC" w14:textId="1DF7AC03" w:rsidR="007502B5" w:rsidRPr="000C48F9" w:rsidRDefault="007502B5" w:rsidP="007502B5">
            <w:pPr>
              <w:pStyle w:val="TableText0"/>
            </w:pPr>
            <w:r w:rsidRPr="000C48F9">
              <w:t>ITC from Study 106/109/011, 24 weeks</w:t>
            </w:r>
          </w:p>
        </w:tc>
        <w:tc>
          <w:tcPr>
            <w:tcW w:w="629" w:type="pct"/>
            <w:tcBorders>
              <w:top w:val="single" w:sz="4" w:space="0" w:color="auto"/>
              <w:left w:val="single" w:sz="4" w:space="0" w:color="auto"/>
              <w:bottom w:val="single" w:sz="4" w:space="0" w:color="auto"/>
              <w:right w:val="single" w:sz="4" w:space="0" w:color="auto"/>
            </w:tcBorders>
            <w:vAlign w:val="center"/>
          </w:tcPr>
          <w:p w14:paraId="1545FB34" w14:textId="77777777" w:rsidR="007502B5" w:rsidRPr="000C48F9" w:rsidRDefault="007502B5" w:rsidP="007502B5">
            <w:pPr>
              <w:pStyle w:val="TableText0"/>
              <w:jc w:val="center"/>
              <w:rPr>
                <w:szCs w:val="20"/>
              </w:rPr>
            </w:pPr>
            <w:r w:rsidRPr="000C48F9">
              <w:rPr>
                <w:szCs w:val="20"/>
              </w:rPr>
              <w:t>29</w:t>
            </w:r>
          </w:p>
        </w:tc>
        <w:tc>
          <w:tcPr>
            <w:tcW w:w="393" w:type="pct"/>
            <w:tcBorders>
              <w:top w:val="single" w:sz="4" w:space="0" w:color="auto"/>
              <w:left w:val="single" w:sz="4" w:space="0" w:color="auto"/>
              <w:bottom w:val="single" w:sz="4" w:space="0" w:color="auto"/>
              <w:right w:val="single" w:sz="4" w:space="0" w:color="auto"/>
            </w:tcBorders>
            <w:vAlign w:val="center"/>
          </w:tcPr>
          <w:p w14:paraId="38C2AD5E" w14:textId="77777777" w:rsidR="007502B5" w:rsidRPr="000C48F9" w:rsidRDefault="007502B5" w:rsidP="007502B5">
            <w:pPr>
              <w:pStyle w:val="TableText0"/>
              <w:jc w:val="center"/>
              <w:rPr>
                <w:rFonts w:cstheme="minorHAnsi"/>
                <w:szCs w:val="20"/>
              </w:rPr>
            </w:pPr>
            <w:r w:rsidRPr="000C48F9">
              <w:rPr>
                <w:rFonts w:cstheme="minorHAnsi"/>
                <w:szCs w:val="20"/>
              </w:rPr>
              <w:t>11.7</w:t>
            </w:r>
          </w:p>
        </w:tc>
        <w:tc>
          <w:tcPr>
            <w:tcW w:w="394" w:type="pct"/>
            <w:tcBorders>
              <w:top w:val="single" w:sz="4" w:space="0" w:color="auto"/>
              <w:left w:val="single" w:sz="4" w:space="0" w:color="auto"/>
              <w:bottom w:val="single" w:sz="4" w:space="0" w:color="auto"/>
              <w:right w:val="single" w:sz="4" w:space="0" w:color="auto"/>
            </w:tcBorders>
            <w:vAlign w:val="center"/>
          </w:tcPr>
          <w:p w14:paraId="1F81C0D3" w14:textId="77777777" w:rsidR="007502B5" w:rsidRPr="000C48F9" w:rsidDel="006B11CA" w:rsidRDefault="007502B5" w:rsidP="007502B5">
            <w:pPr>
              <w:pStyle w:val="TableText0"/>
              <w:jc w:val="center"/>
              <w:rPr>
                <w:szCs w:val="20"/>
              </w:rPr>
            </w:pPr>
            <w:r w:rsidRPr="000C48F9">
              <w:rPr>
                <w:szCs w:val="20"/>
              </w:rPr>
              <w:t>1.7</w:t>
            </w:r>
          </w:p>
        </w:tc>
        <w:tc>
          <w:tcPr>
            <w:tcW w:w="471" w:type="pct"/>
            <w:tcBorders>
              <w:top w:val="single" w:sz="4" w:space="0" w:color="auto"/>
              <w:left w:val="single" w:sz="4" w:space="0" w:color="auto"/>
              <w:bottom w:val="single" w:sz="4" w:space="0" w:color="auto"/>
              <w:right w:val="single" w:sz="4" w:space="0" w:color="auto"/>
            </w:tcBorders>
            <w:vAlign w:val="center"/>
          </w:tcPr>
          <w:p w14:paraId="4FCF11AE" w14:textId="77777777" w:rsidR="007502B5" w:rsidRPr="000C48F9" w:rsidRDefault="007502B5" w:rsidP="007502B5">
            <w:pPr>
              <w:pStyle w:val="TableText0"/>
              <w:jc w:val="center"/>
              <w:rPr>
                <w:szCs w:val="20"/>
              </w:rPr>
            </w:pPr>
            <w:r w:rsidRPr="000C48F9">
              <w:rPr>
                <w:szCs w:val="20"/>
              </w:rPr>
              <w:t>160</w:t>
            </w:r>
          </w:p>
        </w:tc>
        <w:tc>
          <w:tcPr>
            <w:tcW w:w="630" w:type="pct"/>
            <w:tcBorders>
              <w:top w:val="single" w:sz="4" w:space="0" w:color="auto"/>
              <w:left w:val="single" w:sz="4" w:space="0" w:color="auto"/>
              <w:bottom w:val="single" w:sz="4" w:space="0" w:color="auto"/>
              <w:right w:val="single" w:sz="4" w:space="0" w:color="auto"/>
            </w:tcBorders>
            <w:vAlign w:val="center"/>
          </w:tcPr>
          <w:p w14:paraId="55E60E6F" w14:textId="6D079F05" w:rsidR="007502B5" w:rsidRPr="000C48F9" w:rsidDel="006B11CA" w:rsidRDefault="00523175" w:rsidP="007502B5">
            <w:pPr>
              <w:pStyle w:val="TableText0"/>
              <w:jc w:val="center"/>
              <w:rPr>
                <w:rFonts w:cstheme="minorHAnsi"/>
                <w:szCs w:val="20"/>
              </w:rPr>
            </w:pPr>
            <w:r w:rsidRPr="000C48F9">
              <w:rPr>
                <w:rFonts w:cstheme="minorHAnsi"/>
                <w:szCs w:val="20"/>
              </w:rPr>
              <w:t xml:space="preserve"> </w:t>
            </w:r>
            <w:r w:rsidRPr="000C48F9">
              <w:rPr>
                <w:rFonts w:cstheme="minorHAnsi"/>
                <w:i/>
                <w:iCs/>
                <w:szCs w:val="20"/>
              </w:rPr>
              <w:t>0.2</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75C4AA70" w14:textId="1FF74B11" w:rsidR="007502B5" w:rsidRPr="000C48F9" w:rsidRDefault="00546AAC" w:rsidP="007502B5">
            <w:pPr>
              <w:pStyle w:val="TableText0"/>
              <w:jc w:val="center"/>
              <w:rPr>
                <w:i/>
                <w:iCs/>
                <w:szCs w:val="20"/>
              </w:rPr>
            </w:pPr>
            <w:r w:rsidRPr="000C48F9">
              <w:rPr>
                <w:i/>
                <w:iCs/>
                <w:szCs w:val="20"/>
              </w:rPr>
              <w:t>0.6</w:t>
            </w:r>
          </w:p>
        </w:tc>
        <w:tc>
          <w:tcPr>
            <w:tcW w:w="1070" w:type="pct"/>
            <w:gridSpan w:val="2"/>
            <w:tcBorders>
              <w:top w:val="single" w:sz="4" w:space="0" w:color="auto"/>
              <w:left w:val="single" w:sz="4" w:space="0" w:color="auto"/>
              <w:bottom w:val="single" w:sz="4" w:space="0" w:color="auto"/>
              <w:right w:val="single" w:sz="4" w:space="0" w:color="auto"/>
            </w:tcBorders>
            <w:vAlign w:val="center"/>
          </w:tcPr>
          <w:p w14:paraId="14CB7D08" w14:textId="77777777" w:rsidR="007502B5" w:rsidRPr="000C48F9" w:rsidRDefault="007502B5" w:rsidP="007502B5">
            <w:pPr>
              <w:pStyle w:val="TableText0"/>
              <w:jc w:val="center"/>
              <w:rPr>
                <w:b/>
                <w:szCs w:val="20"/>
              </w:rPr>
            </w:pPr>
            <w:r w:rsidRPr="000C48F9">
              <w:rPr>
                <w:rFonts w:cs="Calibri"/>
                <w:b/>
                <w:bCs w:val="0"/>
                <w:lang w:eastAsia="en-US"/>
              </w:rPr>
              <w:t>11.5 (7.9, 15.1)</w:t>
            </w:r>
          </w:p>
        </w:tc>
      </w:tr>
      <w:tr w:rsidR="007502B5" w:rsidRPr="000C48F9" w14:paraId="66FBF052" w14:textId="77777777" w:rsidTr="00B44292">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526E27DB" w14:textId="77777777" w:rsidR="007502B5" w:rsidRPr="000C48F9" w:rsidRDefault="007502B5" w:rsidP="007502B5">
            <w:pPr>
              <w:pStyle w:val="Default"/>
              <w:rPr>
                <w:rFonts w:ascii="Arial Narrow" w:hAnsi="Arial Narrow"/>
              </w:rPr>
            </w:pPr>
            <w:r w:rsidRPr="000C48F9">
              <w:rPr>
                <w:rFonts w:ascii="Arial Narrow" w:hAnsi="Arial Narrow"/>
                <w:b/>
                <w:bCs/>
                <w:sz w:val="20"/>
                <w:szCs w:val="20"/>
              </w:rPr>
              <w:t>Harms</w:t>
            </w:r>
          </w:p>
        </w:tc>
      </w:tr>
      <w:tr w:rsidR="007502B5" w:rsidRPr="000C48F9" w14:paraId="7E0CE224" w14:textId="77777777" w:rsidTr="005A0287">
        <w:trPr>
          <w:trHeight w:val="70"/>
        </w:trPr>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3F6BFA" w14:textId="306C50A9" w:rsidR="007502B5" w:rsidRPr="000C48F9" w:rsidRDefault="007502B5" w:rsidP="007502B5">
            <w:pPr>
              <w:pStyle w:val="In-tableHeading"/>
              <w:rPr>
                <w:lang w:val="en-AU"/>
              </w:rPr>
            </w:pPr>
            <w:r w:rsidRPr="000C48F9">
              <w:rPr>
                <w:lang w:val="en-AU"/>
              </w:rPr>
              <w:t>F/MF</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1E1E4F22" w14:textId="77777777" w:rsidR="007502B5" w:rsidRPr="000C48F9" w:rsidRDefault="007502B5" w:rsidP="007502B5">
            <w:pPr>
              <w:pStyle w:val="In-tableHeading"/>
              <w:jc w:val="center"/>
              <w:rPr>
                <w:lang w:val="en-AU"/>
              </w:rPr>
            </w:pPr>
            <w:r w:rsidRPr="000C48F9">
              <w:rPr>
                <w:lang w:val="en-AU"/>
              </w:rPr>
              <w:t>ELX/TEZ/IVA</w:t>
            </w:r>
          </w:p>
          <w:p w14:paraId="0BCE81C1" w14:textId="77777777" w:rsidR="007502B5" w:rsidRPr="000C48F9" w:rsidRDefault="007502B5" w:rsidP="007502B5">
            <w:pPr>
              <w:pStyle w:val="In-tableHeading"/>
              <w:jc w:val="center"/>
              <w:rPr>
                <w:lang w:val="en-AU"/>
              </w:rPr>
            </w:pPr>
            <w:r w:rsidRPr="000C48F9">
              <w:rPr>
                <w:lang w:val="en-AU"/>
              </w:rPr>
              <w:t>N=60</w:t>
            </w:r>
          </w:p>
        </w:tc>
        <w:tc>
          <w:tcPr>
            <w:tcW w:w="393" w:type="pct"/>
            <w:vMerge w:val="restart"/>
            <w:tcBorders>
              <w:top w:val="single" w:sz="4" w:space="0" w:color="auto"/>
              <w:left w:val="single" w:sz="4" w:space="0" w:color="auto"/>
              <w:bottom w:val="single" w:sz="4" w:space="0" w:color="auto"/>
              <w:right w:val="single" w:sz="4" w:space="0" w:color="auto"/>
            </w:tcBorders>
            <w:vAlign w:val="center"/>
          </w:tcPr>
          <w:p w14:paraId="0C5477A6" w14:textId="77777777" w:rsidR="007502B5" w:rsidRPr="000C48F9" w:rsidRDefault="007502B5" w:rsidP="007502B5">
            <w:pPr>
              <w:pStyle w:val="In-tableHeading"/>
              <w:jc w:val="center"/>
              <w:rPr>
                <w:lang w:val="en-AU"/>
              </w:rPr>
            </w:pPr>
            <w:r w:rsidRPr="000C48F9">
              <w:rPr>
                <w:lang w:val="en-AU"/>
              </w:rPr>
              <w:t>PBO</w:t>
            </w:r>
          </w:p>
          <w:p w14:paraId="1F7EC711" w14:textId="77777777" w:rsidR="007502B5" w:rsidRPr="000C48F9" w:rsidRDefault="007502B5" w:rsidP="007502B5">
            <w:pPr>
              <w:pStyle w:val="In-tableHeading"/>
              <w:jc w:val="center"/>
              <w:rPr>
                <w:lang w:val="en-AU"/>
              </w:rPr>
            </w:pPr>
            <w:r w:rsidRPr="000C48F9">
              <w:rPr>
                <w:lang w:val="en-AU"/>
              </w:rPr>
              <w:t>N=61</w:t>
            </w:r>
          </w:p>
        </w:tc>
        <w:tc>
          <w:tcPr>
            <w:tcW w:w="865" w:type="pct"/>
            <w:gridSpan w:val="2"/>
            <w:vMerge w:val="restart"/>
            <w:tcBorders>
              <w:top w:val="single" w:sz="4" w:space="0" w:color="auto"/>
              <w:left w:val="single" w:sz="4" w:space="0" w:color="auto"/>
              <w:bottom w:val="single" w:sz="4" w:space="0" w:color="auto"/>
              <w:right w:val="single" w:sz="4" w:space="0" w:color="auto"/>
            </w:tcBorders>
            <w:vAlign w:val="center"/>
          </w:tcPr>
          <w:p w14:paraId="5DA78DA6" w14:textId="77777777" w:rsidR="007502B5" w:rsidRPr="000C48F9" w:rsidRDefault="007502B5" w:rsidP="007502B5">
            <w:pPr>
              <w:pStyle w:val="In-tableHeading"/>
              <w:jc w:val="center"/>
              <w:rPr>
                <w:lang w:val="en-AU"/>
              </w:rPr>
            </w:pPr>
            <w:r w:rsidRPr="000C48F9">
              <w:rPr>
                <w:lang w:val="en-AU"/>
              </w:rPr>
              <w:t>RR</w:t>
            </w:r>
          </w:p>
          <w:p w14:paraId="7FF1F52A" w14:textId="77777777" w:rsidR="007502B5" w:rsidRPr="000C48F9" w:rsidRDefault="007502B5" w:rsidP="007502B5">
            <w:pPr>
              <w:pStyle w:val="In-tableHeading"/>
              <w:jc w:val="center"/>
              <w:rPr>
                <w:lang w:val="en-AU"/>
              </w:rPr>
            </w:pPr>
            <w:r w:rsidRPr="000C48F9">
              <w:rPr>
                <w:lang w:val="en-AU"/>
              </w:rPr>
              <w:t>(95% CI)</w:t>
            </w:r>
          </w:p>
        </w:tc>
        <w:tc>
          <w:tcPr>
            <w:tcW w:w="1414" w:type="pct"/>
            <w:gridSpan w:val="4"/>
            <w:tcBorders>
              <w:top w:val="single" w:sz="4" w:space="0" w:color="auto"/>
              <w:left w:val="single" w:sz="4" w:space="0" w:color="auto"/>
              <w:bottom w:val="single" w:sz="4" w:space="0" w:color="auto"/>
              <w:right w:val="single" w:sz="4" w:space="0" w:color="auto"/>
            </w:tcBorders>
            <w:vAlign w:val="center"/>
          </w:tcPr>
          <w:p w14:paraId="005740A0" w14:textId="77777777" w:rsidR="007502B5" w:rsidRPr="000C48F9" w:rsidRDefault="007502B5" w:rsidP="007502B5">
            <w:pPr>
              <w:pStyle w:val="In-tableHeading"/>
              <w:jc w:val="center"/>
              <w:rPr>
                <w:lang w:val="en-AU"/>
              </w:rPr>
            </w:pPr>
            <w:r w:rsidRPr="000C48F9">
              <w:rPr>
                <w:lang w:val="en-AU"/>
              </w:rPr>
              <w:t>Event rate/100 patients</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14:paraId="2E56F10D" w14:textId="77777777" w:rsidR="007502B5" w:rsidRPr="000C48F9" w:rsidRDefault="007502B5" w:rsidP="007502B5">
            <w:pPr>
              <w:pStyle w:val="In-tableHeading"/>
              <w:jc w:val="center"/>
              <w:rPr>
                <w:lang w:val="en-AU"/>
              </w:rPr>
            </w:pPr>
            <w:r w:rsidRPr="000C48F9">
              <w:rPr>
                <w:lang w:val="en-AU"/>
              </w:rPr>
              <w:t>RD</w:t>
            </w:r>
          </w:p>
          <w:p w14:paraId="586A38AB" w14:textId="77777777" w:rsidR="007502B5" w:rsidRPr="000C48F9" w:rsidRDefault="007502B5" w:rsidP="007502B5">
            <w:pPr>
              <w:pStyle w:val="In-tableHeading"/>
              <w:jc w:val="center"/>
              <w:rPr>
                <w:lang w:val="en-AU"/>
              </w:rPr>
            </w:pPr>
            <w:r w:rsidRPr="000C48F9">
              <w:rPr>
                <w:lang w:val="en-AU"/>
              </w:rPr>
              <w:t>(95% CI)</w:t>
            </w:r>
          </w:p>
        </w:tc>
      </w:tr>
      <w:tr w:rsidR="007502B5" w:rsidRPr="000C48F9" w14:paraId="5253C4C6" w14:textId="77777777" w:rsidTr="005A0287">
        <w:trPr>
          <w:trHeight w:val="390"/>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4C801B" w14:textId="77777777" w:rsidR="007502B5" w:rsidRPr="000C48F9" w:rsidRDefault="007502B5" w:rsidP="007502B5">
            <w:pPr>
              <w:pStyle w:val="In-tableHeading"/>
              <w:rPr>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44DB5D8E" w14:textId="77777777" w:rsidR="007502B5" w:rsidRPr="000C48F9" w:rsidRDefault="007502B5" w:rsidP="007502B5">
            <w:pPr>
              <w:pStyle w:val="In-tableHeading"/>
              <w:jc w:val="center"/>
              <w:rPr>
                <w:lang w:val="en-AU"/>
              </w:rPr>
            </w:pPr>
          </w:p>
        </w:tc>
        <w:tc>
          <w:tcPr>
            <w:tcW w:w="393" w:type="pct"/>
            <w:vMerge/>
            <w:tcBorders>
              <w:top w:val="single" w:sz="4" w:space="0" w:color="auto"/>
              <w:left w:val="single" w:sz="4" w:space="0" w:color="auto"/>
              <w:bottom w:val="single" w:sz="4" w:space="0" w:color="auto"/>
              <w:right w:val="single" w:sz="4" w:space="0" w:color="auto"/>
            </w:tcBorders>
            <w:vAlign w:val="center"/>
          </w:tcPr>
          <w:p w14:paraId="2EA0F0F2" w14:textId="77777777" w:rsidR="007502B5" w:rsidRPr="000C48F9" w:rsidRDefault="007502B5" w:rsidP="007502B5">
            <w:pPr>
              <w:pStyle w:val="In-tableHeading"/>
              <w:jc w:val="center"/>
              <w:rPr>
                <w:lang w:val="en-AU"/>
              </w:rPr>
            </w:pPr>
          </w:p>
        </w:tc>
        <w:tc>
          <w:tcPr>
            <w:tcW w:w="865" w:type="pct"/>
            <w:gridSpan w:val="2"/>
            <w:vMerge/>
            <w:tcBorders>
              <w:top w:val="single" w:sz="4" w:space="0" w:color="auto"/>
              <w:left w:val="single" w:sz="4" w:space="0" w:color="auto"/>
              <w:bottom w:val="single" w:sz="4" w:space="0" w:color="auto"/>
              <w:right w:val="single" w:sz="4" w:space="0" w:color="auto"/>
            </w:tcBorders>
            <w:vAlign w:val="center"/>
          </w:tcPr>
          <w:p w14:paraId="6F483E04" w14:textId="77777777" w:rsidR="007502B5" w:rsidRPr="000C48F9" w:rsidRDefault="007502B5" w:rsidP="007502B5">
            <w:pPr>
              <w:pStyle w:val="In-tableHeading"/>
              <w:jc w:val="center"/>
              <w:rPr>
                <w:lang w:val="en-AU"/>
              </w:rPr>
            </w:pP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418011F2" w14:textId="77777777" w:rsidR="007502B5" w:rsidRPr="000C48F9" w:rsidRDefault="007502B5" w:rsidP="007502B5">
            <w:pPr>
              <w:pStyle w:val="In-tableHeading"/>
              <w:jc w:val="center"/>
              <w:rPr>
                <w:lang w:val="en-AU"/>
              </w:rPr>
            </w:pPr>
            <w:r w:rsidRPr="000C48F9">
              <w:rPr>
                <w:lang w:val="en-AU"/>
              </w:rPr>
              <w:t>ELX/TEZ/IVA</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93D395E" w14:textId="77777777" w:rsidR="007502B5" w:rsidRPr="000C48F9" w:rsidRDefault="007502B5" w:rsidP="007502B5">
            <w:pPr>
              <w:pStyle w:val="In-tableHeading"/>
              <w:jc w:val="center"/>
              <w:rPr>
                <w:lang w:val="en-AU"/>
              </w:rPr>
            </w:pPr>
            <w:r w:rsidRPr="000C48F9">
              <w:rPr>
                <w:lang w:val="en-AU"/>
              </w:rPr>
              <w:t>Comparators</w:t>
            </w:r>
          </w:p>
        </w:tc>
        <w:tc>
          <w:tcPr>
            <w:tcW w:w="837" w:type="pct"/>
            <w:vMerge/>
            <w:tcBorders>
              <w:top w:val="single" w:sz="4" w:space="0" w:color="auto"/>
              <w:left w:val="single" w:sz="4" w:space="0" w:color="auto"/>
              <w:bottom w:val="single" w:sz="4" w:space="0" w:color="auto"/>
              <w:right w:val="single" w:sz="4" w:space="0" w:color="auto"/>
            </w:tcBorders>
            <w:vAlign w:val="center"/>
          </w:tcPr>
          <w:p w14:paraId="6CCEBDC9" w14:textId="77777777" w:rsidR="007502B5" w:rsidRPr="000C48F9" w:rsidRDefault="007502B5" w:rsidP="007502B5">
            <w:pPr>
              <w:pStyle w:val="In-tableHeading"/>
              <w:jc w:val="center"/>
              <w:rPr>
                <w:lang w:val="en-AU"/>
              </w:rPr>
            </w:pPr>
          </w:p>
        </w:tc>
      </w:tr>
      <w:tr w:rsidR="007502B5" w:rsidRPr="000C48F9" w14:paraId="0351AF88" w14:textId="77777777" w:rsidTr="00B44292">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B0CA66" w14:textId="77777777" w:rsidR="007502B5" w:rsidRPr="000C48F9" w:rsidRDefault="007502B5" w:rsidP="007502B5">
            <w:pPr>
              <w:pStyle w:val="Default"/>
              <w:rPr>
                <w:rFonts w:ascii="Arial Narrow" w:hAnsi="Arial Narrow"/>
                <w:b/>
                <w:bCs/>
              </w:rPr>
            </w:pPr>
            <w:r w:rsidRPr="000C48F9">
              <w:rPr>
                <w:rFonts w:ascii="Arial Narrow" w:hAnsi="Arial Narrow"/>
                <w:b/>
                <w:bCs/>
                <w:sz w:val="20"/>
                <w:szCs w:val="20"/>
              </w:rPr>
              <w:t>Patients with Grade 3 or Grade 4 AE</w:t>
            </w:r>
          </w:p>
        </w:tc>
      </w:tr>
      <w:tr w:rsidR="007502B5" w:rsidRPr="000C48F9" w14:paraId="7C90D297" w14:textId="77777777" w:rsidTr="005A0287">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FC7AD46" w14:textId="43FA3860" w:rsidR="007502B5" w:rsidRPr="000C48F9" w:rsidRDefault="007502B5" w:rsidP="007502B5">
            <w:pPr>
              <w:pStyle w:val="TableText0"/>
            </w:pPr>
            <w:r w:rsidRPr="000C48F9">
              <w:t xml:space="preserve">Study 116 </w:t>
            </w:r>
          </w:p>
        </w:tc>
        <w:tc>
          <w:tcPr>
            <w:tcW w:w="629" w:type="pct"/>
            <w:tcBorders>
              <w:top w:val="single" w:sz="4" w:space="0" w:color="auto"/>
              <w:left w:val="single" w:sz="4" w:space="0" w:color="auto"/>
              <w:bottom w:val="single" w:sz="4" w:space="0" w:color="auto"/>
              <w:right w:val="single" w:sz="4" w:space="0" w:color="auto"/>
            </w:tcBorders>
            <w:vAlign w:val="center"/>
          </w:tcPr>
          <w:p w14:paraId="5A4F5177" w14:textId="59F6930F" w:rsidR="007502B5" w:rsidRPr="000C48F9" w:rsidRDefault="007502B5" w:rsidP="007502B5">
            <w:pPr>
              <w:pStyle w:val="TableText0"/>
              <w:jc w:val="center"/>
            </w:pPr>
            <w:r w:rsidRPr="000C48F9">
              <w:rPr>
                <w:rFonts w:cstheme="minorHAnsi"/>
              </w:rPr>
              <w:t xml:space="preserve">2 </w:t>
            </w:r>
          </w:p>
        </w:tc>
        <w:tc>
          <w:tcPr>
            <w:tcW w:w="393" w:type="pct"/>
            <w:tcBorders>
              <w:top w:val="single" w:sz="4" w:space="0" w:color="auto"/>
              <w:left w:val="single" w:sz="4" w:space="0" w:color="auto"/>
              <w:bottom w:val="single" w:sz="4" w:space="0" w:color="auto"/>
              <w:right w:val="single" w:sz="4" w:space="0" w:color="auto"/>
            </w:tcBorders>
            <w:vAlign w:val="center"/>
          </w:tcPr>
          <w:p w14:paraId="2FF51687" w14:textId="637497BD" w:rsidR="007502B5" w:rsidRPr="000C48F9" w:rsidRDefault="007502B5" w:rsidP="007502B5">
            <w:pPr>
              <w:pStyle w:val="TableText0"/>
              <w:jc w:val="center"/>
            </w:pPr>
            <w:r w:rsidRPr="000C48F9">
              <w:rPr>
                <w:rFonts w:cstheme="minorHAnsi"/>
              </w:rPr>
              <w:t xml:space="preserve">2 </w:t>
            </w: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86DF9C7" w14:textId="77777777" w:rsidR="007502B5" w:rsidRPr="000C48F9" w:rsidRDefault="007502B5" w:rsidP="007502B5">
            <w:pPr>
              <w:pStyle w:val="TableText0"/>
              <w:jc w:val="center"/>
              <w:rPr>
                <w:bCs w:val="0"/>
              </w:rPr>
            </w:pPr>
            <w:r w:rsidRPr="000C48F9">
              <w:rPr>
                <w:bCs w:val="0"/>
              </w:rPr>
              <w:t>1.02 (0.15, 6.99)</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E144519" w14:textId="77777777" w:rsidR="007502B5" w:rsidRPr="000C48F9" w:rsidRDefault="007502B5" w:rsidP="007502B5">
            <w:pPr>
              <w:pStyle w:val="TableText0"/>
              <w:jc w:val="center"/>
            </w:pPr>
            <w:r w:rsidRPr="000C48F9">
              <w:t>3</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AABA8F2" w14:textId="77777777" w:rsidR="007502B5" w:rsidRPr="000C48F9" w:rsidRDefault="007502B5" w:rsidP="007502B5">
            <w:pPr>
              <w:pStyle w:val="TableText0"/>
              <w:jc w:val="center"/>
            </w:pPr>
            <w:r w:rsidRPr="000C48F9">
              <w:t>3</w:t>
            </w:r>
          </w:p>
        </w:tc>
        <w:tc>
          <w:tcPr>
            <w:tcW w:w="837" w:type="pct"/>
            <w:tcBorders>
              <w:top w:val="single" w:sz="4" w:space="0" w:color="auto"/>
              <w:left w:val="single" w:sz="4" w:space="0" w:color="auto"/>
              <w:bottom w:val="single" w:sz="4" w:space="0" w:color="auto"/>
              <w:right w:val="single" w:sz="4" w:space="0" w:color="auto"/>
            </w:tcBorders>
            <w:vAlign w:val="center"/>
          </w:tcPr>
          <w:p w14:paraId="367D3617" w14:textId="77777777" w:rsidR="007502B5" w:rsidRPr="000C48F9" w:rsidRDefault="007502B5" w:rsidP="007502B5">
            <w:pPr>
              <w:pStyle w:val="TableText0"/>
              <w:jc w:val="center"/>
            </w:pPr>
            <w:r w:rsidRPr="000C48F9">
              <w:t>0.00 (-0.05, 0.05)</w:t>
            </w:r>
          </w:p>
        </w:tc>
      </w:tr>
      <w:tr w:rsidR="007502B5" w:rsidRPr="000C48F9" w14:paraId="252D0CA6" w14:textId="77777777" w:rsidTr="00B44292">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EBDA92" w14:textId="77777777" w:rsidR="007502B5" w:rsidRPr="000C48F9" w:rsidRDefault="007502B5" w:rsidP="007502B5">
            <w:pPr>
              <w:pStyle w:val="In-tableHeading"/>
              <w:rPr>
                <w:bCs/>
                <w:lang w:val="en-AU"/>
              </w:rPr>
            </w:pPr>
            <w:r w:rsidRPr="000C48F9">
              <w:rPr>
                <w:bCs/>
                <w:lang w:val="en-AU"/>
              </w:rPr>
              <w:t>Related AE</w:t>
            </w:r>
          </w:p>
        </w:tc>
      </w:tr>
      <w:tr w:rsidR="007502B5" w:rsidRPr="000C48F9" w14:paraId="2A3F3036" w14:textId="77777777" w:rsidTr="005A0287">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4C4B0E93" w14:textId="3E7B1B76" w:rsidR="007502B5" w:rsidRPr="000C48F9" w:rsidRDefault="007502B5" w:rsidP="007502B5">
            <w:pPr>
              <w:pStyle w:val="TableText0"/>
            </w:pPr>
            <w:r w:rsidRPr="000C48F9">
              <w:t>Study 11</w:t>
            </w:r>
            <w:r w:rsidR="004507FE" w:rsidRPr="000C48F9">
              <w:t>6</w:t>
            </w:r>
          </w:p>
        </w:tc>
        <w:tc>
          <w:tcPr>
            <w:tcW w:w="629" w:type="pct"/>
            <w:tcBorders>
              <w:top w:val="single" w:sz="4" w:space="0" w:color="auto"/>
              <w:left w:val="single" w:sz="4" w:space="0" w:color="auto"/>
              <w:bottom w:val="single" w:sz="4" w:space="0" w:color="auto"/>
              <w:right w:val="single" w:sz="4" w:space="0" w:color="auto"/>
            </w:tcBorders>
            <w:vAlign w:val="center"/>
          </w:tcPr>
          <w:p w14:paraId="767B082C" w14:textId="0AEE2014" w:rsidR="007502B5" w:rsidRPr="000C48F9" w:rsidRDefault="007502B5" w:rsidP="007502B5">
            <w:pPr>
              <w:pStyle w:val="TableText0"/>
              <w:jc w:val="center"/>
            </w:pPr>
            <w:r w:rsidRPr="000C48F9">
              <w:rPr>
                <w:rFonts w:cstheme="minorHAnsi"/>
              </w:rPr>
              <w:t xml:space="preserve">26 </w:t>
            </w:r>
          </w:p>
        </w:tc>
        <w:tc>
          <w:tcPr>
            <w:tcW w:w="393" w:type="pct"/>
            <w:tcBorders>
              <w:top w:val="single" w:sz="4" w:space="0" w:color="auto"/>
              <w:left w:val="single" w:sz="4" w:space="0" w:color="auto"/>
              <w:bottom w:val="single" w:sz="4" w:space="0" w:color="auto"/>
              <w:right w:val="single" w:sz="4" w:space="0" w:color="auto"/>
            </w:tcBorders>
            <w:vAlign w:val="center"/>
          </w:tcPr>
          <w:p w14:paraId="68F579F7" w14:textId="6C5160C0" w:rsidR="007502B5" w:rsidRPr="000C48F9" w:rsidRDefault="007502B5" w:rsidP="007502B5">
            <w:pPr>
              <w:pStyle w:val="TableText0"/>
              <w:jc w:val="center"/>
            </w:pPr>
            <w:r w:rsidRPr="000C48F9">
              <w:rPr>
                <w:rFonts w:cstheme="minorHAnsi"/>
              </w:rPr>
              <w:t xml:space="preserve">23 </w:t>
            </w: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2C54EDD8" w14:textId="77777777" w:rsidR="007502B5" w:rsidRPr="000C48F9" w:rsidRDefault="007502B5" w:rsidP="007502B5">
            <w:pPr>
              <w:pStyle w:val="TableText0"/>
              <w:jc w:val="center"/>
              <w:rPr>
                <w:bCs w:val="0"/>
              </w:rPr>
            </w:pPr>
            <w:r w:rsidRPr="000C48F9">
              <w:rPr>
                <w:bCs w:val="0"/>
              </w:rPr>
              <w:t>1.15 (0.75, 1.77)</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1354DA3" w14:textId="77777777" w:rsidR="007502B5" w:rsidRPr="000C48F9" w:rsidRDefault="007502B5" w:rsidP="007502B5">
            <w:pPr>
              <w:pStyle w:val="TableText0"/>
              <w:jc w:val="center"/>
            </w:pPr>
            <w:r w:rsidRPr="000C48F9">
              <w:t>43</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4F03BB6" w14:textId="77777777" w:rsidR="007502B5" w:rsidRPr="000C48F9" w:rsidRDefault="007502B5" w:rsidP="007502B5">
            <w:pPr>
              <w:pStyle w:val="TableText0"/>
              <w:jc w:val="center"/>
            </w:pPr>
            <w:r w:rsidRPr="000C48F9">
              <w:t>38</w:t>
            </w:r>
          </w:p>
        </w:tc>
        <w:tc>
          <w:tcPr>
            <w:tcW w:w="837" w:type="pct"/>
            <w:tcBorders>
              <w:top w:val="single" w:sz="4" w:space="0" w:color="auto"/>
              <w:left w:val="single" w:sz="4" w:space="0" w:color="auto"/>
              <w:bottom w:val="single" w:sz="4" w:space="0" w:color="auto"/>
              <w:right w:val="single" w:sz="4" w:space="0" w:color="auto"/>
            </w:tcBorders>
            <w:vAlign w:val="center"/>
          </w:tcPr>
          <w:p w14:paraId="0F2F7243" w14:textId="77777777" w:rsidR="007502B5" w:rsidRPr="000C48F9" w:rsidRDefault="007502B5" w:rsidP="007502B5">
            <w:pPr>
              <w:pStyle w:val="TableText0"/>
              <w:jc w:val="center"/>
              <w:rPr>
                <w:bCs w:val="0"/>
              </w:rPr>
            </w:pPr>
            <w:r w:rsidRPr="000C48F9">
              <w:rPr>
                <w:bCs w:val="0"/>
              </w:rPr>
              <w:t>0.05 (-0.09, 0.19)</w:t>
            </w:r>
          </w:p>
        </w:tc>
      </w:tr>
      <w:tr w:rsidR="007502B5" w:rsidRPr="000C48F9" w14:paraId="2A8D70BA" w14:textId="77777777" w:rsidTr="00B44292">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29401D" w14:textId="77777777" w:rsidR="007502B5" w:rsidRPr="000C48F9" w:rsidRDefault="007502B5" w:rsidP="007502B5">
            <w:pPr>
              <w:pStyle w:val="In-tableHeading"/>
              <w:rPr>
                <w:bCs/>
                <w:lang w:val="en-AU"/>
              </w:rPr>
            </w:pPr>
            <w:r w:rsidRPr="000C48F9">
              <w:rPr>
                <w:bCs/>
                <w:lang w:val="en-AU"/>
              </w:rPr>
              <w:t>Patients with any AE</w:t>
            </w:r>
          </w:p>
        </w:tc>
      </w:tr>
      <w:tr w:rsidR="007502B5" w:rsidRPr="000C48F9" w14:paraId="54E4F33F" w14:textId="77777777" w:rsidTr="005A0287">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F2A6165" w14:textId="63CE2A9D" w:rsidR="007502B5" w:rsidRPr="000C48F9" w:rsidRDefault="007502B5" w:rsidP="007502B5">
            <w:pPr>
              <w:pStyle w:val="TableText0"/>
            </w:pPr>
            <w:r w:rsidRPr="000C48F9">
              <w:t>Study 116</w:t>
            </w:r>
          </w:p>
        </w:tc>
        <w:tc>
          <w:tcPr>
            <w:tcW w:w="629" w:type="pct"/>
            <w:tcBorders>
              <w:top w:val="single" w:sz="4" w:space="0" w:color="auto"/>
              <w:left w:val="single" w:sz="4" w:space="0" w:color="auto"/>
              <w:bottom w:val="single" w:sz="4" w:space="0" w:color="auto"/>
              <w:right w:val="single" w:sz="4" w:space="0" w:color="auto"/>
            </w:tcBorders>
            <w:vAlign w:val="center"/>
          </w:tcPr>
          <w:p w14:paraId="67E720A7" w14:textId="08F99C84" w:rsidR="007502B5" w:rsidRPr="000C48F9" w:rsidRDefault="007502B5" w:rsidP="007502B5">
            <w:pPr>
              <w:pStyle w:val="TableText0"/>
              <w:jc w:val="center"/>
            </w:pPr>
            <w:r w:rsidRPr="000C48F9">
              <w:rPr>
                <w:rFonts w:cstheme="minorHAnsi"/>
              </w:rPr>
              <w:t xml:space="preserve">48 </w:t>
            </w:r>
          </w:p>
        </w:tc>
        <w:tc>
          <w:tcPr>
            <w:tcW w:w="393" w:type="pct"/>
            <w:tcBorders>
              <w:top w:val="single" w:sz="4" w:space="0" w:color="auto"/>
              <w:left w:val="single" w:sz="4" w:space="0" w:color="auto"/>
              <w:bottom w:val="single" w:sz="4" w:space="0" w:color="auto"/>
              <w:right w:val="single" w:sz="4" w:space="0" w:color="auto"/>
            </w:tcBorders>
            <w:vAlign w:val="center"/>
          </w:tcPr>
          <w:p w14:paraId="28DC9304" w14:textId="6AF623AE" w:rsidR="007502B5" w:rsidRPr="000C48F9" w:rsidRDefault="007502B5" w:rsidP="007502B5">
            <w:pPr>
              <w:pStyle w:val="TableText0"/>
              <w:jc w:val="center"/>
            </w:pPr>
            <w:r w:rsidRPr="000C48F9">
              <w:rPr>
                <w:rFonts w:cstheme="minorHAnsi"/>
              </w:rPr>
              <w:t xml:space="preserve">57 </w:t>
            </w: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3100CCF5" w14:textId="77777777" w:rsidR="007502B5" w:rsidRPr="000C48F9" w:rsidRDefault="007502B5" w:rsidP="007502B5">
            <w:pPr>
              <w:pStyle w:val="TableText0"/>
              <w:jc w:val="center"/>
              <w:rPr>
                <w:bCs w:val="0"/>
              </w:rPr>
            </w:pPr>
            <w:r w:rsidRPr="000C48F9">
              <w:rPr>
                <w:bCs w:val="0"/>
              </w:rPr>
              <w:t>0.86 (0.74, 0.99)</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06C397F1" w14:textId="77777777" w:rsidR="007502B5" w:rsidRPr="000C48F9" w:rsidRDefault="007502B5" w:rsidP="007502B5">
            <w:pPr>
              <w:pStyle w:val="TableText0"/>
              <w:jc w:val="center"/>
            </w:pPr>
            <w:r w:rsidRPr="000C48F9">
              <w:t>80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18A8B03A" w14:textId="77777777" w:rsidR="007502B5" w:rsidRPr="000C48F9" w:rsidRDefault="007502B5" w:rsidP="007502B5">
            <w:pPr>
              <w:pStyle w:val="TableText0"/>
              <w:jc w:val="center"/>
            </w:pPr>
            <w:r w:rsidRPr="000C48F9">
              <w:t>93</w:t>
            </w:r>
          </w:p>
        </w:tc>
        <w:tc>
          <w:tcPr>
            <w:tcW w:w="837" w:type="pct"/>
            <w:tcBorders>
              <w:top w:val="single" w:sz="4" w:space="0" w:color="auto"/>
              <w:left w:val="single" w:sz="4" w:space="0" w:color="auto"/>
              <w:bottom w:val="single" w:sz="4" w:space="0" w:color="auto"/>
              <w:right w:val="single" w:sz="4" w:space="0" w:color="auto"/>
            </w:tcBorders>
            <w:vAlign w:val="center"/>
          </w:tcPr>
          <w:p w14:paraId="1A7D52FA" w14:textId="77777777" w:rsidR="007502B5" w:rsidRPr="000C48F9" w:rsidRDefault="007502B5" w:rsidP="007502B5">
            <w:pPr>
              <w:pStyle w:val="TableText0"/>
              <w:jc w:val="center"/>
              <w:rPr>
                <w:bCs w:val="0"/>
              </w:rPr>
            </w:pPr>
            <w:r w:rsidRPr="000C48F9">
              <w:rPr>
                <w:bCs w:val="0"/>
              </w:rPr>
              <w:t>-0.13 (-0.22, -0.04)</w:t>
            </w:r>
          </w:p>
        </w:tc>
      </w:tr>
    </w:tbl>
    <w:p w14:paraId="0D3A6BD8" w14:textId="48F4521C" w:rsidR="00927DB0" w:rsidRPr="000C48F9" w:rsidRDefault="003B6E05" w:rsidP="00927DB0">
      <w:pPr>
        <w:pStyle w:val="TableFigureFooter"/>
        <w:rPr>
          <w:rFonts w:eastAsiaTheme="minorHAnsi"/>
        </w:rPr>
      </w:pPr>
      <w:r w:rsidRPr="000C48F9">
        <w:t xml:space="preserve">Source: </w:t>
      </w:r>
      <w:r w:rsidRPr="000C48F9">
        <w:rPr>
          <w:bCs/>
          <w:iCs/>
        </w:rPr>
        <w:t xml:space="preserve">Developed during the evaluation </w:t>
      </w:r>
      <w:r w:rsidR="00927DB0" w:rsidRPr="000C48F9">
        <w:rPr>
          <w:bCs/>
          <w:iCs/>
        </w:rPr>
        <w:t xml:space="preserve">based on </w:t>
      </w:r>
      <w:r w:rsidR="00927DB0" w:rsidRPr="000C48F9">
        <w:rPr>
          <w:rFonts w:eastAsiaTheme="minorHAnsi"/>
          <w:i/>
          <w:iCs/>
        </w:rPr>
        <w:t>Table 2.5.3 p84, Table 2.5.6 p89-90; Table 2.6.3 p97-98 of the submission; Table 3.1, “Section 2_Vertex DOF 10393 – ELX TEZ IVA vs LUM IVA.pdf” provided with the submission.</w:t>
      </w:r>
    </w:p>
    <w:p w14:paraId="3ECEAE14" w14:textId="14DABB3D" w:rsidR="003B6E05" w:rsidRPr="000C48F9" w:rsidRDefault="003B6E05" w:rsidP="00B44292">
      <w:pPr>
        <w:pStyle w:val="TableFigureFooter"/>
      </w:pPr>
      <w:r w:rsidRPr="000C48F9">
        <w:t xml:space="preserve">AE = adverse event; CI = confidence interval; ELX/TEZ/IVA = elexacaftor/tezacaftor/ivacaftor; </w:t>
      </w:r>
      <w:r w:rsidRPr="000C48F9">
        <w:rPr>
          <w:rFonts w:eastAsiaTheme="minorHAnsi"/>
        </w:rPr>
        <w:t xml:space="preserve">F/F = CF patient homozygous for the F508del-CFTR mutation; F/MF = CF patient heterozygous for the F508del in the CFTR gene with a minimal function mutation; </w:t>
      </w:r>
      <w:r w:rsidR="00927DB0" w:rsidRPr="000C48F9">
        <w:t>ITC= indirect treatment comparison; PBO= placebo; ppFEV</w:t>
      </w:r>
      <w:r w:rsidR="00927DB0" w:rsidRPr="000C48F9">
        <w:rPr>
          <w:vertAlign w:val="subscript"/>
        </w:rPr>
        <w:t>1</w:t>
      </w:r>
      <w:r w:rsidR="00927DB0" w:rsidRPr="000C48F9">
        <w:t xml:space="preserve">= percent predicted forced expiratory volume in 1 second; </w:t>
      </w:r>
      <w:r w:rsidRPr="000C48F9">
        <w:t>RD = risk difference; RR = relative risk; SE = standard error</w:t>
      </w:r>
    </w:p>
    <w:p w14:paraId="19F8FE53" w14:textId="03E9DCE5" w:rsidR="003B6E05" w:rsidRPr="000C48F9" w:rsidRDefault="003B6E05" w:rsidP="00B44292">
      <w:pPr>
        <w:pStyle w:val="TableFigureFooter"/>
      </w:pPr>
      <w:r w:rsidRPr="000C48F9">
        <w:t xml:space="preserve">Note: Bold indicates statistical significance; </w:t>
      </w:r>
    </w:p>
    <w:p w14:paraId="00416D74" w14:textId="43BFC175" w:rsidR="003B6E05" w:rsidRPr="000C48F9" w:rsidRDefault="003B6E05" w:rsidP="00B44292">
      <w:pPr>
        <w:pStyle w:val="3-BodyText"/>
      </w:pPr>
      <w:r w:rsidRPr="000C48F9">
        <w:rPr>
          <w:snapToGrid/>
        </w:rPr>
        <w:t>On the basis of direct evidence from Study 116 presented in the submission, F/MF patients treated with ELX/TEZ/IVA achieved</w:t>
      </w:r>
      <w:r w:rsidRPr="000C48F9">
        <w:t xml:space="preserve"> </w:t>
      </w:r>
      <w:r w:rsidR="00CE4220" w:rsidRPr="000C48F9">
        <w:t xml:space="preserve">an </w:t>
      </w:r>
      <w:r w:rsidRPr="000C48F9">
        <w:t xml:space="preserve">11% </w:t>
      </w:r>
      <w:r w:rsidR="00CE4220" w:rsidRPr="000C48F9">
        <w:t xml:space="preserve">percentage point </w:t>
      </w:r>
      <w:r w:rsidRPr="000C48F9">
        <w:t>increase in the lung capacity (as measured by ppFEV</w:t>
      </w:r>
      <w:r w:rsidRPr="000C48F9">
        <w:rPr>
          <w:vertAlign w:val="subscript"/>
        </w:rPr>
        <w:t>1</w:t>
      </w:r>
      <w:r w:rsidRPr="000C48F9">
        <w:t xml:space="preserve">) compared with </w:t>
      </w:r>
      <w:r w:rsidRPr="000C48F9">
        <w:rPr>
          <w:snapToGrid/>
        </w:rPr>
        <w:t xml:space="preserve">placebo </w:t>
      </w:r>
      <w:r w:rsidR="00CE4220" w:rsidRPr="000C48F9">
        <w:rPr>
          <w:snapToGrid/>
        </w:rPr>
        <w:t xml:space="preserve">at </w:t>
      </w:r>
      <w:r w:rsidRPr="000C48F9">
        <w:rPr>
          <w:snapToGrid/>
        </w:rPr>
        <w:t>24 weeks</w:t>
      </w:r>
      <w:r w:rsidRPr="000C48F9">
        <w:t>.</w:t>
      </w:r>
    </w:p>
    <w:p w14:paraId="1E24A656" w14:textId="60C369D4" w:rsidR="007502B5" w:rsidRPr="000C48F9" w:rsidRDefault="007502B5" w:rsidP="00B44292">
      <w:pPr>
        <w:pStyle w:val="3-BodyText"/>
      </w:pPr>
      <w:r w:rsidRPr="000C48F9">
        <w:rPr>
          <w:snapToGrid/>
        </w:rPr>
        <w:t xml:space="preserve">On the basis of indirect evidence from Study 106 </w:t>
      </w:r>
      <w:r w:rsidR="00CE4220" w:rsidRPr="000C48F9">
        <w:rPr>
          <w:snapToGrid/>
        </w:rPr>
        <w:t xml:space="preserve">and Study 109/ 011 </w:t>
      </w:r>
      <w:r w:rsidRPr="000C48F9">
        <w:rPr>
          <w:snapToGrid/>
        </w:rPr>
        <w:t>presented in the submission, F/F patients treated with ELX/TEZ/IVA achieved</w:t>
      </w:r>
      <w:r w:rsidRPr="000C48F9">
        <w:t xml:space="preserve"> </w:t>
      </w:r>
      <w:r w:rsidR="00CE4220" w:rsidRPr="000C48F9">
        <w:t xml:space="preserve">a </w:t>
      </w:r>
      <w:r w:rsidRPr="000C48F9">
        <w:t xml:space="preserve">12% </w:t>
      </w:r>
      <w:r w:rsidR="00CE4220" w:rsidRPr="000C48F9">
        <w:t xml:space="preserve">percentage point </w:t>
      </w:r>
      <w:r w:rsidRPr="000C48F9">
        <w:t>increase in the lung capacity (as measured by ppFEV</w:t>
      </w:r>
      <w:r w:rsidRPr="000C48F9">
        <w:rPr>
          <w:vertAlign w:val="subscript"/>
        </w:rPr>
        <w:t>1</w:t>
      </w:r>
      <w:r w:rsidRPr="000C48F9">
        <w:t xml:space="preserve">) compared with </w:t>
      </w:r>
      <w:r w:rsidRPr="000C48F9">
        <w:rPr>
          <w:snapToGrid/>
        </w:rPr>
        <w:t xml:space="preserve">LUM/IVA </w:t>
      </w:r>
      <w:r w:rsidR="00CE4220" w:rsidRPr="000C48F9">
        <w:rPr>
          <w:snapToGrid/>
        </w:rPr>
        <w:t xml:space="preserve">at </w:t>
      </w:r>
      <w:r w:rsidRPr="000C48F9">
        <w:rPr>
          <w:snapToGrid/>
        </w:rPr>
        <w:t>24 weeks</w:t>
      </w:r>
      <w:r w:rsidRPr="000C48F9">
        <w:t xml:space="preserve">.  </w:t>
      </w:r>
    </w:p>
    <w:p w14:paraId="405271B6" w14:textId="3BDED5BB" w:rsidR="003B6E05" w:rsidRPr="000C48F9" w:rsidRDefault="003B6E05" w:rsidP="00B44292">
      <w:pPr>
        <w:pStyle w:val="3-BodyText"/>
      </w:pPr>
      <w:r w:rsidRPr="000C48F9">
        <w:rPr>
          <w:snapToGrid/>
        </w:rPr>
        <w:t>On the basis of direct evidence from trials presented in the submission</w:t>
      </w:r>
      <w:r w:rsidRPr="000C48F9">
        <w:t xml:space="preserve">, F/MF patients 6 to 11 years treated with </w:t>
      </w:r>
      <w:r w:rsidRPr="000C48F9">
        <w:rPr>
          <w:snapToGrid/>
        </w:rPr>
        <w:t>ELX/TEZ/IVA have no</w:t>
      </w:r>
      <w:r w:rsidRPr="000C48F9">
        <w:t xml:space="preserve"> increase in the overall likelihood of harms compared with BSC. </w:t>
      </w:r>
    </w:p>
    <w:p w14:paraId="180E2121" w14:textId="2FDA7ECC" w:rsidR="003B6E05" w:rsidRPr="000C48F9" w:rsidRDefault="003B6E05" w:rsidP="00B44292">
      <w:pPr>
        <w:pStyle w:val="4-SubsectionHeading"/>
      </w:pPr>
      <w:bookmarkStart w:id="36" w:name="_Toc114047717"/>
      <w:r w:rsidRPr="000C48F9">
        <w:t>Clinical claim</w:t>
      </w:r>
      <w:bookmarkEnd w:id="36"/>
    </w:p>
    <w:p w14:paraId="030C97C8" w14:textId="1D4E4575" w:rsidR="003B6E05" w:rsidRPr="000C48F9" w:rsidRDefault="003B6E05" w:rsidP="005A0287">
      <w:pPr>
        <w:pStyle w:val="3-BodyText"/>
        <w:rPr>
          <w:snapToGrid/>
        </w:rPr>
      </w:pPr>
      <w:r w:rsidRPr="000C48F9">
        <w:t>The submission described ELX/TEZ/IVA as superior in terms of effectiveness and comparable in terms of safety compared with the nominated comparators (LUM/IVA for F/F</w:t>
      </w:r>
      <w:r w:rsidR="00AA40CB" w:rsidRPr="000C48F9">
        <w:t xml:space="preserve"> population</w:t>
      </w:r>
      <w:r w:rsidRPr="000C48F9">
        <w:t xml:space="preserve">, IVA for F/G </w:t>
      </w:r>
      <w:r w:rsidR="00AA40CB" w:rsidRPr="000C48F9">
        <w:t xml:space="preserve">population </w:t>
      </w:r>
      <w:r w:rsidRPr="000C48F9">
        <w:t>and BSC for F/MF, F/RF and F/R117H</w:t>
      </w:r>
      <w:r w:rsidR="00AA40CB" w:rsidRPr="000C48F9">
        <w:t xml:space="preserve"> population</w:t>
      </w:r>
      <w:r w:rsidRPr="000C48F9">
        <w:t>). Overall, the</w:t>
      </w:r>
      <w:r w:rsidR="0077274D" w:rsidRPr="000C48F9">
        <w:t xml:space="preserve"> </w:t>
      </w:r>
      <w:r w:rsidR="0077274D" w:rsidRPr="00D26872">
        <w:t>ESC considered the</w:t>
      </w:r>
      <w:r w:rsidRPr="000C48F9">
        <w:t xml:space="preserve"> therapeutic conclusion presented in the submission was adequately supported by the evidence presented for the F/F and F/MF populations, but </w:t>
      </w:r>
      <w:r w:rsidR="00773BDA" w:rsidRPr="000C48F9">
        <w:t xml:space="preserve">the magnitude of benefit in the Australian population of CF patients aged 6 to 11 years of age is </w:t>
      </w:r>
      <w:r w:rsidRPr="000C48F9">
        <w:t>uncertain</w:t>
      </w:r>
      <w:r w:rsidR="00773BDA" w:rsidRPr="000C48F9">
        <w:t xml:space="preserve">. </w:t>
      </w:r>
      <w:r w:rsidRPr="000C48F9">
        <w:t xml:space="preserve">The main limitations of the clinical evidence are: </w:t>
      </w:r>
    </w:p>
    <w:p w14:paraId="1527808B" w14:textId="1BEA9937" w:rsidR="003B6E05" w:rsidRPr="000C48F9" w:rsidRDefault="003B6E05" w:rsidP="00BC1217">
      <w:pPr>
        <w:pStyle w:val="3-BodyText"/>
        <w:numPr>
          <w:ilvl w:val="0"/>
          <w:numId w:val="9"/>
        </w:numPr>
        <w:ind w:left="1418" w:hanging="425"/>
      </w:pPr>
      <w:r w:rsidRPr="000C48F9">
        <w:t xml:space="preserve">The reliability of the evidence from </w:t>
      </w:r>
      <w:r w:rsidR="00E64D28" w:rsidRPr="000C48F9">
        <w:t>a single arm study (</w:t>
      </w:r>
      <w:r w:rsidRPr="000C48F9">
        <w:t>Study 106</w:t>
      </w:r>
      <w:r w:rsidR="00E64D28" w:rsidRPr="000C48F9">
        <w:t>)</w:t>
      </w:r>
      <w:r w:rsidRPr="000C48F9">
        <w:t xml:space="preserve"> </w:t>
      </w:r>
      <w:r w:rsidR="00E64D28" w:rsidRPr="000C48F9">
        <w:t xml:space="preserve">to </w:t>
      </w:r>
      <w:r w:rsidRPr="000C48F9">
        <w:t xml:space="preserve">inform the evidence for the ELX/TEZ/IVA in </w:t>
      </w:r>
      <w:r w:rsidR="00773BDA" w:rsidRPr="000C48F9">
        <w:t xml:space="preserve">the </w:t>
      </w:r>
      <w:r w:rsidRPr="000C48F9">
        <w:t xml:space="preserve">F/F population, </w:t>
      </w:r>
      <w:r w:rsidR="00A02EFE" w:rsidRPr="000C48F9">
        <w:t xml:space="preserve">which </w:t>
      </w:r>
      <w:r w:rsidRPr="000C48F9">
        <w:t xml:space="preserve">may be impacted </w:t>
      </w:r>
      <w:r w:rsidR="00773BDA" w:rsidRPr="000C48F9">
        <w:t xml:space="preserve">by </w:t>
      </w:r>
      <w:r w:rsidRPr="000C48F9">
        <w:t xml:space="preserve">the large proportion of patients that missed their clinical assessment visits from Week 12 onwards (&gt;50%). </w:t>
      </w:r>
    </w:p>
    <w:p w14:paraId="277B0069" w14:textId="77777777" w:rsidR="003B6E05" w:rsidRPr="000C48F9" w:rsidRDefault="003B6E05" w:rsidP="00BC1217">
      <w:pPr>
        <w:pStyle w:val="3-BodyText"/>
        <w:numPr>
          <w:ilvl w:val="0"/>
          <w:numId w:val="9"/>
        </w:numPr>
        <w:ind w:left="1418" w:hanging="425"/>
      </w:pPr>
      <w:r w:rsidRPr="000C48F9">
        <w:t>The submission used 2-year follow-up data from Study 105 to support the long-term maintained benefit of ELX/TEZ/IVA. However, this evidence was derived from a cohort of patients (mean age of 26.4 years and mean baseline ppFEV</w:t>
      </w:r>
      <w:r w:rsidRPr="000C48F9">
        <w:rPr>
          <w:vertAlign w:val="subscript"/>
        </w:rPr>
        <w:t xml:space="preserve">1 </w:t>
      </w:r>
      <w:r w:rsidRPr="000C48F9">
        <w:t>of 61%) which is not representative of the proposed target population.</w:t>
      </w:r>
    </w:p>
    <w:p w14:paraId="695F436A" w14:textId="2E6D7E5F" w:rsidR="003B6E05" w:rsidRPr="000C48F9" w:rsidRDefault="003B6E05" w:rsidP="00B44292">
      <w:pPr>
        <w:pStyle w:val="3-BodyText"/>
        <w:rPr>
          <w:rFonts w:eastAsia="Calibri"/>
        </w:rPr>
      </w:pPr>
      <w:r w:rsidRPr="000C48F9">
        <w:t>The claim of comparable safety appeared to be adequately supported for the F/MF and F/F populations, noting the short duration of follow-up. No critical concerns regarding the safety profile for the proposed registered indication were raised by the TGA.</w:t>
      </w:r>
    </w:p>
    <w:p w14:paraId="06AA361E" w14:textId="014891B1" w:rsidR="003B6E05" w:rsidRPr="000C48F9" w:rsidRDefault="005A1A5B" w:rsidP="005A1A5B">
      <w:pPr>
        <w:pStyle w:val="3-BodyText"/>
        <w:rPr>
          <w:rFonts w:eastAsia="Calibri"/>
        </w:rPr>
      </w:pPr>
      <w:r w:rsidRPr="000C48F9">
        <w:t xml:space="preserve">The submission did not present evidence for the F/RF, F/G or F/R117H populations aged 6 to 11 years. The submission assumed that the results of Study 104, that included patients </w:t>
      </w:r>
      <w:r w:rsidRPr="000C48F9">
        <w:rPr>
          <w:rFonts w:cstheme="minorHAnsi"/>
        </w:rPr>
        <w:t>≥12 years</w:t>
      </w:r>
      <w:r w:rsidRPr="000C48F9">
        <w:t xml:space="preserve"> with an F/RF and F/G mutation </w:t>
      </w:r>
      <w:r w:rsidRPr="000C48F9">
        <w:rPr>
          <w:rFonts w:cstheme="minorHAnsi"/>
        </w:rPr>
        <w:t xml:space="preserve">are directly applicable to patients aged 6 through 11. </w:t>
      </w:r>
      <w:r w:rsidR="003B6E05" w:rsidRPr="000C48F9">
        <w:rPr>
          <w:rFonts w:eastAsia="Calibri"/>
        </w:rPr>
        <w:t xml:space="preserve">The </w:t>
      </w:r>
      <w:r w:rsidR="0077274D" w:rsidRPr="00BE4F6A">
        <w:rPr>
          <w:rFonts w:eastAsia="Calibri"/>
        </w:rPr>
        <w:t>ESC considered the</w:t>
      </w:r>
      <w:r w:rsidR="0077274D" w:rsidRPr="000C48F9">
        <w:rPr>
          <w:rFonts w:eastAsia="Calibri"/>
        </w:rPr>
        <w:t xml:space="preserve"> </w:t>
      </w:r>
      <w:r w:rsidR="003B6E05" w:rsidRPr="000C48F9">
        <w:rPr>
          <w:rFonts w:eastAsia="Calibri"/>
        </w:rPr>
        <w:t xml:space="preserve">claim of </w:t>
      </w:r>
      <w:r w:rsidRPr="000C48F9">
        <w:rPr>
          <w:rFonts w:eastAsia="Calibri"/>
        </w:rPr>
        <w:t xml:space="preserve">superior efficacy and </w:t>
      </w:r>
      <w:r w:rsidR="003B6E05" w:rsidRPr="000C48F9">
        <w:rPr>
          <w:rFonts w:eastAsia="Calibri"/>
        </w:rPr>
        <w:t xml:space="preserve">comparable safety was not adequately supported for the F/RF, F/G and F/R117H patients as the submission did not present direct clinical evidence in patients 6 to 11 years. </w:t>
      </w:r>
    </w:p>
    <w:p w14:paraId="5DB57232" w14:textId="398944FC" w:rsidR="00DE6E24" w:rsidRPr="00D26872" w:rsidRDefault="00DE6E24" w:rsidP="005A1A5B">
      <w:pPr>
        <w:pStyle w:val="3-BodyText"/>
        <w:rPr>
          <w:rFonts w:eastAsia="Calibri"/>
        </w:rPr>
      </w:pPr>
      <w:r w:rsidRPr="00D26872">
        <w:rPr>
          <w:rFonts w:eastAsia="Calibri"/>
        </w:rPr>
        <w:t xml:space="preserve">The </w:t>
      </w:r>
      <w:r w:rsidR="00FE2031">
        <w:rPr>
          <w:rFonts w:eastAsia="Calibri"/>
        </w:rPr>
        <w:t xml:space="preserve">PBAC agreed with the </w:t>
      </w:r>
      <w:r w:rsidRPr="00D26872">
        <w:rPr>
          <w:rFonts w:eastAsia="Calibri"/>
        </w:rPr>
        <w:t>ESC that, on balance, it was reasonable to assume that starting treatment with ELX/TEZ/IVA between the ages of 6 and 11 years old was likely to result in improved outcomes compar</w:t>
      </w:r>
      <w:r w:rsidR="0077274D" w:rsidRPr="00D26872">
        <w:rPr>
          <w:rFonts w:eastAsia="Calibri"/>
        </w:rPr>
        <w:t>ed</w:t>
      </w:r>
      <w:r w:rsidRPr="00D26872">
        <w:rPr>
          <w:rFonts w:eastAsia="Calibri"/>
        </w:rPr>
        <w:t xml:space="preserve"> to starting it over the age of 12 years old but the magnitude of </w:t>
      </w:r>
      <w:r w:rsidR="000436EE">
        <w:rPr>
          <w:rFonts w:eastAsia="Calibri"/>
        </w:rPr>
        <w:t>any</w:t>
      </w:r>
      <w:r w:rsidR="000436EE" w:rsidRPr="00D26872">
        <w:rPr>
          <w:rFonts w:eastAsia="Calibri"/>
        </w:rPr>
        <w:t xml:space="preserve"> </w:t>
      </w:r>
      <w:r w:rsidRPr="00D26872">
        <w:rPr>
          <w:rFonts w:eastAsia="Calibri"/>
        </w:rPr>
        <w:t xml:space="preserve">benefit </w:t>
      </w:r>
      <w:r w:rsidR="0077274D" w:rsidRPr="00D26872">
        <w:rPr>
          <w:rFonts w:eastAsia="Calibri"/>
        </w:rPr>
        <w:t xml:space="preserve">remained </w:t>
      </w:r>
      <w:r w:rsidR="000436EE">
        <w:rPr>
          <w:rFonts w:eastAsia="Calibri"/>
        </w:rPr>
        <w:t xml:space="preserve">highly </w:t>
      </w:r>
      <w:r w:rsidRPr="00D26872">
        <w:rPr>
          <w:rFonts w:eastAsia="Calibri"/>
        </w:rPr>
        <w:t xml:space="preserve">uncertain. </w:t>
      </w:r>
    </w:p>
    <w:p w14:paraId="420482AE" w14:textId="73965D60" w:rsidR="00532CED" w:rsidRPr="00FE2031" w:rsidRDefault="00163B39" w:rsidP="00163B39">
      <w:pPr>
        <w:widowControl w:val="0"/>
        <w:numPr>
          <w:ilvl w:val="1"/>
          <w:numId w:val="1"/>
        </w:numPr>
        <w:spacing w:after="120"/>
        <w:rPr>
          <w:rFonts w:asciiTheme="minorHAnsi" w:hAnsiTheme="minorHAnsi"/>
          <w:snapToGrid w:val="0"/>
          <w:szCs w:val="20"/>
        </w:rPr>
      </w:pPr>
      <w:bookmarkStart w:id="37" w:name="_Hlk76376200"/>
      <w:r w:rsidRPr="00FE2031">
        <w:rPr>
          <w:rFonts w:asciiTheme="minorHAnsi" w:hAnsiTheme="minorHAnsi"/>
          <w:iCs/>
          <w:snapToGrid w:val="0"/>
        </w:rPr>
        <w:t>The</w:t>
      </w:r>
      <w:r w:rsidRPr="00FE2031">
        <w:rPr>
          <w:rFonts w:asciiTheme="minorHAnsi" w:hAnsiTheme="minorHAnsi"/>
          <w:snapToGrid w:val="0"/>
          <w:szCs w:val="20"/>
        </w:rPr>
        <w:t xml:space="preserve"> PBAC </w:t>
      </w:r>
      <w:r w:rsidR="009B51E8">
        <w:rPr>
          <w:rFonts w:asciiTheme="minorHAnsi" w:hAnsiTheme="minorHAnsi"/>
          <w:snapToGrid w:val="0"/>
          <w:szCs w:val="20"/>
        </w:rPr>
        <w:t xml:space="preserve">noted the lack of clinical evidence for some populations but </w:t>
      </w:r>
      <w:r w:rsidRPr="00FE2031">
        <w:rPr>
          <w:rFonts w:asciiTheme="minorHAnsi" w:hAnsiTheme="minorHAnsi"/>
          <w:snapToGrid w:val="0"/>
          <w:szCs w:val="20"/>
        </w:rPr>
        <w:t>considered that</w:t>
      </w:r>
      <w:r w:rsidR="009B51E8">
        <w:rPr>
          <w:rFonts w:asciiTheme="minorHAnsi" w:hAnsiTheme="minorHAnsi"/>
          <w:snapToGrid w:val="0"/>
          <w:szCs w:val="20"/>
        </w:rPr>
        <w:t xml:space="preserve">, on balance, </w:t>
      </w:r>
      <w:r w:rsidRPr="00FE2031">
        <w:rPr>
          <w:rFonts w:asciiTheme="minorHAnsi" w:hAnsiTheme="minorHAnsi"/>
          <w:snapToGrid w:val="0"/>
          <w:szCs w:val="20"/>
        </w:rPr>
        <w:t>the claim of</w:t>
      </w:r>
      <w:r w:rsidR="00532CED" w:rsidRPr="00FE2031">
        <w:rPr>
          <w:rFonts w:asciiTheme="minorHAnsi" w:hAnsiTheme="minorHAnsi"/>
          <w:snapToGrid w:val="0"/>
          <w:szCs w:val="20"/>
        </w:rPr>
        <w:t xml:space="preserve"> </w:t>
      </w:r>
      <w:r w:rsidRPr="00FE2031">
        <w:rPr>
          <w:rFonts w:asciiTheme="minorHAnsi" w:hAnsiTheme="minorHAnsi"/>
          <w:snapToGrid w:val="0"/>
          <w:szCs w:val="20"/>
        </w:rPr>
        <w:t>superior comparative effectiveness</w:t>
      </w:r>
      <w:r w:rsidR="00532CED" w:rsidRPr="00FE2031">
        <w:rPr>
          <w:rFonts w:asciiTheme="minorHAnsi" w:hAnsiTheme="minorHAnsi"/>
          <w:snapToGrid w:val="0"/>
          <w:szCs w:val="20"/>
        </w:rPr>
        <w:t>:</w:t>
      </w:r>
    </w:p>
    <w:p w14:paraId="05670AC0" w14:textId="6AC7CFCF" w:rsidR="00163B39" w:rsidRPr="00FE2031" w:rsidRDefault="00532CED" w:rsidP="00FE2031">
      <w:pPr>
        <w:pStyle w:val="ListParagraph"/>
        <w:widowControl w:val="0"/>
        <w:numPr>
          <w:ilvl w:val="0"/>
          <w:numId w:val="27"/>
        </w:numPr>
        <w:spacing w:after="0"/>
        <w:ind w:left="1440"/>
        <w:rPr>
          <w:szCs w:val="20"/>
        </w:rPr>
      </w:pPr>
      <w:r w:rsidRPr="00FE2031">
        <w:rPr>
          <w:szCs w:val="20"/>
        </w:rPr>
        <w:t xml:space="preserve">vs best supportive care </w:t>
      </w:r>
      <w:r w:rsidR="00163B39" w:rsidRPr="00FE2031">
        <w:rPr>
          <w:szCs w:val="20"/>
        </w:rPr>
        <w:t>was reasonable</w:t>
      </w:r>
      <w:r w:rsidRPr="00FE2031">
        <w:rPr>
          <w:szCs w:val="20"/>
        </w:rPr>
        <w:t xml:space="preserve"> for the F/MF population and was likely to be reasonable for the F/RF and F/R117H population</w:t>
      </w:r>
      <w:r w:rsidR="00163B39" w:rsidRPr="00FE2031">
        <w:rPr>
          <w:szCs w:val="20"/>
        </w:rPr>
        <w:t>.</w:t>
      </w:r>
    </w:p>
    <w:p w14:paraId="3A4F7F78" w14:textId="1CCDAB23" w:rsidR="00532CED" w:rsidRPr="00FE2031" w:rsidRDefault="00FE2031" w:rsidP="00FE2031">
      <w:pPr>
        <w:pStyle w:val="ListBullet"/>
        <w:tabs>
          <w:tab w:val="clear" w:pos="360"/>
          <w:tab w:val="num" w:pos="1440"/>
        </w:tabs>
        <w:spacing w:after="240"/>
        <w:ind w:left="1440"/>
      </w:pPr>
      <w:r w:rsidRPr="00FE2031">
        <w:t xml:space="preserve">vs LUM/IVA was likely to be reasonable for the F/F population </w:t>
      </w:r>
    </w:p>
    <w:p w14:paraId="192B0F65" w14:textId="3EA6781F" w:rsidR="00FE2031" w:rsidRPr="00FE2031" w:rsidRDefault="00FE2031" w:rsidP="00FE2031">
      <w:pPr>
        <w:pStyle w:val="ListBullet"/>
        <w:tabs>
          <w:tab w:val="clear" w:pos="360"/>
          <w:tab w:val="num" w:pos="1440"/>
        </w:tabs>
        <w:spacing w:after="240"/>
        <w:ind w:left="1440"/>
      </w:pPr>
      <w:r w:rsidRPr="00FE2031">
        <w:t>vs IVA was uncertain for the F/G population, but ELX/ TEZ/ IVA was likely to be superior to best supportive</w:t>
      </w:r>
      <w:r w:rsidR="00887942">
        <w:t xml:space="preserve"> care</w:t>
      </w:r>
      <w:r w:rsidRPr="00FE2031">
        <w:t xml:space="preserve"> in this population.  </w:t>
      </w:r>
    </w:p>
    <w:p w14:paraId="2F665F69" w14:textId="323F3BFA" w:rsidR="00163B39" w:rsidRPr="00FE2031" w:rsidRDefault="00163B39" w:rsidP="00163B39">
      <w:pPr>
        <w:widowControl w:val="0"/>
        <w:numPr>
          <w:ilvl w:val="1"/>
          <w:numId w:val="1"/>
        </w:numPr>
        <w:spacing w:after="120"/>
        <w:rPr>
          <w:rFonts w:asciiTheme="minorHAnsi" w:hAnsiTheme="minorHAnsi"/>
          <w:snapToGrid w:val="0"/>
          <w:szCs w:val="20"/>
        </w:rPr>
      </w:pPr>
      <w:r w:rsidRPr="00FE2031">
        <w:rPr>
          <w:rFonts w:asciiTheme="minorHAnsi" w:hAnsiTheme="minorHAnsi"/>
          <w:snapToGrid w:val="0"/>
          <w:szCs w:val="20"/>
        </w:rPr>
        <w:t>The PBAC considered that the claim of</w:t>
      </w:r>
      <w:r w:rsidR="00FE2031" w:rsidRPr="00FE2031">
        <w:rPr>
          <w:rFonts w:asciiTheme="minorHAnsi" w:hAnsiTheme="minorHAnsi"/>
          <w:snapToGrid w:val="0"/>
          <w:szCs w:val="20"/>
        </w:rPr>
        <w:t xml:space="preserve"> comparable</w:t>
      </w:r>
      <w:r w:rsidR="00FE2031" w:rsidRPr="00FE2031" w:rsidDel="00FE2031">
        <w:rPr>
          <w:rFonts w:asciiTheme="minorHAnsi" w:hAnsiTheme="minorHAnsi"/>
          <w:snapToGrid w:val="0"/>
          <w:szCs w:val="20"/>
        </w:rPr>
        <w:t xml:space="preserve"> </w:t>
      </w:r>
      <w:r w:rsidRPr="00FE2031">
        <w:rPr>
          <w:rFonts w:asciiTheme="minorHAnsi" w:hAnsiTheme="minorHAnsi"/>
          <w:snapToGrid w:val="0"/>
          <w:szCs w:val="20"/>
        </w:rPr>
        <w:t>safety</w:t>
      </w:r>
      <w:r w:rsidR="00BE4F6A">
        <w:rPr>
          <w:rFonts w:asciiTheme="minorHAnsi" w:hAnsiTheme="minorHAnsi"/>
          <w:snapToGrid w:val="0"/>
          <w:szCs w:val="20"/>
        </w:rPr>
        <w:t xml:space="preserve"> to the nominated comparators </w:t>
      </w:r>
      <w:r w:rsidRPr="00FE2031">
        <w:rPr>
          <w:rFonts w:asciiTheme="minorHAnsi" w:hAnsiTheme="minorHAnsi"/>
          <w:snapToGrid w:val="0"/>
          <w:szCs w:val="20"/>
        </w:rPr>
        <w:t>was reasonable.</w:t>
      </w:r>
      <w:bookmarkEnd w:id="37"/>
    </w:p>
    <w:p w14:paraId="6E22E193" w14:textId="77777777" w:rsidR="00B44292" w:rsidRPr="000C48F9" w:rsidRDefault="00B44292" w:rsidP="00E9094A">
      <w:pPr>
        <w:pStyle w:val="4-SubsectionHeading"/>
      </w:pPr>
      <w:bookmarkStart w:id="38" w:name="_Toc114047718"/>
      <w:r w:rsidRPr="000C48F9">
        <w:t>Economic analysis</w:t>
      </w:r>
      <w:bookmarkEnd w:id="38"/>
      <w:r w:rsidRPr="000C48F9">
        <w:t xml:space="preserve"> </w:t>
      </w:r>
    </w:p>
    <w:p w14:paraId="0852D152" w14:textId="59A7D501" w:rsidR="00832B86" w:rsidRPr="000C48F9" w:rsidRDefault="00832B86" w:rsidP="00832B86">
      <w:pPr>
        <w:pStyle w:val="3-BodyText"/>
        <w:rPr>
          <w:rFonts w:eastAsia="Calibri"/>
        </w:rPr>
      </w:pPr>
      <w:r w:rsidRPr="000C48F9">
        <w:t xml:space="preserve">The submission presented a modelled economic evaluation comparing ELX/TEZ/IVA with LUM/IVA for the F/F population aged 6 to 11 years and comparing ELX/TEZ/IVA with BSC for the F/MF population aged 6 to 11 years. The model structure was similar to that presented in previous CFTR submissions to the PBAC (e.g. LUM/IVA PSD, July 2019, ELX/TEZ/IVA PSD, March 2021). Given the lack of clinical evidence in </w:t>
      </w:r>
      <w:r w:rsidR="009D5D4D">
        <w:t xml:space="preserve">the </w:t>
      </w:r>
      <w:r w:rsidR="009D5D4D" w:rsidRPr="000C48F9">
        <w:t>F/G, F/R117H and F/RF</w:t>
      </w:r>
      <w:r w:rsidR="009D5D4D">
        <w:t xml:space="preserve"> populations</w:t>
      </w:r>
      <w:r w:rsidRPr="000C48F9">
        <w:t>, no economic model was presented to assess the cost-effectiveness in these subgroups</w:t>
      </w:r>
      <w:r w:rsidR="00B82D9B">
        <w:t>.</w:t>
      </w:r>
      <w:r w:rsidRPr="000C48F9">
        <w:rPr>
          <w:i/>
          <w:iCs/>
        </w:rPr>
        <w:t xml:space="preserve"> </w:t>
      </w:r>
      <w:r w:rsidRPr="000C48F9">
        <w:t xml:space="preserve">A summary of the key components of the economic evaluation is presented in </w:t>
      </w:r>
      <w:r w:rsidRPr="000C48F9">
        <w:fldChar w:fldCharType="begin" w:fldLock="1"/>
      </w:r>
      <w:r w:rsidRPr="000C48F9">
        <w:instrText xml:space="preserve"> REF _Ref112923255 \h </w:instrText>
      </w:r>
      <w:r w:rsidRPr="000C48F9">
        <w:fldChar w:fldCharType="separate"/>
      </w:r>
      <w:r w:rsidR="009A1227" w:rsidRPr="000C48F9">
        <w:t xml:space="preserve">Table </w:t>
      </w:r>
      <w:r w:rsidR="009A1227">
        <w:rPr>
          <w:noProof/>
        </w:rPr>
        <w:t>13</w:t>
      </w:r>
      <w:r w:rsidRPr="000C48F9">
        <w:fldChar w:fldCharType="end"/>
      </w:r>
      <w:r w:rsidRPr="000C48F9">
        <w:t>.</w:t>
      </w:r>
      <w:r w:rsidRPr="000C48F9">
        <w:rPr>
          <w:rFonts w:eastAsia="Calibri"/>
          <w:i/>
        </w:rPr>
        <w:t xml:space="preserve"> </w:t>
      </w:r>
    </w:p>
    <w:p w14:paraId="6C34E8B0" w14:textId="72F0919A" w:rsidR="00832B86" w:rsidRPr="000C48F9" w:rsidRDefault="00832B86" w:rsidP="0049300E">
      <w:pPr>
        <w:pStyle w:val="TableHeading"/>
        <w:keepLines/>
        <w:rPr>
          <w:rStyle w:val="CommentReference"/>
          <w:b/>
          <w:szCs w:val="24"/>
        </w:rPr>
      </w:pPr>
      <w:bookmarkStart w:id="39" w:name="_Ref112923255"/>
      <w:r w:rsidRPr="000C48F9">
        <w:t xml:space="preserve">Table </w:t>
      </w:r>
      <w:r w:rsidR="008E430C">
        <w:fldChar w:fldCharType="begin" w:fldLock="1"/>
      </w:r>
      <w:r w:rsidR="008E430C">
        <w:instrText xml:space="preserve"> SEQ Table \* ARABIC </w:instrText>
      </w:r>
      <w:r w:rsidR="008E430C">
        <w:fldChar w:fldCharType="separate"/>
      </w:r>
      <w:r w:rsidR="009A1227">
        <w:rPr>
          <w:noProof/>
        </w:rPr>
        <w:t>13</w:t>
      </w:r>
      <w:r w:rsidR="008E430C">
        <w:rPr>
          <w:noProof/>
        </w:rPr>
        <w:fldChar w:fldCharType="end"/>
      </w:r>
      <w:bookmarkEnd w:id="39"/>
      <w:r w:rsidRPr="000C48F9">
        <w:rPr>
          <w:rStyle w:val="CommentReference"/>
          <w:b/>
          <w:szCs w:val="24"/>
        </w:rPr>
        <w:t>: Key components of the economic evaluation</w:t>
      </w:r>
    </w:p>
    <w:tbl>
      <w:tblPr>
        <w:tblStyle w:val="HTATableshaded"/>
        <w:tblW w:w="4950" w:type="pct"/>
        <w:tblLook w:val="04A0" w:firstRow="1" w:lastRow="0" w:firstColumn="1" w:lastColumn="0" w:noHBand="0" w:noVBand="1"/>
      </w:tblPr>
      <w:tblGrid>
        <w:gridCol w:w="1838"/>
        <w:gridCol w:w="7088"/>
      </w:tblGrid>
      <w:tr w:rsidR="00832B86" w:rsidRPr="00174268" w14:paraId="4B073A8A" w14:textId="77777777" w:rsidTr="001315B5">
        <w:trPr>
          <w:cnfStyle w:val="100000000000" w:firstRow="1" w:lastRow="0" w:firstColumn="0" w:lastColumn="0" w:oddVBand="0" w:evenVBand="0" w:oddHBand="0" w:evenHBand="0" w:firstRowFirstColumn="0" w:firstRowLastColumn="0" w:lastRowFirstColumn="0" w:lastRowLastColumn="0"/>
          <w:tblHeader/>
        </w:trPr>
        <w:tc>
          <w:tcPr>
            <w:tcW w:w="1838" w:type="dxa"/>
            <w:vAlign w:val="center"/>
          </w:tcPr>
          <w:p w14:paraId="44CFA717" w14:textId="77777777" w:rsidR="00832B86" w:rsidRPr="00174268" w:rsidRDefault="00832B86" w:rsidP="0049300E">
            <w:pPr>
              <w:pStyle w:val="TableHeadingleft"/>
              <w:keepNext/>
              <w:keepLines/>
              <w:widowControl w:val="0"/>
              <w:spacing w:before="0" w:after="0"/>
              <w:rPr>
                <w:rFonts w:ascii="Arial Narrow" w:hAnsi="Arial Narrow"/>
                <w:sz w:val="20"/>
                <w:szCs w:val="20"/>
                <w:lang w:val="en-AU"/>
              </w:rPr>
            </w:pPr>
            <w:r w:rsidRPr="00174268">
              <w:rPr>
                <w:rFonts w:ascii="Arial Narrow" w:hAnsi="Arial Narrow"/>
                <w:sz w:val="20"/>
                <w:szCs w:val="20"/>
                <w:lang w:val="en-AU"/>
              </w:rPr>
              <w:t>Component</w:t>
            </w:r>
          </w:p>
        </w:tc>
        <w:tc>
          <w:tcPr>
            <w:tcW w:w="7089" w:type="dxa"/>
            <w:vAlign w:val="center"/>
          </w:tcPr>
          <w:p w14:paraId="6D4A00A2" w14:textId="77777777" w:rsidR="00832B86" w:rsidRPr="00174268" w:rsidRDefault="00832B86" w:rsidP="0049300E">
            <w:pPr>
              <w:pStyle w:val="TableHeadingleft"/>
              <w:keepNext/>
              <w:keepLines/>
              <w:widowControl w:val="0"/>
              <w:spacing w:before="0" w:after="0"/>
              <w:rPr>
                <w:rFonts w:ascii="Arial Narrow" w:hAnsi="Arial Narrow"/>
                <w:sz w:val="20"/>
                <w:szCs w:val="20"/>
                <w:lang w:val="en-AU"/>
              </w:rPr>
            </w:pPr>
            <w:r w:rsidRPr="00174268">
              <w:rPr>
                <w:rFonts w:ascii="Arial Narrow" w:hAnsi="Arial Narrow"/>
                <w:sz w:val="20"/>
                <w:szCs w:val="20"/>
                <w:lang w:val="en-AU"/>
              </w:rPr>
              <w:t>Description</w:t>
            </w:r>
          </w:p>
        </w:tc>
      </w:tr>
      <w:tr w:rsidR="00832B86" w:rsidRPr="00174268" w14:paraId="34B53453" w14:textId="77777777" w:rsidTr="001315B5">
        <w:tc>
          <w:tcPr>
            <w:tcW w:w="1838" w:type="dxa"/>
            <w:vMerge w:val="restart"/>
            <w:vAlign w:val="center"/>
          </w:tcPr>
          <w:p w14:paraId="6F5DAB5A"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Type of analysis</w:t>
            </w:r>
          </w:p>
        </w:tc>
        <w:tc>
          <w:tcPr>
            <w:tcW w:w="7089" w:type="dxa"/>
            <w:vAlign w:val="center"/>
          </w:tcPr>
          <w:p w14:paraId="7783991F"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F/F, F/MF: Cost-utility analysis</w:t>
            </w:r>
          </w:p>
          <w:p w14:paraId="0E963D2A"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Combined population with weight of 62% for F/F and 38% for F/MF</w:t>
            </w:r>
          </w:p>
        </w:tc>
      </w:tr>
      <w:tr w:rsidR="00832B86" w:rsidRPr="00174268" w14:paraId="1ECA8457" w14:textId="77777777" w:rsidTr="001315B5">
        <w:trPr>
          <w:trHeight w:val="192"/>
        </w:trPr>
        <w:tc>
          <w:tcPr>
            <w:tcW w:w="1838" w:type="dxa"/>
            <w:vMerge/>
            <w:vAlign w:val="center"/>
          </w:tcPr>
          <w:p w14:paraId="26A5133E" w14:textId="77777777" w:rsidR="00832B86" w:rsidRPr="00174268" w:rsidRDefault="00832B86" w:rsidP="0049300E">
            <w:pPr>
              <w:pStyle w:val="Tabletextbold"/>
              <w:keepNext/>
              <w:keepLines/>
              <w:widowControl w:val="0"/>
              <w:spacing w:before="0" w:after="0"/>
              <w:rPr>
                <w:rFonts w:ascii="Arial Narrow" w:hAnsi="Arial Narrow"/>
                <w:iCs/>
                <w:sz w:val="20"/>
                <w:lang w:val="en-AU"/>
              </w:rPr>
            </w:pPr>
          </w:p>
        </w:tc>
        <w:tc>
          <w:tcPr>
            <w:tcW w:w="7089" w:type="dxa"/>
            <w:vAlign w:val="center"/>
          </w:tcPr>
          <w:p w14:paraId="25E0091E" w14:textId="77777777" w:rsidR="00832B86" w:rsidRPr="004F0ED8" w:rsidRDefault="00832B86" w:rsidP="0049300E">
            <w:pPr>
              <w:pStyle w:val="Tabletextleft"/>
              <w:keepNext/>
              <w:keepLines/>
              <w:widowControl w:val="0"/>
              <w:spacing w:before="0" w:after="0"/>
              <w:rPr>
                <w:rFonts w:ascii="Arial Narrow" w:hAnsi="Arial Narrow"/>
                <w:iCs/>
                <w:sz w:val="20"/>
              </w:rPr>
            </w:pPr>
            <w:r w:rsidRPr="004F0ED8">
              <w:rPr>
                <w:rFonts w:ascii="Arial Narrow" w:hAnsi="Arial Narrow"/>
                <w:iCs/>
                <w:sz w:val="20"/>
              </w:rPr>
              <w:t>F/G, F/RF, F/R117: no economic evaluation presented</w:t>
            </w:r>
          </w:p>
        </w:tc>
      </w:tr>
      <w:tr w:rsidR="00832B86" w:rsidRPr="00174268" w14:paraId="3C16C38E" w14:textId="77777777" w:rsidTr="001315B5">
        <w:tc>
          <w:tcPr>
            <w:tcW w:w="1838" w:type="dxa"/>
            <w:vAlign w:val="center"/>
          </w:tcPr>
          <w:p w14:paraId="5A43B92C" w14:textId="77777777" w:rsidR="00832B86" w:rsidRPr="00174268" w:rsidRDefault="00832B86" w:rsidP="0049300E">
            <w:pPr>
              <w:pStyle w:val="Tabletextbold"/>
              <w:keepNext/>
              <w:keepLines/>
              <w:widowControl w:val="0"/>
              <w:spacing w:before="0" w:after="0"/>
              <w:rPr>
                <w:rFonts w:ascii="Arial Narrow" w:hAnsi="Arial Narrow"/>
                <w:iCs/>
                <w:sz w:val="20"/>
                <w:lang w:val="en-AU"/>
              </w:rPr>
            </w:pPr>
            <w:r w:rsidRPr="00174268">
              <w:rPr>
                <w:rFonts w:ascii="Arial Narrow" w:hAnsi="Arial Narrow"/>
                <w:iCs/>
                <w:sz w:val="20"/>
                <w:lang w:val="en-AU"/>
              </w:rPr>
              <w:t>Comparators</w:t>
            </w:r>
          </w:p>
        </w:tc>
        <w:tc>
          <w:tcPr>
            <w:tcW w:w="7089" w:type="dxa"/>
            <w:vAlign w:val="center"/>
          </w:tcPr>
          <w:p w14:paraId="7323B655" w14:textId="77777777" w:rsidR="00832B86" w:rsidRPr="004F0ED8" w:rsidRDefault="00832B86" w:rsidP="0049300E">
            <w:pPr>
              <w:pStyle w:val="Tabletextleft"/>
              <w:keepNext/>
              <w:keepLines/>
              <w:widowControl w:val="0"/>
              <w:spacing w:before="0" w:after="0"/>
              <w:rPr>
                <w:rFonts w:ascii="Arial Narrow" w:hAnsi="Arial Narrow"/>
                <w:iCs/>
                <w:sz w:val="20"/>
              </w:rPr>
            </w:pPr>
            <w:r w:rsidRPr="004F0ED8">
              <w:rPr>
                <w:rFonts w:ascii="Arial Narrow" w:hAnsi="Arial Narrow"/>
                <w:iCs/>
                <w:sz w:val="20"/>
              </w:rPr>
              <w:t>LUM/IVA for F/F and BSC for F/MF</w:t>
            </w:r>
          </w:p>
        </w:tc>
      </w:tr>
      <w:tr w:rsidR="00832B86" w:rsidRPr="00174268" w14:paraId="4EC2F53B" w14:textId="77777777" w:rsidTr="001315B5">
        <w:tc>
          <w:tcPr>
            <w:tcW w:w="1838" w:type="dxa"/>
            <w:vAlign w:val="center"/>
          </w:tcPr>
          <w:p w14:paraId="5058EEFC"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Outcomes</w:t>
            </w:r>
          </w:p>
        </w:tc>
        <w:tc>
          <w:tcPr>
            <w:tcW w:w="7089" w:type="dxa"/>
            <w:vAlign w:val="center"/>
          </w:tcPr>
          <w:p w14:paraId="7ED50F90"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Quality-adjusted life-years (base case)</w:t>
            </w:r>
          </w:p>
        </w:tc>
      </w:tr>
      <w:tr w:rsidR="00832B86" w:rsidRPr="00174268" w14:paraId="69317997" w14:textId="77777777" w:rsidTr="001315B5">
        <w:tc>
          <w:tcPr>
            <w:tcW w:w="1838" w:type="dxa"/>
            <w:vAlign w:val="center"/>
          </w:tcPr>
          <w:p w14:paraId="2846C442"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Time horizon</w:t>
            </w:r>
          </w:p>
        </w:tc>
        <w:tc>
          <w:tcPr>
            <w:tcW w:w="7089" w:type="dxa"/>
            <w:vAlign w:val="center"/>
          </w:tcPr>
          <w:p w14:paraId="3DE3DA10" w14:textId="750EDE14" w:rsidR="00832B86" w:rsidRPr="004F0ED8" w:rsidRDefault="00832B86" w:rsidP="0049300E">
            <w:pPr>
              <w:pStyle w:val="Tabletextleft"/>
              <w:keepNext/>
              <w:keepLines/>
              <w:widowControl w:val="0"/>
              <w:spacing w:before="0" w:after="0"/>
              <w:rPr>
                <w:rFonts w:ascii="Arial Narrow" w:hAnsi="Arial Narrow"/>
                <w:i/>
                <w:iCs/>
                <w:sz w:val="20"/>
              </w:rPr>
            </w:pPr>
            <w:r w:rsidRPr="004F0ED8">
              <w:rPr>
                <w:rFonts w:ascii="Arial Narrow" w:hAnsi="Arial Narrow"/>
                <w:sz w:val="20"/>
              </w:rPr>
              <w:t>Lifetime</w:t>
            </w:r>
            <w:r w:rsidR="00E64D28" w:rsidRPr="004F0ED8">
              <w:rPr>
                <w:rFonts w:ascii="Arial Narrow" w:hAnsi="Arial Narrow"/>
                <w:sz w:val="20"/>
              </w:rPr>
              <w:t>; mean age at commencing treatment of 8.</w:t>
            </w:r>
            <w:r w:rsidR="00431111" w:rsidRPr="004F0ED8">
              <w:rPr>
                <w:rFonts w:ascii="Arial Narrow" w:hAnsi="Arial Narrow"/>
                <w:sz w:val="20"/>
              </w:rPr>
              <w:t>6</w:t>
            </w:r>
            <w:r w:rsidR="00E64D28" w:rsidRPr="004F0ED8">
              <w:rPr>
                <w:rFonts w:ascii="Arial Narrow" w:hAnsi="Arial Narrow"/>
                <w:sz w:val="20"/>
              </w:rPr>
              <w:t xml:space="preserve"> years</w:t>
            </w:r>
          </w:p>
        </w:tc>
      </w:tr>
      <w:tr w:rsidR="00832B86" w:rsidRPr="00174268" w14:paraId="632D215A" w14:textId="77777777" w:rsidTr="001315B5">
        <w:trPr>
          <w:trHeight w:val="422"/>
        </w:trPr>
        <w:tc>
          <w:tcPr>
            <w:tcW w:w="1838" w:type="dxa"/>
            <w:vAlign w:val="center"/>
          </w:tcPr>
          <w:p w14:paraId="2A1297A2"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Method used to generate results</w:t>
            </w:r>
          </w:p>
        </w:tc>
        <w:tc>
          <w:tcPr>
            <w:tcW w:w="7089" w:type="dxa"/>
            <w:vAlign w:val="center"/>
          </w:tcPr>
          <w:p w14:paraId="264FEC68" w14:textId="77777777" w:rsidR="00832B86" w:rsidRPr="004F0ED8" w:rsidRDefault="00832B86" w:rsidP="0049300E">
            <w:pPr>
              <w:pStyle w:val="Tabletextleft"/>
              <w:keepNext/>
              <w:keepLines/>
              <w:widowControl w:val="0"/>
              <w:spacing w:before="0" w:after="0"/>
              <w:rPr>
                <w:rFonts w:ascii="Arial Narrow" w:hAnsi="Arial Narrow"/>
                <w:i/>
                <w:iCs/>
                <w:sz w:val="20"/>
              </w:rPr>
            </w:pPr>
            <w:r w:rsidRPr="004F0ED8">
              <w:rPr>
                <w:rFonts w:ascii="Arial Narrow" w:hAnsi="Arial Narrow"/>
                <w:sz w:val="20"/>
              </w:rPr>
              <w:t>Microsimulation</w:t>
            </w:r>
          </w:p>
        </w:tc>
      </w:tr>
      <w:tr w:rsidR="00832B86" w:rsidRPr="00174268" w14:paraId="640EA2F4" w14:textId="77777777" w:rsidTr="001315B5">
        <w:tc>
          <w:tcPr>
            <w:tcW w:w="1838" w:type="dxa"/>
            <w:vAlign w:val="center"/>
          </w:tcPr>
          <w:p w14:paraId="55657626"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Cycle length</w:t>
            </w:r>
          </w:p>
        </w:tc>
        <w:tc>
          <w:tcPr>
            <w:tcW w:w="7089" w:type="dxa"/>
            <w:vAlign w:val="center"/>
          </w:tcPr>
          <w:p w14:paraId="307284B2"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 xml:space="preserve">First two years of analysis: 4-week </w:t>
            </w:r>
          </w:p>
          <w:p w14:paraId="345961ED"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 xml:space="preserve">From two years onward: 52-week </w:t>
            </w:r>
          </w:p>
        </w:tc>
      </w:tr>
      <w:tr w:rsidR="00832B86" w:rsidRPr="00174268" w14:paraId="083747FD" w14:textId="77777777" w:rsidTr="001315B5">
        <w:tc>
          <w:tcPr>
            <w:tcW w:w="1838" w:type="dxa"/>
            <w:vAlign w:val="center"/>
          </w:tcPr>
          <w:p w14:paraId="208E4D06"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Discounting</w:t>
            </w:r>
          </w:p>
        </w:tc>
        <w:tc>
          <w:tcPr>
            <w:tcW w:w="7089" w:type="dxa"/>
            <w:vAlign w:val="center"/>
          </w:tcPr>
          <w:p w14:paraId="0E2DA59E" w14:textId="77777777" w:rsidR="00832B86" w:rsidRPr="004F0ED8" w:rsidRDefault="00832B86" w:rsidP="0049300E">
            <w:pPr>
              <w:pStyle w:val="Tabletextleft"/>
              <w:keepNext/>
              <w:keepLines/>
              <w:widowControl w:val="0"/>
              <w:spacing w:before="0" w:after="0"/>
              <w:rPr>
                <w:rFonts w:ascii="Arial Narrow" w:hAnsi="Arial Narrow"/>
                <w:sz w:val="20"/>
              </w:rPr>
            </w:pPr>
            <w:r w:rsidRPr="004F0ED8">
              <w:rPr>
                <w:rFonts w:ascii="Arial Narrow" w:hAnsi="Arial Narrow"/>
                <w:sz w:val="20"/>
              </w:rPr>
              <w:t>5% for costs and benefits</w:t>
            </w:r>
          </w:p>
        </w:tc>
      </w:tr>
      <w:tr w:rsidR="00832B86" w:rsidRPr="00174268" w14:paraId="4A38C1CE" w14:textId="77777777" w:rsidTr="001315B5">
        <w:trPr>
          <w:trHeight w:val="169"/>
        </w:trPr>
        <w:tc>
          <w:tcPr>
            <w:tcW w:w="1838" w:type="dxa"/>
            <w:vMerge w:val="restart"/>
            <w:vAlign w:val="center"/>
          </w:tcPr>
          <w:p w14:paraId="4BD1611E"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Transition probabilities</w:t>
            </w:r>
          </w:p>
          <w:p w14:paraId="3A879C2F" w14:textId="77777777" w:rsidR="00832B86" w:rsidRPr="00174268" w:rsidRDefault="00832B86" w:rsidP="0049300E">
            <w:pPr>
              <w:keepNext/>
              <w:keepLines/>
              <w:jc w:val="left"/>
              <w:rPr>
                <w:rFonts w:ascii="Arial Narrow" w:hAnsi="Arial Narrow"/>
                <w:sz w:val="20"/>
                <w:szCs w:val="20"/>
              </w:rPr>
            </w:pPr>
          </w:p>
          <w:p w14:paraId="7F7F7A35" w14:textId="77777777" w:rsidR="00832B86" w:rsidRPr="00174268" w:rsidRDefault="00832B86" w:rsidP="0049300E">
            <w:pPr>
              <w:keepNext/>
              <w:keepLines/>
              <w:jc w:val="left"/>
              <w:rPr>
                <w:rFonts w:ascii="Arial Narrow" w:hAnsi="Arial Narrow"/>
                <w:sz w:val="20"/>
                <w:szCs w:val="20"/>
              </w:rPr>
            </w:pPr>
          </w:p>
        </w:tc>
        <w:tc>
          <w:tcPr>
            <w:tcW w:w="7089" w:type="dxa"/>
            <w:vAlign w:val="center"/>
          </w:tcPr>
          <w:p w14:paraId="588039DD"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Baseline survival: the Irish CF database</w:t>
            </w:r>
          </w:p>
        </w:tc>
      </w:tr>
      <w:tr w:rsidR="00832B86" w:rsidRPr="00174268" w14:paraId="50301543" w14:textId="77777777" w:rsidTr="001315B5">
        <w:trPr>
          <w:trHeight w:val="468"/>
        </w:trPr>
        <w:tc>
          <w:tcPr>
            <w:tcW w:w="1838" w:type="dxa"/>
            <w:vMerge/>
            <w:vAlign w:val="center"/>
          </w:tcPr>
          <w:p w14:paraId="7E6FD299" w14:textId="77777777" w:rsidR="00832B86" w:rsidRPr="00174268" w:rsidRDefault="00832B86" w:rsidP="0049300E">
            <w:pPr>
              <w:pStyle w:val="Tabletextbold"/>
              <w:keepNext/>
              <w:keepLines/>
              <w:widowControl w:val="0"/>
              <w:spacing w:before="0" w:after="0"/>
              <w:rPr>
                <w:rFonts w:ascii="Arial Narrow" w:hAnsi="Arial Narrow"/>
                <w:sz w:val="20"/>
                <w:lang w:val="en-AU"/>
              </w:rPr>
            </w:pPr>
          </w:p>
        </w:tc>
        <w:tc>
          <w:tcPr>
            <w:tcW w:w="7089" w:type="dxa"/>
            <w:vAlign w:val="center"/>
          </w:tcPr>
          <w:p w14:paraId="22EF44D3"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Baseline ppFEV</w:t>
            </w:r>
            <w:r w:rsidRPr="00174268">
              <w:rPr>
                <w:rFonts w:ascii="Arial Narrow" w:hAnsi="Arial Narrow"/>
                <w:sz w:val="20"/>
                <w:vertAlign w:val="subscript"/>
              </w:rPr>
              <w:t>1</w:t>
            </w:r>
            <w:r w:rsidRPr="00174268">
              <w:rPr>
                <w:rFonts w:ascii="Arial Narrow" w:hAnsi="Arial Narrow"/>
                <w:sz w:val="20"/>
              </w:rPr>
              <w:t xml:space="preserve"> decline: based on longitudinal registry analyses (Konstan 2007: aged 6- 17 years; de Boer 2011: aged ≥18)</w:t>
            </w:r>
          </w:p>
        </w:tc>
      </w:tr>
      <w:tr w:rsidR="00832B86" w:rsidRPr="00174268" w14:paraId="1F516B35" w14:textId="77777777" w:rsidTr="001315B5">
        <w:trPr>
          <w:trHeight w:val="342"/>
        </w:trPr>
        <w:tc>
          <w:tcPr>
            <w:tcW w:w="1838" w:type="dxa"/>
            <w:vMerge/>
            <w:vAlign w:val="center"/>
          </w:tcPr>
          <w:p w14:paraId="5FAC9789" w14:textId="77777777" w:rsidR="00832B86" w:rsidRPr="00174268" w:rsidRDefault="00832B86" w:rsidP="0049300E">
            <w:pPr>
              <w:pStyle w:val="Tabletextbold"/>
              <w:keepNext/>
              <w:keepLines/>
              <w:widowControl w:val="0"/>
              <w:spacing w:before="0" w:after="0"/>
              <w:rPr>
                <w:rFonts w:ascii="Arial Narrow" w:hAnsi="Arial Narrow"/>
                <w:sz w:val="20"/>
                <w:lang w:val="en-AU"/>
              </w:rPr>
            </w:pPr>
          </w:p>
        </w:tc>
        <w:tc>
          <w:tcPr>
            <w:tcW w:w="7089" w:type="dxa"/>
            <w:vAlign w:val="center"/>
          </w:tcPr>
          <w:p w14:paraId="7B3E47B2"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Relationship of surrogate outcomes and survival: Liou 2001</w:t>
            </w:r>
          </w:p>
        </w:tc>
      </w:tr>
      <w:tr w:rsidR="00832B86" w:rsidRPr="00174268" w14:paraId="7B8FE472" w14:textId="77777777" w:rsidTr="001315B5">
        <w:trPr>
          <w:trHeight w:val="262"/>
        </w:trPr>
        <w:tc>
          <w:tcPr>
            <w:tcW w:w="1838" w:type="dxa"/>
            <w:vMerge/>
            <w:vAlign w:val="center"/>
          </w:tcPr>
          <w:p w14:paraId="118A8754" w14:textId="77777777" w:rsidR="00832B86" w:rsidRPr="00174268" w:rsidRDefault="00832B86" w:rsidP="0049300E">
            <w:pPr>
              <w:pStyle w:val="Tabletextbold"/>
              <w:keepNext/>
              <w:keepLines/>
              <w:widowControl w:val="0"/>
              <w:spacing w:before="0" w:after="0"/>
              <w:rPr>
                <w:rFonts w:ascii="Arial Narrow" w:hAnsi="Arial Narrow"/>
                <w:sz w:val="20"/>
                <w:lang w:val="en-AU"/>
              </w:rPr>
            </w:pPr>
          </w:p>
        </w:tc>
        <w:tc>
          <w:tcPr>
            <w:tcW w:w="7089" w:type="dxa"/>
            <w:vAlign w:val="center"/>
          </w:tcPr>
          <w:p w14:paraId="0A766867"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Effect: acute increase in ppFEV</w:t>
            </w:r>
            <w:r w:rsidRPr="00174268">
              <w:rPr>
                <w:rFonts w:ascii="Arial Narrow" w:hAnsi="Arial Narrow"/>
                <w:sz w:val="20"/>
                <w:vertAlign w:val="subscript"/>
              </w:rPr>
              <w:t>1</w:t>
            </w:r>
            <w:r w:rsidRPr="00174268">
              <w:rPr>
                <w:rFonts w:ascii="Arial Narrow" w:hAnsi="Arial Narrow"/>
                <w:sz w:val="20"/>
              </w:rPr>
              <w:t>: ITC for F/F, Study 116 for F/MF</w:t>
            </w:r>
          </w:p>
        </w:tc>
      </w:tr>
      <w:tr w:rsidR="00832B86" w:rsidRPr="00174268" w14:paraId="6A9BC8A2" w14:textId="77777777" w:rsidTr="001315B5">
        <w:trPr>
          <w:trHeight w:val="279"/>
        </w:trPr>
        <w:tc>
          <w:tcPr>
            <w:tcW w:w="1838" w:type="dxa"/>
            <w:vMerge/>
            <w:vAlign w:val="center"/>
          </w:tcPr>
          <w:p w14:paraId="5A3BEFFC" w14:textId="77777777" w:rsidR="00832B86" w:rsidRPr="00174268" w:rsidRDefault="00832B86" w:rsidP="0049300E">
            <w:pPr>
              <w:pStyle w:val="Tabletextbold"/>
              <w:keepNext/>
              <w:keepLines/>
              <w:widowControl w:val="0"/>
              <w:spacing w:before="0" w:after="0"/>
              <w:rPr>
                <w:rFonts w:ascii="Arial Narrow" w:hAnsi="Arial Narrow"/>
                <w:sz w:val="20"/>
                <w:lang w:val="en-AU"/>
              </w:rPr>
            </w:pPr>
          </w:p>
        </w:tc>
        <w:tc>
          <w:tcPr>
            <w:tcW w:w="7089" w:type="dxa"/>
            <w:vAlign w:val="center"/>
          </w:tcPr>
          <w:p w14:paraId="48727914"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Effect: long-term treatment effects (relative rate of reduction in decline in ppFEV</w:t>
            </w:r>
            <w:r w:rsidRPr="00174268">
              <w:rPr>
                <w:rFonts w:ascii="Arial Narrow" w:hAnsi="Arial Narrow"/>
                <w:sz w:val="20"/>
                <w:vertAlign w:val="subscript"/>
              </w:rPr>
              <w:t>1</w:t>
            </w:r>
            <w:r w:rsidRPr="00174268">
              <w:rPr>
                <w:rFonts w:ascii="Arial Narrow" w:hAnsi="Arial Narrow"/>
                <w:sz w:val="20"/>
              </w:rPr>
              <w:t>; rROD in ppFEV</w:t>
            </w:r>
            <w:r w:rsidRPr="00174268">
              <w:rPr>
                <w:rFonts w:ascii="Arial Narrow" w:hAnsi="Arial Narrow"/>
                <w:sz w:val="20"/>
                <w:vertAlign w:val="subscript"/>
              </w:rPr>
              <w:t>1</w:t>
            </w:r>
            <w:r w:rsidRPr="00174268">
              <w:rPr>
                <w:rFonts w:ascii="Arial Narrow" w:hAnsi="Arial Narrow"/>
                <w:sz w:val="20"/>
              </w:rPr>
              <w:t xml:space="preserve">): Study 105 for patients aged ≥ 12 years </w:t>
            </w:r>
          </w:p>
        </w:tc>
      </w:tr>
      <w:tr w:rsidR="00832B86" w:rsidRPr="00174268" w14:paraId="57BB7B53" w14:textId="77777777" w:rsidTr="001315B5">
        <w:trPr>
          <w:trHeight w:val="244"/>
        </w:trPr>
        <w:tc>
          <w:tcPr>
            <w:tcW w:w="1838" w:type="dxa"/>
            <w:vAlign w:val="center"/>
          </w:tcPr>
          <w:p w14:paraId="756CDCEB" w14:textId="77777777" w:rsidR="00832B86" w:rsidRPr="00174268" w:rsidRDefault="00832B86" w:rsidP="0049300E">
            <w:pPr>
              <w:pStyle w:val="Tabletextbold"/>
              <w:keepNext/>
              <w:keepLines/>
              <w:widowControl w:val="0"/>
              <w:spacing w:before="0" w:after="0"/>
              <w:rPr>
                <w:rFonts w:ascii="Arial Narrow" w:hAnsi="Arial Narrow"/>
                <w:iCs/>
                <w:sz w:val="20"/>
                <w:lang w:val="en-AU"/>
              </w:rPr>
            </w:pPr>
            <w:r w:rsidRPr="00174268">
              <w:rPr>
                <w:rFonts w:ascii="Arial Narrow" w:hAnsi="Arial Narrow"/>
                <w:iCs/>
                <w:sz w:val="20"/>
                <w:lang w:val="en-AU"/>
              </w:rPr>
              <w:t>Health utility</w:t>
            </w:r>
          </w:p>
        </w:tc>
        <w:tc>
          <w:tcPr>
            <w:tcW w:w="7089" w:type="dxa"/>
            <w:vAlign w:val="center"/>
          </w:tcPr>
          <w:p w14:paraId="6C641D0D" w14:textId="77777777" w:rsidR="00832B86" w:rsidRPr="00174268" w:rsidRDefault="00832B86" w:rsidP="0049300E">
            <w:pPr>
              <w:pStyle w:val="Tabletextleft"/>
              <w:keepNext/>
              <w:keepLines/>
              <w:widowControl w:val="0"/>
              <w:spacing w:before="0" w:after="0"/>
              <w:rPr>
                <w:rFonts w:ascii="Arial Narrow" w:hAnsi="Arial Narrow"/>
                <w:iCs/>
                <w:sz w:val="20"/>
              </w:rPr>
            </w:pPr>
            <w:r w:rsidRPr="00174268">
              <w:rPr>
                <w:rFonts w:ascii="Arial Narrow" w:hAnsi="Arial Narrow"/>
                <w:iCs/>
                <w:sz w:val="20"/>
              </w:rPr>
              <w:t>ppFEV</w:t>
            </w:r>
            <w:r w:rsidRPr="00174268">
              <w:rPr>
                <w:rFonts w:ascii="Arial Narrow" w:hAnsi="Arial Narrow"/>
                <w:iCs/>
                <w:sz w:val="20"/>
                <w:vertAlign w:val="subscript"/>
              </w:rPr>
              <w:t>1</w:t>
            </w:r>
            <w:r w:rsidRPr="00174268">
              <w:rPr>
                <w:rFonts w:ascii="Arial Narrow" w:hAnsi="Arial Narrow"/>
                <w:iCs/>
                <w:sz w:val="20"/>
              </w:rPr>
              <w:t xml:space="preserve"> level-based utility (expert opinion), post lung transplantation (Anyanwu 2002)</w:t>
            </w:r>
          </w:p>
        </w:tc>
      </w:tr>
      <w:tr w:rsidR="00832B86" w:rsidRPr="00174268" w14:paraId="19E2B780" w14:textId="77777777" w:rsidTr="001315B5">
        <w:tc>
          <w:tcPr>
            <w:tcW w:w="1838" w:type="dxa"/>
            <w:vAlign w:val="center"/>
          </w:tcPr>
          <w:p w14:paraId="4E7705E1"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Costs</w:t>
            </w:r>
          </w:p>
        </w:tc>
        <w:tc>
          <w:tcPr>
            <w:tcW w:w="7089" w:type="dxa"/>
            <w:vAlign w:val="center"/>
          </w:tcPr>
          <w:p w14:paraId="472963B3" w14:textId="622160BD"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 xml:space="preserve">Effective price of ELX/TEZ/IVA of </w:t>
            </w:r>
            <w:r w:rsidRPr="00174268">
              <w:rPr>
                <w:rFonts w:ascii="Arial Narrow" w:hAnsi="Arial Narrow"/>
                <w:bCs/>
                <w:sz w:val="20"/>
              </w:rPr>
              <w:t>$</w:t>
            </w:r>
            <w:r w:rsidR="00987958" w:rsidRPr="00987958">
              <w:rPr>
                <w:rFonts w:ascii="Arial Narrow" w:hAnsi="Arial Narrow"/>
                <w:bCs/>
                <w:color w:val="000000"/>
                <w:spacing w:val="188"/>
                <w:sz w:val="20"/>
                <w:shd w:val="solid" w:color="000000" w:fill="000000"/>
                <w:fitText w:val="274" w:id="-1300528894"/>
                <w14:textFill>
                  <w14:solidFill>
                    <w14:srgbClr w14:val="000000">
                      <w14:alpha w14:val="100000"/>
                    </w14:srgbClr>
                  </w14:solidFill>
                </w14:textFill>
              </w:rPr>
              <w:t>|</w:t>
            </w:r>
            <w:r w:rsidR="00987958" w:rsidRPr="00987958">
              <w:rPr>
                <w:rFonts w:ascii="Arial Narrow" w:hAnsi="Arial Narrow"/>
                <w:bCs/>
                <w:color w:val="000000"/>
                <w:spacing w:val="1"/>
                <w:sz w:val="20"/>
                <w:shd w:val="solid" w:color="000000" w:fill="000000"/>
                <w:fitText w:val="274" w:id="-1300528894"/>
                <w14:textFill>
                  <w14:solidFill>
                    <w14:srgbClr w14:val="000000">
                      <w14:alpha w14:val="100000"/>
                    </w14:srgbClr>
                  </w14:solidFill>
                </w14:textFill>
              </w:rPr>
              <w:t>|</w:t>
            </w:r>
            <w:r w:rsidRPr="00174268">
              <w:rPr>
                <w:rFonts w:ascii="Arial Narrow" w:hAnsi="Arial Narrow"/>
                <w:bCs/>
                <w:sz w:val="20"/>
              </w:rPr>
              <w:t xml:space="preserve"> per pack ($</w:t>
            </w:r>
            <w:r w:rsidR="00987958" w:rsidRPr="00987958">
              <w:rPr>
                <w:rFonts w:ascii="Arial Narrow" w:hAnsi="Arial Narrow"/>
                <w:bCs/>
                <w:color w:val="000000"/>
                <w:spacing w:val="187"/>
                <w:sz w:val="20"/>
                <w:shd w:val="solid" w:color="000000" w:fill="000000"/>
                <w:fitText w:val="273" w:id="-1300528893"/>
                <w14:textFill>
                  <w14:solidFill>
                    <w14:srgbClr w14:val="000000">
                      <w14:alpha w14:val="100000"/>
                    </w14:srgbClr>
                  </w14:solidFill>
                </w14:textFill>
              </w:rPr>
              <w:t>|</w:t>
            </w:r>
            <w:r w:rsidR="00987958" w:rsidRPr="00987958">
              <w:rPr>
                <w:rFonts w:ascii="Arial Narrow" w:hAnsi="Arial Narrow"/>
                <w:bCs/>
                <w:color w:val="000000"/>
                <w:spacing w:val="1"/>
                <w:sz w:val="20"/>
                <w:shd w:val="solid" w:color="000000" w:fill="000000"/>
                <w:fitText w:val="273" w:id="-1300528893"/>
                <w14:textFill>
                  <w14:solidFill>
                    <w14:srgbClr w14:val="000000">
                      <w14:alpha w14:val="100000"/>
                    </w14:srgbClr>
                  </w14:solidFill>
                </w14:textFill>
              </w:rPr>
              <w:t>|</w:t>
            </w:r>
            <w:r w:rsidRPr="00174268">
              <w:rPr>
                <w:rFonts w:ascii="Arial Narrow" w:hAnsi="Arial Narrow"/>
                <w:bCs/>
                <w:sz w:val="20"/>
              </w:rPr>
              <w:t xml:space="preserve"> per patient per year; </w:t>
            </w:r>
            <w:r w:rsidRPr="004F0ED8">
              <w:rPr>
                <w:rFonts w:ascii="Arial Narrow" w:hAnsi="Arial Narrow"/>
                <w:bCs/>
                <w:sz w:val="20"/>
              </w:rPr>
              <w:t>13.04 packs</w:t>
            </w:r>
            <w:r w:rsidRPr="00174268">
              <w:rPr>
                <w:rFonts w:ascii="Arial Narrow" w:hAnsi="Arial Narrow"/>
                <w:bCs/>
                <w:sz w:val="20"/>
              </w:rPr>
              <w:t xml:space="preserve">/year) for F/F and F/MF </w:t>
            </w:r>
          </w:p>
        </w:tc>
      </w:tr>
      <w:tr w:rsidR="00832B86" w:rsidRPr="00174268" w14:paraId="3FB3F410" w14:textId="77777777" w:rsidTr="001315B5">
        <w:tc>
          <w:tcPr>
            <w:tcW w:w="1838" w:type="dxa"/>
            <w:vAlign w:val="center"/>
          </w:tcPr>
          <w:p w14:paraId="29A66B70" w14:textId="77777777" w:rsidR="00832B86" w:rsidRPr="00174268" w:rsidRDefault="00832B86" w:rsidP="0049300E">
            <w:pPr>
              <w:pStyle w:val="Tabletextbold"/>
              <w:keepNext/>
              <w:keepLines/>
              <w:widowControl w:val="0"/>
              <w:spacing w:before="0" w:after="0"/>
              <w:rPr>
                <w:rFonts w:ascii="Arial Narrow" w:hAnsi="Arial Narrow"/>
                <w:sz w:val="20"/>
                <w:lang w:val="en-AU"/>
              </w:rPr>
            </w:pPr>
            <w:r w:rsidRPr="00174268">
              <w:rPr>
                <w:rFonts w:ascii="Arial Narrow" w:hAnsi="Arial Narrow"/>
                <w:sz w:val="20"/>
                <w:lang w:val="en-AU"/>
              </w:rPr>
              <w:t>Software</w:t>
            </w:r>
          </w:p>
        </w:tc>
        <w:tc>
          <w:tcPr>
            <w:tcW w:w="7089" w:type="dxa"/>
            <w:vAlign w:val="center"/>
          </w:tcPr>
          <w:p w14:paraId="70747B88" w14:textId="77777777" w:rsidR="00832B86" w:rsidRPr="00174268" w:rsidRDefault="00832B86" w:rsidP="0049300E">
            <w:pPr>
              <w:pStyle w:val="Tabletextleft"/>
              <w:keepNext/>
              <w:keepLines/>
              <w:widowControl w:val="0"/>
              <w:spacing w:before="0" w:after="0"/>
              <w:rPr>
                <w:rFonts w:ascii="Arial Narrow" w:hAnsi="Arial Narrow"/>
                <w:sz w:val="20"/>
              </w:rPr>
            </w:pPr>
            <w:r w:rsidRPr="00174268">
              <w:rPr>
                <w:rFonts w:ascii="Arial Narrow" w:hAnsi="Arial Narrow"/>
                <w:sz w:val="20"/>
              </w:rPr>
              <w:t>Microsoft Excel using Visual Basic.</w:t>
            </w:r>
          </w:p>
        </w:tc>
      </w:tr>
    </w:tbl>
    <w:p w14:paraId="75A6D3C4" w14:textId="77777777" w:rsidR="00832B86" w:rsidRPr="000C48F9" w:rsidRDefault="00832B86" w:rsidP="0049300E">
      <w:pPr>
        <w:pStyle w:val="TableFigureFooter"/>
        <w:keepNext/>
        <w:keepLines/>
        <w:widowControl w:val="0"/>
      </w:pPr>
      <w:r w:rsidRPr="000C48F9">
        <w:t>Source: Table 3.1.1, p131 of the submission.</w:t>
      </w:r>
    </w:p>
    <w:p w14:paraId="26B63175" w14:textId="7138401F" w:rsidR="0099469A" w:rsidRPr="000C48F9" w:rsidRDefault="00832B86" w:rsidP="0044604E">
      <w:pPr>
        <w:pStyle w:val="TableFigureFooter"/>
        <w:keepNext/>
        <w:keepLines/>
      </w:pPr>
      <w:r w:rsidRPr="000C48F9">
        <w:t xml:space="preserve">BSC = best supportive care; CF = cystic fibrosis; F/F = CF patient homozygous for the F508del-CFTR mutation; ELX/TEZ/IVA = elexacaftor/tezacaftor/ivacaftor; F/MF = CF patient heterozygous for the F508del in the CFTR gene with a minimal function mutation; F/RF = CF patient heterozygous for the F508del in the CFTR gene with a residual function mutation; F/R117H = CF patients who are heterozygous for F508del in the CFTR gene with a R117H mutation; ITC = indirect comparison analysis; LUM/IVA = lumacaftor/ivacaftor; ppFEV1 = percent predicted forced expiratory volume in one second; RCT = randomised controlled trial; rROD = relative rate of reduction in decline. </w:t>
      </w:r>
    </w:p>
    <w:p w14:paraId="3638E553" w14:textId="4C4968F1" w:rsidR="00832B86" w:rsidRPr="000C48F9" w:rsidRDefault="00832B86" w:rsidP="00832B86">
      <w:pPr>
        <w:pStyle w:val="3-BodyText"/>
      </w:pPr>
      <w:r w:rsidRPr="000C48F9">
        <w:t>The submission proposed the use of LUM/IVA and BSC as the relevant comparators for patients with an F/F or F/MF mutation, respectively.</w:t>
      </w:r>
      <w:r w:rsidRPr="000C48F9">
        <w:rPr>
          <w:i/>
          <w:iCs/>
        </w:rPr>
        <w:t xml:space="preserve"> </w:t>
      </w:r>
      <w:r w:rsidRPr="000C48F9">
        <w:t xml:space="preserve">Considering the life-time duration in the model, </w:t>
      </w:r>
      <w:r w:rsidR="002C4B41" w:rsidRPr="00D26872">
        <w:t>the ESC considered</w:t>
      </w:r>
      <w:r w:rsidR="002C4B41" w:rsidRPr="000C48F9">
        <w:rPr>
          <w:i/>
          <w:iCs/>
        </w:rPr>
        <w:t xml:space="preserve"> </w:t>
      </w:r>
      <w:r w:rsidRPr="000C48F9">
        <w:t xml:space="preserve">these comparisons were inappropriate as they do not reflect current practice in Australia, where treatment with ELX/TEZ/IVA was PBS-listed in April 2022 for all </w:t>
      </w:r>
      <w:r w:rsidRPr="000C48F9">
        <w:rPr>
          <w:rFonts w:cstheme="minorHAnsi"/>
        </w:rPr>
        <w:t>≥</w:t>
      </w:r>
      <w:r w:rsidRPr="000C48F9">
        <w:t>12 years patients with at least one F508del-CFTR mutation (F/any). This results in an overestimation of the incremental benefits of ELX/TEZ/IVA as it was assumed that LUM/IVA and BSC are used for the lifetime of the patients which disregards the benefits derived from the use of ELX/TEZ/IVA once patients turn 12 years</w:t>
      </w:r>
      <w:r w:rsidR="0049300E" w:rsidRPr="000C48F9">
        <w:t xml:space="preserve"> of age</w:t>
      </w:r>
      <w:r w:rsidRPr="000C48F9">
        <w:t xml:space="preserve">. </w:t>
      </w:r>
      <w:r w:rsidR="002C4B41" w:rsidRPr="00D26872">
        <w:t>The ESC considered</w:t>
      </w:r>
      <w:r w:rsidR="002C4B41" w:rsidRPr="000C48F9">
        <w:rPr>
          <w:i/>
          <w:iCs/>
        </w:rPr>
        <w:t xml:space="preserve"> </w:t>
      </w:r>
      <w:r w:rsidR="002C4B41" w:rsidRPr="00687CE7">
        <w:t>a</w:t>
      </w:r>
      <w:r w:rsidR="002C4B41" w:rsidRPr="000C48F9">
        <w:t xml:space="preserve"> </w:t>
      </w:r>
      <w:r w:rsidRPr="000C48F9">
        <w:t>more informative comparison would have been to compare early treatment starting at an age 6 to 11 years versus initiating treatment with ELX/TEZ/IVA at age 12 years.</w:t>
      </w:r>
    </w:p>
    <w:p w14:paraId="3FC27A9E" w14:textId="0B33A77A" w:rsidR="00832B86" w:rsidRPr="000C48F9" w:rsidRDefault="00832B86" w:rsidP="00832B86">
      <w:pPr>
        <w:pStyle w:val="3-BodyText"/>
      </w:pPr>
      <w:r w:rsidRPr="000C48F9">
        <w:t>In the economic model the long-term ppFEV</w:t>
      </w:r>
      <w:r w:rsidRPr="000C48F9">
        <w:rPr>
          <w:vertAlign w:val="subscript"/>
        </w:rPr>
        <w:t>1</w:t>
      </w:r>
      <w:r w:rsidRPr="000C48F9">
        <w:t xml:space="preserve"> with ELX/TEZ/IVA</w:t>
      </w:r>
      <w:r w:rsidR="00375121" w:rsidRPr="000C48F9">
        <w:t xml:space="preserve"> and LUM/IVA</w:t>
      </w:r>
      <w:r w:rsidRPr="000C48F9">
        <w:t xml:space="preserve"> is applied as </w:t>
      </w:r>
      <w:r w:rsidR="00375121" w:rsidRPr="000C48F9">
        <w:t xml:space="preserve">a </w:t>
      </w:r>
      <w:r w:rsidRPr="000C48F9">
        <w:t>decline relative to that observed with BSC; this is referred to as the relative rate of decline (rROD). The submission applied a rROD in ppFEV</w:t>
      </w:r>
      <w:r w:rsidRPr="000C48F9">
        <w:rPr>
          <w:vertAlign w:val="subscript"/>
        </w:rPr>
        <w:t>1</w:t>
      </w:r>
      <w:r w:rsidRPr="000C48F9">
        <w:t xml:space="preserve"> of 90% for ELX/TEZ/IVA in both the F/F and F/MF models.</w:t>
      </w:r>
      <w:r w:rsidRPr="000C48F9">
        <w:rPr>
          <w:i/>
          <w:iCs/>
        </w:rPr>
        <w:t xml:space="preserve"> </w:t>
      </w:r>
      <w:r w:rsidRPr="000C48F9">
        <w:t xml:space="preserve">This assumption was based on the results from a propensity score matched analysis that included patients </w:t>
      </w:r>
      <w:r w:rsidRPr="000C48F9">
        <w:rPr>
          <w:rFonts w:cstheme="minorHAnsi"/>
        </w:rPr>
        <w:t>≥</w:t>
      </w:r>
      <w:r w:rsidRPr="000C48F9">
        <w:t>12 years (Study 105 IA3) and data from untreated patients from a US registry (CFFPR).</w:t>
      </w:r>
      <w:r w:rsidRPr="000C48F9">
        <w:rPr>
          <w:i/>
          <w:iCs/>
        </w:rPr>
        <w:t xml:space="preserve"> </w:t>
      </w:r>
      <w:r w:rsidRPr="000C48F9">
        <w:t>The annualised mean rate of change (RoC) in ppFEV</w:t>
      </w:r>
      <w:r w:rsidRPr="000C48F9">
        <w:rPr>
          <w:vertAlign w:val="subscript"/>
        </w:rPr>
        <w:t xml:space="preserve">1 </w:t>
      </w:r>
      <w:r w:rsidRPr="000C48F9">
        <w:t>for</w:t>
      </w:r>
      <w:r w:rsidRPr="000C48F9">
        <w:rPr>
          <w:vertAlign w:val="subscript"/>
        </w:rPr>
        <w:t xml:space="preserve"> </w:t>
      </w:r>
      <w:r w:rsidRPr="000C48F9">
        <w:t>ELX/TEZ/IVA was +0.39, which indicated no loss of pulmonary function on average over a 2-year period. The submission stated that the positive slope would result in a rROD higher than 100%</w:t>
      </w:r>
      <w:r w:rsidR="00375121" w:rsidRPr="000C48F9">
        <w:t xml:space="preserve"> and</w:t>
      </w:r>
      <w:r w:rsidRPr="000C48F9">
        <w:t xml:space="preserve"> hence assuming a 90% rROD was conservative. However, the rROD was applied for the model lifetime whereas the data reflect</w:t>
      </w:r>
      <w:r w:rsidR="0049300E" w:rsidRPr="000C48F9">
        <w:t>ed</w:t>
      </w:r>
      <w:r w:rsidRPr="000C48F9">
        <w:t xml:space="preserve"> a maximum of 2-year follow-up. In addition, Study 105 included patients with a mean age of 26.4 years and a mean baseline ppFEV</w:t>
      </w:r>
      <w:r w:rsidRPr="000C48F9">
        <w:rPr>
          <w:vertAlign w:val="subscript"/>
        </w:rPr>
        <w:t>1</w:t>
      </w:r>
      <w:r w:rsidRPr="000C48F9">
        <w:t xml:space="preserve"> of 61%. These patients are not representative of the proposed target population, and it may be unreasonable to assume these results would be extended to younger patients who are in a healthier stage of the disease (i.e. normal lung function). </w:t>
      </w:r>
    </w:p>
    <w:p w14:paraId="0C7692DB" w14:textId="46B8076B" w:rsidR="00832B86" w:rsidRPr="000C48F9" w:rsidRDefault="00832B86" w:rsidP="00832B86">
      <w:pPr>
        <w:pStyle w:val="3-BodyText"/>
      </w:pPr>
      <w:r w:rsidRPr="000C48F9">
        <w:t>The projected mean ppFEV</w:t>
      </w:r>
      <w:r w:rsidRPr="000C48F9">
        <w:rPr>
          <w:vertAlign w:val="subscript"/>
        </w:rPr>
        <w:t>1</w:t>
      </w:r>
      <w:r w:rsidRPr="000C48F9">
        <w:t xml:space="preserve"> over the lifetime of a patient whos</w:t>
      </w:r>
      <w:r w:rsidR="008F1276" w:rsidRPr="000C48F9">
        <w:t>e</w:t>
      </w:r>
      <w:r w:rsidRPr="000C48F9">
        <w:t xml:space="preserve"> mean age at treatment initiation was 8.6 years and baseline ppFEV</w:t>
      </w:r>
      <w:r w:rsidRPr="000C48F9">
        <w:rPr>
          <w:vertAlign w:val="subscript"/>
        </w:rPr>
        <w:t>1</w:t>
      </w:r>
      <w:r w:rsidRPr="000C48F9">
        <w:t xml:space="preserve"> was approximately 90%, is presented in </w:t>
      </w:r>
      <w:r w:rsidRPr="000C48F9">
        <w:fldChar w:fldCharType="begin" w:fldLock="1"/>
      </w:r>
      <w:r w:rsidRPr="000C48F9">
        <w:instrText xml:space="preserve"> REF _Ref112923310 \h  \* MERGEFORMAT </w:instrText>
      </w:r>
      <w:r w:rsidRPr="000C48F9">
        <w:fldChar w:fldCharType="separate"/>
      </w:r>
      <w:r w:rsidR="009A1227" w:rsidRPr="000C48F9">
        <w:t xml:space="preserve">Figure </w:t>
      </w:r>
      <w:r w:rsidR="009A1227">
        <w:t>3</w:t>
      </w:r>
      <w:r w:rsidRPr="000C48F9">
        <w:fldChar w:fldCharType="end"/>
      </w:r>
      <w:r w:rsidRPr="000C48F9">
        <w:t>. The modelled ppFEV</w:t>
      </w:r>
      <w:r w:rsidRPr="000C48F9">
        <w:rPr>
          <w:vertAlign w:val="subscript"/>
        </w:rPr>
        <w:t>1</w:t>
      </w:r>
      <w:r w:rsidRPr="000C48F9">
        <w:t xml:space="preserve"> curves for patients treated with ELX/TEZ/IVA for both F/F and F/MF patients predicted normal lung function (ppFEV</w:t>
      </w:r>
      <w:r w:rsidRPr="000C48F9">
        <w:rPr>
          <w:vertAlign w:val="subscript"/>
        </w:rPr>
        <w:t>1</w:t>
      </w:r>
      <w:r w:rsidRPr="000C48F9">
        <w:t xml:space="preserve"> &gt;90%) throughout the whole lifetime. This prediction was based on results from Study 105 (</w:t>
      </w:r>
      <w:r w:rsidR="007C35C3" w:rsidRPr="000C48F9">
        <w:t xml:space="preserve">in patients </w:t>
      </w:r>
      <w:r w:rsidRPr="000C48F9">
        <w:rPr>
          <w:rFonts w:cstheme="minorHAnsi"/>
        </w:rPr>
        <w:t>≥</w:t>
      </w:r>
      <w:r w:rsidRPr="000C48F9">
        <w:t>12 years) that had a duration of follow up of 2 years. For reference, the figure also includes observational data collected from 2008 to 2019 with a median duration of follow-up from birth to last visit of 21.7 years from Australian CF patients (Earnest et al., 2020). These data suggested a plateauing of ppFEV</w:t>
      </w:r>
      <w:r w:rsidRPr="000C48F9">
        <w:rPr>
          <w:vertAlign w:val="subscript"/>
        </w:rPr>
        <w:t>1</w:t>
      </w:r>
      <w:r w:rsidRPr="000C48F9">
        <w:t xml:space="preserve"> which starts at around 30 years of age. It should be noted that these data included patients who were likely to receive CF</w:t>
      </w:r>
      <w:r w:rsidR="000C48F9">
        <w:t>T</w:t>
      </w:r>
      <w:r w:rsidRPr="000C48F9">
        <w:t>R modulator therapy which be</w:t>
      </w:r>
      <w:r w:rsidR="008F1276" w:rsidRPr="000C48F9">
        <w:t xml:space="preserve">came available </w:t>
      </w:r>
      <w:r w:rsidRPr="000C48F9">
        <w:t xml:space="preserve">in 2013 (Ivacaftor </w:t>
      </w:r>
      <w:r w:rsidR="00F76B6A" w:rsidRPr="000C48F9">
        <w:t xml:space="preserve">recommended at the </w:t>
      </w:r>
      <w:r w:rsidRPr="000C48F9">
        <w:t xml:space="preserve">July 2013 PBAC meeting, LUM/IVA </w:t>
      </w:r>
      <w:r w:rsidR="00F76B6A" w:rsidRPr="000C48F9">
        <w:t xml:space="preserve">recommended at the </w:t>
      </w:r>
      <w:r w:rsidRPr="000C48F9">
        <w:t xml:space="preserve">July 2018 PBAC meeting). </w:t>
      </w:r>
    </w:p>
    <w:p w14:paraId="3BEC818C" w14:textId="5939178F" w:rsidR="00832B86" w:rsidRPr="000C48F9" w:rsidRDefault="00832B86" w:rsidP="0085193E">
      <w:pPr>
        <w:pStyle w:val="Caption"/>
        <w:rPr>
          <w:b w:val="0"/>
          <w:bCs w:val="0"/>
          <w:szCs w:val="20"/>
        </w:rPr>
      </w:pPr>
      <w:bookmarkStart w:id="40" w:name="_Ref112923310"/>
      <w:r w:rsidRPr="000C48F9">
        <w:t xml:space="preserve">Figure </w:t>
      </w:r>
      <w:r w:rsidR="008E430C">
        <w:fldChar w:fldCharType="begin" w:fldLock="1"/>
      </w:r>
      <w:r w:rsidR="008E430C">
        <w:instrText xml:space="preserve"> SEQ Figure \* ARABIC </w:instrText>
      </w:r>
      <w:r w:rsidR="008E430C">
        <w:fldChar w:fldCharType="separate"/>
      </w:r>
      <w:r w:rsidR="009A1227">
        <w:rPr>
          <w:noProof/>
        </w:rPr>
        <w:t>3</w:t>
      </w:r>
      <w:r w:rsidR="008E430C">
        <w:rPr>
          <w:noProof/>
        </w:rPr>
        <w:fldChar w:fldCharType="end"/>
      </w:r>
      <w:bookmarkEnd w:id="40"/>
      <w:r w:rsidRPr="000C48F9">
        <w:rPr>
          <w:szCs w:val="20"/>
        </w:rPr>
        <w:t>: Predicted change in ppFEV</w:t>
      </w:r>
      <w:r w:rsidRPr="000C48F9">
        <w:rPr>
          <w:szCs w:val="20"/>
          <w:vertAlign w:val="subscript"/>
        </w:rPr>
        <w:t>1</w:t>
      </w:r>
      <w:r w:rsidRPr="000C48F9">
        <w:rPr>
          <w:szCs w:val="20"/>
        </w:rPr>
        <w:t xml:space="preserve"> over lifetime </w:t>
      </w:r>
    </w:p>
    <w:p w14:paraId="7B32B537" w14:textId="77777777" w:rsidR="00832B86" w:rsidRPr="000C48F9" w:rsidRDefault="00832B86" w:rsidP="0085193E">
      <w:pPr>
        <w:keepNext/>
        <w:keepLines/>
        <w:jc w:val="center"/>
        <w:rPr>
          <w:rFonts w:ascii="Arial Narrow" w:hAnsi="Arial Narrow"/>
          <w:sz w:val="18"/>
          <w:szCs w:val="18"/>
        </w:rPr>
      </w:pPr>
      <w:r w:rsidRPr="000C48F9">
        <w:rPr>
          <w:noProof/>
        </w:rPr>
        <w:drawing>
          <wp:inline distT="0" distB="0" distL="0" distR="0" wp14:anchorId="435E253B" wp14:editId="7952480B">
            <wp:extent cx="4106315" cy="2523744"/>
            <wp:effectExtent l="0" t="0" r="8890" b="0"/>
            <wp:docPr id="43" name="Picture 43" descr="Figure 3: Predicted change in ppFEV1 over life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Figure 3: Predicted change in ppFEV1 over lifetime "/>
                    <pic:cNvPicPr/>
                  </pic:nvPicPr>
                  <pic:blipFill>
                    <a:blip r:embed="rId10"/>
                    <a:stretch>
                      <a:fillRect/>
                    </a:stretch>
                  </pic:blipFill>
                  <pic:spPr>
                    <a:xfrm>
                      <a:off x="0" y="0"/>
                      <a:ext cx="4111649" cy="2527022"/>
                    </a:xfrm>
                    <a:prstGeom prst="rect">
                      <a:avLst/>
                    </a:prstGeom>
                  </pic:spPr>
                </pic:pic>
              </a:graphicData>
            </a:graphic>
          </wp:inline>
        </w:drawing>
      </w:r>
    </w:p>
    <w:p w14:paraId="635F0B9E" w14:textId="77777777" w:rsidR="00832B86" w:rsidRPr="000C48F9" w:rsidRDefault="00832B86" w:rsidP="0085193E">
      <w:pPr>
        <w:keepNext/>
        <w:keepLines/>
        <w:rPr>
          <w:rFonts w:ascii="Arial Narrow" w:hAnsi="Arial Narrow"/>
          <w:sz w:val="18"/>
          <w:szCs w:val="18"/>
        </w:rPr>
      </w:pPr>
      <w:r w:rsidRPr="000C48F9">
        <w:rPr>
          <w:rFonts w:ascii="Arial Narrow" w:hAnsi="Arial Narrow"/>
          <w:sz w:val="18"/>
          <w:szCs w:val="18"/>
        </w:rPr>
        <w:t>Source: developed for the Commentary based on ppFEV</w:t>
      </w:r>
      <w:r w:rsidRPr="000C48F9">
        <w:rPr>
          <w:rFonts w:ascii="Arial Narrow" w:hAnsi="Arial Narrow"/>
          <w:sz w:val="18"/>
          <w:szCs w:val="18"/>
          <w:vertAlign w:val="subscript"/>
        </w:rPr>
        <w:t>1</w:t>
      </w:r>
      <w:r w:rsidRPr="000C48F9">
        <w:rPr>
          <w:rFonts w:ascii="Arial Narrow" w:hAnsi="Arial Narrow"/>
          <w:sz w:val="18"/>
          <w:szCs w:val="18"/>
        </w:rPr>
        <w:t xml:space="preserve"> data from the submission; data for Australian were extracted from Figure 1, Earnest et al., 2020 </w:t>
      </w:r>
    </w:p>
    <w:p w14:paraId="504DAA5A" w14:textId="77777777" w:rsidR="00832B86" w:rsidRPr="000C48F9" w:rsidRDefault="00832B86" w:rsidP="0085193E">
      <w:pPr>
        <w:keepNext/>
        <w:keepLines/>
        <w:rPr>
          <w:rFonts w:ascii="Arial Narrow" w:hAnsi="Arial Narrow"/>
          <w:sz w:val="18"/>
          <w:szCs w:val="18"/>
        </w:rPr>
      </w:pPr>
      <w:r w:rsidRPr="000C48F9">
        <w:rPr>
          <w:rFonts w:ascii="Arial Narrow" w:hAnsi="Arial Narrow"/>
          <w:sz w:val="18"/>
          <w:szCs w:val="18"/>
        </w:rPr>
        <w:t xml:space="preserve">BSC = best supportive care; F/F = CF patient homozygous for the F508del-CFTR mutation; ELX/TEZ/IVA = elexacaftor/tezacaftor/ivacaftor; F/MF = CF patient heterozygous for the F508del in the CFTR gene with a minimal function mutation; ppFEV1 = percent predicted forced expiratory volume in one second; </w:t>
      </w:r>
    </w:p>
    <w:p w14:paraId="4E8D257F" w14:textId="77777777" w:rsidR="00832B86" w:rsidRPr="000C48F9" w:rsidRDefault="00832B86" w:rsidP="0044604E">
      <w:pPr>
        <w:keepNext/>
        <w:keepLines/>
        <w:spacing w:after="120"/>
        <w:rPr>
          <w:rFonts w:ascii="Arial Narrow" w:hAnsi="Arial Narrow"/>
          <w:sz w:val="18"/>
          <w:szCs w:val="18"/>
        </w:rPr>
      </w:pPr>
      <w:r w:rsidRPr="000C48F9">
        <w:rPr>
          <w:rFonts w:ascii="Arial Narrow" w:hAnsi="Arial Narrow"/>
          <w:sz w:val="18"/>
          <w:szCs w:val="18"/>
        </w:rPr>
        <w:t>Note: mean baseline age of 8.5 years for F/F and of 8.6 years and F/MF; mean baseline ppFEV</w:t>
      </w:r>
      <w:r w:rsidRPr="000C48F9">
        <w:rPr>
          <w:rFonts w:ascii="Arial Narrow" w:hAnsi="Arial Narrow"/>
          <w:sz w:val="18"/>
          <w:szCs w:val="18"/>
          <w:vertAlign w:val="subscript"/>
        </w:rPr>
        <w:t>1</w:t>
      </w:r>
      <w:r w:rsidRPr="000C48F9">
        <w:rPr>
          <w:rFonts w:ascii="Arial Narrow" w:hAnsi="Arial Narrow"/>
          <w:sz w:val="18"/>
          <w:szCs w:val="18"/>
        </w:rPr>
        <w:t xml:space="preserve"> of 89.8 for F/F (+13.9 acute increase) and of 89.9 for F/MF (+11% acute increase); The grey dash line was included as a reference line to reflect the threshold considered ‘normal lung function’ (ppFEV</w:t>
      </w:r>
      <w:r w:rsidRPr="000C48F9">
        <w:rPr>
          <w:rFonts w:ascii="Arial Narrow" w:hAnsi="Arial Narrow"/>
          <w:sz w:val="18"/>
          <w:szCs w:val="18"/>
          <w:vertAlign w:val="subscript"/>
        </w:rPr>
        <w:t>1</w:t>
      </w:r>
      <w:r w:rsidRPr="000C48F9">
        <w:rPr>
          <w:rFonts w:ascii="Arial Narrow" w:hAnsi="Arial Narrow"/>
          <w:sz w:val="18"/>
          <w:szCs w:val="18"/>
        </w:rPr>
        <w:t xml:space="preserve"> of &gt;90%).</w:t>
      </w:r>
    </w:p>
    <w:p w14:paraId="0F9BD843" w14:textId="2B10D477" w:rsidR="004D4C7E" w:rsidRDefault="004D4C7E" w:rsidP="00832B86">
      <w:pPr>
        <w:pStyle w:val="3-BodyText"/>
      </w:pPr>
      <w:bookmarkStart w:id="41" w:name="_Ref119311962"/>
      <w:r w:rsidRPr="000C48F9">
        <w:t>The assumed 90% rROD is higher than the 80% used to model the long-term decline in patients ≥12 years treated with ELX/TEZ/IVA (para 4.10, ELX/TEZ/IVA PSD, December 2021).</w:t>
      </w:r>
      <w:r w:rsidRPr="004D4C7E">
        <w:t xml:space="preserve"> </w:t>
      </w:r>
      <w:r>
        <w:t>The pre-PBAC response stated that e</w:t>
      </w:r>
      <w:r w:rsidRPr="004D4C7E">
        <w:t>vidence of the maintained ppFEV</w:t>
      </w:r>
      <w:r w:rsidRPr="004D4C7E">
        <w:rPr>
          <w:vertAlign w:val="subscript"/>
        </w:rPr>
        <w:t>1</w:t>
      </w:r>
      <w:r w:rsidRPr="004D4C7E">
        <w:t xml:space="preserve"> rROD has strengthened since the </w:t>
      </w:r>
      <w:r w:rsidR="004B5930" w:rsidRPr="000C48F9">
        <w:t xml:space="preserve">≥12 years </w:t>
      </w:r>
      <w:r w:rsidRPr="004D4C7E">
        <w:t>ELX/TEZ/IVA PBAC submission, showing even greater maintenance of ppFEV</w:t>
      </w:r>
      <w:r w:rsidRPr="004D4C7E">
        <w:rPr>
          <w:vertAlign w:val="subscript"/>
        </w:rPr>
        <w:t>1</w:t>
      </w:r>
      <w:r w:rsidRPr="004D4C7E">
        <w:t xml:space="preserve"> over time. </w:t>
      </w:r>
      <w:r w:rsidR="004B5930">
        <w:t xml:space="preserve">However, the pre-PBAC response stated that, while the sponsor </w:t>
      </w:r>
      <w:r w:rsidR="004B5930" w:rsidRPr="004B5930">
        <w:t>believe</w:t>
      </w:r>
      <w:r w:rsidR="00D12357">
        <w:t>d</w:t>
      </w:r>
      <w:r w:rsidR="004B5930" w:rsidRPr="004B5930">
        <w:t xml:space="preserve"> that the rROD estimate of 90% used in the 6-11 yrs model is accurate (and likely conservative), a base case analysis </w:t>
      </w:r>
      <w:r w:rsidR="004B5930">
        <w:t xml:space="preserve">is presented </w:t>
      </w:r>
      <w:r w:rsidR="004B5930" w:rsidRPr="004B5930">
        <w:t xml:space="preserve">with a rROD </w:t>
      </w:r>
      <w:r w:rsidR="004B5930">
        <w:t>of</w:t>
      </w:r>
      <w:r w:rsidR="004B5930" w:rsidRPr="004B5930">
        <w:t xml:space="preserve"> 80% for ELX/TEZ/IVA</w:t>
      </w:r>
      <w:r w:rsidR="004B5930">
        <w:t xml:space="preserve"> (see paragraph </w:t>
      </w:r>
      <w:r w:rsidR="00D12357">
        <w:rPr>
          <w:highlight w:val="yellow"/>
        </w:rPr>
        <w:fldChar w:fldCharType="begin" w:fldLock="1"/>
      </w:r>
      <w:r w:rsidR="00D12357">
        <w:instrText xml:space="preserve"> REF _Ref119920116 \r \h </w:instrText>
      </w:r>
      <w:r w:rsidR="00D12357">
        <w:rPr>
          <w:highlight w:val="yellow"/>
        </w:rPr>
      </w:r>
      <w:r w:rsidR="00D12357">
        <w:rPr>
          <w:highlight w:val="yellow"/>
        </w:rPr>
        <w:fldChar w:fldCharType="separate"/>
      </w:r>
      <w:r w:rsidR="009A1227">
        <w:t>6.60</w:t>
      </w:r>
      <w:r w:rsidR="00D12357">
        <w:rPr>
          <w:highlight w:val="yellow"/>
        </w:rPr>
        <w:fldChar w:fldCharType="end"/>
      </w:r>
      <w:r w:rsidR="004B5930">
        <w:t>).</w:t>
      </w:r>
      <w:bookmarkEnd w:id="41"/>
    </w:p>
    <w:p w14:paraId="2E868487" w14:textId="6335521C" w:rsidR="00832B86" w:rsidRPr="000C48F9" w:rsidRDefault="00832B86" w:rsidP="00832B86">
      <w:pPr>
        <w:pStyle w:val="3-BodyText"/>
      </w:pPr>
      <w:r w:rsidRPr="000C48F9">
        <w:t xml:space="preserve">The submission used a lifetime horizon in the model which is consistent with that used in previous CFTR submissions (e.g. LUM/IVA PSD, July 2019, ELX/TEZ/IVA PSD, March 2021). While the lifetime </w:t>
      </w:r>
      <w:r w:rsidR="001C504C" w:rsidRPr="000C48F9">
        <w:t xml:space="preserve">time </w:t>
      </w:r>
      <w:r w:rsidRPr="000C48F9">
        <w:t xml:space="preserve">horizon might be justified as CF is a chronic disease requiring a lifetime treatment, the uncertainty regarding the longer-term effectiveness is high due to the </w:t>
      </w:r>
      <w:r w:rsidR="00F56D4B" w:rsidRPr="000C48F9">
        <w:t xml:space="preserve">extent of </w:t>
      </w:r>
      <w:r w:rsidRPr="000C48F9">
        <w:t xml:space="preserve">follow-up evidence available (up to </w:t>
      </w:r>
      <w:r w:rsidR="003E0CCE" w:rsidRPr="000A1BBC">
        <w:t xml:space="preserve">120 </w:t>
      </w:r>
      <w:r w:rsidRPr="000C48F9">
        <w:t>weeks in Study 107)</w:t>
      </w:r>
      <w:r w:rsidR="00F56D4B" w:rsidRPr="000C48F9">
        <w:t xml:space="preserve"> and substantial extrapolation required</w:t>
      </w:r>
      <w:r w:rsidRPr="000C48F9">
        <w:t xml:space="preserve">. </w:t>
      </w:r>
    </w:p>
    <w:p w14:paraId="7996F15A" w14:textId="393BB46D" w:rsidR="00832B86" w:rsidRPr="000C48F9" w:rsidRDefault="00832B86" w:rsidP="00832B86">
      <w:pPr>
        <w:pStyle w:val="3-BodyText"/>
      </w:pPr>
      <w:r w:rsidRPr="000C48F9">
        <w:t xml:space="preserve">The </w:t>
      </w:r>
      <w:r w:rsidR="007C35C3" w:rsidRPr="000C48F9">
        <w:t xml:space="preserve">modelled </w:t>
      </w:r>
      <w:r w:rsidRPr="000C48F9">
        <w:t xml:space="preserve">survival </w:t>
      </w:r>
      <w:r w:rsidR="007C35C3" w:rsidRPr="000C48F9">
        <w:t>curves</w:t>
      </w:r>
      <w:r w:rsidRPr="000C48F9">
        <w:t xml:space="preserve"> for F/F and F/MF patients aged 6 to 11 years are presented in </w:t>
      </w:r>
      <w:r w:rsidRPr="000C48F9">
        <w:fldChar w:fldCharType="begin" w:fldLock="1"/>
      </w:r>
      <w:r w:rsidRPr="000C48F9">
        <w:instrText xml:space="preserve"> REF _Ref112923350 \h  \* MERGEFORMAT </w:instrText>
      </w:r>
      <w:r w:rsidRPr="000C48F9">
        <w:fldChar w:fldCharType="separate"/>
      </w:r>
      <w:r w:rsidR="009A1227" w:rsidRPr="00EB1712">
        <w:t xml:space="preserve">Figure </w:t>
      </w:r>
      <w:r w:rsidR="009A1227">
        <w:t>4</w:t>
      </w:r>
      <w:r w:rsidRPr="000C48F9">
        <w:fldChar w:fldCharType="end"/>
      </w:r>
      <w:r w:rsidRPr="000C48F9">
        <w:t xml:space="preserve"> and </w:t>
      </w:r>
      <w:r w:rsidRPr="000C48F9">
        <w:fldChar w:fldCharType="begin" w:fldLock="1"/>
      </w:r>
      <w:r w:rsidRPr="000C48F9">
        <w:instrText xml:space="preserve"> REF _Ref112923361 \h  \* MERGEFORMAT </w:instrText>
      </w:r>
      <w:r w:rsidRPr="000C48F9">
        <w:fldChar w:fldCharType="separate"/>
      </w:r>
      <w:r w:rsidR="009A1227" w:rsidRPr="00EB1712">
        <w:t xml:space="preserve">Figure </w:t>
      </w:r>
      <w:r w:rsidR="009A1227">
        <w:t>5</w:t>
      </w:r>
      <w:r w:rsidRPr="000C48F9">
        <w:fldChar w:fldCharType="end"/>
      </w:r>
      <w:r w:rsidR="007A7A2A" w:rsidRPr="000C48F9">
        <w:t xml:space="preserve"> (</w:t>
      </w:r>
      <w:r w:rsidR="007A7A2A" w:rsidRPr="000A1BBC">
        <w:t>assuming 90% rROD and 80% rROD</w:t>
      </w:r>
      <w:r w:rsidR="007A7A2A" w:rsidRPr="000C48F9">
        <w:t>)</w:t>
      </w:r>
      <w:r w:rsidRPr="000C48F9">
        <w:t>. For comparative purposes</w:t>
      </w:r>
      <w:r w:rsidR="007C35C3" w:rsidRPr="000C48F9">
        <w:t>, the modelled survival for</w:t>
      </w:r>
      <w:r w:rsidRPr="000C48F9">
        <w:t xml:space="preserve"> patients</w:t>
      </w:r>
      <w:r w:rsidR="007C35C3" w:rsidRPr="000C48F9">
        <w:t xml:space="preserve"> aged</w:t>
      </w:r>
      <w:r w:rsidRPr="000C48F9">
        <w:t xml:space="preserve"> </w:t>
      </w:r>
      <w:r w:rsidRPr="000C48F9">
        <w:rPr>
          <w:rFonts w:cstheme="minorHAnsi"/>
        </w:rPr>
        <w:t>≥</w:t>
      </w:r>
      <w:r w:rsidRPr="000C48F9">
        <w:t xml:space="preserve">12 years based on the economic model reviewed at the December 2021 </w:t>
      </w:r>
      <w:r w:rsidR="007C35C3" w:rsidRPr="000C48F9">
        <w:t xml:space="preserve">PBAC </w:t>
      </w:r>
      <w:r w:rsidRPr="000C48F9">
        <w:t>meeting</w:t>
      </w:r>
      <w:r w:rsidR="007C35C3" w:rsidRPr="000C48F9">
        <w:t xml:space="preserve"> are also presented</w:t>
      </w:r>
      <w:r w:rsidRPr="000C48F9">
        <w:t xml:space="preserve">. </w:t>
      </w:r>
      <w:r w:rsidR="001C504C" w:rsidRPr="00EB1712">
        <w:t>The ESC noted the use of a 90% rROD had a significant impact on the modelled survival.</w:t>
      </w:r>
      <w:r w:rsidR="001C504C" w:rsidRPr="000C48F9">
        <w:t xml:space="preserve"> </w:t>
      </w:r>
    </w:p>
    <w:p w14:paraId="17397EA7" w14:textId="37BD19E7" w:rsidR="00832B86" w:rsidRPr="000C48F9" w:rsidRDefault="00832B86" w:rsidP="00832B86">
      <w:pPr>
        <w:pStyle w:val="3-BodyText"/>
        <w:rPr>
          <w:iCs/>
        </w:rPr>
      </w:pPr>
      <w:r w:rsidRPr="000C48F9">
        <w:rPr>
          <w:iCs/>
        </w:rPr>
        <w:t xml:space="preserve">The predicted long-term </w:t>
      </w:r>
      <w:r w:rsidR="007C35C3" w:rsidRPr="000C48F9">
        <w:rPr>
          <w:iCs/>
        </w:rPr>
        <w:t xml:space="preserve">survival </w:t>
      </w:r>
      <w:r w:rsidRPr="000C48F9">
        <w:rPr>
          <w:iCs/>
        </w:rPr>
        <w:t xml:space="preserve">for patients aged 6 to 11 years treated with ELX/TEZ/IVA appeared to be optimistic and highly uncertain given it relied on heavily extrapolated data from Study 105 (&gt;90% of the </w:t>
      </w:r>
      <w:r w:rsidR="007C35C3" w:rsidRPr="000C48F9">
        <w:rPr>
          <w:iCs/>
        </w:rPr>
        <w:t xml:space="preserve">survival </w:t>
      </w:r>
      <w:r w:rsidRPr="000C48F9">
        <w:rPr>
          <w:iCs/>
        </w:rPr>
        <w:t xml:space="preserve">was extrapolated). The model showed a median </w:t>
      </w:r>
      <w:r w:rsidR="00882712" w:rsidRPr="000C48F9">
        <w:rPr>
          <w:iCs/>
        </w:rPr>
        <w:t xml:space="preserve">age of death </w:t>
      </w:r>
      <w:r w:rsidRPr="000C48F9">
        <w:rPr>
          <w:iCs/>
        </w:rPr>
        <w:t xml:space="preserve">of 74 and 77 years for F/MF and F/F patients, respectively. Furthermore, approximately 20% of patients remained alive at 91 years which appears optimistic given a similar proportion of the general Australian population would be expected to be alive at 91 years of age. </w:t>
      </w:r>
    </w:p>
    <w:p w14:paraId="44B1FB99" w14:textId="5B7CD34A" w:rsidR="00EC75E2" w:rsidRPr="000C48F9" w:rsidRDefault="00F56D4B" w:rsidP="00F56D4B">
      <w:pPr>
        <w:pStyle w:val="3-BodyText"/>
      </w:pPr>
      <w:r w:rsidRPr="000C48F9">
        <w:t>The modelled increases in life expectancy associated with starting treatment at a younger age are substantial. This partly reflects the higher mean ppFEV</w:t>
      </w:r>
      <w:r w:rsidRPr="000C48F9">
        <w:rPr>
          <w:vertAlign w:val="subscript"/>
        </w:rPr>
        <w:t>1</w:t>
      </w:r>
      <w:r w:rsidRPr="000C48F9">
        <w:t xml:space="preserve"> prior to commencing treatment for patients aged 6-11 years (approximately 90%) compared with patients aged </w:t>
      </w:r>
      <w:r w:rsidRPr="000C48F9">
        <w:rPr>
          <w:rFonts w:cstheme="minorHAnsi"/>
        </w:rPr>
        <w:t>≥</w:t>
      </w:r>
      <w:r w:rsidRPr="000C48F9">
        <w:t xml:space="preserve">12 years (approximately 60%) and the higher rROD assumed for ppFEV1 in the model for patients aged 6-11 years (90% versus 80%).  </w:t>
      </w:r>
    </w:p>
    <w:p w14:paraId="26C7ACC4" w14:textId="1A0FB6A9" w:rsidR="00B1150B" w:rsidRPr="000C48F9" w:rsidRDefault="00832B86" w:rsidP="003F61DB">
      <w:pPr>
        <w:pStyle w:val="Caption"/>
      </w:pPr>
      <w:bookmarkStart w:id="42" w:name="_Ref112923350"/>
      <w:r w:rsidRPr="00EB1712">
        <w:t xml:space="preserve">Figure </w:t>
      </w:r>
      <w:r w:rsidR="008E430C">
        <w:fldChar w:fldCharType="begin" w:fldLock="1"/>
      </w:r>
      <w:r w:rsidR="008E430C">
        <w:instrText xml:space="preserve"> SEQ Figure \* ARABIC </w:instrText>
      </w:r>
      <w:r w:rsidR="008E430C">
        <w:fldChar w:fldCharType="separate"/>
      </w:r>
      <w:r w:rsidR="009A1227">
        <w:rPr>
          <w:noProof/>
        </w:rPr>
        <w:t>4</w:t>
      </w:r>
      <w:r w:rsidR="008E430C">
        <w:rPr>
          <w:noProof/>
        </w:rPr>
        <w:fldChar w:fldCharType="end"/>
      </w:r>
      <w:bookmarkEnd w:id="42"/>
      <w:r w:rsidRPr="00EB1712">
        <w:t xml:space="preserve">: </w:t>
      </w:r>
      <w:bookmarkStart w:id="43" w:name="_Hlk114031170"/>
      <w:r w:rsidRPr="00EB1712">
        <w:t xml:space="preserve">Survival curves for F/F </w:t>
      </w:r>
      <w:r w:rsidR="0088530B" w:rsidRPr="00EB1712">
        <w:t xml:space="preserve">population </w:t>
      </w:r>
      <w:r w:rsidRPr="00EB1712">
        <w:t>receiving BSC (</w:t>
      </w:r>
      <w:r w:rsidR="00610450" w:rsidRPr="00EB1712">
        <w:t xml:space="preserve">orange </w:t>
      </w:r>
      <w:r w:rsidRPr="00EB1712">
        <w:t>line), LUM/IVA</w:t>
      </w:r>
      <w:r w:rsidR="008E5EB4" w:rsidRPr="00EB1712">
        <w:t xml:space="preserve"> or TEZ/IVA</w:t>
      </w:r>
      <w:r w:rsidRPr="00EB1712">
        <w:t xml:space="preserve"> (green line), and ELX/TEZ/IVA (pink line</w:t>
      </w:r>
      <w:r w:rsidR="00610450" w:rsidRPr="00EB1712">
        <w:t>, 80% rROD and blue line, 90% rROD</w:t>
      </w:r>
      <w:r w:rsidRPr="00EB1712">
        <w:t>) when starting treatment at 6 to 11 years submission (left) versus when starting treatment aged ≥12 years from the December 2021 submission (right).</w:t>
      </w:r>
    </w:p>
    <w:tbl>
      <w:tblPr>
        <w:tblStyle w:val="TableGridLight"/>
        <w:tblW w:w="0" w:type="auto"/>
        <w:tblLook w:val="04A0" w:firstRow="1" w:lastRow="0" w:firstColumn="1" w:lastColumn="0" w:noHBand="0" w:noVBand="1"/>
      </w:tblPr>
      <w:tblGrid>
        <w:gridCol w:w="4456"/>
        <w:gridCol w:w="4560"/>
      </w:tblGrid>
      <w:tr w:rsidR="0088530B" w:rsidRPr="000C48F9" w14:paraId="45727BFE" w14:textId="77777777" w:rsidTr="00610450">
        <w:tc>
          <w:tcPr>
            <w:tcW w:w="4531" w:type="dxa"/>
          </w:tcPr>
          <w:p w14:paraId="0FD9B06E" w14:textId="2A4ECBF3" w:rsidR="00C44A3E" w:rsidRPr="000C48F9" w:rsidRDefault="00610450" w:rsidP="00B1150B">
            <w:r w:rsidRPr="000C48F9">
              <w:rPr>
                <w:noProof/>
              </w:rPr>
              <w:drawing>
                <wp:inline distT="0" distB="0" distL="0" distR="0" wp14:anchorId="495D1D77" wp14:editId="2FB0FB65">
                  <wp:extent cx="2628900" cy="1272359"/>
                  <wp:effectExtent l="0" t="0" r="0" b="4445"/>
                  <wp:docPr id="9" name="Picture 9" descr="Figure 4: Survival curves for F/F population receiving BSC (orange line), LUM/IVA or TEZ/IVA (green line), and ELX/TEZ/IVA (pink line, 80% rROD and blue line, 90% rROD) when starting treatment at 6 to 11 years submission (left) versus when starting treatment aged ≥12 years from the December 2021 submissi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4: Survival curves for F/F population receiving BSC (orange line), LUM/IVA or TEZ/IVA (green line), and ELX/TEZ/IVA (pink line, 80% rROD and blue line, 90% rROD) when starting treatment at 6 to 11 years submission (left) versus when starting treatment aged ≥12 years from the December 2021 submission (r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9176" cy="1282173"/>
                          </a:xfrm>
                          <a:prstGeom prst="rect">
                            <a:avLst/>
                          </a:prstGeom>
                          <a:noFill/>
                        </pic:spPr>
                      </pic:pic>
                    </a:graphicData>
                  </a:graphic>
                </wp:inline>
              </w:drawing>
            </w:r>
          </w:p>
        </w:tc>
        <w:tc>
          <w:tcPr>
            <w:tcW w:w="4485" w:type="dxa"/>
          </w:tcPr>
          <w:p w14:paraId="2D5232C5" w14:textId="551A9D4C" w:rsidR="00C44A3E" w:rsidRPr="000C48F9" w:rsidRDefault="0088530B" w:rsidP="00B1150B">
            <w:r w:rsidRPr="000C48F9">
              <w:rPr>
                <w:noProof/>
              </w:rPr>
              <w:drawing>
                <wp:inline distT="0" distB="0" distL="0" distR="0" wp14:anchorId="7911556E" wp14:editId="7B2E9B21">
                  <wp:extent cx="2758440" cy="1214646"/>
                  <wp:effectExtent l="0" t="0" r="0" b="0"/>
                  <wp:docPr id="1" name="Picture 1" descr="Figure 4: Survival curves for F/F population receiving BSC (orange line), LUM/IVA or TEZ/IVA (green line), and ELX/TEZ/IVA (pink line, 80% rROD and blue line, 90% rROD) when starting treatment at 6 to 11 years submission (left) versus when starting treatment aged ≥12 years from the December 2021 submissi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4: Survival curves for F/F population receiving BSC (orange line), LUM/IVA or TEZ/IVA (green line), and ELX/TEZ/IVA (pink line, 80% rROD and blue line, 90% rROD) when starting treatment at 6 to 11 years submission (left) versus when starting treatment aged ≥12 years from the December 2021 submission (r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6933" cy="1244806"/>
                          </a:xfrm>
                          <a:prstGeom prst="rect">
                            <a:avLst/>
                          </a:prstGeom>
                          <a:noFill/>
                        </pic:spPr>
                      </pic:pic>
                    </a:graphicData>
                  </a:graphic>
                </wp:inline>
              </w:drawing>
            </w:r>
          </w:p>
        </w:tc>
      </w:tr>
    </w:tbl>
    <w:p w14:paraId="51436ED8" w14:textId="0AE172D7" w:rsidR="00832B86" w:rsidRPr="00EB1712" w:rsidRDefault="00832B86" w:rsidP="006B0318">
      <w:pPr>
        <w:pStyle w:val="TableFigureFooter"/>
        <w:keepNext/>
        <w:keepLines/>
      </w:pPr>
      <w:r w:rsidRPr="00EB1712">
        <w:t xml:space="preserve">Source: Created for the </w:t>
      </w:r>
      <w:r w:rsidR="00610450" w:rsidRPr="00EB1712">
        <w:t xml:space="preserve">ESC ADV </w:t>
      </w:r>
      <w:r w:rsidRPr="00EB1712">
        <w:t xml:space="preserve">using data from the 6-11 year economic model and economic model included in the ELX/TEZ/IVA Dec 2021 submission for patients aged ≥12 years </w:t>
      </w:r>
    </w:p>
    <w:p w14:paraId="5C1E9A31" w14:textId="715F5B49" w:rsidR="00832B86" w:rsidRPr="0044604E" w:rsidRDefault="007A7A2A" w:rsidP="0044604E">
      <w:pPr>
        <w:pStyle w:val="TableFigureFooter"/>
        <w:keepNext/>
        <w:keepLines/>
      </w:pPr>
      <w:r w:rsidRPr="00EB1712">
        <w:t xml:space="preserve">BSC = best supportive care </w:t>
      </w:r>
      <w:r w:rsidR="00832B86" w:rsidRPr="00EB1712">
        <w:t>ELX/TEZ/IVA = elexacaftor/tezacaftor/ivacaftor; F/F = homozygous for F508del-CFTR mutations, LUM/IVA = lumacaftor/ivacaftor</w:t>
      </w:r>
      <w:r w:rsidRPr="00EB1712">
        <w:t xml:space="preserve">; </w:t>
      </w:r>
      <w:r w:rsidRPr="00EB1712">
        <w:rPr>
          <w:szCs w:val="18"/>
        </w:rPr>
        <w:t>rROD = relative rate of decline</w:t>
      </w:r>
    </w:p>
    <w:p w14:paraId="28DF45BD" w14:textId="1662E238" w:rsidR="00610450" w:rsidRPr="00EB1712" w:rsidRDefault="00832B86" w:rsidP="0044604E">
      <w:pPr>
        <w:pStyle w:val="Caption"/>
      </w:pPr>
      <w:bookmarkStart w:id="44" w:name="_Ref112923361"/>
      <w:r w:rsidRPr="00EB1712">
        <w:t xml:space="preserve">Figure </w:t>
      </w:r>
      <w:r w:rsidR="008E430C">
        <w:fldChar w:fldCharType="begin" w:fldLock="1"/>
      </w:r>
      <w:r w:rsidR="008E430C">
        <w:instrText xml:space="preserve"> SEQ Figure \* ARABIC </w:instrText>
      </w:r>
      <w:r w:rsidR="008E430C">
        <w:fldChar w:fldCharType="separate"/>
      </w:r>
      <w:r w:rsidR="009A1227">
        <w:rPr>
          <w:noProof/>
        </w:rPr>
        <w:t>5</w:t>
      </w:r>
      <w:r w:rsidR="008E430C">
        <w:rPr>
          <w:noProof/>
        </w:rPr>
        <w:fldChar w:fldCharType="end"/>
      </w:r>
      <w:bookmarkEnd w:id="44"/>
      <w:r w:rsidRPr="00EB1712">
        <w:t xml:space="preserve">: </w:t>
      </w:r>
      <w:r w:rsidR="003A1999" w:rsidRPr="00EB1712">
        <w:t xml:space="preserve">Survival curves for F/MF </w:t>
      </w:r>
      <w:r w:rsidR="0088530B" w:rsidRPr="00EB1712">
        <w:t xml:space="preserve">population </w:t>
      </w:r>
      <w:r w:rsidR="003A1999" w:rsidRPr="00EB1712">
        <w:t>receiving BSC (</w:t>
      </w:r>
      <w:r w:rsidR="007A7A2A" w:rsidRPr="00EB1712">
        <w:t xml:space="preserve">orange </w:t>
      </w:r>
      <w:r w:rsidR="003A1999" w:rsidRPr="00EB1712">
        <w:t>line) and ELX/TEZ/IVA (pink line</w:t>
      </w:r>
      <w:r w:rsidR="007A7A2A" w:rsidRPr="00EB1712">
        <w:t>, 80% rROD and blue line, 90% rROD</w:t>
      </w:r>
      <w:r w:rsidR="003A1999" w:rsidRPr="00EB1712">
        <w:t>) when starting treatment at 6 to 11 years submission (left) versus when starting treatment aged ≥12 years from the December 2021 submission (right).</w:t>
      </w:r>
      <w:r w:rsidR="003A1999" w:rsidRPr="00EB1712" w:rsidDel="003A1999">
        <w:t xml:space="preserve"> </w:t>
      </w:r>
      <w:bookmarkEnd w:id="43"/>
    </w:p>
    <w:tbl>
      <w:tblPr>
        <w:tblStyle w:val="TableGridLight"/>
        <w:tblW w:w="0" w:type="auto"/>
        <w:tblLook w:val="04A0" w:firstRow="1" w:lastRow="0" w:firstColumn="1" w:lastColumn="0" w:noHBand="0" w:noVBand="1"/>
      </w:tblPr>
      <w:tblGrid>
        <w:gridCol w:w="4506"/>
        <w:gridCol w:w="4510"/>
      </w:tblGrid>
      <w:tr w:rsidR="007A7A2A" w:rsidRPr="000C48F9" w14:paraId="1A61A713" w14:textId="77777777" w:rsidTr="007A7A2A">
        <w:tc>
          <w:tcPr>
            <w:tcW w:w="4508" w:type="dxa"/>
          </w:tcPr>
          <w:p w14:paraId="6F86EDA7" w14:textId="50939D18" w:rsidR="00610450" w:rsidRPr="000C48F9" w:rsidRDefault="007A7A2A" w:rsidP="00832B86">
            <w:r w:rsidRPr="000C48F9">
              <w:rPr>
                <w:noProof/>
              </w:rPr>
              <w:drawing>
                <wp:inline distT="0" distB="0" distL="0" distR="0" wp14:anchorId="2C7BD92D" wp14:editId="2C96B45D">
                  <wp:extent cx="2628900" cy="1272359"/>
                  <wp:effectExtent l="0" t="0" r="0" b="4445"/>
                  <wp:docPr id="12" name="Picture 12" descr="Figure 5: Survival curves for F/MF population receiving BSC (orange line) and ELX/TEZ/IVA (pink line, 80% rROD and blue line, 90% rROD) when starting treatment at 6 to 11 years submission (left) versus when starting treatment aged ≥12 years from the December 2021 submission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5: Survival curves for F/MF population receiving BSC (orange line) and ELX/TEZ/IVA (pink line, 80% rROD and blue line, 90% rROD) when starting treatment at 6 to 11 years submission (left) versus when starting treatment aged ≥12 years from the December 2021 submission (righ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0314" cy="1292403"/>
                          </a:xfrm>
                          <a:prstGeom prst="rect">
                            <a:avLst/>
                          </a:prstGeom>
                          <a:noFill/>
                        </pic:spPr>
                      </pic:pic>
                    </a:graphicData>
                  </a:graphic>
                </wp:inline>
              </w:drawing>
            </w:r>
          </w:p>
        </w:tc>
        <w:tc>
          <w:tcPr>
            <w:tcW w:w="4508" w:type="dxa"/>
          </w:tcPr>
          <w:p w14:paraId="26580918" w14:textId="1ADBBE7B" w:rsidR="00610450" w:rsidRPr="000C48F9" w:rsidRDefault="0088530B" w:rsidP="00832B86">
            <w:r w:rsidRPr="000C48F9">
              <w:rPr>
                <w:noProof/>
              </w:rPr>
              <w:drawing>
                <wp:inline distT="0" distB="0" distL="0" distR="0" wp14:anchorId="60922C97" wp14:editId="459371C7">
                  <wp:extent cx="2726989" cy="1240777"/>
                  <wp:effectExtent l="0" t="0" r="0" b="0"/>
                  <wp:docPr id="2" name="Picture 2" descr="Figure 5: Survival curves for F/MF population receiving BSC (orange line) and ELX/TEZ/IVA (pink line, 80% rROD and blue line, 90% rROD) when starting treatment at 6 to 11 years submission (left) versus when starting treatment aged ≥12 years from the December 2021 submission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5: Survival curves for F/MF population receiving BSC (orange line) and ELX/TEZ/IVA (pink line, 80% rROD and blue line, 90% rROD) when starting treatment at 6 to 11 years submission (left) versus when starting treatment aged ≥12 years from the December 2021 submission (righ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0514" cy="1274231"/>
                          </a:xfrm>
                          <a:prstGeom prst="rect">
                            <a:avLst/>
                          </a:prstGeom>
                          <a:noFill/>
                        </pic:spPr>
                      </pic:pic>
                    </a:graphicData>
                  </a:graphic>
                </wp:inline>
              </w:drawing>
            </w:r>
          </w:p>
        </w:tc>
      </w:tr>
    </w:tbl>
    <w:p w14:paraId="40800262" w14:textId="77777777" w:rsidR="007A7A2A" w:rsidRPr="00EB1712" w:rsidRDefault="007A7A2A" w:rsidP="007A7A2A">
      <w:pPr>
        <w:pStyle w:val="TableFigureFooter"/>
        <w:keepNext/>
        <w:keepLines/>
      </w:pPr>
      <w:r w:rsidRPr="00EB1712">
        <w:t xml:space="preserve">Source: Created for the ESC ADV using data from the 6-11 year economic model and economic model included in the ELX/TEZ/IVA Dec 2021 submission for patients aged ≥12 years </w:t>
      </w:r>
    </w:p>
    <w:p w14:paraId="09E832F6" w14:textId="41E81375" w:rsidR="007A7A2A" w:rsidRPr="00EB1712" w:rsidRDefault="007A7A2A" w:rsidP="007A7A2A">
      <w:pPr>
        <w:pStyle w:val="TableFigureFooter"/>
        <w:keepNext/>
        <w:keepLines/>
      </w:pPr>
      <w:r w:rsidRPr="00EB1712">
        <w:t xml:space="preserve">BSC = best supportive care; ELX/TEZ/IVA = elexacaftor/tezacaftor/ivacaftor; F/MF = </w:t>
      </w:r>
      <w:r w:rsidRPr="00EB1712">
        <w:rPr>
          <w:szCs w:val="18"/>
        </w:rPr>
        <w:t>heterozygous for F508del-CFTR mutation with a second minimal function allele; rROD = relative rate of decline</w:t>
      </w:r>
    </w:p>
    <w:p w14:paraId="43DE8C37" w14:textId="1BFFDC37" w:rsidR="00610450" w:rsidRPr="000C48F9" w:rsidRDefault="00610450" w:rsidP="00832B86">
      <w:pPr>
        <w:sectPr w:rsidR="00610450" w:rsidRPr="000C48F9" w:rsidSect="00956750">
          <w:headerReference w:type="default" r:id="rId15"/>
          <w:footerReference w:type="default" r:id="rId16"/>
          <w:pgSz w:w="11906" w:h="16838"/>
          <w:pgMar w:top="1440" w:right="1440" w:bottom="1440" w:left="1440" w:header="1440" w:footer="1440" w:gutter="0"/>
          <w:cols w:space="708"/>
          <w:docGrid w:linePitch="360"/>
        </w:sectPr>
      </w:pPr>
    </w:p>
    <w:p w14:paraId="149FCC3C" w14:textId="0C256621" w:rsidR="00832B86" w:rsidRPr="000C48F9" w:rsidRDefault="00832B86" w:rsidP="00832B86">
      <w:pPr>
        <w:pStyle w:val="3-BodyText"/>
        <w:rPr>
          <w:b/>
          <w:bCs/>
          <w:color w:val="0066FF"/>
        </w:rPr>
      </w:pPr>
      <w:r w:rsidRPr="000C48F9">
        <w:rPr>
          <w:snapToGrid/>
        </w:rPr>
        <w:t xml:space="preserve">A summary of the key drivers of the model is presented in </w:t>
      </w:r>
      <w:r w:rsidRPr="000C48F9">
        <w:rPr>
          <w:snapToGrid/>
        </w:rPr>
        <w:fldChar w:fldCharType="begin" w:fldLock="1"/>
      </w:r>
      <w:r w:rsidRPr="000C48F9">
        <w:rPr>
          <w:snapToGrid/>
        </w:rPr>
        <w:instrText xml:space="preserve"> REF _Ref112923391 \h </w:instrText>
      </w:r>
      <w:r w:rsidRPr="000C48F9">
        <w:rPr>
          <w:snapToGrid/>
        </w:rPr>
      </w:r>
      <w:r w:rsidRPr="000C48F9">
        <w:rPr>
          <w:snapToGrid/>
        </w:rPr>
        <w:fldChar w:fldCharType="separate"/>
      </w:r>
      <w:r w:rsidR="009A1227" w:rsidRPr="000C48F9">
        <w:t xml:space="preserve">Table </w:t>
      </w:r>
      <w:r w:rsidR="009A1227">
        <w:rPr>
          <w:noProof/>
        </w:rPr>
        <w:t>14</w:t>
      </w:r>
      <w:r w:rsidRPr="000C48F9">
        <w:rPr>
          <w:snapToGrid/>
        </w:rPr>
        <w:fldChar w:fldCharType="end"/>
      </w:r>
      <w:r w:rsidRPr="000C48F9">
        <w:rPr>
          <w:snapToGrid/>
        </w:rPr>
        <w:t xml:space="preserve">. </w:t>
      </w:r>
    </w:p>
    <w:p w14:paraId="516AD66A" w14:textId="5A5ECE35" w:rsidR="00832B86" w:rsidRPr="000C48F9" w:rsidRDefault="00832B86" w:rsidP="00832B86">
      <w:pPr>
        <w:pStyle w:val="Caption"/>
        <w:rPr>
          <w:rStyle w:val="CommentReference"/>
          <w:szCs w:val="24"/>
        </w:rPr>
      </w:pPr>
      <w:bookmarkStart w:id="46" w:name="_Ref112923391"/>
      <w:r w:rsidRPr="000C48F9">
        <w:t xml:space="preserve">Table </w:t>
      </w:r>
      <w:r w:rsidR="008E430C">
        <w:fldChar w:fldCharType="begin" w:fldLock="1"/>
      </w:r>
      <w:r w:rsidR="008E430C">
        <w:instrText xml:space="preserve"> SEQ Table \* ARABIC </w:instrText>
      </w:r>
      <w:r w:rsidR="008E430C">
        <w:fldChar w:fldCharType="separate"/>
      </w:r>
      <w:r w:rsidR="009A1227">
        <w:rPr>
          <w:noProof/>
        </w:rPr>
        <w:t>14</w:t>
      </w:r>
      <w:r w:rsidR="008E430C">
        <w:rPr>
          <w:noProof/>
        </w:rPr>
        <w:fldChar w:fldCharType="end"/>
      </w:r>
      <w:bookmarkEnd w:id="46"/>
      <w:r w:rsidRPr="000C48F9">
        <w:rPr>
          <w:rStyle w:val="CommentReference"/>
          <w:szCs w:val="24"/>
        </w:rPr>
        <w:t xml:space="preserve">: </w:t>
      </w:r>
      <w:r w:rsidRPr="000C48F9">
        <w:rPr>
          <w:rStyle w:val="CommentReference"/>
          <w:b/>
          <w:bCs w:val="0"/>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4110"/>
        <w:gridCol w:w="2784"/>
      </w:tblGrid>
      <w:tr w:rsidR="00832B86" w:rsidRPr="000C48F9" w14:paraId="7B4B86EC" w14:textId="77777777" w:rsidTr="001315B5">
        <w:trPr>
          <w:tblHeader/>
        </w:trPr>
        <w:tc>
          <w:tcPr>
            <w:tcW w:w="1177" w:type="pct"/>
            <w:shd w:val="clear" w:color="auto" w:fill="auto"/>
            <w:vAlign w:val="center"/>
          </w:tcPr>
          <w:p w14:paraId="0AB07854" w14:textId="77777777" w:rsidR="00832B86" w:rsidRPr="000C48F9" w:rsidRDefault="00832B86" w:rsidP="001315B5">
            <w:pPr>
              <w:pStyle w:val="In-tableHeading"/>
              <w:jc w:val="center"/>
              <w:rPr>
                <w:lang w:val="en-AU"/>
              </w:rPr>
            </w:pPr>
            <w:r w:rsidRPr="000C48F9">
              <w:rPr>
                <w:lang w:val="en-AU"/>
              </w:rPr>
              <w:t>Description</w:t>
            </w:r>
          </w:p>
        </w:tc>
        <w:tc>
          <w:tcPr>
            <w:tcW w:w="2279" w:type="pct"/>
            <w:shd w:val="clear" w:color="auto" w:fill="auto"/>
            <w:vAlign w:val="center"/>
          </w:tcPr>
          <w:p w14:paraId="2F04DD7F" w14:textId="77777777" w:rsidR="00832B86" w:rsidRPr="000C48F9" w:rsidRDefault="00832B86" w:rsidP="001315B5">
            <w:pPr>
              <w:pStyle w:val="In-tableHeading"/>
              <w:jc w:val="center"/>
              <w:rPr>
                <w:lang w:val="en-AU"/>
              </w:rPr>
            </w:pPr>
            <w:r w:rsidRPr="000C48F9">
              <w:rPr>
                <w:lang w:val="en-AU"/>
              </w:rPr>
              <w:t>Method/Value</w:t>
            </w:r>
          </w:p>
        </w:tc>
        <w:tc>
          <w:tcPr>
            <w:tcW w:w="1544" w:type="pct"/>
            <w:shd w:val="clear" w:color="auto" w:fill="auto"/>
            <w:vAlign w:val="center"/>
          </w:tcPr>
          <w:p w14:paraId="68B226B4" w14:textId="77777777" w:rsidR="00832B86" w:rsidRPr="000C48F9" w:rsidRDefault="00832B86" w:rsidP="001315B5">
            <w:pPr>
              <w:pStyle w:val="In-tableHeading"/>
              <w:jc w:val="center"/>
              <w:rPr>
                <w:lang w:val="en-AU"/>
              </w:rPr>
            </w:pPr>
            <w:r w:rsidRPr="000C48F9">
              <w:rPr>
                <w:lang w:val="en-AU"/>
              </w:rPr>
              <w:t>Impact</w:t>
            </w:r>
          </w:p>
          <w:p w14:paraId="1583B1DE" w14:textId="49E4F675" w:rsidR="00832B86" w:rsidRPr="000C48F9" w:rsidRDefault="00832B86" w:rsidP="001315B5">
            <w:pPr>
              <w:pStyle w:val="In-tableHeading"/>
              <w:jc w:val="center"/>
              <w:rPr>
                <w:lang w:val="en-AU"/>
              </w:rPr>
            </w:pPr>
            <w:r w:rsidRPr="000C48F9">
              <w:rPr>
                <w:lang w:val="en-AU"/>
              </w:rPr>
              <w:t>Base case: $</w:t>
            </w:r>
            <w:r w:rsidR="00987958" w:rsidRPr="00987958">
              <w:rPr>
                <w:color w:val="000000"/>
                <w:spacing w:val="63"/>
                <w:shd w:val="solid" w:color="000000" w:fill="000000"/>
                <w:fitText w:val="155" w:id="-1300528892"/>
                <w:lang w:val="en-AU"/>
                <w14:textFill>
                  <w14:solidFill>
                    <w14:srgbClr w14:val="000000">
                      <w14:alpha w14:val="100000"/>
                    </w14:srgbClr>
                  </w14:solidFill>
                </w14:textFill>
              </w:rPr>
              <w:t>|</w:t>
            </w:r>
            <w:r w:rsidR="00987958" w:rsidRPr="00987958">
              <w:rPr>
                <w:color w:val="000000"/>
                <w:spacing w:val="1"/>
                <w:shd w:val="solid" w:color="000000" w:fill="000000"/>
                <w:fitText w:val="155" w:id="-1300528892"/>
                <w:lang w:val="en-AU"/>
                <w14:textFill>
                  <w14:solidFill>
                    <w14:srgbClr w14:val="000000">
                      <w14:alpha w14:val="100000"/>
                    </w14:srgbClr>
                  </w14:solidFill>
                </w14:textFill>
              </w:rPr>
              <w:t>|</w:t>
            </w:r>
            <w:r w:rsidR="003B0DFA" w:rsidRPr="006105BE">
              <w:rPr>
                <w:vertAlign w:val="superscript"/>
                <w:lang w:val="en-AU"/>
              </w:rPr>
              <w:t>1</w:t>
            </w:r>
            <w:r w:rsidRPr="000C48F9">
              <w:rPr>
                <w:lang w:val="en-AU"/>
              </w:rPr>
              <w:t>/QALY gained</w:t>
            </w:r>
          </w:p>
          <w:p w14:paraId="784B4964" w14:textId="77777777" w:rsidR="00832B86" w:rsidRPr="000C48F9" w:rsidRDefault="00832B86" w:rsidP="001315B5">
            <w:pPr>
              <w:pStyle w:val="In-tableHeading"/>
              <w:jc w:val="center"/>
              <w:rPr>
                <w:lang w:val="en-AU"/>
              </w:rPr>
            </w:pPr>
            <w:r w:rsidRPr="000C48F9">
              <w:rPr>
                <w:lang w:val="en-AU"/>
              </w:rPr>
              <w:t>(Combined ICER)</w:t>
            </w:r>
          </w:p>
        </w:tc>
      </w:tr>
      <w:tr w:rsidR="00832B86" w:rsidRPr="000C48F9" w14:paraId="2DE61364" w14:textId="77777777" w:rsidTr="001315B5">
        <w:tc>
          <w:tcPr>
            <w:tcW w:w="1177" w:type="pct"/>
            <w:shd w:val="clear" w:color="auto" w:fill="auto"/>
            <w:vAlign w:val="center"/>
          </w:tcPr>
          <w:p w14:paraId="1B8406D8" w14:textId="77777777" w:rsidR="00832B86" w:rsidRPr="000C48F9" w:rsidRDefault="00832B86" w:rsidP="001315B5">
            <w:pPr>
              <w:pStyle w:val="TableText0"/>
            </w:pPr>
            <w:r w:rsidRPr="000C48F9">
              <w:t>LoE</w:t>
            </w:r>
          </w:p>
        </w:tc>
        <w:tc>
          <w:tcPr>
            <w:tcW w:w="2279" w:type="pct"/>
            <w:shd w:val="clear" w:color="auto" w:fill="auto"/>
            <w:vAlign w:val="center"/>
          </w:tcPr>
          <w:p w14:paraId="330750BB" w14:textId="0121C694" w:rsidR="00832B86" w:rsidRPr="000C48F9" w:rsidRDefault="00832B86" w:rsidP="001315B5">
            <w:pPr>
              <w:pStyle w:val="TableText0"/>
            </w:pPr>
            <w:r w:rsidRPr="000C48F9">
              <w:t xml:space="preserve">LoE of </w:t>
            </w:r>
            <w:r w:rsidR="00987958" w:rsidRPr="00987958">
              <w:rPr>
                <w:color w:val="000000"/>
                <w:spacing w:val="187"/>
                <w:shd w:val="solid" w:color="000000" w:fill="000000"/>
                <w:fitText w:val="273" w:id="-1300528891"/>
                <w14:textFill>
                  <w14:solidFill>
                    <w14:srgbClr w14:val="000000">
                      <w14:alpha w14:val="100000"/>
                    </w14:srgbClr>
                  </w14:solidFill>
                </w14:textFill>
              </w:rPr>
              <w:t>|</w:t>
            </w:r>
            <w:r w:rsidR="00987958" w:rsidRPr="00987958">
              <w:rPr>
                <w:color w:val="000000"/>
                <w:spacing w:val="1"/>
                <w:shd w:val="solid" w:color="000000" w:fill="000000"/>
                <w:fitText w:val="273" w:id="-1300528891"/>
                <w14:textFill>
                  <w14:solidFill>
                    <w14:srgbClr w14:val="000000">
                      <w14:alpha w14:val="100000"/>
                    </w14:srgbClr>
                  </w14:solidFill>
                </w14:textFill>
              </w:rPr>
              <w:t>|</w:t>
            </w:r>
            <w:r w:rsidR="00987958" w:rsidRPr="00987958">
              <w:t xml:space="preserve"> </w:t>
            </w:r>
            <w:r w:rsidRPr="000C48F9">
              <w:t xml:space="preserve">years for ELX/TEZ/IVA and </w:t>
            </w:r>
            <w:r w:rsidR="00987958" w:rsidRPr="00987958">
              <w:rPr>
                <w:color w:val="000000"/>
                <w:spacing w:val="187"/>
                <w:shd w:val="solid" w:color="000000" w:fill="000000"/>
                <w:fitText w:val="273" w:id="-1300528890"/>
                <w14:textFill>
                  <w14:solidFill>
                    <w14:srgbClr w14:val="000000">
                      <w14:alpha w14:val="100000"/>
                    </w14:srgbClr>
                  </w14:solidFill>
                </w14:textFill>
              </w:rPr>
              <w:t>|</w:t>
            </w:r>
            <w:r w:rsidR="00987958" w:rsidRPr="00987958">
              <w:rPr>
                <w:color w:val="000000"/>
                <w:spacing w:val="1"/>
                <w:shd w:val="solid" w:color="000000" w:fill="000000"/>
                <w:fitText w:val="273" w:id="-1300528890"/>
                <w14:textFill>
                  <w14:solidFill>
                    <w14:srgbClr w14:val="000000">
                      <w14:alpha w14:val="100000"/>
                    </w14:srgbClr>
                  </w14:solidFill>
                </w14:textFill>
              </w:rPr>
              <w:t>|</w:t>
            </w:r>
            <w:r w:rsidR="00987958" w:rsidRPr="00987958">
              <w:t xml:space="preserve"> </w:t>
            </w:r>
            <w:r w:rsidRPr="000C48F9">
              <w:t>years for LUM/IVA. At these time points, the drug prices drop by 90%.</w:t>
            </w:r>
          </w:p>
        </w:tc>
        <w:tc>
          <w:tcPr>
            <w:tcW w:w="1544" w:type="pct"/>
            <w:shd w:val="clear" w:color="auto" w:fill="auto"/>
            <w:vAlign w:val="center"/>
          </w:tcPr>
          <w:p w14:paraId="3AB0DB9E" w14:textId="3D2B8A6F" w:rsidR="00832B86" w:rsidRPr="000C48F9" w:rsidRDefault="00832B86" w:rsidP="001315B5">
            <w:pPr>
              <w:pStyle w:val="TableText0"/>
              <w:jc w:val="center"/>
              <w:rPr>
                <w:iCs/>
              </w:rPr>
            </w:pPr>
            <w:r w:rsidRPr="000C48F9">
              <w:rPr>
                <w:iCs/>
              </w:rPr>
              <w:t xml:space="preserve">High, favours ELX/TEZ/IVA, removing LoE </w:t>
            </w:r>
            <w:r w:rsidR="005646D4" w:rsidRPr="000C48F9">
              <w:rPr>
                <w:iCs/>
              </w:rPr>
              <w:t xml:space="preserve">assumptions </w:t>
            </w:r>
            <w:r w:rsidRPr="000C48F9">
              <w:rPr>
                <w:iCs/>
              </w:rPr>
              <w:t>the ICER increased to $</w:t>
            </w:r>
            <w:r w:rsidR="00987958" w:rsidRPr="00987958">
              <w:rPr>
                <w:iCs/>
                <w:color w:val="000000"/>
                <w:shd w:val="solid" w:color="000000" w:fill="000000"/>
                <w14:textFill>
                  <w14:solidFill>
                    <w14:srgbClr w14:val="000000">
                      <w14:alpha w14:val="100000"/>
                    </w14:srgbClr>
                  </w14:solidFill>
                </w14:textFill>
              </w:rPr>
              <w:t>|</w:t>
            </w:r>
            <w:r w:rsidR="006105BE">
              <w:rPr>
                <w:vertAlign w:val="superscript"/>
              </w:rPr>
              <w:t>2</w:t>
            </w:r>
            <w:r w:rsidRPr="000C48F9">
              <w:rPr>
                <w:iCs/>
              </w:rPr>
              <w:t>/QALY</w:t>
            </w:r>
          </w:p>
        </w:tc>
      </w:tr>
      <w:tr w:rsidR="00832B86" w:rsidRPr="000C48F9" w14:paraId="4E61E959" w14:textId="77777777" w:rsidTr="001315B5">
        <w:tc>
          <w:tcPr>
            <w:tcW w:w="1177" w:type="pct"/>
            <w:shd w:val="clear" w:color="auto" w:fill="auto"/>
            <w:vAlign w:val="center"/>
          </w:tcPr>
          <w:p w14:paraId="6E82B8BE" w14:textId="77777777" w:rsidR="00832B86" w:rsidRPr="000C48F9" w:rsidRDefault="00832B86" w:rsidP="001315B5">
            <w:pPr>
              <w:pStyle w:val="TableText0"/>
            </w:pPr>
            <w:r w:rsidRPr="000C48F9">
              <w:t>Time horizon</w:t>
            </w:r>
          </w:p>
        </w:tc>
        <w:tc>
          <w:tcPr>
            <w:tcW w:w="2279" w:type="pct"/>
            <w:shd w:val="clear" w:color="auto" w:fill="auto"/>
            <w:vAlign w:val="center"/>
          </w:tcPr>
          <w:p w14:paraId="27F653ED" w14:textId="77777777" w:rsidR="00832B86" w:rsidRPr="000C48F9" w:rsidRDefault="00832B86" w:rsidP="001315B5">
            <w:pPr>
              <w:pStyle w:val="TableText0"/>
            </w:pPr>
            <w:r w:rsidRPr="000C48F9">
              <w:t>Lifetime in the base case analysis compared to 2 years follow-up in the clinical trials (Study 105)</w:t>
            </w:r>
          </w:p>
        </w:tc>
        <w:tc>
          <w:tcPr>
            <w:tcW w:w="1544" w:type="pct"/>
            <w:shd w:val="clear" w:color="auto" w:fill="auto"/>
            <w:vAlign w:val="center"/>
          </w:tcPr>
          <w:p w14:paraId="2FFE6B2A" w14:textId="55DA5CE6" w:rsidR="00832B86" w:rsidRPr="000C48F9" w:rsidRDefault="00832B86" w:rsidP="001315B5">
            <w:pPr>
              <w:pStyle w:val="TableText0"/>
              <w:jc w:val="center"/>
              <w:rPr>
                <w:iCs/>
              </w:rPr>
            </w:pPr>
            <w:r w:rsidRPr="000C48F9">
              <w:rPr>
                <w:iCs/>
              </w:rPr>
              <w:t xml:space="preserve">High, favours ELX/TEZ/IVA; use of </w:t>
            </w:r>
            <w:r w:rsidR="003A65B4" w:rsidRPr="000C48F9">
              <w:rPr>
                <w:i/>
              </w:rPr>
              <w:t>2</w:t>
            </w:r>
            <w:r w:rsidRPr="000C48F9">
              <w:rPr>
                <w:i/>
              </w:rPr>
              <w:t>0</w:t>
            </w:r>
            <w:r w:rsidRPr="000C48F9">
              <w:rPr>
                <w:iCs/>
              </w:rPr>
              <w:t>-year time horizon increased the ICER to $</w:t>
            </w:r>
            <w:r w:rsidR="00987958" w:rsidRPr="00987958">
              <w:rPr>
                <w:i/>
                <w:color w:val="000000"/>
                <w:shd w:val="solid" w:color="000000" w:fill="000000"/>
                <w14:textFill>
                  <w14:solidFill>
                    <w14:srgbClr w14:val="000000">
                      <w14:alpha w14:val="100000"/>
                    </w14:srgbClr>
                  </w14:solidFill>
                </w14:textFill>
              </w:rPr>
              <w:t>|</w:t>
            </w:r>
            <w:r w:rsidR="006105BE">
              <w:rPr>
                <w:vertAlign w:val="superscript"/>
              </w:rPr>
              <w:t>3</w:t>
            </w:r>
            <w:r w:rsidRPr="000C48F9">
              <w:rPr>
                <w:iCs/>
              </w:rPr>
              <w:t>/QALY</w:t>
            </w:r>
          </w:p>
        </w:tc>
      </w:tr>
      <w:tr w:rsidR="00832B86" w:rsidRPr="000C48F9" w14:paraId="37535F61" w14:textId="77777777" w:rsidTr="001315B5">
        <w:tc>
          <w:tcPr>
            <w:tcW w:w="1177" w:type="pct"/>
            <w:shd w:val="clear" w:color="auto" w:fill="auto"/>
            <w:vAlign w:val="center"/>
          </w:tcPr>
          <w:p w14:paraId="1D41D2ED" w14:textId="77777777" w:rsidR="00832B86" w:rsidRPr="000C48F9" w:rsidRDefault="00832B86" w:rsidP="001315B5">
            <w:pPr>
              <w:pStyle w:val="TableText0"/>
            </w:pPr>
            <w:r w:rsidRPr="000C48F9">
              <w:t>Long-term reduction in decline of ppFEV</w:t>
            </w:r>
            <w:r w:rsidRPr="000C48F9">
              <w:rPr>
                <w:vertAlign w:val="subscript"/>
              </w:rPr>
              <w:t>1</w:t>
            </w:r>
          </w:p>
        </w:tc>
        <w:tc>
          <w:tcPr>
            <w:tcW w:w="2279" w:type="pct"/>
            <w:shd w:val="clear" w:color="auto" w:fill="auto"/>
            <w:vAlign w:val="center"/>
          </w:tcPr>
          <w:p w14:paraId="01458E8A" w14:textId="77777777" w:rsidR="00832B86" w:rsidRPr="000C48F9" w:rsidRDefault="00832B86" w:rsidP="001315B5">
            <w:pPr>
              <w:pStyle w:val="TableText0"/>
            </w:pPr>
            <w:r w:rsidRPr="000C48F9">
              <w:t>rROD in ppFEV</w:t>
            </w:r>
            <w:r w:rsidRPr="000C48F9">
              <w:rPr>
                <w:vertAlign w:val="subscript"/>
              </w:rPr>
              <w:t>1</w:t>
            </w:r>
            <w:r w:rsidRPr="000C48F9">
              <w:t xml:space="preserve"> of 90% for ELX/TEZ/IVA compared to 80% in the aged ≥12 years submission.</w:t>
            </w:r>
          </w:p>
        </w:tc>
        <w:tc>
          <w:tcPr>
            <w:tcW w:w="1544" w:type="pct"/>
            <w:shd w:val="clear" w:color="auto" w:fill="auto"/>
            <w:vAlign w:val="center"/>
          </w:tcPr>
          <w:p w14:paraId="6479FFB3" w14:textId="7281F3D7" w:rsidR="00832B86" w:rsidRPr="000C48F9" w:rsidRDefault="00832B86" w:rsidP="001315B5">
            <w:pPr>
              <w:pStyle w:val="TableText0"/>
              <w:jc w:val="center"/>
              <w:rPr>
                <w:iCs/>
              </w:rPr>
            </w:pPr>
            <w:r w:rsidRPr="000C48F9">
              <w:rPr>
                <w:iCs/>
              </w:rPr>
              <w:t>Moderate, favours ELX/TEZ/IVA; assuming a rROD the same as the aged≥ 12 years (80%) increased the ICER to $</w:t>
            </w:r>
            <w:r w:rsidR="00987958" w:rsidRPr="00987958">
              <w:rPr>
                <w:iCs/>
                <w:color w:val="000000"/>
                <w:shd w:val="solid" w:color="000000" w:fill="000000"/>
                <w14:textFill>
                  <w14:solidFill>
                    <w14:srgbClr w14:val="000000">
                      <w14:alpha w14:val="100000"/>
                    </w14:srgbClr>
                  </w14:solidFill>
                </w14:textFill>
              </w:rPr>
              <w:t>|</w:t>
            </w:r>
            <w:r w:rsidR="006105BE">
              <w:rPr>
                <w:vertAlign w:val="superscript"/>
              </w:rPr>
              <w:t>2</w:t>
            </w:r>
            <w:r w:rsidRPr="000C48F9">
              <w:rPr>
                <w:iCs/>
              </w:rPr>
              <w:t>/QALY</w:t>
            </w:r>
          </w:p>
        </w:tc>
      </w:tr>
      <w:tr w:rsidR="00832B86" w:rsidRPr="000C48F9" w14:paraId="5FE4E958" w14:textId="77777777" w:rsidTr="001315B5">
        <w:tc>
          <w:tcPr>
            <w:tcW w:w="1177" w:type="pct"/>
            <w:shd w:val="clear" w:color="auto" w:fill="auto"/>
            <w:vAlign w:val="center"/>
          </w:tcPr>
          <w:p w14:paraId="147EDA04" w14:textId="77777777" w:rsidR="00832B86" w:rsidRPr="000C48F9" w:rsidRDefault="00832B86" w:rsidP="001315B5">
            <w:pPr>
              <w:pStyle w:val="TableText0"/>
            </w:pPr>
            <w:r w:rsidRPr="000C48F9">
              <w:t xml:space="preserve">Compliance </w:t>
            </w:r>
          </w:p>
        </w:tc>
        <w:tc>
          <w:tcPr>
            <w:tcW w:w="2279" w:type="pct"/>
            <w:shd w:val="clear" w:color="auto" w:fill="auto"/>
            <w:vAlign w:val="center"/>
          </w:tcPr>
          <w:p w14:paraId="617E93C2" w14:textId="77777777" w:rsidR="00832B86" w:rsidRPr="000C48F9" w:rsidRDefault="00832B86" w:rsidP="001315B5">
            <w:pPr>
              <w:pStyle w:val="TableText0"/>
            </w:pPr>
            <w:r w:rsidRPr="000C48F9">
              <w:t>90% compliance rate (same as applied in patients ≥12 years) applied in the model compared with those in the trial (Study 106) of 100% in the trial</w:t>
            </w:r>
          </w:p>
        </w:tc>
        <w:tc>
          <w:tcPr>
            <w:tcW w:w="1544" w:type="pct"/>
            <w:shd w:val="clear" w:color="auto" w:fill="auto"/>
            <w:vAlign w:val="center"/>
          </w:tcPr>
          <w:p w14:paraId="4FF75E2E" w14:textId="521893D9" w:rsidR="00832B86" w:rsidRPr="000C48F9" w:rsidRDefault="00832B86" w:rsidP="001315B5">
            <w:pPr>
              <w:pStyle w:val="TableText0"/>
              <w:jc w:val="center"/>
              <w:rPr>
                <w:iCs/>
              </w:rPr>
            </w:pPr>
            <w:r w:rsidRPr="000C48F9">
              <w:rPr>
                <w:iCs/>
              </w:rPr>
              <w:t>Moderate, favours ELX/TEZ/IVA, use of the compliance as in the trials increased the ICER to $</w:t>
            </w:r>
            <w:r w:rsidR="00987958" w:rsidRPr="00987958">
              <w:rPr>
                <w:iCs/>
                <w:color w:val="000000"/>
                <w:spacing w:val="54"/>
                <w:shd w:val="solid" w:color="000000" w:fill="000000"/>
                <w:fitText w:val="237" w:id="-1300528889"/>
                <w14:textFill>
                  <w14:solidFill>
                    <w14:srgbClr w14:val="000000">
                      <w14:alpha w14:val="100000"/>
                    </w14:srgbClr>
                  </w14:solidFill>
                </w14:textFill>
              </w:rPr>
              <w:t>||</w:t>
            </w:r>
            <w:r w:rsidR="00987958" w:rsidRPr="00987958">
              <w:rPr>
                <w:iCs/>
                <w:color w:val="000000"/>
                <w:spacing w:val="2"/>
                <w:shd w:val="solid" w:color="000000" w:fill="000000"/>
                <w:fitText w:val="237" w:id="-1300528889"/>
                <w14:textFill>
                  <w14:solidFill>
                    <w14:srgbClr w14:val="000000">
                      <w14:alpha w14:val="100000"/>
                    </w14:srgbClr>
                  </w14:solidFill>
                </w14:textFill>
              </w:rPr>
              <w:t>|</w:t>
            </w:r>
            <w:r w:rsidR="006105BE">
              <w:rPr>
                <w:vertAlign w:val="superscript"/>
              </w:rPr>
              <w:t>2</w:t>
            </w:r>
            <w:r w:rsidRPr="000C48F9">
              <w:rPr>
                <w:iCs/>
              </w:rPr>
              <w:t>/QALY</w:t>
            </w:r>
          </w:p>
        </w:tc>
      </w:tr>
    </w:tbl>
    <w:p w14:paraId="6BD8BE9E" w14:textId="77777777" w:rsidR="00832B86" w:rsidRPr="000C48F9" w:rsidRDefault="00832B86" w:rsidP="00832B86">
      <w:pPr>
        <w:pStyle w:val="TableFigNotes0"/>
        <w:rPr>
          <w:rFonts w:ascii="Arial Narrow" w:hAnsi="Arial Narrow"/>
          <w:sz w:val="18"/>
          <w:lang w:val="en-AU"/>
        </w:rPr>
      </w:pPr>
      <w:r w:rsidRPr="000C48F9">
        <w:rPr>
          <w:rFonts w:ascii="Arial Narrow" w:hAnsi="Arial Narrow"/>
          <w:sz w:val="18"/>
          <w:lang w:val="en-AU"/>
        </w:rPr>
        <w:t xml:space="preserve">Source: </w:t>
      </w:r>
      <w:r w:rsidRPr="000C48F9">
        <w:rPr>
          <w:rFonts w:ascii="Arial Narrow" w:hAnsi="Arial Narrow"/>
          <w:bCs/>
          <w:iCs/>
          <w:sz w:val="18"/>
          <w:lang w:val="en-AU"/>
        </w:rPr>
        <w:t>Developed during the evaluation</w:t>
      </w:r>
    </w:p>
    <w:p w14:paraId="75159195" w14:textId="1DD71E61" w:rsidR="00832B86" w:rsidRDefault="00832B86" w:rsidP="007F6462">
      <w:pPr>
        <w:pStyle w:val="TableFigNotes0"/>
        <w:rPr>
          <w:rFonts w:ascii="Arial Narrow" w:hAnsi="Arial Narrow"/>
          <w:sz w:val="18"/>
          <w:lang w:val="en-AU"/>
        </w:rPr>
      </w:pPr>
      <w:r w:rsidRPr="000C48F9">
        <w:rPr>
          <w:rFonts w:ascii="Arial Narrow" w:hAnsi="Arial Narrow"/>
          <w:sz w:val="18"/>
          <w:lang w:val="en-AU"/>
        </w:rPr>
        <w:t xml:space="preserve">BSC = best supportive care; </w:t>
      </w:r>
      <w:r w:rsidRPr="000C48F9">
        <w:rPr>
          <w:rFonts w:ascii="Arial Narrow" w:hAnsi="Arial Narrow"/>
          <w:bCs/>
          <w:sz w:val="18"/>
          <w:lang w:val="en-AU"/>
        </w:rPr>
        <w:t>ELX/TEZ/IVA = elexacaftor/tezacaftor/ivacaftor</w:t>
      </w:r>
      <w:r w:rsidRPr="000C48F9">
        <w:rPr>
          <w:rFonts w:ascii="Arial Narrow" w:hAnsi="Arial Narrow"/>
          <w:sz w:val="18"/>
          <w:lang w:val="en-AU"/>
        </w:rPr>
        <w:t>; ICER = incremental cost-effectiveness ratio; LoE = loss of exclusivity; ppFEV1 = percent predicted forced expiratory volume in one second; QALYs = quality-adjusted life-years.</w:t>
      </w:r>
    </w:p>
    <w:p w14:paraId="2057D446" w14:textId="77777777" w:rsidR="003B0DFA" w:rsidRDefault="003B0DFA" w:rsidP="007F6462">
      <w:pPr>
        <w:rPr>
          <w:rFonts w:ascii="Arial Narrow" w:hAnsi="Arial Narrow"/>
          <w:i/>
          <w:sz w:val="18"/>
          <w:szCs w:val="18"/>
        </w:rPr>
      </w:pPr>
      <w:r>
        <w:rPr>
          <w:rFonts w:ascii="Arial Narrow" w:hAnsi="Arial Narrow"/>
          <w:i/>
          <w:sz w:val="18"/>
          <w:szCs w:val="18"/>
        </w:rPr>
        <w:t xml:space="preserve">The redacted values correspond to the following ranges: </w:t>
      </w:r>
    </w:p>
    <w:p w14:paraId="64775247" w14:textId="2FF0A2B1" w:rsidR="003B0DFA" w:rsidRDefault="003B0DFA" w:rsidP="003B0DFA">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00490C15" w:rsidRPr="00490C15">
        <w:rPr>
          <w:rFonts w:ascii="Arial Narrow" w:hAnsi="Arial Narrow"/>
          <w:i/>
          <w:sz w:val="18"/>
          <w:szCs w:val="18"/>
        </w:rPr>
        <w:t>$135,000 to &lt; $155,000</w:t>
      </w:r>
    </w:p>
    <w:p w14:paraId="509C4742" w14:textId="339B0193" w:rsidR="003B0DFA" w:rsidRDefault="003B0DFA" w:rsidP="003B0DFA">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00490C15" w:rsidRPr="00490C15">
        <w:rPr>
          <w:rFonts w:ascii="Arial Narrow" w:hAnsi="Arial Narrow"/>
          <w:i/>
          <w:sz w:val="18"/>
          <w:szCs w:val="18"/>
        </w:rPr>
        <w:t>$155,000 to &lt; $255,000</w:t>
      </w:r>
    </w:p>
    <w:p w14:paraId="60B524F6" w14:textId="596A64AE" w:rsidR="003B0DFA" w:rsidRPr="000C48F9" w:rsidRDefault="003B0DFA" w:rsidP="003A21B2">
      <w:pPr>
        <w:spacing w:after="120"/>
      </w:pPr>
      <w:r>
        <w:rPr>
          <w:rFonts w:ascii="Arial Narrow" w:hAnsi="Arial Narrow"/>
          <w:i/>
          <w:sz w:val="18"/>
          <w:szCs w:val="18"/>
          <w:vertAlign w:val="superscript"/>
        </w:rPr>
        <w:t>3</w:t>
      </w:r>
      <w:r>
        <w:rPr>
          <w:rFonts w:ascii="Arial Narrow" w:hAnsi="Arial Narrow"/>
          <w:i/>
          <w:sz w:val="18"/>
          <w:szCs w:val="18"/>
        </w:rPr>
        <w:t xml:space="preserve"> </w:t>
      </w:r>
      <w:r w:rsidR="00490C15" w:rsidRPr="00490C15">
        <w:rPr>
          <w:rFonts w:ascii="Arial Narrow" w:hAnsi="Arial Narrow"/>
          <w:i/>
          <w:sz w:val="18"/>
          <w:szCs w:val="18"/>
        </w:rPr>
        <w:t>$355,000 to &lt; $455,000</w:t>
      </w:r>
    </w:p>
    <w:p w14:paraId="577EE768" w14:textId="24070E92" w:rsidR="00832B86" w:rsidRPr="000C48F9" w:rsidRDefault="00832B86" w:rsidP="00832B86">
      <w:pPr>
        <w:pStyle w:val="3-BodyText"/>
        <w:rPr>
          <w:b/>
          <w:bCs/>
          <w:color w:val="0066FF"/>
        </w:rPr>
      </w:pPr>
      <w:r w:rsidRPr="000C48F9">
        <w:t xml:space="preserve">The results of the economic evaluation for the F/F, F/MF, and combined populations are provided in </w:t>
      </w:r>
      <w:r w:rsidRPr="000C48F9">
        <w:fldChar w:fldCharType="begin" w:fldLock="1"/>
      </w:r>
      <w:r w:rsidRPr="000C48F9">
        <w:instrText xml:space="preserve"> REF _Ref112923419 \h </w:instrText>
      </w:r>
      <w:r w:rsidRPr="000C48F9">
        <w:fldChar w:fldCharType="separate"/>
      </w:r>
      <w:r w:rsidR="009A1227" w:rsidRPr="000C48F9">
        <w:t xml:space="preserve">Table </w:t>
      </w:r>
      <w:r w:rsidR="009A1227">
        <w:rPr>
          <w:noProof/>
        </w:rPr>
        <w:t>15</w:t>
      </w:r>
      <w:r w:rsidRPr="000C48F9">
        <w:fldChar w:fldCharType="end"/>
      </w:r>
      <w:r w:rsidRPr="000C48F9">
        <w:t xml:space="preserve">. The ICER for the </w:t>
      </w:r>
      <w:r w:rsidRPr="004F0ED8">
        <w:t>combined population assumed 62% of patients have an F/F mutation and 38% have an</w:t>
      </w:r>
      <w:r w:rsidRPr="000C48F9">
        <w:t xml:space="preserve"> F/MF mutation based on data from the ACFDR in patients aged 6 to 11 years.</w:t>
      </w:r>
      <w:r w:rsidRPr="000C48F9">
        <w:rPr>
          <w:i/>
          <w:iCs/>
        </w:rPr>
        <w:t xml:space="preserve"> </w:t>
      </w:r>
    </w:p>
    <w:p w14:paraId="3A805860" w14:textId="68E7AE6F" w:rsidR="00832B86" w:rsidRPr="000C48F9" w:rsidRDefault="00832B86" w:rsidP="003E016D">
      <w:pPr>
        <w:pStyle w:val="Caption"/>
        <w:rPr>
          <w:rFonts w:cs="Times New Roman"/>
          <w:b w:val="0"/>
          <w:bCs w:val="0"/>
        </w:rPr>
      </w:pPr>
      <w:bookmarkStart w:id="47" w:name="_Ref112923419"/>
      <w:r w:rsidRPr="000C48F9">
        <w:t xml:space="preserve">Table </w:t>
      </w:r>
      <w:r w:rsidR="008E430C">
        <w:fldChar w:fldCharType="begin" w:fldLock="1"/>
      </w:r>
      <w:r w:rsidR="008E430C">
        <w:instrText xml:space="preserve"> SEQ Table \* ARABIC </w:instrText>
      </w:r>
      <w:r w:rsidR="008E430C">
        <w:fldChar w:fldCharType="separate"/>
      </w:r>
      <w:r w:rsidR="009A1227">
        <w:rPr>
          <w:noProof/>
        </w:rPr>
        <w:t>15</w:t>
      </w:r>
      <w:r w:rsidR="008E430C">
        <w:rPr>
          <w:noProof/>
        </w:rPr>
        <w:fldChar w:fldCharType="end"/>
      </w:r>
      <w:bookmarkEnd w:id="47"/>
      <w:r w:rsidRPr="000C48F9">
        <w:rPr>
          <w:rFonts w:cs="Times New Roman"/>
        </w:rPr>
        <w:t>: Incremental cost-effectiveness estimates for patients initiating therapy aged 6 to</w:t>
      </w:r>
      <w:r w:rsidR="000C48F9">
        <w:rPr>
          <w:rFonts w:cs="Times New Roman"/>
        </w:rPr>
        <w:t xml:space="preserve"> </w:t>
      </w:r>
      <w:r w:rsidRPr="000C48F9">
        <w:rPr>
          <w:rFonts w:cs="Times New Roman"/>
        </w:rPr>
        <w:t>11 years (discounted)</w:t>
      </w:r>
    </w:p>
    <w:tbl>
      <w:tblPr>
        <w:tblStyle w:val="Summarybox1"/>
        <w:tblW w:w="0" w:type="auto"/>
        <w:tblLook w:val="04A0" w:firstRow="1" w:lastRow="0" w:firstColumn="1" w:lastColumn="0" w:noHBand="0" w:noVBand="1"/>
      </w:tblPr>
      <w:tblGrid>
        <w:gridCol w:w="2254"/>
        <w:gridCol w:w="2263"/>
        <w:gridCol w:w="2242"/>
        <w:gridCol w:w="2257"/>
      </w:tblGrid>
      <w:tr w:rsidR="00832B86" w:rsidRPr="000C48F9" w14:paraId="52E3ADFE" w14:textId="77777777" w:rsidTr="001315B5">
        <w:tc>
          <w:tcPr>
            <w:tcW w:w="9016" w:type="dxa"/>
            <w:gridSpan w:val="4"/>
            <w:tcBorders>
              <w:top w:val="single" w:sz="4" w:space="0" w:color="auto"/>
              <w:left w:val="single" w:sz="4" w:space="0" w:color="auto"/>
              <w:bottom w:val="single" w:sz="4" w:space="0" w:color="auto"/>
              <w:right w:val="single" w:sz="4" w:space="0" w:color="auto"/>
            </w:tcBorders>
          </w:tcPr>
          <w:p w14:paraId="68CB1B50" w14:textId="77777777" w:rsidR="00832B86" w:rsidRPr="000C48F9" w:rsidRDefault="00832B86" w:rsidP="003E016D">
            <w:pPr>
              <w:pStyle w:val="TableLeft"/>
              <w:keepNext/>
              <w:keepLines/>
              <w:widowControl w:val="0"/>
              <w:rPr>
                <w:rStyle w:val="SmallBold"/>
                <w:rFonts w:ascii="Arial Narrow" w:hAnsi="Arial Narrow"/>
                <w:szCs w:val="20"/>
              </w:rPr>
            </w:pPr>
            <w:r w:rsidRPr="000C48F9">
              <w:rPr>
                <w:rStyle w:val="SmallBold"/>
                <w:rFonts w:ascii="Arial Narrow" w:hAnsi="Arial Narrow"/>
                <w:szCs w:val="20"/>
                <w:lang w:bidi="en-US"/>
              </w:rPr>
              <w:t>F/F</w:t>
            </w:r>
          </w:p>
        </w:tc>
      </w:tr>
      <w:tr w:rsidR="00832B86" w:rsidRPr="000C48F9" w14:paraId="3D1869C2" w14:textId="77777777" w:rsidTr="001315B5">
        <w:tc>
          <w:tcPr>
            <w:tcW w:w="2254" w:type="dxa"/>
            <w:tcBorders>
              <w:top w:val="single" w:sz="4" w:space="0" w:color="auto"/>
              <w:left w:val="single" w:sz="4" w:space="0" w:color="auto"/>
              <w:bottom w:val="single" w:sz="4" w:space="0" w:color="auto"/>
              <w:right w:val="single" w:sz="4" w:space="0" w:color="auto"/>
            </w:tcBorders>
          </w:tcPr>
          <w:p w14:paraId="0396D2A0" w14:textId="77777777" w:rsidR="00832B86" w:rsidRPr="000C48F9" w:rsidRDefault="00832B86" w:rsidP="003E016D">
            <w:pPr>
              <w:pStyle w:val="TableLeft"/>
              <w:keepNext/>
              <w:keepLines/>
              <w:widowControl w:val="0"/>
              <w:rPr>
                <w:rStyle w:val="SmallBold"/>
                <w:rFonts w:ascii="Arial Narrow" w:hAnsi="Arial Narrow"/>
                <w:szCs w:val="20"/>
                <w:lang w:bidi="en-US"/>
              </w:rPr>
            </w:pPr>
          </w:p>
        </w:tc>
        <w:tc>
          <w:tcPr>
            <w:tcW w:w="2263" w:type="dxa"/>
            <w:tcBorders>
              <w:top w:val="single" w:sz="4" w:space="0" w:color="auto"/>
              <w:left w:val="single" w:sz="4" w:space="0" w:color="auto"/>
              <w:bottom w:val="single" w:sz="4" w:space="0" w:color="auto"/>
              <w:right w:val="single" w:sz="4" w:space="0" w:color="auto"/>
            </w:tcBorders>
          </w:tcPr>
          <w:p w14:paraId="4C1B0670" w14:textId="77777777" w:rsidR="00832B86" w:rsidRPr="000C48F9" w:rsidRDefault="00832B86" w:rsidP="003E016D">
            <w:pPr>
              <w:pStyle w:val="TableLeft"/>
              <w:keepNext/>
              <w:keepLines/>
              <w:widowControl w:val="0"/>
              <w:jc w:val="center"/>
              <w:rPr>
                <w:rFonts w:ascii="Arial Narrow" w:hAnsi="Arial Narrow" w:cstheme="minorHAnsi"/>
                <w:b/>
                <w:szCs w:val="20"/>
              </w:rPr>
            </w:pPr>
            <w:r w:rsidRPr="000C48F9">
              <w:rPr>
                <w:rFonts w:ascii="Arial Narrow" w:hAnsi="Arial Narrow" w:cstheme="minorHAnsi"/>
                <w:b/>
                <w:szCs w:val="20"/>
              </w:rPr>
              <w:t>ELX/TEZ/IVA</w:t>
            </w:r>
          </w:p>
        </w:tc>
        <w:tc>
          <w:tcPr>
            <w:tcW w:w="2242" w:type="dxa"/>
            <w:tcBorders>
              <w:top w:val="single" w:sz="4" w:space="0" w:color="auto"/>
              <w:left w:val="single" w:sz="4" w:space="0" w:color="auto"/>
              <w:bottom w:val="single" w:sz="4" w:space="0" w:color="auto"/>
              <w:right w:val="single" w:sz="4" w:space="0" w:color="auto"/>
            </w:tcBorders>
          </w:tcPr>
          <w:p w14:paraId="43D2C703" w14:textId="77777777" w:rsidR="00832B86" w:rsidRPr="000C48F9" w:rsidRDefault="00832B86" w:rsidP="003E016D">
            <w:pPr>
              <w:pStyle w:val="TableLeft"/>
              <w:keepNext/>
              <w:keepLines/>
              <w:widowControl w:val="0"/>
              <w:jc w:val="center"/>
              <w:rPr>
                <w:rFonts w:ascii="Arial Narrow" w:hAnsi="Arial Narrow" w:cstheme="minorHAnsi"/>
                <w:b/>
                <w:szCs w:val="20"/>
              </w:rPr>
            </w:pPr>
            <w:r w:rsidRPr="000C48F9">
              <w:rPr>
                <w:rFonts w:ascii="Arial Narrow" w:hAnsi="Arial Narrow" w:cstheme="minorHAnsi"/>
                <w:b/>
                <w:szCs w:val="20"/>
              </w:rPr>
              <w:t>LUM/IVA</w:t>
            </w:r>
          </w:p>
        </w:tc>
        <w:tc>
          <w:tcPr>
            <w:tcW w:w="2257" w:type="dxa"/>
            <w:tcBorders>
              <w:top w:val="single" w:sz="4" w:space="0" w:color="auto"/>
              <w:left w:val="single" w:sz="4" w:space="0" w:color="auto"/>
              <w:bottom w:val="single" w:sz="4" w:space="0" w:color="auto"/>
              <w:right w:val="single" w:sz="4" w:space="0" w:color="auto"/>
            </w:tcBorders>
          </w:tcPr>
          <w:p w14:paraId="08298D25" w14:textId="77777777" w:rsidR="00832B86" w:rsidRPr="000C48F9" w:rsidRDefault="00832B86" w:rsidP="003E016D">
            <w:pPr>
              <w:pStyle w:val="TableLeft"/>
              <w:keepNext/>
              <w:keepLines/>
              <w:widowControl w:val="0"/>
              <w:jc w:val="center"/>
              <w:rPr>
                <w:rStyle w:val="SmallBold"/>
                <w:rFonts w:ascii="Arial Narrow" w:hAnsi="Arial Narrow"/>
                <w:szCs w:val="20"/>
              </w:rPr>
            </w:pPr>
            <w:r w:rsidRPr="000C48F9">
              <w:rPr>
                <w:rStyle w:val="SmallBold"/>
                <w:rFonts w:ascii="Arial Narrow" w:hAnsi="Arial Narrow"/>
                <w:szCs w:val="20"/>
              </w:rPr>
              <w:t>Incremental</w:t>
            </w:r>
          </w:p>
        </w:tc>
      </w:tr>
      <w:tr w:rsidR="00832B86" w:rsidRPr="000C48F9" w14:paraId="1E4E2840" w14:textId="77777777" w:rsidTr="001315B5">
        <w:tc>
          <w:tcPr>
            <w:tcW w:w="2254" w:type="dxa"/>
            <w:tcBorders>
              <w:top w:val="single" w:sz="4" w:space="0" w:color="auto"/>
              <w:left w:val="single" w:sz="4" w:space="0" w:color="auto"/>
              <w:bottom w:val="single" w:sz="4" w:space="0" w:color="auto"/>
              <w:right w:val="single" w:sz="4" w:space="0" w:color="auto"/>
            </w:tcBorders>
            <w:hideMark/>
          </w:tcPr>
          <w:p w14:paraId="6C9DFC7C" w14:textId="77777777" w:rsidR="00832B86" w:rsidRPr="000C48F9" w:rsidRDefault="00832B86" w:rsidP="003E016D">
            <w:pPr>
              <w:pStyle w:val="TableLeft"/>
              <w:keepNext/>
              <w:keepLines/>
              <w:widowControl w:val="0"/>
              <w:rPr>
                <w:szCs w:val="20"/>
              </w:rPr>
            </w:pPr>
            <w:r w:rsidRPr="000C48F9">
              <w:rPr>
                <w:rFonts w:ascii="Arial Narrow" w:hAnsi="Arial Narrow"/>
                <w:szCs w:val="20"/>
              </w:rPr>
              <w:t>Life Years</w:t>
            </w:r>
          </w:p>
        </w:tc>
        <w:tc>
          <w:tcPr>
            <w:tcW w:w="2263" w:type="dxa"/>
            <w:tcBorders>
              <w:top w:val="single" w:sz="4" w:space="0" w:color="auto"/>
              <w:left w:val="single" w:sz="4" w:space="0" w:color="auto"/>
              <w:bottom w:val="single" w:sz="4" w:space="0" w:color="auto"/>
              <w:right w:val="single" w:sz="4" w:space="0" w:color="auto"/>
            </w:tcBorders>
            <w:vAlign w:val="bottom"/>
          </w:tcPr>
          <w:p w14:paraId="03EC060E"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cs="Calibri"/>
                <w:color w:val="000000"/>
                <w:szCs w:val="20"/>
              </w:rPr>
              <w:t>17.33</w:t>
            </w:r>
          </w:p>
        </w:tc>
        <w:tc>
          <w:tcPr>
            <w:tcW w:w="2242" w:type="dxa"/>
            <w:tcBorders>
              <w:top w:val="single" w:sz="4" w:space="0" w:color="auto"/>
              <w:left w:val="single" w:sz="4" w:space="0" w:color="auto"/>
              <w:bottom w:val="single" w:sz="4" w:space="0" w:color="auto"/>
              <w:right w:val="single" w:sz="4" w:space="0" w:color="auto"/>
            </w:tcBorders>
            <w:vAlign w:val="bottom"/>
          </w:tcPr>
          <w:p w14:paraId="10B0F4DF"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cs="Calibri"/>
                <w:color w:val="000000"/>
                <w:szCs w:val="20"/>
              </w:rPr>
              <w:t>13.30</w:t>
            </w:r>
          </w:p>
        </w:tc>
        <w:tc>
          <w:tcPr>
            <w:tcW w:w="2257" w:type="dxa"/>
            <w:tcBorders>
              <w:top w:val="single" w:sz="4" w:space="0" w:color="auto"/>
              <w:left w:val="single" w:sz="4" w:space="0" w:color="auto"/>
              <w:bottom w:val="single" w:sz="4" w:space="0" w:color="auto"/>
              <w:right w:val="single" w:sz="4" w:space="0" w:color="auto"/>
            </w:tcBorders>
            <w:vAlign w:val="bottom"/>
          </w:tcPr>
          <w:p w14:paraId="6FAEC1CF"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cs="Calibri"/>
                <w:color w:val="000000"/>
                <w:szCs w:val="20"/>
              </w:rPr>
              <w:t>4.03</w:t>
            </w:r>
          </w:p>
        </w:tc>
      </w:tr>
      <w:tr w:rsidR="00832B86" w:rsidRPr="000C48F9" w14:paraId="6BC0AC6E"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376AD114"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QALYs</w:t>
            </w:r>
          </w:p>
        </w:tc>
        <w:tc>
          <w:tcPr>
            <w:tcW w:w="2263" w:type="dxa"/>
            <w:tcBorders>
              <w:top w:val="single" w:sz="4" w:space="0" w:color="auto"/>
              <w:left w:val="single" w:sz="4" w:space="0" w:color="auto"/>
              <w:bottom w:val="single" w:sz="4" w:space="0" w:color="auto"/>
              <w:right w:val="single" w:sz="4" w:space="0" w:color="auto"/>
            </w:tcBorders>
            <w:vAlign w:val="center"/>
          </w:tcPr>
          <w:p w14:paraId="17E3BE17"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17.08</w:t>
            </w:r>
          </w:p>
        </w:tc>
        <w:tc>
          <w:tcPr>
            <w:tcW w:w="2242" w:type="dxa"/>
            <w:tcBorders>
              <w:top w:val="single" w:sz="4" w:space="0" w:color="auto"/>
              <w:left w:val="single" w:sz="4" w:space="0" w:color="auto"/>
              <w:bottom w:val="single" w:sz="4" w:space="0" w:color="auto"/>
              <w:right w:val="single" w:sz="4" w:space="0" w:color="auto"/>
            </w:tcBorders>
            <w:vAlign w:val="center"/>
          </w:tcPr>
          <w:p w14:paraId="17003952"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11.36</w:t>
            </w:r>
          </w:p>
        </w:tc>
        <w:tc>
          <w:tcPr>
            <w:tcW w:w="2257" w:type="dxa"/>
            <w:tcBorders>
              <w:top w:val="single" w:sz="4" w:space="0" w:color="auto"/>
              <w:left w:val="single" w:sz="4" w:space="0" w:color="auto"/>
              <w:bottom w:val="single" w:sz="4" w:space="0" w:color="auto"/>
              <w:right w:val="single" w:sz="4" w:space="0" w:color="auto"/>
            </w:tcBorders>
            <w:vAlign w:val="center"/>
          </w:tcPr>
          <w:p w14:paraId="7EA3C4C5"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5.72</w:t>
            </w:r>
          </w:p>
        </w:tc>
      </w:tr>
      <w:tr w:rsidR="00832B86" w:rsidRPr="000C48F9" w14:paraId="22ED3EB0"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59A3E355" w14:textId="055F4606" w:rsidR="00832B86" w:rsidRPr="00C21B1B" w:rsidRDefault="00832B86" w:rsidP="003E016D">
            <w:pPr>
              <w:pStyle w:val="TableLeft"/>
              <w:keepNext/>
              <w:keepLines/>
              <w:widowControl w:val="0"/>
              <w:rPr>
                <w:rFonts w:ascii="Arial Narrow" w:hAnsi="Arial Narrow"/>
                <w:szCs w:val="20"/>
              </w:rPr>
            </w:pPr>
            <w:r w:rsidRPr="00C21B1B">
              <w:rPr>
                <w:rFonts w:ascii="Arial Narrow" w:hAnsi="Arial Narrow"/>
                <w:szCs w:val="20"/>
              </w:rPr>
              <w:t>Total costs</w:t>
            </w:r>
            <w:r w:rsidR="00C61910">
              <w:rPr>
                <w:rFonts w:ascii="Arial Narrow" w:hAnsi="Arial Narrow"/>
                <w:szCs w:val="20"/>
              </w:rPr>
              <w:t xml:space="preserve"> ($)</w:t>
            </w:r>
          </w:p>
        </w:tc>
        <w:tc>
          <w:tcPr>
            <w:tcW w:w="2263" w:type="dxa"/>
            <w:tcBorders>
              <w:top w:val="single" w:sz="4" w:space="0" w:color="auto"/>
              <w:left w:val="single" w:sz="4" w:space="0" w:color="auto"/>
              <w:bottom w:val="single" w:sz="4" w:space="0" w:color="auto"/>
              <w:right w:val="single" w:sz="4" w:space="0" w:color="auto"/>
            </w:tcBorders>
            <w:shd w:val="solid" w:color="000000" w:fill="000000"/>
            <w:vAlign w:val="center"/>
          </w:tcPr>
          <w:p w14:paraId="7F5518F4" w14:textId="31B5C17D" w:rsidR="00832B86" w:rsidRPr="00C21B1B"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c>
          <w:tcPr>
            <w:tcW w:w="2242" w:type="dxa"/>
            <w:tcBorders>
              <w:top w:val="single" w:sz="4" w:space="0" w:color="auto"/>
              <w:left w:val="single" w:sz="4" w:space="0" w:color="auto"/>
              <w:bottom w:val="single" w:sz="4" w:space="0" w:color="auto"/>
              <w:right w:val="single" w:sz="4" w:space="0" w:color="auto"/>
            </w:tcBorders>
            <w:shd w:val="solid" w:color="000000" w:fill="000000"/>
            <w:vAlign w:val="center"/>
          </w:tcPr>
          <w:p w14:paraId="7EAB4A1D" w14:textId="090A2F4A" w:rsidR="00832B86" w:rsidRPr="00C21B1B"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c>
          <w:tcPr>
            <w:tcW w:w="2257" w:type="dxa"/>
            <w:tcBorders>
              <w:top w:val="single" w:sz="4" w:space="0" w:color="auto"/>
              <w:left w:val="single" w:sz="4" w:space="0" w:color="auto"/>
              <w:bottom w:val="single" w:sz="4" w:space="0" w:color="auto"/>
              <w:right w:val="single" w:sz="4" w:space="0" w:color="auto"/>
            </w:tcBorders>
            <w:shd w:val="solid" w:color="000000" w:fill="000000"/>
            <w:vAlign w:val="center"/>
          </w:tcPr>
          <w:p w14:paraId="0C4735F2" w14:textId="42332707" w:rsidR="00832B86" w:rsidRPr="000C48F9"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r>
      <w:tr w:rsidR="00832B86" w:rsidRPr="000C48F9" w14:paraId="1853C697" w14:textId="77777777" w:rsidTr="001315B5">
        <w:tc>
          <w:tcPr>
            <w:tcW w:w="6759" w:type="dxa"/>
            <w:gridSpan w:val="3"/>
            <w:tcBorders>
              <w:top w:val="single" w:sz="4" w:space="0" w:color="auto"/>
              <w:left w:val="single" w:sz="4" w:space="0" w:color="auto"/>
              <w:bottom w:val="single" w:sz="4" w:space="0" w:color="auto"/>
              <w:right w:val="single" w:sz="4" w:space="0" w:color="auto"/>
            </w:tcBorders>
            <w:hideMark/>
          </w:tcPr>
          <w:p w14:paraId="028A9B24"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ICER (cost per LYG)</w:t>
            </w:r>
          </w:p>
        </w:tc>
        <w:tc>
          <w:tcPr>
            <w:tcW w:w="2257" w:type="dxa"/>
            <w:tcBorders>
              <w:top w:val="single" w:sz="4" w:space="0" w:color="auto"/>
              <w:left w:val="single" w:sz="4" w:space="0" w:color="auto"/>
              <w:bottom w:val="single" w:sz="4" w:space="0" w:color="auto"/>
              <w:right w:val="single" w:sz="4" w:space="0" w:color="auto"/>
            </w:tcBorders>
          </w:tcPr>
          <w:p w14:paraId="1A6E6635" w14:textId="1A670546" w:rsidR="00832B86" w:rsidRPr="000C48F9" w:rsidRDefault="00987958" w:rsidP="003E016D">
            <w:pPr>
              <w:keepNext/>
              <w:keepLines/>
              <w:jc w:val="center"/>
              <w:rPr>
                <w:rFonts w:ascii="Arial Narrow" w:hAnsi="Arial Narrow" w:cs="Calibri"/>
                <w:color w:val="000000"/>
                <w:sz w:val="20"/>
                <w:szCs w:val="20"/>
              </w:rPr>
            </w:pPr>
            <w:r w:rsidRPr="00987958">
              <w:rPr>
                <w:rFonts w:ascii="Arial Narrow" w:hAnsi="Arial Narrow" w:cs="Calibri"/>
                <w:color w:val="000000"/>
                <w:sz w:val="20"/>
                <w:szCs w:val="20"/>
                <w:shd w:val="solid" w:color="000000" w:fill="000000"/>
                <w14:textFill>
                  <w14:solidFill>
                    <w14:srgbClr w14:val="000000">
                      <w14:alpha w14:val="100000"/>
                    </w14:srgbClr>
                  </w14:solidFill>
                </w14:textFill>
              </w:rPr>
              <w:t>|</w:t>
            </w:r>
            <w:r w:rsidR="003A21B2">
              <w:rPr>
                <w:rFonts w:ascii="Arial Narrow" w:hAnsi="Arial Narrow"/>
                <w:b/>
                <w:bCs/>
                <w:sz w:val="20"/>
                <w:szCs w:val="20"/>
                <w:vertAlign w:val="superscript"/>
              </w:rPr>
              <w:t>1</w:t>
            </w:r>
          </w:p>
        </w:tc>
      </w:tr>
      <w:tr w:rsidR="00832B86" w:rsidRPr="000C48F9" w14:paraId="7002D36B" w14:textId="77777777" w:rsidTr="001315B5">
        <w:tc>
          <w:tcPr>
            <w:tcW w:w="6759" w:type="dxa"/>
            <w:gridSpan w:val="3"/>
            <w:tcBorders>
              <w:top w:val="single" w:sz="4" w:space="0" w:color="auto"/>
              <w:left w:val="single" w:sz="4" w:space="0" w:color="auto"/>
              <w:bottom w:val="single" w:sz="4" w:space="0" w:color="auto"/>
              <w:right w:val="single" w:sz="4" w:space="0" w:color="auto"/>
            </w:tcBorders>
            <w:hideMark/>
          </w:tcPr>
          <w:p w14:paraId="60F65656"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b/>
                <w:szCs w:val="20"/>
              </w:rPr>
              <w:t>ICER (cost per QALY gained)</w:t>
            </w:r>
          </w:p>
        </w:tc>
        <w:tc>
          <w:tcPr>
            <w:tcW w:w="2257" w:type="dxa"/>
            <w:tcBorders>
              <w:top w:val="single" w:sz="4" w:space="0" w:color="auto"/>
              <w:left w:val="single" w:sz="4" w:space="0" w:color="auto"/>
              <w:bottom w:val="single" w:sz="4" w:space="0" w:color="auto"/>
              <w:right w:val="single" w:sz="4" w:space="0" w:color="auto"/>
            </w:tcBorders>
            <w:vAlign w:val="center"/>
          </w:tcPr>
          <w:p w14:paraId="655B0605" w14:textId="27EA0EED" w:rsidR="00832B86" w:rsidRPr="000C48F9" w:rsidRDefault="00987958" w:rsidP="003E016D">
            <w:pPr>
              <w:pStyle w:val="TableLeft"/>
              <w:keepNext/>
              <w:keepLines/>
              <w:widowControl w:val="0"/>
              <w:jc w:val="center"/>
              <w:rPr>
                <w:rFonts w:ascii="Arial Narrow" w:hAnsi="Arial Narrow"/>
                <w:szCs w:val="20"/>
              </w:rPr>
            </w:pPr>
            <w:r w:rsidRPr="00987958">
              <w:rPr>
                <w:rFonts w:ascii="Arial Narrow" w:hAnsi="Arial Narrow"/>
                <w:b/>
                <w:bCs/>
                <w:color w:val="000000"/>
                <w:szCs w:val="20"/>
                <w:shd w:val="solid" w:color="000000" w:fill="000000"/>
                <w14:textFill>
                  <w14:solidFill>
                    <w14:srgbClr w14:val="000000">
                      <w14:alpha w14:val="100000"/>
                    </w14:srgbClr>
                  </w14:solidFill>
                </w14:textFill>
              </w:rPr>
              <w:t>|</w:t>
            </w:r>
            <w:r w:rsidR="003A21B2">
              <w:rPr>
                <w:rFonts w:ascii="Arial Narrow" w:hAnsi="Arial Narrow"/>
                <w:b/>
                <w:bCs/>
                <w:szCs w:val="20"/>
                <w:vertAlign w:val="superscript"/>
              </w:rPr>
              <w:t>2</w:t>
            </w:r>
          </w:p>
        </w:tc>
      </w:tr>
      <w:tr w:rsidR="00832B86" w:rsidRPr="000C48F9" w14:paraId="34F148B1" w14:textId="77777777" w:rsidTr="001315B5">
        <w:tc>
          <w:tcPr>
            <w:tcW w:w="9016" w:type="dxa"/>
            <w:gridSpan w:val="4"/>
            <w:tcBorders>
              <w:top w:val="single" w:sz="4" w:space="0" w:color="auto"/>
              <w:left w:val="single" w:sz="4" w:space="0" w:color="auto"/>
              <w:bottom w:val="single" w:sz="4" w:space="0" w:color="auto"/>
              <w:right w:val="single" w:sz="4" w:space="0" w:color="auto"/>
            </w:tcBorders>
          </w:tcPr>
          <w:p w14:paraId="37759566" w14:textId="77777777" w:rsidR="00832B86" w:rsidRPr="000C48F9" w:rsidRDefault="00832B86" w:rsidP="003E016D">
            <w:pPr>
              <w:pStyle w:val="TableLeft"/>
              <w:keepNext/>
              <w:keepLines/>
              <w:widowControl w:val="0"/>
              <w:rPr>
                <w:rFonts w:ascii="Arial Narrow" w:hAnsi="Arial Narrow"/>
                <w:b/>
                <w:bCs/>
                <w:szCs w:val="20"/>
              </w:rPr>
            </w:pPr>
            <w:r w:rsidRPr="000C48F9">
              <w:rPr>
                <w:rStyle w:val="SmallBold"/>
                <w:rFonts w:ascii="Arial Narrow" w:hAnsi="Arial Narrow"/>
                <w:szCs w:val="20"/>
                <w:lang w:bidi="en-US"/>
              </w:rPr>
              <w:t>F/MF</w:t>
            </w:r>
          </w:p>
        </w:tc>
      </w:tr>
      <w:tr w:rsidR="00832B86" w:rsidRPr="000C48F9" w14:paraId="72CAB605" w14:textId="77777777" w:rsidTr="001315B5">
        <w:tc>
          <w:tcPr>
            <w:tcW w:w="2254" w:type="dxa"/>
            <w:tcBorders>
              <w:top w:val="single" w:sz="4" w:space="0" w:color="auto"/>
              <w:left w:val="single" w:sz="4" w:space="0" w:color="auto"/>
              <w:bottom w:val="single" w:sz="4" w:space="0" w:color="auto"/>
              <w:right w:val="single" w:sz="4" w:space="0" w:color="auto"/>
            </w:tcBorders>
          </w:tcPr>
          <w:p w14:paraId="277E7197" w14:textId="77777777" w:rsidR="00832B86" w:rsidRPr="000C48F9" w:rsidRDefault="00832B86" w:rsidP="003E016D">
            <w:pPr>
              <w:pStyle w:val="TableLeft"/>
              <w:keepNext/>
              <w:keepLines/>
              <w:widowControl w:val="0"/>
              <w:rPr>
                <w:rStyle w:val="SmallBold"/>
                <w:rFonts w:ascii="Arial Narrow" w:hAnsi="Arial Narrow"/>
                <w:szCs w:val="20"/>
                <w:lang w:bidi="en-US"/>
              </w:rPr>
            </w:pPr>
          </w:p>
        </w:tc>
        <w:tc>
          <w:tcPr>
            <w:tcW w:w="2263" w:type="dxa"/>
            <w:tcBorders>
              <w:top w:val="single" w:sz="4" w:space="0" w:color="auto"/>
              <w:left w:val="single" w:sz="4" w:space="0" w:color="auto"/>
              <w:bottom w:val="single" w:sz="4" w:space="0" w:color="auto"/>
              <w:right w:val="single" w:sz="4" w:space="0" w:color="auto"/>
            </w:tcBorders>
            <w:hideMark/>
          </w:tcPr>
          <w:p w14:paraId="38D865AE" w14:textId="77777777" w:rsidR="00832B86" w:rsidRPr="000C48F9" w:rsidRDefault="00832B86" w:rsidP="003E016D">
            <w:pPr>
              <w:pStyle w:val="TableLeft"/>
              <w:keepNext/>
              <w:keepLines/>
              <w:widowControl w:val="0"/>
              <w:jc w:val="center"/>
              <w:rPr>
                <w:rStyle w:val="SmallBold"/>
                <w:rFonts w:ascii="Arial Narrow" w:hAnsi="Arial Narrow"/>
                <w:b w:val="0"/>
                <w:szCs w:val="20"/>
              </w:rPr>
            </w:pPr>
            <w:r w:rsidRPr="000C48F9">
              <w:rPr>
                <w:rFonts w:ascii="Arial Narrow" w:hAnsi="Arial Narrow" w:cstheme="minorHAnsi"/>
                <w:b/>
                <w:szCs w:val="20"/>
              </w:rPr>
              <w:t>ELX/TEZ/IVA</w:t>
            </w:r>
          </w:p>
        </w:tc>
        <w:tc>
          <w:tcPr>
            <w:tcW w:w="2242" w:type="dxa"/>
            <w:tcBorders>
              <w:top w:val="single" w:sz="4" w:space="0" w:color="auto"/>
              <w:left w:val="single" w:sz="4" w:space="0" w:color="auto"/>
              <w:bottom w:val="single" w:sz="4" w:space="0" w:color="auto"/>
              <w:right w:val="single" w:sz="4" w:space="0" w:color="auto"/>
            </w:tcBorders>
            <w:hideMark/>
          </w:tcPr>
          <w:p w14:paraId="60C1840C" w14:textId="77777777" w:rsidR="00832B86" w:rsidRPr="000C48F9" w:rsidRDefault="00832B86" w:rsidP="003E016D">
            <w:pPr>
              <w:pStyle w:val="TableLeft"/>
              <w:keepNext/>
              <w:keepLines/>
              <w:widowControl w:val="0"/>
              <w:jc w:val="center"/>
              <w:rPr>
                <w:rStyle w:val="SmallBold"/>
                <w:rFonts w:ascii="Arial Narrow" w:hAnsi="Arial Narrow"/>
                <w:b w:val="0"/>
                <w:bCs/>
                <w:szCs w:val="20"/>
              </w:rPr>
            </w:pPr>
            <w:r w:rsidRPr="000C48F9">
              <w:rPr>
                <w:rFonts w:ascii="Arial Narrow" w:hAnsi="Arial Narrow" w:cstheme="minorHAnsi"/>
                <w:b/>
                <w:bCs/>
                <w:szCs w:val="20"/>
              </w:rPr>
              <w:t>BSC</w:t>
            </w:r>
          </w:p>
        </w:tc>
        <w:tc>
          <w:tcPr>
            <w:tcW w:w="2257" w:type="dxa"/>
            <w:tcBorders>
              <w:top w:val="single" w:sz="4" w:space="0" w:color="auto"/>
              <w:left w:val="single" w:sz="4" w:space="0" w:color="auto"/>
              <w:bottom w:val="single" w:sz="4" w:space="0" w:color="auto"/>
              <w:right w:val="single" w:sz="4" w:space="0" w:color="auto"/>
            </w:tcBorders>
            <w:hideMark/>
          </w:tcPr>
          <w:p w14:paraId="7AF3B744" w14:textId="77777777" w:rsidR="00832B86" w:rsidRPr="000C48F9" w:rsidRDefault="00832B86" w:rsidP="003E016D">
            <w:pPr>
              <w:pStyle w:val="TableLeft"/>
              <w:keepNext/>
              <w:keepLines/>
              <w:widowControl w:val="0"/>
              <w:jc w:val="center"/>
              <w:rPr>
                <w:rStyle w:val="SmallBold"/>
                <w:rFonts w:ascii="Arial Narrow" w:hAnsi="Arial Narrow"/>
                <w:szCs w:val="20"/>
              </w:rPr>
            </w:pPr>
            <w:r w:rsidRPr="000C48F9">
              <w:rPr>
                <w:rStyle w:val="SmallBold"/>
                <w:rFonts w:ascii="Arial Narrow" w:hAnsi="Arial Narrow"/>
                <w:szCs w:val="20"/>
              </w:rPr>
              <w:t>Incremental</w:t>
            </w:r>
          </w:p>
        </w:tc>
      </w:tr>
      <w:tr w:rsidR="00832B86" w:rsidRPr="000C48F9" w14:paraId="7766C218" w14:textId="77777777" w:rsidTr="001315B5">
        <w:tc>
          <w:tcPr>
            <w:tcW w:w="2254" w:type="dxa"/>
            <w:tcBorders>
              <w:top w:val="single" w:sz="4" w:space="0" w:color="auto"/>
              <w:left w:val="single" w:sz="4" w:space="0" w:color="auto"/>
              <w:bottom w:val="single" w:sz="4" w:space="0" w:color="auto"/>
              <w:right w:val="single" w:sz="4" w:space="0" w:color="auto"/>
            </w:tcBorders>
            <w:hideMark/>
          </w:tcPr>
          <w:p w14:paraId="65B5C3A4" w14:textId="77777777" w:rsidR="00832B86" w:rsidRPr="000C48F9" w:rsidRDefault="00832B86" w:rsidP="003E016D">
            <w:pPr>
              <w:pStyle w:val="TableLeft"/>
              <w:keepNext/>
              <w:keepLines/>
              <w:widowControl w:val="0"/>
              <w:rPr>
                <w:szCs w:val="20"/>
              </w:rPr>
            </w:pPr>
            <w:r w:rsidRPr="000C48F9">
              <w:rPr>
                <w:rFonts w:ascii="Arial Narrow" w:hAnsi="Arial Narrow"/>
                <w:szCs w:val="20"/>
              </w:rPr>
              <w:t>Life Years</w:t>
            </w:r>
          </w:p>
        </w:tc>
        <w:tc>
          <w:tcPr>
            <w:tcW w:w="2263" w:type="dxa"/>
            <w:tcBorders>
              <w:top w:val="single" w:sz="4" w:space="0" w:color="auto"/>
              <w:left w:val="single" w:sz="4" w:space="0" w:color="auto"/>
              <w:bottom w:val="single" w:sz="4" w:space="0" w:color="auto"/>
              <w:right w:val="single" w:sz="4" w:space="0" w:color="auto"/>
            </w:tcBorders>
            <w:vAlign w:val="bottom"/>
          </w:tcPr>
          <w:p w14:paraId="091F6517"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cs="Calibri"/>
                <w:color w:val="000000"/>
                <w:szCs w:val="20"/>
              </w:rPr>
              <w:t>17.25</w:t>
            </w:r>
          </w:p>
        </w:tc>
        <w:tc>
          <w:tcPr>
            <w:tcW w:w="2242" w:type="dxa"/>
            <w:tcBorders>
              <w:top w:val="single" w:sz="4" w:space="0" w:color="auto"/>
              <w:left w:val="single" w:sz="4" w:space="0" w:color="auto"/>
              <w:bottom w:val="single" w:sz="4" w:space="0" w:color="auto"/>
              <w:right w:val="single" w:sz="4" w:space="0" w:color="auto"/>
            </w:tcBorders>
            <w:vAlign w:val="bottom"/>
          </w:tcPr>
          <w:p w14:paraId="1475D629"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cs="Calibri"/>
                <w:color w:val="000000"/>
                <w:szCs w:val="20"/>
              </w:rPr>
              <w:t>11.33</w:t>
            </w:r>
          </w:p>
        </w:tc>
        <w:tc>
          <w:tcPr>
            <w:tcW w:w="2257" w:type="dxa"/>
            <w:tcBorders>
              <w:top w:val="single" w:sz="4" w:space="0" w:color="auto"/>
              <w:left w:val="single" w:sz="4" w:space="0" w:color="auto"/>
              <w:bottom w:val="single" w:sz="4" w:space="0" w:color="auto"/>
              <w:right w:val="single" w:sz="4" w:space="0" w:color="auto"/>
            </w:tcBorders>
            <w:vAlign w:val="bottom"/>
          </w:tcPr>
          <w:p w14:paraId="07A59C38"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5.92</w:t>
            </w:r>
          </w:p>
        </w:tc>
      </w:tr>
      <w:tr w:rsidR="00832B86" w:rsidRPr="000C48F9" w14:paraId="4C25C3C6"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3C3103F0"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QALYs</w:t>
            </w:r>
          </w:p>
        </w:tc>
        <w:tc>
          <w:tcPr>
            <w:tcW w:w="2263" w:type="dxa"/>
            <w:tcBorders>
              <w:top w:val="single" w:sz="4" w:space="0" w:color="auto"/>
              <w:left w:val="single" w:sz="4" w:space="0" w:color="auto"/>
              <w:bottom w:val="single" w:sz="4" w:space="0" w:color="auto"/>
              <w:right w:val="single" w:sz="4" w:space="0" w:color="auto"/>
            </w:tcBorders>
            <w:vAlign w:val="center"/>
          </w:tcPr>
          <w:p w14:paraId="3F70D359"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16.80</w:t>
            </w:r>
          </w:p>
        </w:tc>
        <w:tc>
          <w:tcPr>
            <w:tcW w:w="2242" w:type="dxa"/>
            <w:tcBorders>
              <w:top w:val="single" w:sz="4" w:space="0" w:color="auto"/>
              <w:left w:val="single" w:sz="4" w:space="0" w:color="auto"/>
              <w:bottom w:val="single" w:sz="4" w:space="0" w:color="auto"/>
              <w:right w:val="single" w:sz="4" w:space="0" w:color="auto"/>
            </w:tcBorders>
            <w:vAlign w:val="center"/>
          </w:tcPr>
          <w:p w14:paraId="6668C9E8"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9.14</w:t>
            </w:r>
          </w:p>
        </w:tc>
        <w:tc>
          <w:tcPr>
            <w:tcW w:w="2257" w:type="dxa"/>
            <w:tcBorders>
              <w:top w:val="single" w:sz="4" w:space="0" w:color="auto"/>
              <w:left w:val="single" w:sz="4" w:space="0" w:color="auto"/>
              <w:bottom w:val="single" w:sz="4" w:space="0" w:color="auto"/>
              <w:right w:val="single" w:sz="4" w:space="0" w:color="auto"/>
            </w:tcBorders>
            <w:vAlign w:val="center"/>
          </w:tcPr>
          <w:p w14:paraId="5D16BB8C"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7.66</w:t>
            </w:r>
          </w:p>
        </w:tc>
      </w:tr>
      <w:tr w:rsidR="00832B86" w:rsidRPr="000C48F9" w14:paraId="571CB87F"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5FD45B91" w14:textId="7F9E9A8F" w:rsidR="00832B86" w:rsidRPr="00C21B1B" w:rsidRDefault="00832B86" w:rsidP="003E016D">
            <w:pPr>
              <w:pStyle w:val="TableLeft"/>
              <w:keepNext/>
              <w:keepLines/>
              <w:widowControl w:val="0"/>
              <w:rPr>
                <w:rFonts w:ascii="Arial Narrow" w:hAnsi="Arial Narrow"/>
                <w:szCs w:val="20"/>
              </w:rPr>
            </w:pPr>
            <w:r w:rsidRPr="00C21B1B">
              <w:rPr>
                <w:rFonts w:ascii="Arial Narrow" w:hAnsi="Arial Narrow"/>
                <w:szCs w:val="20"/>
              </w:rPr>
              <w:t>Total Costs</w:t>
            </w:r>
            <w:r w:rsidR="00C61910">
              <w:rPr>
                <w:rFonts w:ascii="Arial Narrow" w:hAnsi="Arial Narrow"/>
                <w:szCs w:val="20"/>
              </w:rPr>
              <w:t xml:space="preserve"> ($)</w:t>
            </w:r>
          </w:p>
        </w:tc>
        <w:tc>
          <w:tcPr>
            <w:tcW w:w="2263" w:type="dxa"/>
            <w:tcBorders>
              <w:top w:val="single" w:sz="4" w:space="0" w:color="auto"/>
              <w:left w:val="single" w:sz="4" w:space="0" w:color="auto"/>
              <w:bottom w:val="single" w:sz="4" w:space="0" w:color="auto"/>
              <w:right w:val="single" w:sz="4" w:space="0" w:color="auto"/>
            </w:tcBorders>
            <w:shd w:val="solid" w:color="000000" w:fill="000000"/>
            <w:vAlign w:val="center"/>
          </w:tcPr>
          <w:p w14:paraId="70C9C54E" w14:textId="2972D37B" w:rsidR="00832B86" w:rsidRPr="00C21B1B"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c>
          <w:tcPr>
            <w:tcW w:w="2242" w:type="dxa"/>
            <w:tcBorders>
              <w:top w:val="single" w:sz="4" w:space="0" w:color="auto"/>
              <w:left w:val="single" w:sz="4" w:space="0" w:color="auto"/>
              <w:bottom w:val="single" w:sz="4" w:space="0" w:color="auto"/>
              <w:right w:val="single" w:sz="4" w:space="0" w:color="auto"/>
            </w:tcBorders>
            <w:vAlign w:val="center"/>
          </w:tcPr>
          <w:p w14:paraId="07A3364E" w14:textId="718ED49F" w:rsidR="00832B86" w:rsidRPr="00C21B1B" w:rsidRDefault="00832B86" w:rsidP="003E016D">
            <w:pPr>
              <w:pStyle w:val="TableLeft"/>
              <w:keepNext/>
              <w:keepLines/>
              <w:widowControl w:val="0"/>
              <w:jc w:val="center"/>
              <w:rPr>
                <w:rFonts w:ascii="Arial Narrow" w:hAnsi="Arial Narrow"/>
                <w:szCs w:val="20"/>
              </w:rPr>
            </w:pPr>
            <w:r w:rsidRPr="00C21B1B">
              <w:rPr>
                <w:rFonts w:ascii="Arial Narrow" w:hAnsi="Arial Narrow"/>
                <w:szCs w:val="20"/>
              </w:rPr>
              <w:t>$521,205</w:t>
            </w:r>
          </w:p>
        </w:tc>
        <w:tc>
          <w:tcPr>
            <w:tcW w:w="2257" w:type="dxa"/>
            <w:tcBorders>
              <w:top w:val="single" w:sz="4" w:space="0" w:color="auto"/>
              <w:left w:val="single" w:sz="4" w:space="0" w:color="auto"/>
              <w:bottom w:val="single" w:sz="4" w:space="0" w:color="auto"/>
              <w:right w:val="single" w:sz="4" w:space="0" w:color="auto"/>
            </w:tcBorders>
            <w:shd w:val="solid" w:color="000000" w:fill="000000"/>
            <w:vAlign w:val="center"/>
          </w:tcPr>
          <w:p w14:paraId="1B66F048" w14:textId="159A2828" w:rsidR="00832B86" w:rsidRPr="000C48F9"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r>
      <w:tr w:rsidR="00832B86" w:rsidRPr="000C48F9" w14:paraId="04229D2B" w14:textId="77777777" w:rsidTr="001315B5">
        <w:tc>
          <w:tcPr>
            <w:tcW w:w="6759" w:type="dxa"/>
            <w:gridSpan w:val="3"/>
            <w:tcBorders>
              <w:top w:val="single" w:sz="4" w:space="0" w:color="auto"/>
              <w:left w:val="single" w:sz="4" w:space="0" w:color="auto"/>
              <w:bottom w:val="single" w:sz="4" w:space="0" w:color="auto"/>
              <w:right w:val="single" w:sz="4" w:space="0" w:color="auto"/>
            </w:tcBorders>
            <w:hideMark/>
          </w:tcPr>
          <w:p w14:paraId="03DEBEC6"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ICER (cost per LYG)</w:t>
            </w:r>
          </w:p>
        </w:tc>
        <w:tc>
          <w:tcPr>
            <w:tcW w:w="2257" w:type="dxa"/>
            <w:tcBorders>
              <w:top w:val="single" w:sz="4" w:space="0" w:color="auto"/>
              <w:left w:val="single" w:sz="4" w:space="0" w:color="auto"/>
              <w:bottom w:val="single" w:sz="4" w:space="0" w:color="auto"/>
              <w:right w:val="single" w:sz="4" w:space="0" w:color="auto"/>
            </w:tcBorders>
          </w:tcPr>
          <w:p w14:paraId="13497538" w14:textId="305D6126" w:rsidR="00832B86" w:rsidRPr="000C48F9" w:rsidRDefault="00987958" w:rsidP="003E016D">
            <w:pPr>
              <w:keepNext/>
              <w:keepLines/>
              <w:jc w:val="center"/>
              <w:rPr>
                <w:rFonts w:ascii="Arial Narrow" w:hAnsi="Arial Narrow" w:cs="Calibri"/>
                <w:color w:val="000000"/>
                <w:sz w:val="20"/>
                <w:szCs w:val="20"/>
              </w:rPr>
            </w:pPr>
            <w:r w:rsidRPr="00987958">
              <w:rPr>
                <w:rFonts w:ascii="Arial Narrow" w:hAnsi="Arial Narrow" w:cs="Calibri"/>
                <w:color w:val="000000"/>
                <w:sz w:val="20"/>
                <w:szCs w:val="20"/>
                <w:shd w:val="solid" w:color="000000" w:fill="000000"/>
                <w14:textFill>
                  <w14:solidFill>
                    <w14:srgbClr w14:val="000000">
                      <w14:alpha w14:val="100000"/>
                    </w14:srgbClr>
                  </w14:solidFill>
                </w14:textFill>
              </w:rPr>
              <w:t>|</w:t>
            </w:r>
            <w:r w:rsidR="003A21B2">
              <w:rPr>
                <w:rFonts w:ascii="Arial Narrow" w:hAnsi="Arial Narrow"/>
                <w:b/>
                <w:bCs/>
                <w:sz w:val="20"/>
                <w:szCs w:val="20"/>
                <w:vertAlign w:val="superscript"/>
              </w:rPr>
              <w:t>1</w:t>
            </w:r>
          </w:p>
        </w:tc>
      </w:tr>
      <w:tr w:rsidR="00832B86" w:rsidRPr="000C48F9" w14:paraId="7E9E7375" w14:textId="77777777" w:rsidTr="001315B5">
        <w:trPr>
          <w:trHeight w:val="56"/>
        </w:trPr>
        <w:tc>
          <w:tcPr>
            <w:tcW w:w="6759" w:type="dxa"/>
            <w:gridSpan w:val="3"/>
            <w:tcBorders>
              <w:top w:val="single" w:sz="4" w:space="0" w:color="auto"/>
              <w:left w:val="single" w:sz="4" w:space="0" w:color="auto"/>
              <w:bottom w:val="single" w:sz="4" w:space="0" w:color="auto"/>
              <w:right w:val="single" w:sz="4" w:space="0" w:color="auto"/>
            </w:tcBorders>
            <w:hideMark/>
          </w:tcPr>
          <w:p w14:paraId="3EF43A76"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b/>
                <w:szCs w:val="20"/>
              </w:rPr>
              <w:t>ICER (cost per QALY gained)</w:t>
            </w:r>
          </w:p>
        </w:tc>
        <w:tc>
          <w:tcPr>
            <w:tcW w:w="2257" w:type="dxa"/>
            <w:tcBorders>
              <w:top w:val="single" w:sz="4" w:space="0" w:color="auto"/>
              <w:left w:val="single" w:sz="4" w:space="0" w:color="auto"/>
              <w:bottom w:val="single" w:sz="4" w:space="0" w:color="auto"/>
              <w:right w:val="single" w:sz="4" w:space="0" w:color="auto"/>
            </w:tcBorders>
            <w:vAlign w:val="center"/>
          </w:tcPr>
          <w:p w14:paraId="3A73916A" w14:textId="201634A2" w:rsidR="00832B86" w:rsidRPr="000C48F9" w:rsidRDefault="00987958" w:rsidP="003E016D">
            <w:pPr>
              <w:pStyle w:val="TableLeft"/>
              <w:keepNext/>
              <w:keepLines/>
              <w:widowControl w:val="0"/>
              <w:jc w:val="center"/>
              <w:rPr>
                <w:rFonts w:ascii="Arial Narrow" w:hAnsi="Arial Narrow"/>
                <w:szCs w:val="20"/>
              </w:rPr>
            </w:pPr>
            <w:r w:rsidRPr="00987958">
              <w:rPr>
                <w:rFonts w:ascii="Arial Narrow" w:hAnsi="Arial Narrow"/>
                <w:b/>
                <w:bCs/>
                <w:color w:val="000000"/>
                <w:szCs w:val="20"/>
                <w:shd w:val="solid" w:color="000000" w:fill="000000"/>
                <w14:textFill>
                  <w14:solidFill>
                    <w14:srgbClr w14:val="000000">
                      <w14:alpha w14:val="100000"/>
                    </w14:srgbClr>
                  </w14:solidFill>
                </w14:textFill>
              </w:rPr>
              <w:t>|</w:t>
            </w:r>
            <w:r w:rsidR="003A21B2">
              <w:rPr>
                <w:rFonts w:ascii="Arial Narrow" w:hAnsi="Arial Narrow"/>
                <w:b/>
                <w:bCs/>
                <w:szCs w:val="20"/>
                <w:vertAlign w:val="superscript"/>
              </w:rPr>
              <w:t>2</w:t>
            </w:r>
          </w:p>
        </w:tc>
      </w:tr>
      <w:tr w:rsidR="00832B86" w:rsidRPr="000C48F9" w14:paraId="3184D012" w14:textId="77777777" w:rsidTr="001315B5">
        <w:trPr>
          <w:trHeight w:val="56"/>
        </w:trPr>
        <w:tc>
          <w:tcPr>
            <w:tcW w:w="9016" w:type="dxa"/>
            <w:gridSpan w:val="4"/>
            <w:tcBorders>
              <w:top w:val="single" w:sz="4" w:space="0" w:color="auto"/>
              <w:left w:val="single" w:sz="4" w:space="0" w:color="auto"/>
              <w:bottom w:val="single" w:sz="4" w:space="0" w:color="auto"/>
              <w:right w:val="single" w:sz="4" w:space="0" w:color="auto"/>
            </w:tcBorders>
          </w:tcPr>
          <w:p w14:paraId="1FC05B8C" w14:textId="77777777" w:rsidR="00832B86" w:rsidRPr="000C48F9" w:rsidRDefault="00832B86" w:rsidP="003E016D">
            <w:pPr>
              <w:pStyle w:val="TableLeft"/>
              <w:keepNext/>
              <w:keepLines/>
              <w:widowControl w:val="0"/>
              <w:rPr>
                <w:rFonts w:ascii="Arial Narrow" w:hAnsi="Arial Narrow"/>
                <w:b/>
                <w:bCs/>
                <w:szCs w:val="20"/>
              </w:rPr>
            </w:pPr>
            <w:r w:rsidRPr="000C48F9">
              <w:rPr>
                <w:rStyle w:val="SmallBold"/>
                <w:rFonts w:ascii="Arial Narrow" w:hAnsi="Arial Narrow"/>
                <w:szCs w:val="20"/>
              </w:rPr>
              <w:t xml:space="preserve">Combined </w:t>
            </w:r>
            <w:r w:rsidRPr="000C48F9">
              <w:rPr>
                <w:rStyle w:val="SmallBold"/>
                <w:rFonts w:ascii="Arial Narrow" w:hAnsi="Arial Narrow"/>
              </w:rPr>
              <w:t>(62% for F/F, and 38% for F/MF)</w:t>
            </w:r>
          </w:p>
        </w:tc>
      </w:tr>
      <w:tr w:rsidR="00832B86" w:rsidRPr="000C48F9" w14:paraId="6A9BBC3B" w14:textId="77777777" w:rsidTr="001315B5">
        <w:tc>
          <w:tcPr>
            <w:tcW w:w="2254" w:type="dxa"/>
            <w:tcBorders>
              <w:top w:val="single" w:sz="4" w:space="0" w:color="auto"/>
              <w:left w:val="single" w:sz="4" w:space="0" w:color="auto"/>
              <w:bottom w:val="single" w:sz="4" w:space="0" w:color="auto"/>
              <w:right w:val="single" w:sz="4" w:space="0" w:color="auto"/>
            </w:tcBorders>
          </w:tcPr>
          <w:p w14:paraId="4F2EFD95" w14:textId="77777777" w:rsidR="00832B86" w:rsidRPr="000C48F9" w:rsidRDefault="00832B86" w:rsidP="003E016D">
            <w:pPr>
              <w:pStyle w:val="TableLeft"/>
              <w:keepNext/>
              <w:keepLines/>
              <w:widowControl w:val="0"/>
              <w:rPr>
                <w:rStyle w:val="SmallBold"/>
                <w:rFonts w:ascii="Arial Narrow" w:hAnsi="Arial Narrow"/>
                <w:szCs w:val="20"/>
                <w:lang w:bidi="en-US"/>
              </w:rPr>
            </w:pPr>
          </w:p>
        </w:tc>
        <w:tc>
          <w:tcPr>
            <w:tcW w:w="2263" w:type="dxa"/>
            <w:tcBorders>
              <w:top w:val="single" w:sz="4" w:space="0" w:color="auto"/>
              <w:left w:val="single" w:sz="4" w:space="0" w:color="auto"/>
              <w:bottom w:val="single" w:sz="4" w:space="0" w:color="auto"/>
              <w:right w:val="single" w:sz="4" w:space="0" w:color="auto"/>
            </w:tcBorders>
            <w:hideMark/>
          </w:tcPr>
          <w:p w14:paraId="58C31C10" w14:textId="77777777" w:rsidR="00832B86" w:rsidRPr="000C48F9" w:rsidRDefault="00832B86" w:rsidP="003E016D">
            <w:pPr>
              <w:pStyle w:val="TableLeft"/>
              <w:keepNext/>
              <w:keepLines/>
              <w:widowControl w:val="0"/>
              <w:jc w:val="center"/>
              <w:rPr>
                <w:rStyle w:val="SmallBold"/>
                <w:rFonts w:ascii="Arial Narrow" w:hAnsi="Arial Narrow"/>
                <w:b w:val="0"/>
                <w:szCs w:val="20"/>
              </w:rPr>
            </w:pPr>
            <w:r w:rsidRPr="000C48F9">
              <w:rPr>
                <w:rFonts w:ascii="Arial Narrow" w:hAnsi="Arial Narrow" w:cstheme="minorHAnsi"/>
                <w:b/>
                <w:szCs w:val="20"/>
              </w:rPr>
              <w:t>ELX/TEZ/IVA</w:t>
            </w:r>
          </w:p>
        </w:tc>
        <w:tc>
          <w:tcPr>
            <w:tcW w:w="2242" w:type="dxa"/>
            <w:tcBorders>
              <w:top w:val="single" w:sz="4" w:space="0" w:color="auto"/>
              <w:left w:val="single" w:sz="4" w:space="0" w:color="auto"/>
              <w:bottom w:val="single" w:sz="4" w:space="0" w:color="auto"/>
              <w:right w:val="single" w:sz="4" w:space="0" w:color="auto"/>
            </w:tcBorders>
            <w:hideMark/>
          </w:tcPr>
          <w:p w14:paraId="501870F9" w14:textId="77777777" w:rsidR="00832B86" w:rsidRPr="000C48F9" w:rsidRDefault="00832B86" w:rsidP="003E016D">
            <w:pPr>
              <w:pStyle w:val="TableLeft"/>
              <w:keepNext/>
              <w:keepLines/>
              <w:widowControl w:val="0"/>
              <w:jc w:val="center"/>
              <w:rPr>
                <w:rStyle w:val="SmallBold"/>
                <w:rFonts w:ascii="Arial Narrow" w:hAnsi="Arial Narrow"/>
                <w:b w:val="0"/>
                <w:szCs w:val="20"/>
              </w:rPr>
            </w:pPr>
            <w:r w:rsidRPr="000C48F9">
              <w:rPr>
                <w:rFonts w:ascii="Arial Narrow" w:hAnsi="Arial Narrow" w:cstheme="minorHAnsi"/>
                <w:b/>
                <w:szCs w:val="20"/>
              </w:rPr>
              <w:t>LUM/IVA, BSC</w:t>
            </w:r>
          </w:p>
        </w:tc>
        <w:tc>
          <w:tcPr>
            <w:tcW w:w="2257" w:type="dxa"/>
            <w:tcBorders>
              <w:top w:val="single" w:sz="4" w:space="0" w:color="auto"/>
              <w:left w:val="single" w:sz="4" w:space="0" w:color="auto"/>
              <w:bottom w:val="single" w:sz="4" w:space="0" w:color="auto"/>
              <w:right w:val="single" w:sz="4" w:space="0" w:color="auto"/>
            </w:tcBorders>
            <w:hideMark/>
          </w:tcPr>
          <w:p w14:paraId="54B2CE28" w14:textId="77777777" w:rsidR="00832B86" w:rsidRPr="000C48F9" w:rsidRDefault="00832B86" w:rsidP="003E016D">
            <w:pPr>
              <w:pStyle w:val="TableLeft"/>
              <w:keepNext/>
              <w:keepLines/>
              <w:widowControl w:val="0"/>
              <w:jc w:val="center"/>
              <w:rPr>
                <w:rStyle w:val="SmallBold"/>
                <w:rFonts w:ascii="Arial Narrow" w:hAnsi="Arial Narrow"/>
                <w:szCs w:val="20"/>
              </w:rPr>
            </w:pPr>
            <w:r w:rsidRPr="000C48F9">
              <w:rPr>
                <w:rStyle w:val="SmallBold"/>
                <w:rFonts w:ascii="Arial Narrow" w:hAnsi="Arial Narrow"/>
                <w:szCs w:val="20"/>
              </w:rPr>
              <w:t>Incremental</w:t>
            </w:r>
          </w:p>
        </w:tc>
      </w:tr>
      <w:tr w:rsidR="00832B86" w:rsidRPr="000C48F9" w14:paraId="358F546D" w14:textId="77777777" w:rsidTr="001315B5">
        <w:tc>
          <w:tcPr>
            <w:tcW w:w="2254" w:type="dxa"/>
            <w:tcBorders>
              <w:top w:val="single" w:sz="4" w:space="0" w:color="auto"/>
              <w:left w:val="single" w:sz="4" w:space="0" w:color="auto"/>
              <w:bottom w:val="single" w:sz="4" w:space="0" w:color="auto"/>
              <w:right w:val="single" w:sz="4" w:space="0" w:color="auto"/>
            </w:tcBorders>
            <w:hideMark/>
          </w:tcPr>
          <w:p w14:paraId="73910C41" w14:textId="77777777" w:rsidR="00832B86" w:rsidRPr="000C48F9" w:rsidRDefault="00832B86" w:rsidP="003E016D">
            <w:pPr>
              <w:pStyle w:val="TableLeft"/>
              <w:keepNext/>
              <w:keepLines/>
              <w:widowControl w:val="0"/>
              <w:rPr>
                <w:szCs w:val="20"/>
              </w:rPr>
            </w:pPr>
            <w:r w:rsidRPr="000C48F9">
              <w:rPr>
                <w:rFonts w:ascii="Arial Narrow" w:hAnsi="Arial Narrow"/>
                <w:szCs w:val="20"/>
              </w:rPr>
              <w:t>Life Years</w:t>
            </w:r>
          </w:p>
        </w:tc>
        <w:tc>
          <w:tcPr>
            <w:tcW w:w="2263" w:type="dxa"/>
            <w:tcBorders>
              <w:top w:val="single" w:sz="4" w:space="0" w:color="auto"/>
              <w:left w:val="single" w:sz="4" w:space="0" w:color="auto"/>
              <w:bottom w:val="single" w:sz="4" w:space="0" w:color="auto"/>
              <w:right w:val="single" w:sz="4" w:space="0" w:color="auto"/>
            </w:tcBorders>
            <w:vAlign w:val="bottom"/>
          </w:tcPr>
          <w:p w14:paraId="1E901E3D" w14:textId="77777777" w:rsidR="00832B86" w:rsidRPr="000C48F9" w:rsidRDefault="00832B86" w:rsidP="003E016D">
            <w:pPr>
              <w:pStyle w:val="TableLeft"/>
              <w:keepNext/>
              <w:keepLines/>
              <w:widowControl w:val="0"/>
              <w:jc w:val="center"/>
              <w:rPr>
                <w:rFonts w:ascii="Arial Narrow" w:hAnsi="Arial Narrow"/>
                <w:i/>
                <w:iCs/>
                <w:szCs w:val="20"/>
              </w:rPr>
            </w:pPr>
            <w:r w:rsidRPr="000C48F9">
              <w:rPr>
                <w:rFonts w:ascii="Arial Narrow" w:hAnsi="Arial Narrow" w:cs="Calibri"/>
                <w:color w:val="000000"/>
                <w:szCs w:val="20"/>
              </w:rPr>
              <w:t>17.30</w:t>
            </w:r>
          </w:p>
        </w:tc>
        <w:tc>
          <w:tcPr>
            <w:tcW w:w="2242" w:type="dxa"/>
            <w:tcBorders>
              <w:top w:val="single" w:sz="4" w:space="0" w:color="auto"/>
              <w:left w:val="single" w:sz="4" w:space="0" w:color="auto"/>
              <w:bottom w:val="single" w:sz="4" w:space="0" w:color="auto"/>
              <w:right w:val="single" w:sz="4" w:space="0" w:color="auto"/>
            </w:tcBorders>
            <w:vAlign w:val="bottom"/>
          </w:tcPr>
          <w:p w14:paraId="19E4D11F" w14:textId="77777777" w:rsidR="00832B86" w:rsidRPr="000C48F9" w:rsidRDefault="00832B86" w:rsidP="003E016D">
            <w:pPr>
              <w:pStyle w:val="TableLeft"/>
              <w:keepNext/>
              <w:keepLines/>
              <w:widowControl w:val="0"/>
              <w:jc w:val="center"/>
              <w:rPr>
                <w:rFonts w:ascii="Arial Narrow" w:hAnsi="Arial Narrow"/>
                <w:i/>
                <w:iCs/>
                <w:szCs w:val="20"/>
              </w:rPr>
            </w:pPr>
            <w:r w:rsidRPr="000C48F9">
              <w:rPr>
                <w:rFonts w:ascii="Arial Narrow" w:hAnsi="Arial Narrow" w:cs="Calibri"/>
                <w:color w:val="000000"/>
                <w:szCs w:val="20"/>
              </w:rPr>
              <w:t>12.55</w:t>
            </w:r>
          </w:p>
        </w:tc>
        <w:tc>
          <w:tcPr>
            <w:tcW w:w="2257" w:type="dxa"/>
            <w:tcBorders>
              <w:top w:val="single" w:sz="4" w:space="0" w:color="auto"/>
              <w:left w:val="single" w:sz="4" w:space="0" w:color="auto"/>
              <w:bottom w:val="single" w:sz="4" w:space="0" w:color="auto"/>
              <w:right w:val="single" w:sz="4" w:space="0" w:color="auto"/>
            </w:tcBorders>
            <w:vAlign w:val="bottom"/>
          </w:tcPr>
          <w:p w14:paraId="7A374642" w14:textId="77777777" w:rsidR="00832B86" w:rsidRPr="000C48F9" w:rsidRDefault="00832B86" w:rsidP="003E016D">
            <w:pPr>
              <w:pStyle w:val="TableLeft"/>
              <w:keepNext/>
              <w:keepLines/>
              <w:widowControl w:val="0"/>
              <w:jc w:val="center"/>
              <w:rPr>
                <w:rFonts w:ascii="Arial Narrow" w:hAnsi="Arial Narrow"/>
                <w:i/>
                <w:iCs/>
                <w:szCs w:val="20"/>
              </w:rPr>
            </w:pPr>
            <w:r w:rsidRPr="000C48F9">
              <w:rPr>
                <w:rFonts w:ascii="Arial Narrow" w:hAnsi="Arial Narrow" w:cs="Calibri"/>
                <w:color w:val="000000"/>
                <w:szCs w:val="20"/>
              </w:rPr>
              <w:t>4.75</w:t>
            </w:r>
          </w:p>
        </w:tc>
      </w:tr>
      <w:tr w:rsidR="00832B86" w:rsidRPr="000C48F9" w14:paraId="3F458027"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56A6BC94"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QALYs</w:t>
            </w:r>
          </w:p>
        </w:tc>
        <w:tc>
          <w:tcPr>
            <w:tcW w:w="2263" w:type="dxa"/>
            <w:tcBorders>
              <w:top w:val="single" w:sz="4" w:space="0" w:color="auto"/>
              <w:left w:val="single" w:sz="4" w:space="0" w:color="auto"/>
              <w:bottom w:val="single" w:sz="4" w:space="0" w:color="auto"/>
              <w:right w:val="single" w:sz="4" w:space="0" w:color="auto"/>
            </w:tcBorders>
            <w:vAlign w:val="center"/>
          </w:tcPr>
          <w:p w14:paraId="559D5195"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16.97</w:t>
            </w:r>
          </w:p>
        </w:tc>
        <w:tc>
          <w:tcPr>
            <w:tcW w:w="2242" w:type="dxa"/>
            <w:tcBorders>
              <w:top w:val="single" w:sz="4" w:space="0" w:color="auto"/>
              <w:left w:val="single" w:sz="4" w:space="0" w:color="auto"/>
              <w:bottom w:val="single" w:sz="4" w:space="0" w:color="auto"/>
              <w:right w:val="single" w:sz="4" w:space="0" w:color="auto"/>
            </w:tcBorders>
            <w:vAlign w:val="center"/>
          </w:tcPr>
          <w:p w14:paraId="0F4F967A"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10.51</w:t>
            </w:r>
          </w:p>
        </w:tc>
        <w:tc>
          <w:tcPr>
            <w:tcW w:w="2257" w:type="dxa"/>
            <w:tcBorders>
              <w:top w:val="single" w:sz="4" w:space="0" w:color="auto"/>
              <w:left w:val="single" w:sz="4" w:space="0" w:color="auto"/>
              <w:bottom w:val="single" w:sz="4" w:space="0" w:color="auto"/>
              <w:right w:val="single" w:sz="4" w:space="0" w:color="auto"/>
            </w:tcBorders>
            <w:vAlign w:val="center"/>
          </w:tcPr>
          <w:p w14:paraId="7B4C7586" w14:textId="77777777" w:rsidR="00832B86" w:rsidRPr="000C48F9" w:rsidRDefault="00832B86" w:rsidP="003E016D">
            <w:pPr>
              <w:pStyle w:val="TableLeft"/>
              <w:keepNext/>
              <w:keepLines/>
              <w:widowControl w:val="0"/>
              <w:jc w:val="center"/>
              <w:rPr>
                <w:rFonts w:ascii="Arial Narrow" w:hAnsi="Arial Narrow"/>
                <w:szCs w:val="20"/>
              </w:rPr>
            </w:pPr>
            <w:r w:rsidRPr="000C48F9">
              <w:rPr>
                <w:rFonts w:ascii="Arial Narrow" w:hAnsi="Arial Narrow"/>
                <w:szCs w:val="20"/>
              </w:rPr>
              <w:t>6.46</w:t>
            </w:r>
          </w:p>
        </w:tc>
      </w:tr>
      <w:tr w:rsidR="00832B86" w:rsidRPr="000C48F9" w14:paraId="4F3EBBBB" w14:textId="77777777" w:rsidTr="00987958">
        <w:tc>
          <w:tcPr>
            <w:tcW w:w="2254" w:type="dxa"/>
            <w:tcBorders>
              <w:top w:val="single" w:sz="4" w:space="0" w:color="auto"/>
              <w:left w:val="single" w:sz="4" w:space="0" w:color="auto"/>
              <w:bottom w:val="single" w:sz="4" w:space="0" w:color="auto"/>
              <w:right w:val="single" w:sz="4" w:space="0" w:color="auto"/>
            </w:tcBorders>
            <w:hideMark/>
          </w:tcPr>
          <w:p w14:paraId="6852365A" w14:textId="62690F08" w:rsidR="00832B86" w:rsidRPr="00C21B1B" w:rsidRDefault="00832B86" w:rsidP="003E016D">
            <w:pPr>
              <w:pStyle w:val="TableLeft"/>
              <w:keepNext/>
              <w:keepLines/>
              <w:widowControl w:val="0"/>
              <w:rPr>
                <w:rFonts w:ascii="Arial Narrow" w:hAnsi="Arial Narrow"/>
                <w:szCs w:val="20"/>
              </w:rPr>
            </w:pPr>
            <w:r w:rsidRPr="00C21B1B">
              <w:rPr>
                <w:rFonts w:ascii="Arial Narrow" w:hAnsi="Arial Narrow"/>
                <w:szCs w:val="20"/>
              </w:rPr>
              <w:t>Total Costs</w:t>
            </w:r>
            <w:r w:rsidR="00C61910">
              <w:rPr>
                <w:rFonts w:ascii="Arial Narrow" w:hAnsi="Arial Narrow"/>
                <w:szCs w:val="20"/>
              </w:rPr>
              <w:t xml:space="preserve"> ($)</w:t>
            </w:r>
          </w:p>
        </w:tc>
        <w:tc>
          <w:tcPr>
            <w:tcW w:w="2263" w:type="dxa"/>
            <w:tcBorders>
              <w:top w:val="single" w:sz="4" w:space="0" w:color="auto"/>
              <w:left w:val="single" w:sz="4" w:space="0" w:color="auto"/>
              <w:bottom w:val="single" w:sz="4" w:space="0" w:color="auto"/>
              <w:right w:val="single" w:sz="4" w:space="0" w:color="auto"/>
            </w:tcBorders>
            <w:shd w:val="solid" w:color="000000" w:fill="000000"/>
            <w:vAlign w:val="center"/>
          </w:tcPr>
          <w:p w14:paraId="34FC00E6" w14:textId="0F6629B1" w:rsidR="00832B86" w:rsidRPr="00C21B1B"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c>
          <w:tcPr>
            <w:tcW w:w="2242" w:type="dxa"/>
            <w:tcBorders>
              <w:top w:val="single" w:sz="4" w:space="0" w:color="auto"/>
              <w:left w:val="single" w:sz="4" w:space="0" w:color="auto"/>
              <w:bottom w:val="single" w:sz="4" w:space="0" w:color="auto"/>
              <w:right w:val="single" w:sz="4" w:space="0" w:color="auto"/>
            </w:tcBorders>
            <w:shd w:val="solid" w:color="000000" w:fill="000000"/>
            <w:vAlign w:val="center"/>
          </w:tcPr>
          <w:p w14:paraId="42BB481A" w14:textId="6A3276F8" w:rsidR="00832B86" w:rsidRPr="00C21B1B"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c>
          <w:tcPr>
            <w:tcW w:w="2257" w:type="dxa"/>
            <w:tcBorders>
              <w:top w:val="single" w:sz="4" w:space="0" w:color="auto"/>
              <w:left w:val="single" w:sz="4" w:space="0" w:color="auto"/>
              <w:bottom w:val="single" w:sz="4" w:space="0" w:color="auto"/>
              <w:right w:val="single" w:sz="4" w:space="0" w:color="auto"/>
            </w:tcBorders>
            <w:shd w:val="solid" w:color="000000" w:fill="000000"/>
            <w:vAlign w:val="center"/>
          </w:tcPr>
          <w:p w14:paraId="25C9F167" w14:textId="25EACD86" w:rsidR="00832B86" w:rsidRPr="000C48F9" w:rsidRDefault="00987958" w:rsidP="003E016D">
            <w:pPr>
              <w:pStyle w:val="TableLeft"/>
              <w:keepNext/>
              <w:keepLines/>
              <w:widowControl w:val="0"/>
              <w:jc w:val="center"/>
              <w:rPr>
                <w:rFonts w:ascii="Arial Narrow" w:hAnsi="Arial Narrow"/>
                <w:szCs w:val="20"/>
              </w:rPr>
            </w:pPr>
            <w:r w:rsidRPr="00987958">
              <w:rPr>
                <w:rFonts w:ascii="Arial Narrow" w:hAnsi="Arial Narrow"/>
                <w:color w:val="000000"/>
                <w:szCs w:val="20"/>
                <w14:textFill>
                  <w14:solidFill>
                    <w14:srgbClr w14:val="000000">
                      <w14:alpha w14:val="100000"/>
                    </w14:srgbClr>
                  </w14:solidFill>
                </w14:textFill>
              </w:rPr>
              <w:t>|</w:t>
            </w:r>
          </w:p>
        </w:tc>
      </w:tr>
      <w:tr w:rsidR="00832B86" w:rsidRPr="000C48F9" w14:paraId="1AAA131D" w14:textId="77777777" w:rsidTr="001315B5">
        <w:tc>
          <w:tcPr>
            <w:tcW w:w="6759" w:type="dxa"/>
            <w:gridSpan w:val="3"/>
            <w:tcBorders>
              <w:top w:val="single" w:sz="4" w:space="0" w:color="auto"/>
              <w:left w:val="single" w:sz="4" w:space="0" w:color="auto"/>
              <w:bottom w:val="single" w:sz="4" w:space="0" w:color="auto"/>
              <w:right w:val="single" w:sz="4" w:space="0" w:color="auto"/>
            </w:tcBorders>
            <w:hideMark/>
          </w:tcPr>
          <w:p w14:paraId="34B4E16E"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szCs w:val="20"/>
              </w:rPr>
              <w:t>ICER (cost per LYG)</w:t>
            </w:r>
          </w:p>
        </w:tc>
        <w:tc>
          <w:tcPr>
            <w:tcW w:w="2257" w:type="dxa"/>
            <w:tcBorders>
              <w:top w:val="single" w:sz="4" w:space="0" w:color="auto"/>
              <w:left w:val="single" w:sz="4" w:space="0" w:color="auto"/>
              <w:bottom w:val="single" w:sz="4" w:space="0" w:color="auto"/>
              <w:right w:val="single" w:sz="4" w:space="0" w:color="auto"/>
            </w:tcBorders>
          </w:tcPr>
          <w:p w14:paraId="1A391367" w14:textId="73CE1D44" w:rsidR="00832B86" w:rsidRPr="000C48F9" w:rsidRDefault="00987958" w:rsidP="003E016D">
            <w:pPr>
              <w:keepNext/>
              <w:keepLines/>
              <w:jc w:val="center"/>
              <w:rPr>
                <w:rFonts w:ascii="Arial Narrow" w:hAnsi="Arial Narrow" w:cs="Calibri"/>
                <w:color w:val="000000"/>
                <w:sz w:val="20"/>
                <w:szCs w:val="20"/>
              </w:rPr>
            </w:pPr>
            <w:r w:rsidRPr="00987958">
              <w:rPr>
                <w:rFonts w:ascii="Arial Narrow" w:hAnsi="Arial Narrow" w:cs="Calibri"/>
                <w:color w:val="000000"/>
                <w:sz w:val="20"/>
                <w:szCs w:val="20"/>
                <w:shd w:val="solid" w:color="000000" w:fill="000000"/>
                <w14:textFill>
                  <w14:solidFill>
                    <w14:srgbClr w14:val="000000">
                      <w14:alpha w14:val="100000"/>
                    </w14:srgbClr>
                  </w14:solidFill>
                </w14:textFill>
              </w:rPr>
              <w:t>|</w:t>
            </w:r>
            <w:r w:rsidR="003A21B2">
              <w:rPr>
                <w:rFonts w:ascii="Arial Narrow" w:hAnsi="Arial Narrow"/>
                <w:b/>
                <w:bCs/>
                <w:sz w:val="20"/>
                <w:szCs w:val="20"/>
                <w:vertAlign w:val="superscript"/>
              </w:rPr>
              <w:t>1</w:t>
            </w:r>
          </w:p>
        </w:tc>
      </w:tr>
      <w:tr w:rsidR="00832B86" w:rsidRPr="000C48F9" w14:paraId="2CA3DE04" w14:textId="77777777" w:rsidTr="001315B5">
        <w:tc>
          <w:tcPr>
            <w:tcW w:w="6759" w:type="dxa"/>
            <w:gridSpan w:val="3"/>
            <w:tcBorders>
              <w:top w:val="single" w:sz="4" w:space="0" w:color="auto"/>
              <w:left w:val="single" w:sz="4" w:space="0" w:color="auto"/>
              <w:bottom w:val="single" w:sz="4" w:space="0" w:color="auto"/>
              <w:right w:val="single" w:sz="4" w:space="0" w:color="auto"/>
            </w:tcBorders>
            <w:hideMark/>
          </w:tcPr>
          <w:p w14:paraId="09ABF7F6" w14:textId="77777777" w:rsidR="00832B86" w:rsidRPr="000C48F9" w:rsidRDefault="00832B86" w:rsidP="003E016D">
            <w:pPr>
              <w:pStyle w:val="TableLeft"/>
              <w:keepNext/>
              <w:keepLines/>
              <w:widowControl w:val="0"/>
              <w:rPr>
                <w:rFonts w:ascii="Arial Narrow" w:hAnsi="Arial Narrow"/>
                <w:szCs w:val="20"/>
              </w:rPr>
            </w:pPr>
            <w:r w:rsidRPr="000C48F9">
              <w:rPr>
                <w:rFonts w:ascii="Arial Narrow" w:hAnsi="Arial Narrow"/>
                <w:b/>
                <w:szCs w:val="20"/>
              </w:rPr>
              <w:t>ICER (cost per QALY gained)</w:t>
            </w:r>
          </w:p>
        </w:tc>
        <w:tc>
          <w:tcPr>
            <w:tcW w:w="2257" w:type="dxa"/>
            <w:tcBorders>
              <w:top w:val="single" w:sz="4" w:space="0" w:color="auto"/>
              <w:left w:val="single" w:sz="4" w:space="0" w:color="auto"/>
              <w:bottom w:val="single" w:sz="4" w:space="0" w:color="auto"/>
              <w:right w:val="single" w:sz="4" w:space="0" w:color="auto"/>
            </w:tcBorders>
            <w:vAlign w:val="center"/>
          </w:tcPr>
          <w:p w14:paraId="2554433A" w14:textId="11D51431" w:rsidR="00832B86" w:rsidRPr="000C48F9" w:rsidRDefault="00987958" w:rsidP="003E016D">
            <w:pPr>
              <w:pStyle w:val="TableLeft"/>
              <w:keepNext/>
              <w:keepLines/>
              <w:widowControl w:val="0"/>
              <w:jc w:val="center"/>
              <w:rPr>
                <w:rFonts w:ascii="Arial Narrow" w:hAnsi="Arial Narrow"/>
                <w:b/>
                <w:bCs/>
                <w:szCs w:val="20"/>
              </w:rPr>
            </w:pPr>
            <w:r w:rsidRPr="00987958">
              <w:rPr>
                <w:rFonts w:ascii="Arial Narrow" w:hAnsi="Arial Narrow"/>
                <w:b/>
                <w:bCs/>
                <w:color w:val="000000"/>
                <w:szCs w:val="20"/>
                <w:shd w:val="solid" w:color="000000" w:fill="000000"/>
                <w14:textFill>
                  <w14:solidFill>
                    <w14:srgbClr w14:val="000000">
                      <w14:alpha w14:val="100000"/>
                    </w14:srgbClr>
                  </w14:solidFill>
                </w14:textFill>
              </w:rPr>
              <w:t>|</w:t>
            </w:r>
            <w:r w:rsidR="003A21B2">
              <w:rPr>
                <w:rFonts w:ascii="Arial Narrow" w:hAnsi="Arial Narrow"/>
                <w:b/>
                <w:bCs/>
                <w:szCs w:val="20"/>
                <w:vertAlign w:val="superscript"/>
              </w:rPr>
              <w:t>2</w:t>
            </w:r>
            <w:r w:rsidR="00832B86" w:rsidRPr="000C48F9">
              <w:rPr>
                <w:rFonts w:ascii="Arial Narrow" w:hAnsi="Arial Narrow"/>
                <w:b/>
                <w:bCs/>
                <w:szCs w:val="20"/>
              </w:rPr>
              <w:t xml:space="preserve"> </w:t>
            </w:r>
          </w:p>
        </w:tc>
      </w:tr>
    </w:tbl>
    <w:p w14:paraId="2589000B" w14:textId="77777777" w:rsidR="00832B86" w:rsidRPr="000C48F9" w:rsidRDefault="00832B86" w:rsidP="003E016D">
      <w:pPr>
        <w:pStyle w:val="TableFigureFooter"/>
        <w:keepNext/>
        <w:keepLines/>
      </w:pPr>
      <w:r w:rsidRPr="000C48F9">
        <w:t>Source: Table 4.1.30, p173 of the submission; worksheet ‘Results’ of the Excel model</w:t>
      </w:r>
    </w:p>
    <w:p w14:paraId="3C67FF1C" w14:textId="77777777" w:rsidR="007F6462" w:rsidRDefault="00832B86" w:rsidP="007F6462">
      <w:pPr>
        <w:pStyle w:val="TableFigureFooter"/>
        <w:keepNext/>
        <w:keepLines/>
        <w:rPr>
          <w:szCs w:val="18"/>
        </w:rPr>
      </w:pPr>
      <w:r w:rsidRPr="000C48F9">
        <w:rPr>
          <w:szCs w:val="18"/>
        </w:rPr>
        <w:t>BSC = best supportive care; CUA = cost-utility analysis; ELX/TEZ/IVA = elexacaftor/tezacaftor/ivacaftor; F/F = homozygous for F508del-CFTR mutations; F/MF = heterozygous for F508del-CFTR mutation with a second minimal function allele; ICER = incremental cost-effectiveness ratio; pulmonary exacerbation; LUM/IVA = lumacaftor/ivacaftor; QALYs =, quality-adjusted life-years</w:t>
      </w:r>
    </w:p>
    <w:p w14:paraId="25DAC5B4" w14:textId="77777777" w:rsidR="007F6462" w:rsidRDefault="00CB0232" w:rsidP="007F6462">
      <w:pPr>
        <w:pStyle w:val="TableFigureFooter"/>
        <w:keepNext/>
        <w:keepLines/>
        <w:rPr>
          <w:i/>
          <w:szCs w:val="18"/>
        </w:rPr>
      </w:pPr>
      <w:r>
        <w:rPr>
          <w:i/>
          <w:szCs w:val="18"/>
        </w:rPr>
        <w:t xml:space="preserve">The redacted values correspond to the following ranges: </w:t>
      </w:r>
    </w:p>
    <w:p w14:paraId="5A9C676D" w14:textId="0F0AD565" w:rsidR="00F32DB9" w:rsidRDefault="00CB0232" w:rsidP="007F6462">
      <w:pPr>
        <w:pStyle w:val="TableFigureFooter"/>
        <w:keepNext/>
        <w:keepLines/>
        <w:rPr>
          <w:i/>
          <w:szCs w:val="18"/>
        </w:rPr>
      </w:pPr>
      <w:r>
        <w:rPr>
          <w:i/>
          <w:szCs w:val="18"/>
          <w:vertAlign w:val="superscript"/>
        </w:rPr>
        <w:t>1</w:t>
      </w:r>
      <w:r>
        <w:rPr>
          <w:i/>
          <w:szCs w:val="18"/>
        </w:rPr>
        <w:t xml:space="preserve"> </w:t>
      </w:r>
      <w:r w:rsidR="003A21B2" w:rsidRPr="00CB0232">
        <w:rPr>
          <w:i/>
          <w:szCs w:val="18"/>
        </w:rPr>
        <w:t>$155,000 to &lt; $255,000</w:t>
      </w:r>
    </w:p>
    <w:p w14:paraId="777084B0" w14:textId="6E406EB7" w:rsidR="00CB0232" w:rsidRPr="000C48F9" w:rsidRDefault="00F32DB9" w:rsidP="003E016D">
      <w:pPr>
        <w:pStyle w:val="TableFigureFooter"/>
        <w:keepNext/>
        <w:keepLines/>
        <w:rPr>
          <w:b/>
          <w:bCs/>
          <w:color w:val="0066FF"/>
        </w:rPr>
      </w:pPr>
      <w:r w:rsidRPr="00F32DB9">
        <w:rPr>
          <w:i/>
          <w:szCs w:val="18"/>
          <w:vertAlign w:val="superscript"/>
        </w:rPr>
        <w:t>2</w:t>
      </w:r>
      <w:r w:rsidR="003A21B2">
        <w:rPr>
          <w:i/>
          <w:szCs w:val="18"/>
          <w:vertAlign w:val="superscript"/>
        </w:rPr>
        <w:t xml:space="preserve"> </w:t>
      </w:r>
      <w:r w:rsidR="003A21B2" w:rsidRPr="00CB0232">
        <w:rPr>
          <w:i/>
          <w:szCs w:val="18"/>
        </w:rPr>
        <w:t>$135,000 to &lt; $155,000</w:t>
      </w:r>
    </w:p>
    <w:p w14:paraId="3169629C" w14:textId="275CDE94" w:rsidR="00832B86" w:rsidRPr="000C48F9" w:rsidRDefault="00832B86" w:rsidP="00832B86">
      <w:pPr>
        <w:pStyle w:val="3-BodyText"/>
        <w:rPr>
          <w:b/>
          <w:bCs/>
          <w:color w:val="0066FF"/>
        </w:rPr>
      </w:pPr>
      <w:r w:rsidRPr="000C48F9">
        <w:t xml:space="preserve">The base case ICER for ELX/TEZ/IVA was estimated at </w:t>
      </w:r>
      <w:r w:rsidR="005D0478" w:rsidRPr="005D0478">
        <w:t xml:space="preserve">$135,000 to &lt; $155,000 </w:t>
      </w:r>
      <w:r w:rsidRPr="005D0478">
        <w:t xml:space="preserve">per QALY gained for the F/F population and </w:t>
      </w:r>
      <w:r w:rsidR="005D0478" w:rsidRPr="005D0478">
        <w:t xml:space="preserve">$135,000 to &lt; $155,000 </w:t>
      </w:r>
      <w:r w:rsidRPr="000C48F9">
        <w:t xml:space="preserve">per QALY gained for the F/MF population. The combined ICER was </w:t>
      </w:r>
      <w:r w:rsidR="005D0478" w:rsidRPr="005D0478">
        <w:t xml:space="preserve">$135,000 to &lt; $155,000 </w:t>
      </w:r>
      <w:r w:rsidRPr="000C48F9">
        <w:t xml:space="preserve">per QALY gained. </w:t>
      </w:r>
    </w:p>
    <w:p w14:paraId="32F8BDBC" w14:textId="10147A93" w:rsidR="00832B86" w:rsidRPr="000C48F9" w:rsidRDefault="00832B86" w:rsidP="00832B86">
      <w:pPr>
        <w:pStyle w:val="3-BodyText"/>
        <w:rPr>
          <w:i/>
          <w:iCs/>
        </w:rPr>
      </w:pPr>
      <w:r w:rsidRPr="000C48F9">
        <w:t xml:space="preserve">A summary of key sensitivity analyses is presented in </w:t>
      </w:r>
      <w:r w:rsidRPr="000C48F9">
        <w:rPr>
          <w:rFonts w:cstheme="minorHAnsi"/>
        </w:rPr>
        <w:fldChar w:fldCharType="begin" w:fldLock="1"/>
      </w:r>
      <w:r w:rsidRPr="000C48F9">
        <w:rPr>
          <w:rFonts w:cstheme="minorHAnsi"/>
        </w:rPr>
        <w:instrText xml:space="preserve"> REF _Ref112923493 \h </w:instrText>
      </w:r>
      <w:r w:rsidR="006D46AE" w:rsidRPr="000C48F9">
        <w:rPr>
          <w:rFonts w:cstheme="minorHAnsi"/>
        </w:rPr>
        <w:instrText xml:space="preserve"> \* MERGEFORMAT </w:instrText>
      </w:r>
      <w:r w:rsidRPr="000C48F9">
        <w:rPr>
          <w:rFonts w:cstheme="minorHAnsi"/>
        </w:rPr>
      </w:r>
      <w:r w:rsidRPr="000C48F9">
        <w:rPr>
          <w:rFonts w:cstheme="minorHAnsi"/>
        </w:rPr>
        <w:fldChar w:fldCharType="separate"/>
      </w:r>
      <w:r w:rsidR="009A1227" w:rsidRPr="009A1227">
        <w:rPr>
          <w:rFonts w:cstheme="minorHAnsi"/>
        </w:rPr>
        <w:t>Table 16</w:t>
      </w:r>
      <w:r w:rsidRPr="000C48F9">
        <w:rPr>
          <w:rFonts w:cstheme="minorHAnsi"/>
        </w:rPr>
        <w:fldChar w:fldCharType="end"/>
      </w:r>
      <w:r w:rsidRPr="000C48F9">
        <w:rPr>
          <w:rFonts w:cstheme="minorHAnsi"/>
        </w:rPr>
        <w:t>.</w:t>
      </w:r>
      <w:r w:rsidRPr="000C48F9">
        <w:t xml:space="preserve"> </w:t>
      </w:r>
      <w:r w:rsidRPr="000C48F9">
        <w:rPr>
          <w:iCs/>
        </w:rPr>
        <w:t xml:space="preserve">The results of the sensitivity analyses suggest that the model was most sensitive to changing </w:t>
      </w:r>
      <w:r w:rsidR="000A1BBC">
        <w:rPr>
          <w:iCs/>
        </w:rPr>
        <w:t xml:space="preserve">the </w:t>
      </w:r>
      <w:r w:rsidRPr="000C48F9">
        <w:rPr>
          <w:iCs/>
        </w:rPr>
        <w:t>discounting rate, time horizon and removing the loss of exclusivity (LoE) assumption.</w:t>
      </w:r>
      <w:r w:rsidRPr="000C48F9">
        <w:rPr>
          <w:i/>
          <w:iCs/>
        </w:rPr>
        <w:t xml:space="preserve"> </w:t>
      </w:r>
    </w:p>
    <w:p w14:paraId="0B939E95" w14:textId="64707E00" w:rsidR="00832B86" w:rsidRPr="000C48F9" w:rsidRDefault="00832B86" w:rsidP="003E016D">
      <w:pPr>
        <w:pStyle w:val="TableHeadingleft"/>
        <w:keepNext/>
        <w:keepLines/>
        <w:rPr>
          <w:rStyle w:val="CommentReference"/>
          <w:b/>
          <w:szCs w:val="20"/>
          <w:lang w:val="en-AU"/>
        </w:rPr>
      </w:pPr>
      <w:bookmarkStart w:id="48" w:name="_Ref112923493"/>
      <w:r w:rsidRPr="000C48F9">
        <w:rPr>
          <w:rFonts w:ascii="Arial Narrow" w:hAnsi="Arial Narrow"/>
          <w:sz w:val="20"/>
          <w:szCs w:val="20"/>
          <w:lang w:val="en-AU"/>
        </w:rPr>
        <w:t xml:space="preserve">Table </w:t>
      </w:r>
      <w:r w:rsidRPr="000C48F9">
        <w:rPr>
          <w:rFonts w:ascii="Arial Narrow" w:hAnsi="Arial Narrow"/>
          <w:sz w:val="20"/>
          <w:szCs w:val="20"/>
          <w:lang w:val="en-AU"/>
        </w:rPr>
        <w:fldChar w:fldCharType="begin" w:fldLock="1"/>
      </w:r>
      <w:r w:rsidRPr="000C48F9">
        <w:rPr>
          <w:rFonts w:ascii="Arial Narrow" w:hAnsi="Arial Narrow"/>
          <w:sz w:val="20"/>
          <w:szCs w:val="20"/>
          <w:lang w:val="en-AU"/>
        </w:rPr>
        <w:instrText xml:space="preserve"> SEQ Table \* ARABIC </w:instrText>
      </w:r>
      <w:r w:rsidRPr="000C48F9">
        <w:rPr>
          <w:rFonts w:ascii="Arial Narrow" w:hAnsi="Arial Narrow"/>
          <w:sz w:val="20"/>
          <w:szCs w:val="20"/>
          <w:lang w:val="en-AU"/>
        </w:rPr>
        <w:fldChar w:fldCharType="separate"/>
      </w:r>
      <w:r w:rsidR="009A1227">
        <w:rPr>
          <w:rFonts w:ascii="Arial Narrow" w:hAnsi="Arial Narrow"/>
          <w:noProof/>
          <w:sz w:val="20"/>
          <w:szCs w:val="20"/>
          <w:lang w:val="en-AU"/>
        </w:rPr>
        <w:t>16</w:t>
      </w:r>
      <w:r w:rsidRPr="000C48F9">
        <w:rPr>
          <w:rFonts w:ascii="Arial Narrow" w:hAnsi="Arial Narrow"/>
          <w:sz w:val="20"/>
          <w:szCs w:val="20"/>
          <w:lang w:val="en-AU"/>
        </w:rPr>
        <w:fldChar w:fldCharType="end"/>
      </w:r>
      <w:bookmarkEnd w:id="48"/>
      <w:r w:rsidRPr="000C48F9">
        <w:rPr>
          <w:rFonts w:ascii="Arial Narrow" w:hAnsi="Arial Narrow"/>
          <w:sz w:val="20"/>
          <w:szCs w:val="20"/>
          <w:lang w:val="en-AU"/>
        </w:rPr>
        <w:t>:</w:t>
      </w:r>
      <w:r w:rsidRPr="000C48F9">
        <w:rPr>
          <w:rStyle w:val="CommentReference"/>
          <w:b/>
          <w:szCs w:val="20"/>
          <w:lang w:val="en-AU"/>
        </w:rPr>
        <w:t xml:space="preserve"> Sensitivity analyses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5"/>
        <w:gridCol w:w="1598"/>
        <w:gridCol w:w="1378"/>
        <w:gridCol w:w="1842"/>
      </w:tblGrid>
      <w:tr w:rsidR="00832B86" w:rsidRPr="000C48F9" w14:paraId="6BD0B087" w14:textId="77777777" w:rsidTr="001315B5">
        <w:trPr>
          <w:tblHeader/>
        </w:trPr>
        <w:tc>
          <w:tcPr>
            <w:tcW w:w="3114" w:type="dxa"/>
            <w:tcBorders>
              <w:top w:val="single" w:sz="4" w:space="0" w:color="auto"/>
              <w:left w:val="single" w:sz="4" w:space="0" w:color="auto"/>
              <w:bottom w:val="single" w:sz="4" w:space="0" w:color="auto"/>
              <w:right w:val="single" w:sz="4" w:space="0" w:color="auto"/>
            </w:tcBorders>
            <w:hideMark/>
          </w:tcPr>
          <w:p w14:paraId="39375FF8" w14:textId="77777777" w:rsidR="00832B86" w:rsidRPr="000C48F9" w:rsidRDefault="00832B86" w:rsidP="003E016D">
            <w:pPr>
              <w:pStyle w:val="In-tableHeading"/>
              <w:keepLines/>
              <w:widowControl w:val="0"/>
              <w:rPr>
                <w:szCs w:val="20"/>
                <w:lang w:val="en-AU"/>
              </w:rPr>
            </w:pPr>
            <w:r w:rsidRPr="000C48F9">
              <w:rPr>
                <w:szCs w:val="20"/>
                <w:lang w:val="en-AU"/>
              </w:rPr>
              <w:t>Analyses</w:t>
            </w:r>
          </w:p>
        </w:tc>
        <w:tc>
          <w:tcPr>
            <w:tcW w:w="1135" w:type="dxa"/>
            <w:tcBorders>
              <w:top w:val="single" w:sz="4" w:space="0" w:color="auto"/>
              <w:left w:val="single" w:sz="4" w:space="0" w:color="auto"/>
              <w:bottom w:val="single" w:sz="4" w:space="0" w:color="auto"/>
              <w:right w:val="single" w:sz="4" w:space="0" w:color="auto"/>
            </w:tcBorders>
          </w:tcPr>
          <w:p w14:paraId="1C697C85" w14:textId="77777777" w:rsidR="00832B86" w:rsidRPr="000C48F9" w:rsidRDefault="00832B86" w:rsidP="003E016D">
            <w:pPr>
              <w:pStyle w:val="In-tableHeading"/>
              <w:keepLines/>
              <w:widowControl w:val="0"/>
              <w:jc w:val="center"/>
              <w:rPr>
                <w:szCs w:val="20"/>
                <w:lang w:val="en-AU"/>
              </w:rPr>
            </w:pPr>
            <w:r w:rsidRPr="000C48F9">
              <w:rPr>
                <w:szCs w:val="20"/>
                <w:lang w:val="en-AU"/>
              </w:rPr>
              <w:t>Patient population</w:t>
            </w:r>
          </w:p>
        </w:tc>
        <w:tc>
          <w:tcPr>
            <w:tcW w:w="1598" w:type="dxa"/>
            <w:tcBorders>
              <w:top w:val="single" w:sz="4" w:space="0" w:color="auto"/>
              <w:left w:val="single" w:sz="4" w:space="0" w:color="auto"/>
              <w:bottom w:val="single" w:sz="4" w:space="0" w:color="auto"/>
              <w:right w:val="single" w:sz="4" w:space="0" w:color="auto"/>
            </w:tcBorders>
            <w:hideMark/>
          </w:tcPr>
          <w:p w14:paraId="15DAC27A" w14:textId="77777777" w:rsidR="00832B86" w:rsidRPr="000C48F9" w:rsidRDefault="00832B86" w:rsidP="003E016D">
            <w:pPr>
              <w:pStyle w:val="In-tableHeading"/>
              <w:keepLines/>
              <w:widowControl w:val="0"/>
              <w:jc w:val="center"/>
              <w:rPr>
                <w:szCs w:val="20"/>
                <w:lang w:val="en-AU"/>
              </w:rPr>
            </w:pPr>
            <w:r w:rsidRPr="000C48F9">
              <w:rPr>
                <w:szCs w:val="20"/>
                <w:lang w:val="en-AU"/>
              </w:rPr>
              <w:t>Incremental cost</w:t>
            </w:r>
          </w:p>
        </w:tc>
        <w:tc>
          <w:tcPr>
            <w:tcW w:w="1378" w:type="dxa"/>
            <w:tcBorders>
              <w:top w:val="single" w:sz="4" w:space="0" w:color="auto"/>
              <w:left w:val="single" w:sz="4" w:space="0" w:color="auto"/>
              <w:bottom w:val="single" w:sz="4" w:space="0" w:color="auto"/>
              <w:right w:val="single" w:sz="4" w:space="0" w:color="auto"/>
            </w:tcBorders>
            <w:hideMark/>
          </w:tcPr>
          <w:p w14:paraId="046372BA" w14:textId="77777777" w:rsidR="00832B86" w:rsidRPr="000C48F9" w:rsidRDefault="00832B86" w:rsidP="003E016D">
            <w:pPr>
              <w:pStyle w:val="In-tableHeading"/>
              <w:keepLines/>
              <w:widowControl w:val="0"/>
              <w:jc w:val="center"/>
              <w:rPr>
                <w:szCs w:val="20"/>
                <w:lang w:val="en-AU"/>
              </w:rPr>
            </w:pPr>
            <w:r w:rsidRPr="000C48F9">
              <w:rPr>
                <w:szCs w:val="20"/>
                <w:lang w:val="en-AU"/>
              </w:rPr>
              <w:t>Incremental QALY</w:t>
            </w:r>
          </w:p>
        </w:tc>
        <w:tc>
          <w:tcPr>
            <w:tcW w:w="1842" w:type="dxa"/>
            <w:tcBorders>
              <w:top w:val="single" w:sz="4" w:space="0" w:color="auto"/>
              <w:left w:val="single" w:sz="4" w:space="0" w:color="auto"/>
              <w:bottom w:val="single" w:sz="4" w:space="0" w:color="auto"/>
              <w:right w:val="single" w:sz="4" w:space="0" w:color="auto"/>
            </w:tcBorders>
            <w:hideMark/>
          </w:tcPr>
          <w:p w14:paraId="76350A15" w14:textId="77777777" w:rsidR="00832B86" w:rsidRPr="000C48F9" w:rsidRDefault="00832B86" w:rsidP="003E016D">
            <w:pPr>
              <w:pStyle w:val="In-tableHeading"/>
              <w:keepLines/>
              <w:widowControl w:val="0"/>
              <w:jc w:val="center"/>
              <w:rPr>
                <w:szCs w:val="20"/>
                <w:lang w:val="en-AU"/>
              </w:rPr>
            </w:pPr>
            <w:r w:rsidRPr="000C48F9">
              <w:rPr>
                <w:szCs w:val="20"/>
                <w:lang w:val="en-AU"/>
              </w:rPr>
              <w:t>ICER (changed from base case)</w:t>
            </w:r>
          </w:p>
        </w:tc>
      </w:tr>
      <w:tr w:rsidR="00832B86" w:rsidRPr="000C48F9" w14:paraId="63A80361" w14:textId="77777777" w:rsidTr="001315B5">
        <w:tc>
          <w:tcPr>
            <w:tcW w:w="3114" w:type="dxa"/>
            <w:vMerge w:val="restart"/>
            <w:tcBorders>
              <w:top w:val="single" w:sz="4" w:space="0" w:color="auto"/>
              <w:left w:val="single" w:sz="4" w:space="0" w:color="auto"/>
              <w:right w:val="single" w:sz="4" w:space="0" w:color="auto"/>
            </w:tcBorders>
            <w:hideMark/>
          </w:tcPr>
          <w:p w14:paraId="40111045" w14:textId="77777777" w:rsidR="00832B86" w:rsidRPr="000C48F9" w:rsidRDefault="00832B86" w:rsidP="003E016D">
            <w:pPr>
              <w:pStyle w:val="TableText0"/>
              <w:keepLines/>
              <w:widowControl w:val="0"/>
              <w:rPr>
                <w:b/>
                <w:szCs w:val="20"/>
              </w:rPr>
            </w:pPr>
            <w:r w:rsidRPr="000C48F9">
              <w:rPr>
                <w:b/>
                <w:szCs w:val="20"/>
              </w:rPr>
              <w:t>Base case</w:t>
            </w:r>
          </w:p>
        </w:tc>
        <w:tc>
          <w:tcPr>
            <w:tcW w:w="1135" w:type="dxa"/>
            <w:tcBorders>
              <w:top w:val="single" w:sz="4" w:space="0" w:color="auto"/>
              <w:left w:val="single" w:sz="4" w:space="0" w:color="auto"/>
              <w:bottom w:val="single" w:sz="4" w:space="0" w:color="auto"/>
              <w:right w:val="single" w:sz="4" w:space="0" w:color="auto"/>
            </w:tcBorders>
          </w:tcPr>
          <w:p w14:paraId="69AA1030" w14:textId="77777777" w:rsidR="00832B86" w:rsidRPr="000C48F9" w:rsidRDefault="00832B86" w:rsidP="003E016D">
            <w:pPr>
              <w:pStyle w:val="TableText0"/>
              <w:keepLines/>
              <w:widowControl w:val="0"/>
              <w:jc w:val="center"/>
              <w:rPr>
                <w:bCs w:val="0"/>
                <w:szCs w:val="20"/>
              </w:rPr>
            </w:pPr>
            <w:r w:rsidRPr="000C48F9">
              <w:rPr>
                <w:bCs w:val="0"/>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3C3BFB92" w14:textId="446C9D4C" w:rsidR="00832B86" w:rsidRPr="008E3F87" w:rsidRDefault="00832B86" w:rsidP="003E016D">
            <w:pPr>
              <w:pStyle w:val="TableText0"/>
              <w:keepLines/>
              <w:widowControl w:val="0"/>
              <w:jc w:val="center"/>
              <w:rPr>
                <w:bCs w:val="0"/>
                <w:iCs/>
                <w:szCs w:val="20"/>
              </w:rPr>
            </w:pPr>
            <w:r w:rsidRPr="008E3F87">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r w:rsidR="008E3F87" w:rsidRPr="008E3F87">
              <w:rPr>
                <w:rFonts w:cs="Arial"/>
                <w:i/>
                <w:szCs w:val="20"/>
              </w:rPr>
              <w:t xml:space="preserve"> </w:t>
            </w:r>
          </w:p>
        </w:tc>
        <w:tc>
          <w:tcPr>
            <w:tcW w:w="1378" w:type="dxa"/>
            <w:tcBorders>
              <w:top w:val="single" w:sz="4" w:space="0" w:color="auto"/>
              <w:left w:val="single" w:sz="4" w:space="0" w:color="auto"/>
              <w:bottom w:val="single" w:sz="4" w:space="0" w:color="auto"/>
              <w:right w:val="single" w:sz="4" w:space="0" w:color="auto"/>
            </w:tcBorders>
          </w:tcPr>
          <w:p w14:paraId="642EECB9" w14:textId="77777777" w:rsidR="00832B86" w:rsidRPr="000C48F9" w:rsidRDefault="00832B86" w:rsidP="003E016D">
            <w:pPr>
              <w:pStyle w:val="TableText0"/>
              <w:keepLines/>
              <w:widowControl w:val="0"/>
              <w:jc w:val="center"/>
              <w:rPr>
                <w:bCs w:val="0"/>
                <w:iCs/>
                <w:szCs w:val="20"/>
              </w:rPr>
            </w:pPr>
            <w:r w:rsidRPr="000C48F9">
              <w:rPr>
                <w:bCs w:val="0"/>
                <w:szCs w:val="20"/>
              </w:rPr>
              <w:t>5.72</w:t>
            </w:r>
          </w:p>
        </w:tc>
        <w:tc>
          <w:tcPr>
            <w:tcW w:w="1842" w:type="dxa"/>
            <w:tcBorders>
              <w:top w:val="single" w:sz="4" w:space="0" w:color="auto"/>
              <w:left w:val="single" w:sz="4" w:space="0" w:color="auto"/>
              <w:bottom w:val="single" w:sz="4" w:space="0" w:color="auto"/>
              <w:right w:val="single" w:sz="4" w:space="0" w:color="auto"/>
            </w:tcBorders>
          </w:tcPr>
          <w:p w14:paraId="773C697E" w14:textId="7F64C6F5" w:rsidR="00832B86" w:rsidRPr="000C48F9" w:rsidRDefault="00832B86" w:rsidP="003E016D">
            <w:pPr>
              <w:pStyle w:val="TableText0"/>
              <w:keepLines/>
              <w:widowControl w:val="0"/>
              <w:jc w:val="center"/>
              <w:rPr>
                <w:bCs w:val="0"/>
                <w:iCs/>
                <w:szCs w:val="20"/>
              </w:rPr>
            </w:pPr>
            <w:r w:rsidRPr="000C48F9">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1</w:t>
            </w:r>
          </w:p>
        </w:tc>
      </w:tr>
      <w:tr w:rsidR="00832B86" w:rsidRPr="000C48F9" w14:paraId="794B1226" w14:textId="77777777" w:rsidTr="001315B5">
        <w:tc>
          <w:tcPr>
            <w:tcW w:w="3114" w:type="dxa"/>
            <w:vMerge/>
            <w:tcBorders>
              <w:left w:val="single" w:sz="4" w:space="0" w:color="auto"/>
              <w:right w:val="single" w:sz="4" w:space="0" w:color="auto"/>
            </w:tcBorders>
          </w:tcPr>
          <w:p w14:paraId="3F967CC6" w14:textId="77777777" w:rsidR="00832B86" w:rsidRPr="000C48F9" w:rsidRDefault="00832B86" w:rsidP="003E016D">
            <w:pPr>
              <w:pStyle w:val="TableText0"/>
              <w:keepLines/>
              <w:widowControl w:val="0"/>
              <w:rPr>
                <w:b/>
                <w:szCs w:val="20"/>
              </w:rPr>
            </w:pPr>
          </w:p>
        </w:tc>
        <w:tc>
          <w:tcPr>
            <w:tcW w:w="1135" w:type="dxa"/>
            <w:tcBorders>
              <w:top w:val="single" w:sz="4" w:space="0" w:color="auto"/>
              <w:left w:val="single" w:sz="4" w:space="0" w:color="auto"/>
              <w:bottom w:val="single" w:sz="4" w:space="0" w:color="auto"/>
              <w:right w:val="single" w:sz="4" w:space="0" w:color="auto"/>
            </w:tcBorders>
          </w:tcPr>
          <w:p w14:paraId="0B3D9E49" w14:textId="77777777" w:rsidR="00832B86" w:rsidRPr="000C48F9" w:rsidRDefault="00832B86" w:rsidP="003E016D">
            <w:pPr>
              <w:pStyle w:val="TableText0"/>
              <w:keepLines/>
              <w:widowControl w:val="0"/>
              <w:jc w:val="center"/>
              <w:rPr>
                <w:bCs w:val="0"/>
                <w:szCs w:val="20"/>
              </w:rPr>
            </w:pPr>
            <w:r w:rsidRPr="000C48F9">
              <w:rPr>
                <w:bCs w:val="0"/>
                <w:szCs w:val="20"/>
              </w:rPr>
              <w:t>F/MF</w:t>
            </w:r>
          </w:p>
        </w:tc>
        <w:tc>
          <w:tcPr>
            <w:tcW w:w="1598" w:type="dxa"/>
            <w:tcBorders>
              <w:top w:val="single" w:sz="4" w:space="0" w:color="auto"/>
              <w:left w:val="single" w:sz="4" w:space="0" w:color="auto"/>
              <w:bottom w:val="single" w:sz="4" w:space="0" w:color="auto"/>
              <w:right w:val="single" w:sz="4" w:space="0" w:color="auto"/>
            </w:tcBorders>
          </w:tcPr>
          <w:p w14:paraId="55EE0EA4" w14:textId="266A2CFF" w:rsidR="00832B86" w:rsidRPr="008E3F87" w:rsidDel="00ED6951" w:rsidRDefault="00832B86" w:rsidP="003E016D">
            <w:pPr>
              <w:pStyle w:val="TableText0"/>
              <w:keepLines/>
              <w:widowControl w:val="0"/>
              <w:jc w:val="center"/>
              <w:rPr>
                <w:bCs w:val="0"/>
                <w:iCs/>
                <w:szCs w:val="20"/>
              </w:rPr>
            </w:pPr>
            <w:r w:rsidRPr="008E3F87">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28B4854B" w14:textId="77777777" w:rsidR="00832B86" w:rsidRPr="000C48F9" w:rsidDel="00ED6951" w:rsidRDefault="00832B86" w:rsidP="003E016D">
            <w:pPr>
              <w:pStyle w:val="TableText0"/>
              <w:keepLines/>
              <w:widowControl w:val="0"/>
              <w:jc w:val="center"/>
              <w:rPr>
                <w:bCs w:val="0"/>
                <w:iCs/>
                <w:szCs w:val="20"/>
              </w:rPr>
            </w:pPr>
            <w:r w:rsidRPr="000C48F9">
              <w:rPr>
                <w:bCs w:val="0"/>
                <w:iCs/>
                <w:szCs w:val="20"/>
              </w:rPr>
              <w:t>7.66</w:t>
            </w:r>
          </w:p>
        </w:tc>
        <w:tc>
          <w:tcPr>
            <w:tcW w:w="1842" w:type="dxa"/>
            <w:tcBorders>
              <w:top w:val="single" w:sz="4" w:space="0" w:color="auto"/>
              <w:left w:val="single" w:sz="4" w:space="0" w:color="auto"/>
              <w:bottom w:val="single" w:sz="4" w:space="0" w:color="auto"/>
              <w:right w:val="single" w:sz="4" w:space="0" w:color="auto"/>
            </w:tcBorders>
          </w:tcPr>
          <w:p w14:paraId="306A4E50" w14:textId="006562CA" w:rsidR="00832B86" w:rsidRPr="000C48F9" w:rsidDel="00ED6951" w:rsidRDefault="00832B86" w:rsidP="003E016D">
            <w:pPr>
              <w:pStyle w:val="TableText0"/>
              <w:keepLines/>
              <w:widowControl w:val="0"/>
              <w:jc w:val="center"/>
              <w:rPr>
                <w:bCs w:val="0"/>
                <w:iCs/>
                <w:szCs w:val="20"/>
              </w:rPr>
            </w:pPr>
            <w:r w:rsidRPr="000C48F9">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1</w:t>
            </w:r>
          </w:p>
        </w:tc>
      </w:tr>
      <w:tr w:rsidR="00832B86" w:rsidRPr="000C48F9" w14:paraId="6359FB08" w14:textId="77777777" w:rsidTr="001315B5">
        <w:tc>
          <w:tcPr>
            <w:tcW w:w="3114" w:type="dxa"/>
            <w:vMerge/>
            <w:tcBorders>
              <w:left w:val="single" w:sz="4" w:space="0" w:color="auto"/>
              <w:right w:val="single" w:sz="4" w:space="0" w:color="auto"/>
            </w:tcBorders>
          </w:tcPr>
          <w:p w14:paraId="500439C2" w14:textId="77777777" w:rsidR="00832B86" w:rsidRPr="000C48F9" w:rsidRDefault="00832B86" w:rsidP="003E016D">
            <w:pPr>
              <w:pStyle w:val="TableText0"/>
              <w:keepLines/>
              <w:widowControl w:val="0"/>
              <w:rPr>
                <w:b/>
                <w:szCs w:val="20"/>
              </w:rPr>
            </w:pPr>
          </w:p>
        </w:tc>
        <w:tc>
          <w:tcPr>
            <w:tcW w:w="1135" w:type="dxa"/>
            <w:tcBorders>
              <w:top w:val="single" w:sz="4" w:space="0" w:color="auto"/>
              <w:left w:val="single" w:sz="4" w:space="0" w:color="auto"/>
              <w:bottom w:val="single" w:sz="4" w:space="0" w:color="auto"/>
              <w:right w:val="single" w:sz="4" w:space="0" w:color="auto"/>
            </w:tcBorders>
          </w:tcPr>
          <w:p w14:paraId="4D28AE5A" w14:textId="77777777" w:rsidR="00832B86" w:rsidRPr="000C48F9" w:rsidRDefault="00832B86" w:rsidP="003E016D">
            <w:pPr>
              <w:pStyle w:val="TableText0"/>
              <w:keepLines/>
              <w:widowControl w:val="0"/>
              <w:jc w:val="center"/>
              <w:rPr>
                <w:bCs w:val="0"/>
                <w:szCs w:val="20"/>
              </w:rPr>
            </w:pPr>
            <w:r w:rsidRPr="000C48F9">
              <w:rPr>
                <w:bCs w:val="0"/>
                <w:szCs w:val="20"/>
              </w:rPr>
              <w:t xml:space="preserve">Combined </w:t>
            </w:r>
          </w:p>
        </w:tc>
        <w:tc>
          <w:tcPr>
            <w:tcW w:w="1598" w:type="dxa"/>
            <w:tcBorders>
              <w:top w:val="single" w:sz="4" w:space="0" w:color="auto"/>
              <w:left w:val="single" w:sz="4" w:space="0" w:color="auto"/>
              <w:bottom w:val="single" w:sz="4" w:space="0" w:color="auto"/>
              <w:right w:val="single" w:sz="4" w:space="0" w:color="auto"/>
            </w:tcBorders>
          </w:tcPr>
          <w:p w14:paraId="2CB59B99" w14:textId="76BD32E3" w:rsidR="00832B86" w:rsidRPr="008E3F87" w:rsidDel="00ED6951" w:rsidRDefault="00832B86" w:rsidP="003E016D">
            <w:pPr>
              <w:pStyle w:val="TableText0"/>
              <w:keepLines/>
              <w:widowControl w:val="0"/>
              <w:jc w:val="center"/>
              <w:rPr>
                <w:bCs w:val="0"/>
                <w:iCs/>
                <w:szCs w:val="20"/>
              </w:rPr>
            </w:pPr>
            <w:r w:rsidRPr="008E3F87">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4E1EFB72" w14:textId="77777777" w:rsidR="00832B86" w:rsidRPr="000C48F9" w:rsidDel="00ED6951" w:rsidRDefault="00832B86" w:rsidP="003E016D">
            <w:pPr>
              <w:pStyle w:val="TableText0"/>
              <w:keepLines/>
              <w:widowControl w:val="0"/>
              <w:jc w:val="center"/>
              <w:rPr>
                <w:bCs w:val="0"/>
                <w:iCs/>
                <w:szCs w:val="20"/>
              </w:rPr>
            </w:pPr>
            <w:r w:rsidRPr="000C48F9">
              <w:rPr>
                <w:bCs w:val="0"/>
                <w:iCs/>
                <w:szCs w:val="20"/>
              </w:rPr>
              <w:t>6.46</w:t>
            </w:r>
          </w:p>
        </w:tc>
        <w:tc>
          <w:tcPr>
            <w:tcW w:w="1842" w:type="dxa"/>
            <w:tcBorders>
              <w:top w:val="single" w:sz="4" w:space="0" w:color="auto"/>
              <w:left w:val="single" w:sz="4" w:space="0" w:color="auto"/>
              <w:bottom w:val="single" w:sz="4" w:space="0" w:color="auto"/>
              <w:right w:val="single" w:sz="4" w:space="0" w:color="auto"/>
            </w:tcBorders>
          </w:tcPr>
          <w:p w14:paraId="15A12D77" w14:textId="70A11867" w:rsidR="00832B86" w:rsidRPr="000C48F9" w:rsidDel="00ED6951" w:rsidRDefault="00832B86" w:rsidP="003E016D">
            <w:pPr>
              <w:pStyle w:val="TableText0"/>
              <w:keepLines/>
              <w:widowControl w:val="0"/>
              <w:jc w:val="center"/>
              <w:rPr>
                <w:bCs w:val="0"/>
                <w:iCs/>
                <w:szCs w:val="20"/>
              </w:rPr>
            </w:pPr>
            <w:r w:rsidRPr="000C48F9">
              <w:rPr>
                <w:bCs w:val="0"/>
                <w:szCs w:val="20"/>
              </w:rPr>
              <w:t>$</w:t>
            </w:r>
            <w:r w:rsidR="00987958" w:rsidRPr="00987958">
              <w:rPr>
                <w:bCs w:val="0"/>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1</w:t>
            </w:r>
          </w:p>
        </w:tc>
      </w:tr>
      <w:tr w:rsidR="00832B86" w:rsidRPr="000C48F9" w14:paraId="676BD720" w14:textId="77777777" w:rsidTr="001315B5">
        <w:tc>
          <w:tcPr>
            <w:tcW w:w="3114" w:type="dxa"/>
            <w:vMerge w:val="restart"/>
            <w:tcBorders>
              <w:top w:val="single" w:sz="4" w:space="0" w:color="auto"/>
              <w:left w:val="single" w:sz="4" w:space="0" w:color="auto"/>
              <w:right w:val="single" w:sz="4" w:space="0" w:color="auto"/>
            </w:tcBorders>
          </w:tcPr>
          <w:p w14:paraId="0E0042B8" w14:textId="77777777" w:rsidR="00832B86" w:rsidRPr="000C48F9" w:rsidRDefault="00832B86" w:rsidP="003E016D">
            <w:pPr>
              <w:pStyle w:val="TableText0"/>
              <w:keepLines/>
              <w:widowControl w:val="0"/>
              <w:rPr>
                <w:i/>
                <w:iCs/>
                <w:szCs w:val="20"/>
              </w:rPr>
            </w:pPr>
            <w:r w:rsidRPr="000C48F9">
              <w:t>Costs and benefits 0% (base case 5%)</w:t>
            </w:r>
          </w:p>
        </w:tc>
        <w:tc>
          <w:tcPr>
            <w:tcW w:w="1135" w:type="dxa"/>
            <w:tcBorders>
              <w:top w:val="single" w:sz="4" w:space="0" w:color="auto"/>
              <w:left w:val="single" w:sz="4" w:space="0" w:color="auto"/>
              <w:bottom w:val="single" w:sz="4" w:space="0" w:color="auto"/>
              <w:right w:val="single" w:sz="4" w:space="0" w:color="auto"/>
            </w:tcBorders>
          </w:tcPr>
          <w:p w14:paraId="3B0C3408" w14:textId="77777777" w:rsidR="00832B86" w:rsidRPr="000C48F9" w:rsidRDefault="00832B86" w:rsidP="003E016D">
            <w:pPr>
              <w:pStyle w:val="TableText0"/>
              <w:keepLines/>
              <w:widowControl w:val="0"/>
              <w:jc w:val="center"/>
              <w:rPr>
                <w:i/>
                <w:iCs/>
                <w:szCs w:val="20"/>
              </w:rPr>
            </w:pPr>
            <w:r w:rsidRPr="000C48F9">
              <w:t>F/F</w:t>
            </w:r>
          </w:p>
        </w:tc>
        <w:tc>
          <w:tcPr>
            <w:tcW w:w="1598" w:type="dxa"/>
            <w:tcBorders>
              <w:top w:val="single" w:sz="4" w:space="0" w:color="auto"/>
              <w:left w:val="single" w:sz="4" w:space="0" w:color="auto"/>
              <w:bottom w:val="single" w:sz="4" w:space="0" w:color="auto"/>
              <w:right w:val="single" w:sz="4" w:space="0" w:color="auto"/>
            </w:tcBorders>
          </w:tcPr>
          <w:p w14:paraId="5E34F0AB" w14:textId="3458483A"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3001C130" w14:textId="77777777" w:rsidR="00832B86" w:rsidRPr="000C48F9" w:rsidRDefault="00832B86" w:rsidP="003E016D">
            <w:pPr>
              <w:pStyle w:val="TableText0"/>
              <w:keepLines/>
              <w:widowControl w:val="0"/>
              <w:jc w:val="center"/>
              <w:rPr>
                <w:rFonts w:cs="Calibri"/>
                <w:i/>
                <w:iCs/>
                <w:color w:val="000000"/>
                <w:szCs w:val="20"/>
              </w:rPr>
            </w:pPr>
            <w:r w:rsidRPr="000C48F9">
              <w:t>34.72</w:t>
            </w:r>
          </w:p>
        </w:tc>
        <w:tc>
          <w:tcPr>
            <w:tcW w:w="1842" w:type="dxa"/>
            <w:tcBorders>
              <w:top w:val="single" w:sz="4" w:space="0" w:color="auto"/>
              <w:left w:val="single" w:sz="4" w:space="0" w:color="auto"/>
              <w:bottom w:val="single" w:sz="4" w:space="0" w:color="auto"/>
              <w:right w:val="single" w:sz="4" w:space="0" w:color="auto"/>
            </w:tcBorders>
          </w:tcPr>
          <w:p w14:paraId="4E5D2BF3" w14:textId="3967423C"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2</w:t>
            </w:r>
            <w:r w:rsidR="002F35D3" w:rsidRPr="002F35D3">
              <w:rPr>
                <w:i/>
                <w:iCs/>
              </w:rPr>
              <w:t xml:space="preserve"> </w:t>
            </w:r>
            <w:r w:rsidRPr="002F35D3">
              <w:rPr>
                <w:i/>
                <w:iCs/>
              </w:rPr>
              <w:t>(-58%)</w:t>
            </w:r>
          </w:p>
        </w:tc>
      </w:tr>
      <w:tr w:rsidR="00832B86" w:rsidRPr="000C48F9" w14:paraId="67827D76" w14:textId="77777777" w:rsidTr="001315B5">
        <w:tc>
          <w:tcPr>
            <w:tcW w:w="3114" w:type="dxa"/>
            <w:vMerge/>
            <w:tcBorders>
              <w:left w:val="single" w:sz="4" w:space="0" w:color="auto"/>
              <w:right w:val="single" w:sz="4" w:space="0" w:color="auto"/>
            </w:tcBorders>
          </w:tcPr>
          <w:p w14:paraId="2F28DC44" w14:textId="77777777" w:rsidR="00832B86" w:rsidRPr="000C48F9" w:rsidRDefault="00832B86" w:rsidP="003E016D">
            <w:pPr>
              <w:pStyle w:val="TableText0"/>
              <w:keepLines/>
              <w:widowControl w:val="0"/>
              <w:rPr>
                <w:i/>
                <w:iCs/>
                <w:szCs w:val="20"/>
              </w:rPr>
            </w:pPr>
          </w:p>
        </w:tc>
        <w:tc>
          <w:tcPr>
            <w:tcW w:w="1135" w:type="dxa"/>
            <w:tcBorders>
              <w:top w:val="single" w:sz="4" w:space="0" w:color="auto"/>
              <w:left w:val="single" w:sz="4" w:space="0" w:color="auto"/>
              <w:bottom w:val="single" w:sz="4" w:space="0" w:color="auto"/>
              <w:right w:val="single" w:sz="4" w:space="0" w:color="auto"/>
            </w:tcBorders>
          </w:tcPr>
          <w:p w14:paraId="4D96D6EC" w14:textId="77777777" w:rsidR="00832B86" w:rsidRPr="000C48F9" w:rsidRDefault="00832B86" w:rsidP="003E016D">
            <w:pPr>
              <w:pStyle w:val="TableText0"/>
              <w:keepLines/>
              <w:widowControl w:val="0"/>
              <w:jc w:val="center"/>
              <w:rPr>
                <w:i/>
                <w:iCs/>
                <w:szCs w:val="20"/>
              </w:rPr>
            </w:pPr>
            <w:r w:rsidRPr="000C48F9">
              <w:t>F/MF</w:t>
            </w:r>
          </w:p>
        </w:tc>
        <w:tc>
          <w:tcPr>
            <w:tcW w:w="1598" w:type="dxa"/>
            <w:tcBorders>
              <w:top w:val="single" w:sz="4" w:space="0" w:color="auto"/>
              <w:left w:val="single" w:sz="4" w:space="0" w:color="auto"/>
              <w:bottom w:val="single" w:sz="4" w:space="0" w:color="auto"/>
              <w:right w:val="single" w:sz="4" w:space="0" w:color="auto"/>
            </w:tcBorders>
          </w:tcPr>
          <w:p w14:paraId="2EBFFABF" w14:textId="4363F3F4"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16033127" w14:textId="77777777" w:rsidR="00832B86" w:rsidRPr="000C48F9" w:rsidRDefault="00832B86" w:rsidP="003E016D">
            <w:pPr>
              <w:pStyle w:val="TableText0"/>
              <w:keepLines/>
              <w:widowControl w:val="0"/>
              <w:jc w:val="center"/>
              <w:rPr>
                <w:rFonts w:cs="Calibri"/>
                <w:i/>
                <w:iCs/>
                <w:color w:val="000000"/>
                <w:szCs w:val="20"/>
              </w:rPr>
            </w:pPr>
            <w:r w:rsidRPr="000C48F9">
              <w:t>38.83</w:t>
            </w:r>
          </w:p>
        </w:tc>
        <w:tc>
          <w:tcPr>
            <w:tcW w:w="1842" w:type="dxa"/>
            <w:tcBorders>
              <w:top w:val="single" w:sz="4" w:space="0" w:color="auto"/>
              <w:left w:val="single" w:sz="4" w:space="0" w:color="auto"/>
              <w:bottom w:val="single" w:sz="4" w:space="0" w:color="auto"/>
              <w:right w:val="single" w:sz="4" w:space="0" w:color="auto"/>
            </w:tcBorders>
          </w:tcPr>
          <w:p w14:paraId="13816EC0" w14:textId="57B59914"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2</w:t>
            </w:r>
            <w:r w:rsidRPr="002F35D3">
              <w:t xml:space="preserve"> </w:t>
            </w:r>
            <w:r w:rsidRPr="002F35D3">
              <w:rPr>
                <w:i/>
                <w:iCs/>
              </w:rPr>
              <w:t>(-55%)</w:t>
            </w:r>
          </w:p>
        </w:tc>
      </w:tr>
      <w:tr w:rsidR="00832B86" w:rsidRPr="000C48F9" w14:paraId="1C77A242" w14:textId="77777777" w:rsidTr="001315B5">
        <w:tc>
          <w:tcPr>
            <w:tcW w:w="3114" w:type="dxa"/>
            <w:vMerge/>
            <w:tcBorders>
              <w:left w:val="single" w:sz="4" w:space="0" w:color="auto"/>
              <w:right w:val="single" w:sz="4" w:space="0" w:color="auto"/>
            </w:tcBorders>
          </w:tcPr>
          <w:p w14:paraId="1413FD2C" w14:textId="77777777" w:rsidR="00832B86" w:rsidRPr="000C48F9" w:rsidRDefault="00832B86" w:rsidP="003E016D">
            <w:pPr>
              <w:pStyle w:val="TableText0"/>
              <w:keepLines/>
              <w:widowControl w:val="0"/>
              <w:rPr>
                <w:i/>
                <w:iCs/>
                <w:szCs w:val="20"/>
              </w:rPr>
            </w:pPr>
          </w:p>
        </w:tc>
        <w:tc>
          <w:tcPr>
            <w:tcW w:w="1135" w:type="dxa"/>
            <w:tcBorders>
              <w:top w:val="single" w:sz="4" w:space="0" w:color="auto"/>
              <w:left w:val="single" w:sz="4" w:space="0" w:color="auto"/>
              <w:bottom w:val="single" w:sz="4" w:space="0" w:color="auto"/>
              <w:right w:val="single" w:sz="4" w:space="0" w:color="auto"/>
            </w:tcBorders>
          </w:tcPr>
          <w:p w14:paraId="5DE44AA3" w14:textId="77777777" w:rsidR="00832B86" w:rsidRPr="000C48F9" w:rsidRDefault="00832B86" w:rsidP="003E016D">
            <w:pPr>
              <w:pStyle w:val="TableText0"/>
              <w:keepLines/>
              <w:widowControl w:val="0"/>
              <w:jc w:val="center"/>
              <w:rPr>
                <w:i/>
                <w:iCs/>
                <w:szCs w:val="20"/>
              </w:rPr>
            </w:pPr>
            <w:r w:rsidRPr="000C48F9">
              <w:t>Combined</w:t>
            </w:r>
          </w:p>
        </w:tc>
        <w:tc>
          <w:tcPr>
            <w:tcW w:w="1598" w:type="dxa"/>
            <w:tcBorders>
              <w:top w:val="single" w:sz="4" w:space="0" w:color="auto"/>
              <w:left w:val="single" w:sz="4" w:space="0" w:color="auto"/>
              <w:bottom w:val="single" w:sz="4" w:space="0" w:color="auto"/>
              <w:right w:val="single" w:sz="4" w:space="0" w:color="auto"/>
            </w:tcBorders>
          </w:tcPr>
          <w:p w14:paraId="1A103E43" w14:textId="7E24C8DA" w:rsidR="00832B86" w:rsidRPr="000A1BBC" w:rsidRDefault="00832B86" w:rsidP="003E016D">
            <w:pPr>
              <w:pStyle w:val="TableText0"/>
              <w:keepLines/>
              <w:widowControl w:val="0"/>
              <w:jc w:val="center"/>
              <w:rPr>
                <w:rFonts w:cs="Calibri"/>
                <w:color w:val="000000"/>
                <w:szCs w:val="20"/>
              </w:rPr>
            </w:pPr>
            <w:r w:rsidRPr="000A1BBC">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7C314B28" w14:textId="77777777" w:rsidR="00832B86" w:rsidRPr="000C48F9" w:rsidRDefault="00832B86" w:rsidP="003E016D">
            <w:pPr>
              <w:pStyle w:val="TableText0"/>
              <w:keepLines/>
              <w:widowControl w:val="0"/>
              <w:jc w:val="center"/>
              <w:rPr>
                <w:rFonts w:cs="Calibri"/>
                <w:i/>
                <w:iCs/>
                <w:color w:val="000000"/>
                <w:szCs w:val="20"/>
              </w:rPr>
            </w:pPr>
            <w:r w:rsidRPr="000C48F9">
              <w:t>36.29</w:t>
            </w:r>
          </w:p>
        </w:tc>
        <w:tc>
          <w:tcPr>
            <w:tcW w:w="1842" w:type="dxa"/>
            <w:tcBorders>
              <w:top w:val="single" w:sz="4" w:space="0" w:color="auto"/>
              <w:left w:val="single" w:sz="4" w:space="0" w:color="auto"/>
              <w:bottom w:val="single" w:sz="4" w:space="0" w:color="auto"/>
              <w:right w:val="single" w:sz="4" w:space="0" w:color="auto"/>
            </w:tcBorders>
          </w:tcPr>
          <w:p w14:paraId="0A1D2DED" w14:textId="454C2F53"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2</w:t>
            </w:r>
            <w:r w:rsidRPr="002F35D3">
              <w:t xml:space="preserve"> </w:t>
            </w:r>
            <w:r w:rsidRPr="002F35D3">
              <w:rPr>
                <w:i/>
                <w:iCs/>
              </w:rPr>
              <w:t>(-58%)</w:t>
            </w:r>
          </w:p>
        </w:tc>
      </w:tr>
      <w:tr w:rsidR="00832B86" w:rsidRPr="000C48F9" w14:paraId="5077BB0D" w14:textId="77777777" w:rsidTr="001315B5">
        <w:tc>
          <w:tcPr>
            <w:tcW w:w="3114" w:type="dxa"/>
            <w:vMerge w:val="restart"/>
            <w:tcBorders>
              <w:top w:val="single" w:sz="4" w:space="0" w:color="auto"/>
              <w:left w:val="single" w:sz="4" w:space="0" w:color="auto"/>
              <w:right w:val="single" w:sz="4" w:space="0" w:color="auto"/>
            </w:tcBorders>
          </w:tcPr>
          <w:p w14:paraId="34988A8E" w14:textId="77777777" w:rsidR="00832B86" w:rsidRPr="000C48F9" w:rsidRDefault="00832B86" w:rsidP="003E016D">
            <w:pPr>
              <w:pStyle w:val="TableText0"/>
              <w:keepLines/>
              <w:widowControl w:val="0"/>
              <w:rPr>
                <w:i/>
                <w:iCs/>
                <w:szCs w:val="20"/>
              </w:rPr>
            </w:pPr>
            <w:r w:rsidRPr="000C48F9">
              <w:t>Costs and benefits 3.5% (base case 5%)</w:t>
            </w:r>
          </w:p>
        </w:tc>
        <w:tc>
          <w:tcPr>
            <w:tcW w:w="1135" w:type="dxa"/>
            <w:tcBorders>
              <w:top w:val="single" w:sz="4" w:space="0" w:color="auto"/>
              <w:left w:val="single" w:sz="4" w:space="0" w:color="auto"/>
              <w:bottom w:val="single" w:sz="4" w:space="0" w:color="auto"/>
              <w:right w:val="single" w:sz="4" w:space="0" w:color="auto"/>
            </w:tcBorders>
          </w:tcPr>
          <w:p w14:paraId="5B08357D" w14:textId="77777777" w:rsidR="00832B86" w:rsidRPr="000C48F9" w:rsidRDefault="00832B86" w:rsidP="003E016D">
            <w:pPr>
              <w:pStyle w:val="TableText0"/>
              <w:keepLines/>
              <w:widowControl w:val="0"/>
              <w:jc w:val="center"/>
              <w:rPr>
                <w:i/>
                <w:iCs/>
                <w:szCs w:val="20"/>
              </w:rPr>
            </w:pPr>
            <w:r w:rsidRPr="000C48F9">
              <w:t>F/F</w:t>
            </w:r>
          </w:p>
        </w:tc>
        <w:tc>
          <w:tcPr>
            <w:tcW w:w="1598" w:type="dxa"/>
            <w:tcBorders>
              <w:top w:val="single" w:sz="4" w:space="0" w:color="auto"/>
              <w:left w:val="single" w:sz="4" w:space="0" w:color="auto"/>
              <w:bottom w:val="single" w:sz="4" w:space="0" w:color="auto"/>
              <w:right w:val="single" w:sz="4" w:space="0" w:color="auto"/>
            </w:tcBorders>
          </w:tcPr>
          <w:p w14:paraId="64F8D652" w14:textId="13F4DF82" w:rsidR="00832B86" w:rsidRPr="000A1BBC" w:rsidRDefault="00832B86" w:rsidP="003E016D">
            <w:pPr>
              <w:pStyle w:val="TableText0"/>
              <w:keepLines/>
              <w:widowControl w:val="0"/>
              <w:jc w:val="center"/>
              <w:rPr>
                <w:rFonts w:cs="Calibri"/>
                <w:color w:val="000000"/>
                <w:szCs w:val="20"/>
              </w:rPr>
            </w:pPr>
            <w:r w:rsidRPr="000A1BBC">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394306CB" w14:textId="77777777" w:rsidR="00832B86" w:rsidRPr="000C48F9" w:rsidRDefault="00832B86" w:rsidP="003E016D">
            <w:pPr>
              <w:pStyle w:val="TableText0"/>
              <w:keepLines/>
              <w:widowControl w:val="0"/>
              <w:jc w:val="center"/>
              <w:rPr>
                <w:rFonts w:cs="Calibri"/>
                <w:i/>
                <w:iCs/>
                <w:color w:val="000000"/>
                <w:szCs w:val="20"/>
              </w:rPr>
            </w:pPr>
            <w:r w:rsidRPr="000C48F9">
              <w:t>8.97</w:t>
            </w:r>
          </w:p>
        </w:tc>
        <w:tc>
          <w:tcPr>
            <w:tcW w:w="1842" w:type="dxa"/>
            <w:tcBorders>
              <w:top w:val="single" w:sz="4" w:space="0" w:color="auto"/>
              <w:left w:val="single" w:sz="4" w:space="0" w:color="auto"/>
              <w:bottom w:val="single" w:sz="4" w:space="0" w:color="auto"/>
              <w:right w:val="single" w:sz="4" w:space="0" w:color="auto"/>
            </w:tcBorders>
          </w:tcPr>
          <w:p w14:paraId="5B686F03" w14:textId="191B68B5"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3</w:t>
            </w:r>
            <w:r w:rsidRPr="00C61A44">
              <w:t xml:space="preserve"> </w:t>
            </w:r>
            <w:r w:rsidRPr="00C61A44">
              <w:rPr>
                <w:i/>
                <w:iCs/>
              </w:rPr>
              <w:t>(-24%)</w:t>
            </w:r>
          </w:p>
        </w:tc>
      </w:tr>
      <w:tr w:rsidR="00832B86" w:rsidRPr="000C48F9" w14:paraId="0370C9E8" w14:textId="77777777" w:rsidTr="001315B5">
        <w:tc>
          <w:tcPr>
            <w:tcW w:w="3114" w:type="dxa"/>
            <w:vMerge/>
            <w:tcBorders>
              <w:left w:val="single" w:sz="4" w:space="0" w:color="auto"/>
              <w:right w:val="single" w:sz="4" w:space="0" w:color="auto"/>
            </w:tcBorders>
          </w:tcPr>
          <w:p w14:paraId="1C4FD052" w14:textId="77777777" w:rsidR="00832B86" w:rsidRPr="000C48F9" w:rsidRDefault="00832B86" w:rsidP="003E016D">
            <w:pPr>
              <w:pStyle w:val="TableText0"/>
              <w:keepLines/>
              <w:widowControl w:val="0"/>
              <w:rPr>
                <w:i/>
                <w:iCs/>
                <w:szCs w:val="20"/>
              </w:rPr>
            </w:pPr>
          </w:p>
        </w:tc>
        <w:tc>
          <w:tcPr>
            <w:tcW w:w="1135" w:type="dxa"/>
            <w:tcBorders>
              <w:top w:val="single" w:sz="4" w:space="0" w:color="auto"/>
              <w:left w:val="single" w:sz="4" w:space="0" w:color="auto"/>
              <w:bottom w:val="single" w:sz="4" w:space="0" w:color="auto"/>
              <w:right w:val="single" w:sz="4" w:space="0" w:color="auto"/>
            </w:tcBorders>
          </w:tcPr>
          <w:p w14:paraId="3CF79129" w14:textId="77777777" w:rsidR="00832B86" w:rsidRPr="000C48F9" w:rsidRDefault="00832B86" w:rsidP="003E016D">
            <w:pPr>
              <w:pStyle w:val="TableText0"/>
              <w:keepLines/>
              <w:widowControl w:val="0"/>
              <w:jc w:val="center"/>
              <w:rPr>
                <w:i/>
                <w:iCs/>
                <w:szCs w:val="20"/>
              </w:rPr>
            </w:pPr>
            <w:r w:rsidRPr="000C48F9">
              <w:t>F/MF</w:t>
            </w:r>
          </w:p>
        </w:tc>
        <w:tc>
          <w:tcPr>
            <w:tcW w:w="1598" w:type="dxa"/>
            <w:tcBorders>
              <w:top w:val="single" w:sz="4" w:space="0" w:color="auto"/>
              <w:left w:val="single" w:sz="4" w:space="0" w:color="auto"/>
              <w:bottom w:val="single" w:sz="4" w:space="0" w:color="auto"/>
              <w:right w:val="single" w:sz="4" w:space="0" w:color="auto"/>
            </w:tcBorders>
          </w:tcPr>
          <w:p w14:paraId="0088B4A7" w14:textId="52460B47" w:rsidR="00832B86" w:rsidRPr="000A1BBC" w:rsidRDefault="00832B86" w:rsidP="003E016D">
            <w:pPr>
              <w:pStyle w:val="TableText0"/>
              <w:keepLines/>
              <w:widowControl w:val="0"/>
              <w:jc w:val="center"/>
              <w:rPr>
                <w:rFonts w:cs="Calibri"/>
                <w:color w:val="000000"/>
                <w:szCs w:val="20"/>
              </w:rPr>
            </w:pPr>
            <w:r w:rsidRPr="000A1BBC">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17872D95" w14:textId="77777777" w:rsidR="00832B86" w:rsidRPr="000C48F9" w:rsidRDefault="00832B86" w:rsidP="003E016D">
            <w:pPr>
              <w:pStyle w:val="TableText0"/>
              <w:keepLines/>
              <w:widowControl w:val="0"/>
              <w:jc w:val="center"/>
              <w:rPr>
                <w:rFonts w:cs="Calibri"/>
                <w:i/>
                <w:iCs/>
                <w:color w:val="000000"/>
                <w:szCs w:val="20"/>
              </w:rPr>
            </w:pPr>
            <w:r w:rsidRPr="000C48F9">
              <w:t>11.43</w:t>
            </w:r>
          </w:p>
        </w:tc>
        <w:tc>
          <w:tcPr>
            <w:tcW w:w="1842" w:type="dxa"/>
            <w:tcBorders>
              <w:top w:val="single" w:sz="4" w:space="0" w:color="auto"/>
              <w:left w:val="single" w:sz="4" w:space="0" w:color="auto"/>
              <w:bottom w:val="single" w:sz="4" w:space="0" w:color="auto"/>
              <w:right w:val="single" w:sz="4" w:space="0" w:color="auto"/>
            </w:tcBorders>
          </w:tcPr>
          <w:p w14:paraId="37EC6879" w14:textId="6A79A371"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3</w:t>
            </w:r>
            <w:r w:rsidRPr="00C61A44">
              <w:t xml:space="preserve"> </w:t>
            </w:r>
            <w:r w:rsidRPr="00C61A44">
              <w:rPr>
                <w:i/>
                <w:iCs/>
              </w:rPr>
              <w:t>(-21%)</w:t>
            </w:r>
          </w:p>
        </w:tc>
      </w:tr>
      <w:tr w:rsidR="00832B86" w:rsidRPr="000C48F9" w14:paraId="3D391515" w14:textId="77777777" w:rsidTr="001315B5">
        <w:tc>
          <w:tcPr>
            <w:tcW w:w="3114" w:type="dxa"/>
            <w:vMerge/>
            <w:tcBorders>
              <w:left w:val="single" w:sz="4" w:space="0" w:color="auto"/>
              <w:right w:val="single" w:sz="4" w:space="0" w:color="auto"/>
            </w:tcBorders>
          </w:tcPr>
          <w:p w14:paraId="18FE8048" w14:textId="77777777" w:rsidR="00832B86" w:rsidRPr="000C48F9" w:rsidRDefault="00832B86" w:rsidP="003E016D">
            <w:pPr>
              <w:pStyle w:val="TableText0"/>
              <w:keepLines/>
              <w:widowControl w:val="0"/>
              <w:rPr>
                <w:i/>
                <w:iCs/>
                <w:szCs w:val="20"/>
              </w:rPr>
            </w:pPr>
          </w:p>
        </w:tc>
        <w:tc>
          <w:tcPr>
            <w:tcW w:w="1135" w:type="dxa"/>
            <w:tcBorders>
              <w:top w:val="single" w:sz="4" w:space="0" w:color="auto"/>
              <w:left w:val="single" w:sz="4" w:space="0" w:color="auto"/>
              <w:bottom w:val="single" w:sz="4" w:space="0" w:color="auto"/>
              <w:right w:val="single" w:sz="4" w:space="0" w:color="auto"/>
            </w:tcBorders>
          </w:tcPr>
          <w:p w14:paraId="768C0A11" w14:textId="77777777" w:rsidR="00832B86" w:rsidRPr="000C48F9" w:rsidRDefault="00832B86" w:rsidP="003E016D">
            <w:pPr>
              <w:pStyle w:val="TableText0"/>
              <w:keepLines/>
              <w:widowControl w:val="0"/>
              <w:jc w:val="center"/>
              <w:rPr>
                <w:i/>
                <w:iCs/>
                <w:szCs w:val="20"/>
              </w:rPr>
            </w:pPr>
            <w:r w:rsidRPr="000C48F9">
              <w:t>Combined</w:t>
            </w:r>
          </w:p>
        </w:tc>
        <w:tc>
          <w:tcPr>
            <w:tcW w:w="1598" w:type="dxa"/>
            <w:tcBorders>
              <w:top w:val="single" w:sz="4" w:space="0" w:color="auto"/>
              <w:left w:val="single" w:sz="4" w:space="0" w:color="auto"/>
              <w:bottom w:val="single" w:sz="4" w:space="0" w:color="auto"/>
              <w:right w:val="single" w:sz="4" w:space="0" w:color="auto"/>
            </w:tcBorders>
          </w:tcPr>
          <w:p w14:paraId="756B2C0D" w14:textId="44D7BC07" w:rsidR="00832B86" w:rsidRPr="000A1BBC" w:rsidRDefault="00832B86" w:rsidP="003E016D">
            <w:pPr>
              <w:pStyle w:val="TableText0"/>
              <w:keepLines/>
              <w:widowControl w:val="0"/>
              <w:jc w:val="center"/>
              <w:rPr>
                <w:rFonts w:cs="Calibri"/>
                <w:color w:val="000000"/>
                <w:szCs w:val="20"/>
              </w:rPr>
            </w:pPr>
            <w:r w:rsidRPr="000A1BBC">
              <w:t>$</w:t>
            </w:r>
            <w:r w:rsidR="00987958" w:rsidRPr="00987958">
              <w:rPr>
                <w:color w:val="00000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2B85F4EC" w14:textId="77777777" w:rsidR="00832B86" w:rsidRPr="000C48F9" w:rsidRDefault="00832B86" w:rsidP="003E016D">
            <w:pPr>
              <w:pStyle w:val="TableText0"/>
              <w:keepLines/>
              <w:widowControl w:val="0"/>
              <w:jc w:val="center"/>
              <w:rPr>
                <w:rFonts w:cs="Calibri"/>
                <w:i/>
                <w:iCs/>
                <w:color w:val="000000"/>
                <w:szCs w:val="20"/>
              </w:rPr>
            </w:pPr>
            <w:r w:rsidRPr="000C48F9">
              <w:t>9.91</w:t>
            </w:r>
          </w:p>
        </w:tc>
        <w:tc>
          <w:tcPr>
            <w:tcW w:w="1842" w:type="dxa"/>
            <w:tcBorders>
              <w:top w:val="single" w:sz="4" w:space="0" w:color="auto"/>
              <w:left w:val="single" w:sz="4" w:space="0" w:color="auto"/>
              <w:bottom w:val="single" w:sz="4" w:space="0" w:color="auto"/>
              <w:right w:val="single" w:sz="4" w:space="0" w:color="auto"/>
            </w:tcBorders>
          </w:tcPr>
          <w:p w14:paraId="4D11C17F" w14:textId="6C8D0989" w:rsidR="00832B86" w:rsidRPr="000C48F9" w:rsidRDefault="00832B86" w:rsidP="003E016D">
            <w:pPr>
              <w:pStyle w:val="TableText0"/>
              <w:keepLines/>
              <w:widowControl w:val="0"/>
              <w:jc w:val="center"/>
              <w:rPr>
                <w:rFonts w:cs="Calibri"/>
                <w:i/>
                <w:iCs/>
                <w:color w:val="000000"/>
                <w:szCs w:val="20"/>
              </w:rPr>
            </w:pPr>
            <w:r w:rsidRPr="000C48F9">
              <w:t>$</w:t>
            </w:r>
            <w:r w:rsidR="00987958" w:rsidRPr="00987958">
              <w:rPr>
                <w:color w:val="000000"/>
                <w:shd w:val="solid" w:color="000000" w:fill="000000"/>
                <w14:textFill>
                  <w14:solidFill>
                    <w14:srgbClr w14:val="000000">
                      <w14:alpha w14:val="100000"/>
                    </w14:srgbClr>
                  </w14:solidFill>
                </w14:textFill>
              </w:rPr>
              <w:t>|</w:t>
            </w:r>
            <w:r w:rsidR="00C701A2">
              <w:rPr>
                <w:rFonts w:cs="Arial"/>
                <w:iCs/>
                <w:szCs w:val="20"/>
                <w:vertAlign w:val="superscript"/>
              </w:rPr>
              <w:t>3</w:t>
            </w:r>
            <w:r w:rsidRPr="00C61A44">
              <w:t xml:space="preserve"> </w:t>
            </w:r>
            <w:r w:rsidRPr="00C61A44">
              <w:rPr>
                <w:i/>
                <w:iCs/>
              </w:rPr>
              <w:t>(-23%)</w:t>
            </w:r>
          </w:p>
        </w:tc>
      </w:tr>
      <w:tr w:rsidR="00EC7AB1" w:rsidRPr="000C48F9" w14:paraId="7A5A7C4C" w14:textId="77777777" w:rsidTr="001315B5">
        <w:tc>
          <w:tcPr>
            <w:tcW w:w="3114" w:type="dxa"/>
            <w:vMerge w:val="restart"/>
            <w:tcBorders>
              <w:top w:val="single" w:sz="4" w:space="0" w:color="auto"/>
              <w:left w:val="single" w:sz="4" w:space="0" w:color="auto"/>
              <w:right w:val="single" w:sz="4" w:space="0" w:color="auto"/>
            </w:tcBorders>
          </w:tcPr>
          <w:p w14:paraId="51EA8857" w14:textId="7DAAB722" w:rsidR="00EC7AB1" w:rsidRPr="000C48F9" w:rsidDel="00B70B68" w:rsidRDefault="00EC7AB1" w:rsidP="003E016D">
            <w:pPr>
              <w:pStyle w:val="TableText0"/>
              <w:keepLines/>
              <w:widowControl w:val="0"/>
              <w:rPr>
                <w:szCs w:val="20"/>
              </w:rPr>
            </w:pPr>
            <w:r w:rsidRPr="000C48F9">
              <w:rPr>
                <w:szCs w:val="20"/>
              </w:rPr>
              <w:t xml:space="preserve">LoE removed (base case 90% reduction after </w:t>
            </w:r>
            <w:r w:rsidR="00987958" w:rsidRPr="00987958">
              <w:rPr>
                <w:color w:val="000000"/>
                <w:spacing w:val="188"/>
                <w:szCs w:val="20"/>
                <w:shd w:val="solid" w:color="000000" w:fill="000000"/>
                <w:fitText w:val="274" w:id="-1300528640"/>
                <w14:textFill>
                  <w14:solidFill>
                    <w14:srgbClr w14:val="000000">
                      <w14:alpha w14:val="100000"/>
                    </w14:srgbClr>
                  </w14:solidFill>
                </w14:textFill>
              </w:rPr>
              <w:t>|</w:t>
            </w:r>
            <w:r w:rsidR="00987958" w:rsidRPr="00987958">
              <w:rPr>
                <w:color w:val="000000"/>
                <w:spacing w:val="1"/>
                <w:szCs w:val="20"/>
                <w:shd w:val="solid" w:color="000000" w:fill="000000"/>
                <w:fitText w:val="274" w:id="-1300528640"/>
                <w14:textFill>
                  <w14:solidFill>
                    <w14:srgbClr w14:val="000000">
                      <w14:alpha w14:val="100000"/>
                    </w14:srgbClr>
                  </w14:solidFill>
                </w14:textFill>
              </w:rPr>
              <w:t>|</w:t>
            </w:r>
            <w:r w:rsidR="00987958" w:rsidRPr="00987958">
              <w:rPr>
                <w:szCs w:val="20"/>
              </w:rPr>
              <w:t xml:space="preserve"> </w:t>
            </w:r>
            <w:r w:rsidRPr="000C48F9">
              <w:rPr>
                <w:szCs w:val="20"/>
              </w:rPr>
              <w:t xml:space="preserve">years for ELX/TEZ/IVA, and </w:t>
            </w:r>
            <w:r w:rsidR="00987958" w:rsidRPr="00987958">
              <w:rPr>
                <w:color w:val="000000"/>
                <w:spacing w:val="187"/>
                <w:szCs w:val="20"/>
                <w:shd w:val="solid" w:color="000000" w:fill="000000"/>
                <w:fitText w:val="273" w:id="-1300528639"/>
                <w14:textFill>
                  <w14:solidFill>
                    <w14:srgbClr w14:val="000000">
                      <w14:alpha w14:val="100000"/>
                    </w14:srgbClr>
                  </w14:solidFill>
                </w14:textFill>
              </w:rPr>
              <w:t>|</w:t>
            </w:r>
            <w:r w:rsidR="00987958" w:rsidRPr="00987958">
              <w:rPr>
                <w:color w:val="000000"/>
                <w:spacing w:val="1"/>
                <w:szCs w:val="20"/>
                <w:shd w:val="solid" w:color="000000" w:fill="000000"/>
                <w:fitText w:val="273" w:id="-1300528639"/>
                <w14:textFill>
                  <w14:solidFill>
                    <w14:srgbClr w14:val="000000">
                      <w14:alpha w14:val="100000"/>
                    </w14:srgbClr>
                  </w14:solidFill>
                </w14:textFill>
              </w:rPr>
              <w:t>|</w:t>
            </w:r>
            <w:r w:rsidR="00987958" w:rsidRPr="00987958">
              <w:rPr>
                <w:szCs w:val="20"/>
              </w:rPr>
              <w:t xml:space="preserve"> </w:t>
            </w:r>
            <w:r w:rsidRPr="000C48F9">
              <w:rPr>
                <w:szCs w:val="20"/>
              </w:rPr>
              <w:t xml:space="preserve">for LUM/IVA) </w:t>
            </w:r>
          </w:p>
        </w:tc>
        <w:tc>
          <w:tcPr>
            <w:tcW w:w="1135" w:type="dxa"/>
            <w:tcBorders>
              <w:top w:val="single" w:sz="4" w:space="0" w:color="auto"/>
              <w:left w:val="single" w:sz="4" w:space="0" w:color="auto"/>
              <w:bottom w:val="single" w:sz="4" w:space="0" w:color="auto"/>
              <w:right w:val="single" w:sz="4" w:space="0" w:color="auto"/>
            </w:tcBorders>
          </w:tcPr>
          <w:p w14:paraId="2D7D56E9" w14:textId="77777777" w:rsidR="00EC7AB1" w:rsidRPr="000C48F9" w:rsidRDefault="00EC7AB1" w:rsidP="003E016D">
            <w:pPr>
              <w:pStyle w:val="TableText0"/>
              <w:keepLines/>
              <w:widowControl w:val="0"/>
              <w:jc w:val="center"/>
              <w:rPr>
                <w:szCs w:val="20"/>
              </w:rPr>
            </w:pPr>
            <w:r w:rsidRPr="000C48F9">
              <w:rPr>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3C7BF24D" w14:textId="54D4FE3E" w:rsidR="00EC7AB1" w:rsidRPr="000A1BBC" w:rsidDel="00ED6951" w:rsidRDefault="00EC7AB1"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7A0B3CA6" w14:textId="77777777" w:rsidR="00EC7AB1" w:rsidRPr="000C48F9" w:rsidDel="00ED6951" w:rsidRDefault="00EC7AB1" w:rsidP="003E016D">
            <w:pPr>
              <w:pStyle w:val="TableText0"/>
              <w:keepLines/>
              <w:widowControl w:val="0"/>
              <w:jc w:val="center"/>
              <w:rPr>
                <w:szCs w:val="20"/>
              </w:rPr>
            </w:pPr>
            <w:r w:rsidRPr="000C48F9">
              <w:rPr>
                <w:rFonts w:cs="Calibri"/>
                <w:color w:val="000000"/>
                <w:szCs w:val="20"/>
              </w:rPr>
              <w:t>5.72</w:t>
            </w:r>
          </w:p>
        </w:tc>
        <w:tc>
          <w:tcPr>
            <w:tcW w:w="1842" w:type="dxa"/>
            <w:tcBorders>
              <w:top w:val="single" w:sz="4" w:space="0" w:color="auto"/>
              <w:left w:val="single" w:sz="4" w:space="0" w:color="auto"/>
              <w:bottom w:val="single" w:sz="4" w:space="0" w:color="auto"/>
              <w:right w:val="single" w:sz="4" w:space="0" w:color="auto"/>
            </w:tcBorders>
            <w:vAlign w:val="center"/>
          </w:tcPr>
          <w:p w14:paraId="1C22B3DA" w14:textId="0EADED1D" w:rsidR="00EC7AB1" w:rsidRPr="000C48F9" w:rsidDel="00ED6951" w:rsidRDefault="00EC7AB1" w:rsidP="003E016D">
            <w:pPr>
              <w:pStyle w:val="TableText0"/>
              <w:keepLines/>
              <w:widowControl w:val="0"/>
              <w:jc w:val="center"/>
              <w:rPr>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38"/>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38"/>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38"/>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(+11%)</w:t>
            </w:r>
          </w:p>
        </w:tc>
      </w:tr>
      <w:tr w:rsidR="00EC7AB1" w:rsidRPr="000C48F9" w14:paraId="17AC1EC9" w14:textId="77777777" w:rsidTr="001315B5">
        <w:tc>
          <w:tcPr>
            <w:tcW w:w="3114" w:type="dxa"/>
            <w:vMerge/>
            <w:tcBorders>
              <w:left w:val="single" w:sz="4" w:space="0" w:color="auto"/>
              <w:right w:val="single" w:sz="4" w:space="0" w:color="auto"/>
            </w:tcBorders>
          </w:tcPr>
          <w:p w14:paraId="7C5F6219" w14:textId="77777777" w:rsidR="00EC7AB1" w:rsidRPr="000C48F9" w:rsidDel="00B70B68" w:rsidRDefault="00EC7AB1"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724347E6" w14:textId="77777777" w:rsidR="00EC7AB1" w:rsidRPr="000C48F9" w:rsidRDefault="00EC7AB1" w:rsidP="003E016D">
            <w:pPr>
              <w:pStyle w:val="TableText0"/>
              <w:keepLines/>
              <w:widowControl w:val="0"/>
              <w:jc w:val="center"/>
              <w:rPr>
                <w:szCs w:val="20"/>
              </w:rPr>
            </w:pPr>
            <w:r w:rsidRPr="000C48F9">
              <w:rPr>
                <w:szCs w:val="20"/>
              </w:rPr>
              <w:t>F/MF</w:t>
            </w:r>
          </w:p>
        </w:tc>
        <w:tc>
          <w:tcPr>
            <w:tcW w:w="1598" w:type="dxa"/>
            <w:tcBorders>
              <w:top w:val="single" w:sz="4" w:space="0" w:color="auto"/>
              <w:left w:val="single" w:sz="4" w:space="0" w:color="auto"/>
              <w:bottom w:val="single" w:sz="4" w:space="0" w:color="auto"/>
              <w:right w:val="single" w:sz="4" w:space="0" w:color="auto"/>
            </w:tcBorders>
            <w:vAlign w:val="center"/>
          </w:tcPr>
          <w:p w14:paraId="1A2A3546" w14:textId="2C63862F" w:rsidR="00EC7AB1" w:rsidRPr="000A1BBC" w:rsidDel="00ED6951" w:rsidRDefault="00EC7AB1"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604A7580" w14:textId="77777777" w:rsidR="00EC7AB1" w:rsidRPr="000C48F9" w:rsidDel="00ED6951" w:rsidRDefault="00EC7AB1" w:rsidP="003E016D">
            <w:pPr>
              <w:pStyle w:val="TableText0"/>
              <w:keepLines/>
              <w:widowControl w:val="0"/>
              <w:jc w:val="center"/>
              <w:rPr>
                <w:szCs w:val="20"/>
              </w:rPr>
            </w:pPr>
            <w:r w:rsidRPr="000C48F9">
              <w:rPr>
                <w:rFonts w:cs="Calibri"/>
                <w:color w:val="000000"/>
                <w:szCs w:val="20"/>
              </w:rPr>
              <w:t>7.66</w:t>
            </w:r>
          </w:p>
        </w:tc>
        <w:tc>
          <w:tcPr>
            <w:tcW w:w="1842" w:type="dxa"/>
            <w:tcBorders>
              <w:top w:val="single" w:sz="4" w:space="0" w:color="auto"/>
              <w:left w:val="single" w:sz="4" w:space="0" w:color="auto"/>
              <w:bottom w:val="single" w:sz="4" w:space="0" w:color="auto"/>
              <w:right w:val="single" w:sz="4" w:space="0" w:color="auto"/>
            </w:tcBorders>
            <w:vAlign w:val="center"/>
          </w:tcPr>
          <w:p w14:paraId="238A9CBF" w14:textId="7C093511" w:rsidR="00EC7AB1" w:rsidRPr="000C48F9" w:rsidDel="00ED6951" w:rsidRDefault="00EC7AB1" w:rsidP="003E016D">
            <w:pPr>
              <w:pStyle w:val="TableText0"/>
              <w:keepLines/>
              <w:widowControl w:val="0"/>
              <w:jc w:val="center"/>
              <w:rPr>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37"/>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37"/>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37"/>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(+74%)</w:t>
            </w:r>
          </w:p>
        </w:tc>
      </w:tr>
      <w:tr w:rsidR="00EC7AB1" w:rsidRPr="000C48F9" w14:paraId="100B3DA1" w14:textId="77777777" w:rsidTr="002D5E3C">
        <w:tc>
          <w:tcPr>
            <w:tcW w:w="3114" w:type="dxa"/>
            <w:vMerge/>
            <w:tcBorders>
              <w:left w:val="single" w:sz="4" w:space="0" w:color="auto"/>
              <w:right w:val="single" w:sz="4" w:space="0" w:color="auto"/>
            </w:tcBorders>
          </w:tcPr>
          <w:p w14:paraId="4125BEDD" w14:textId="77777777" w:rsidR="00EC7AB1" w:rsidRPr="000C48F9" w:rsidDel="00B70B68" w:rsidRDefault="00EC7AB1"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601806D0" w14:textId="77777777" w:rsidR="00EC7AB1" w:rsidRPr="000C48F9" w:rsidRDefault="00EC7AB1" w:rsidP="003E016D">
            <w:pPr>
              <w:pStyle w:val="TableText0"/>
              <w:keepLines/>
              <w:widowControl w:val="0"/>
              <w:jc w:val="center"/>
              <w:rPr>
                <w:szCs w:val="20"/>
              </w:rPr>
            </w:pPr>
            <w:r w:rsidRPr="000C48F9">
              <w:rPr>
                <w:szCs w:val="20"/>
              </w:rPr>
              <w:t>Combined</w:t>
            </w:r>
          </w:p>
        </w:tc>
        <w:tc>
          <w:tcPr>
            <w:tcW w:w="1598" w:type="dxa"/>
            <w:tcBorders>
              <w:top w:val="single" w:sz="4" w:space="0" w:color="auto"/>
              <w:left w:val="single" w:sz="4" w:space="0" w:color="auto"/>
              <w:bottom w:val="single" w:sz="4" w:space="0" w:color="auto"/>
              <w:right w:val="single" w:sz="4" w:space="0" w:color="auto"/>
            </w:tcBorders>
          </w:tcPr>
          <w:p w14:paraId="14CA544C" w14:textId="0A05A813" w:rsidR="00EC7AB1" w:rsidRPr="000A1BBC" w:rsidDel="00ED6951" w:rsidRDefault="00EC7AB1"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tcPr>
          <w:p w14:paraId="3110AF51" w14:textId="77777777" w:rsidR="00EC7AB1" w:rsidRPr="000C48F9" w:rsidDel="00ED6951" w:rsidRDefault="00EC7AB1" w:rsidP="003E016D">
            <w:pPr>
              <w:pStyle w:val="TableText0"/>
              <w:keepLines/>
              <w:widowControl w:val="0"/>
              <w:jc w:val="center"/>
              <w:rPr>
                <w:szCs w:val="20"/>
              </w:rPr>
            </w:pPr>
            <w:r w:rsidRPr="000C48F9">
              <w:rPr>
                <w:rFonts w:cs="Calibri"/>
                <w:color w:val="000000"/>
                <w:szCs w:val="20"/>
              </w:rPr>
              <w:t>6.46</w:t>
            </w:r>
          </w:p>
        </w:tc>
        <w:tc>
          <w:tcPr>
            <w:tcW w:w="1842" w:type="dxa"/>
            <w:tcBorders>
              <w:top w:val="single" w:sz="4" w:space="0" w:color="auto"/>
              <w:left w:val="single" w:sz="4" w:space="0" w:color="auto"/>
              <w:bottom w:val="single" w:sz="4" w:space="0" w:color="auto"/>
              <w:right w:val="single" w:sz="4" w:space="0" w:color="auto"/>
            </w:tcBorders>
          </w:tcPr>
          <w:p w14:paraId="682289BE" w14:textId="19B52371" w:rsidR="00EC7AB1" w:rsidRPr="000C48F9" w:rsidDel="00ED6951" w:rsidRDefault="00EC7AB1" w:rsidP="003E016D">
            <w:pPr>
              <w:pStyle w:val="TableText0"/>
              <w:keepLines/>
              <w:widowControl w:val="0"/>
              <w:jc w:val="center"/>
              <w:rPr>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36"/>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36"/>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36"/>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(+39%)</w:t>
            </w:r>
          </w:p>
        </w:tc>
      </w:tr>
      <w:tr w:rsidR="002D5E3C" w:rsidRPr="000C48F9" w14:paraId="12F73AAD" w14:textId="77777777" w:rsidTr="001315B5">
        <w:tc>
          <w:tcPr>
            <w:tcW w:w="3114" w:type="dxa"/>
            <w:vMerge w:val="restart"/>
            <w:tcBorders>
              <w:top w:val="single" w:sz="4" w:space="0" w:color="auto"/>
              <w:left w:val="single" w:sz="4" w:space="0" w:color="auto"/>
              <w:right w:val="single" w:sz="4" w:space="0" w:color="auto"/>
            </w:tcBorders>
          </w:tcPr>
          <w:p w14:paraId="1A4809C8" w14:textId="3EF343A0" w:rsidR="002D5E3C" w:rsidRPr="000C48F9" w:rsidDel="00B70B68" w:rsidRDefault="002D5E3C" w:rsidP="003E016D">
            <w:pPr>
              <w:keepNext/>
              <w:keepLines/>
              <w:widowControl w:val="0"/>
              <w:rPr>
                <w:rFonts w:ascii="Arial Narrow" w:eastAsiaTheme="majorEastAsia" w:hAnsi="Arial Narrow" w:cstheme="majorBidi"/>
                <w:bCs/>
                <w:sz w:val="20"/>
                <w:szCs w:val="20"/>
              </w:rPr>
            </w:pPr>
            <w:r w:rsidRPr="000C48F9">
              <w:rPr>
                <w:rFonts w:ascii="Arial Narrow" w:hAnsi="Arial Narrow"/>
                <w:sz w:val="20"/>
                <w:szCs w:val="20"/>
              </w:rPr>
              <w:t>20-year time horizon (base case lifetime years)</w:t>
            </w:r>
          </w:p>
        </w:tc>
        <w:tc>
          <w:tcPr>
            <w:tcW w:w="1135" w:type="dxa"/>
            <w:tcBorders>
              <w:top w:val="single" w:sz="4" w:space="0" w:color="auto"/>
              <w:left w:val="single" w:sz="4" w:space="0" w:color="auto"/>
              <w:bottom w:val="single" w:sz="4" w:space="0" w:color="auto"/>
              <w:right w:val="single" w:sz="4" w:space="0" w:color="auto"/>
            </w:tcBorders>
          </w:tcPr>
          <w:p w14:paraId="58ABEB49" w14:textId="17AF6646" w:rsidR="002D5E3C" w:rsidRPr="000C48F9" w:rsidRDefault="002D5E3C" w:rsidP="003E016D">
            <w:pPr>
              <w:pStyle w:val="TableText0"/>
              <w:keepLines/>
              <w:widowControl w:val="0"/>
              <w:jc w:val="center"/>
              <w:rPr>
                <w:szCs w:val="20"/>
              </w:rPr>
            </w:pPr>
            <w:r w:rsidRPr="000C48F9">
              <w:rPr>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566E411C" w14:textId="22EE0724" w:rsidR="002D5E3C" w:rsidRPr="000A1BBC" w:rsidDel="00ED6951" w:rsidRDefault="002D5E3C"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5EC4B719" w14:textId="3CE2536C" w:rsidR="002D5E3C" w:rsidRPr="000C48F9" w:rsidDel="00ED6951" w:rsidRDefault="002D5E3C" w:rsidP="003E016D">
            <w:pPr>
              <w:pStyle w:val="TableText0"/>
              <w:keepLines/>
              <w:widowControl w:val="0"/>
              <w:jc w:val="center"/>
              <w:rPr>
                <w:szCs w:val="20"/>
              </w:rPr>
            </w:pPr>
            <w:r w:rsidRPr="000C48F9">
              <w:rPr>
                <w:rFonts w:cs="Calibri"/>
                <w:color w:val="000000"/>
                <w:szCs w:val="20"/>
              </w:rPr>
              <w:t>1.86</w:t>
            </w:r>
          </w:p>
        </w:tc>
        <w:tc>
          <w:tcPr>
            <w:tcW w:w="1842" w:type="dxa"/>
            <w:tcBorders>
              <w:top w:val="single" w:sz="4" w:space="0" w:color="auto"/>
              <w:left w:val="single" w:sz="4" w:space="0" w:color="auto"/>
              <w:bottom w:val="single" w:sz="4" w:space="0" w:color="auto"/>
              <w:right w:val="single" w:sz="4" w:space="0" w:color="auto"/>
            </w:tcBorders>
            <w:vAlign w:val="center"/>
          </w:tcPr>
          <w:p w14:paraId="3BB11173" w14:textId="5E0A05D8" w:rsidR="002D5E3C" w:rsidRPr="000C48F9" w:rsidDel="00ED6951" w:rsidRDefault="002D5E3C" w:rsidP="003E016D">
            <w:pPr>
              <w:pStyle w:val="TableText0"/>
              <w:keepLines/>
              <w:widowControl w:val="0"/>
              <w:jc w:val="center"/>
              <w:rPr>
                <w:szCs w:val="20"/>
              </w:rPr>
            </w:pPr>
            <w:r w:rsidRPr="000C48F9">
              <w:rPr>
                <w:rFonts w:cs="Calibri"/>
                <w:color w:val="000000"/>
                <w:szCs w:val="20"/>
              </w:rPr>
              <w:t>$</w:t>
            </w:r>
            <w:r w:rsidR="00987958" w:rsidRPr="00987958">
              <w:rPr>
                <w:rFonts w:cs="Calibri" w:hint="eastAsia"/>
                <w:color w:val="000000"/>
                <w:w w:val="15"/>
                <w:szCs w:val="20"/>
                <w:shd w:val="solid" w:color="000000" w:fill="000000"/>
                <w:fitText w:val="54" w:id="-1300528635"/>
                <w14:textFill>
                  <w14:solidFill>
                    <w14:srgbClr w14:val="000000">
                      <w14:alpha w14:val="100000"/>
                    </w14:srgbClr>
                  </w14:solidFill>
                </w14:textFill>
              </w:rPr>
              <w:t xml:space="preserve">　</w:t>
            </w:r>
            <w:r w:rsidR="00987958" w:rsidRPr="00987958">
              <w:rPr>
                <w:rFonts w:cs="Calibri"/>
                <w:color w:val="000000"/>
                <w:w w:val="15"/>
                <w:szCs w:val="20"/>
                <w:shd w:val="solid" w:color="000000" w:fill="000000"/>
                <w:fitText w:val="54" w:id="-1300528635"/>
                <w14:textFill>
                  <w14:solidFill>
                    <w14:srgbClr w14:val="000000">
                      <w14:alpha w14:val="100000"/>
                    </w14:srgbClr>
                  </w14:solidFill>
                </w14:textFill>
              </w:rPr>
              <w:t>|</w:t>
            </w:r>
            <w:r w:rsidR="00987958" w:rsidRPr="00987958">
              <w:rPr>
                <w:rFonts w:cs="Calibri" w:hint="eastAsia"/>
                <w:color w:val="000000"/>
                <w:spacing w:val="-11"/>
                <w:w w:val="15"/>
                <w:szCs w:val="20"/>
                <w:shd w:val="solid" w:color="000000" w:fill="000000"/>
                <w:fitText w:val="54" w:id="-1300528635"/>
                <w14:textFill>
                  <w14:solidFill>
                    <w14:srgbClr w14:val="000000">
                      <w14:alpha w14:val="100000"/>
                    </w14:srgbClr>
                  </w14:solidFill>
                </w14:textFill>
              </w:rPr>
              <w:t xml:space="preserve">　</w:t>
            </w:r>
            <w:r w:rsidR="00C701A2">
              <w:rPr>
                <w:rFonts w:cs="Arial"/>
                <w:iCs/>
                <w:szCs w:val="20"/>
                <w:vertAlign w:val="superscript"/>
              </w:rPr>
              <w:t>5</w:t>
            </w:r>
            <w:r w:rsidRPr="00C61A44">
              <w:rPr>
                <w:rFonts w:cs="Calibri"/>
                <w:color w:val="000000"/>
                <w:szCs w:val="20"/>
              </w:rPr>
              <w:t xml:space="preserve"> (+186%)</w:t>
            </w:r>
          </w:p>
        </w:tc>
      </w:tr>
      <w:tr w:rsidR="002D5E3C" w:rsidRPr="000C48F9" w14:paraId="7997594D" w14:textId="77777777" w:rsidTr="001315B5">
        <w:tc>
          <w:tcPr>
            <w:tcW w:w="3114" w:type="dxa"/>
            <w:vMerge/>
            <w:tcBorders>
              <w:left w:val="single" w:sz="4" w:space="0" w:color="auto"/>
              <w:right w:val="single" w:sz="4" w:space="0" w:color="auto"/>
            </w:tcBorders>
          </w:tcPr>
          <w:p w14:paraId="3192C6C8" w14:textId="77777777" w:rsidR="002D5E3C" w:rsidRPr="000C48F9" w:rsidDel="00B70B68"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66E0A884" w14:textId="15CF026E" w:rsidR="002D5E3C" w:rsidRPr="000C48F9" w:rsidRDefault="002D5E3C" w:rsidP="003E016D">
            <w:pPr>
              <w:pStyle w:val="TableText0"/>
              <w:keepLines/>
              <w:widowControl w:val="0"/>
              <w:jc w:val="center"/>
              <w:rPr>
                <w:szCs w:val="20"/>
              </w:rPr>
            </w:pPr>
            <w:r w:rsidRPr="000C48F9">
              <w:rPr>
                <w:szCs w:val="20"/>
              </w:rPr>
              <w:t>F/MF</w:t>
            </w:r>
          </w:p>
        </w:tc>
        <w:tc>
          <w:tcPr>
            <w:tcW w:w="1598" w:type="dxa"/>
            <w:tcBorders>
              <w:top w:val="single" w:sz="4" w:space="0" w:color="auto"/>
              <w:left w:val="single" w:sz="4" w:space="0" w:color="auto"/>
              <w:bottom w:val="single" w:sz="4" w:space="0" w:color="auto"/>
              <w:right w:val="single" w:sz="4" w:space="0" w:color="auto"/>
            </w:tcBorders>
            <w:vAlign w:val="center"/>
          </w:tcPr>
          <w:p w14:paraId="53ADC331" w14:textId="29549EFD" w:rsidR="002D5E3C" w:rsidRPr="000A1BBC" w:rsidDel="00ED6951" w:rsidRDefault="002D5E3C"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4C261693" w14:textId="72AE4824" w:rsidR="002D5E3C" w:rsidRPr="000C48F9" w:rsidDel="00ED6951" w:rsidRDefault="002D5E3C" w:rsidP="003E016D">
            <w:pPr>
              <w:pStyle w:val="TableText0"/>
              <w:keepLines/>
              <w:widowControl w:val="0"/>
              <w:jc w:val="center"/>
              <w:rPr>
                <w:szCs w:val="20"/>
              </w:rPr>
            </w:pPr>
            <w:r w:rsidRPr="000C48F9">
              <w:rPr>
                <w:rFonts w:cs="Calibri"/>
                <w:color w:val="000000"/>
                <w:szCs w:val="20"/>
              </w:rPr>
              <w:t>3.00</w:t>
            </w:r>
          </w:p>
        </w:tc>
        <w:tc>
          <w:tcPr>
            <w:tcW w:w="1842" w:type="dxa"/>
            <w:tcBorders>
              <w:top w:val="single" w:sz="4" w:space="0" w:color="auto"/>
              <w:left w:val="single" w:sz="4" w:space="0" w:color="auto"/>
              <w:bottom w:val="single" w:sz="4" w:space="0" w:color="auto"/>
              <w:right w:val="single" w:sz="4" w:space="0" w:color="auto"/>
            </w:tcBorders>
            <w:vAlign w:val="center"/>
          </w:tcPr>
          <w:p w14:paraId="6C3CF531" w14:textId="20965713" w:rsidR="002D5E3C" w:rsidRPr="000C48F9" w:rsidDel="00ED6951" w:rsidRDefault="002D5E3C" w:rsidP="003E016D">
            <w:pPr>
              <w:pStyle w:val="TableText0"/>
              <w:keepLines/>
              <w:widowControl w:val="0"/>
              <w:jc w:val="center"/>
              <w:rPr>
                <w:szCs w:val="20"/>
              </w:rPr>
            </w:pPr>
            <w:r w:rsidRPr="000C48F9">
              <w:rPr>
                <w:rFonts w:cs="Calibri"/>
                <w:color w:val="000000"/>
                <w:szCs w:val="20"/>
              </w:rPr>
              <w:t>$</w:t>
            </w:r>
            <w:r w:rsidR="00987958" w:rsidRPr="00987958">
              <w:rPr>
                <w:rFonts w:cs="Calibri" w:hint="eastAsia"/>
                <w:color w:val="000000"/>
                <w:w w:val="15"/>
                <w:szCs w:val="20"/>
                <w:shd w:val="solid" w:color="000000" w:fill="000000"/>
                <w:fitText w:val="54" w:id="-1300528634"/>
                <w14:textFill>
                  <w14:solidFill>
                    <w14:srgbClr w14:val="000000">
                      <w14:alpha w14:val="100000"/>
                    </w14:srgbClr>
                  </w14:solidFill>
                </w14:textFill>
              </w:rPr>
              <w:t xml:space="preserve">　</w:t>
            </w:r>
            <w:r w:rsidR="00987958" w:rsidRPr="00987958">
              <w:rPr>
                <w:rFonts w:cs="Calibri"/>
                <w:color w:val="000000"/>
                <w:w w:val="15"/>
                <w:szCs w:val="20"/>
                <w:shd w:val="solid" w:color="000000" w:fill="000000"/>
                <w:fitText w:val="54" w:id="-1300528634"/>
                <w14:textFill>
                  <w14:solidFill>
                    <w14:srgbClr w14:val="000000">
                      <w14:alpha w14:val="100000"/>
                    </w14:srgbClr>
                  </w14:solidFill>
                </w14:textFill>
              </w:rPr>
              <w:t>|</w:t>
            </w:r>
            <w:r w:rsidR="00987958" w:rsidRPr="00987958">
              <w:rPr>
                <w:rFonts w:cs="Calibri" w:hint="eastAsia"/>
                <w:color w:val="000000"/>
                <w:spacing w:val="-11"/>
                <w:w w:val="15"/>
                <w:szCs w:val="20"/>
                <w:shd w:val="solid" w:color="000000" w:fill="000000"/>
                <w:fitText w:val="54" w:id="-1300528634"/>
                <w14:textFill>
                  <w14:solidFill>
                    <w14:srgbClr w14:val="000000">
                      <w14:alpha w14:val="100000"/>
                    </w14:srgbClr>
                  </w14:solidFill>
                </w14:textFill>
              </w:rPr>
              <w:t xml:space="preserve">　</w:t>
            </w:r>
            <w:r w:rsidR="00C701A2">
              <w:rPr>
                <w:rFonts w:cs="Arial"/>
                <w:iCs/>
                <w:szCs w:val="20"/>
                <w:vertAlign w:val="superscript"/>
              </w:rPr>
              <w:t>6</w:t>
            </w:r>
            <w:r w:rsidRPr="00C61A44">
              <w:rPr>
                <w:rFonts w:cs="Calibri"/>
                <w:color w:val="000000"/>
                <w:szCs w:val="20"/>
              </w:rPr>
              <w:t xml:space="preserve"> (+126%)</w:t>
            </w:r>
          </w:p>
        </w:tc>
      </w:tr>
      <w:tr w:rsidR="002D5E3C" w:rsidRPr="000C48F9" w14:paraId="48CAA43C" w14:textId="77777777" w:rsidTr="001315B5">
        <w:tc>
          <w:tcPr>
            <w:tcW w:w="3114" w:type="dxa"/>
            <w:vMerge/>
            <w:tcBorders>
              <w:left w:val="single" w:sz="4" w:space="0" w:color="auto"/>
              <w:right w:val="single" w:sz="4" w:space="0" w:color="auto"/>
            </w:tcBorders>
          </w:tcPr>
          <w:p w14:paraId="3E49CC98" w14:textId="77777777" w:rsidR="002D5E3C" w:rsidRPr="000C48F9" w:rsidDel="00B70B68"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303AB32B" w14:textId="3E3E78F7" w:rsidR="002D5E3C" w:rsidRPr="000C48F9" w:rsidRDefault="002D5E3C" w:rsidP="003E016D">
            <w:pPr>
              <w:pStyle w:val="TableText0"/>
              <w:keepLines/>
              <w:widowControl w:val="0"/>
              <w:jc w:val="center"/>
              <w:rPr>
                <w:szCs w:val="20"/>
              </w:rPr>
            </w:pPr>
            <w:r w:rsidRPr="000C48F9">
              <w:rPr>
                <w:szCs w:val="20"/>
              </w:rPr>
              <w:t>Combined</w:t>
            </w:r>
          </w:p>
        </w:tc>
        <w:tc>
          <w:tcPr>
            <w:tcW w:w="1598" w:type="dxa"/>
            <w:tcBorders>
              <w:top w:val="single" w:sz="4" w:space="0" w:color="auto"/>
              <w:left w:val="single" w:sz="4" w:space="0" w:color="auto"/>
              <w:bottom w:val="single" w:sz="4" w:space="0" w:color="auto"/>
              <w:right w:val="single" w:sz="4" w:space="0" w:color="auto"/>
            </w:tcBorders>
            <w:vAlign w:val="center"/>
          </w:tcPr>
          <w:p w14:paraId="56F84B31" w14:textId="38AAF9CD" w:rsidR="002D5E3C" w:rsidRPr="000A1BBC" w:rsidDel="00ED6951" w:rsidRDefault="002D5E3C" w:rsidP="003E016D">
            <w:pPr>
              <w:pStyle w:val="TableText0"/>
              <w:keepLines/>
              <w:widowControl w:val="0"/>
              <w:jc w:val="center"/>
              <w:rPr>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0E697716" w14:textId="3B9A6086" w:rsidR="002D5E3C" w:rsidRPr="000C48F9" w:rsidDel="00ED6951" w:rsidRDefault="002D5E3C" w:rsidP="003E016D">
            <w:pPr>
              <w:pStyle w:val="TableText0"/>
              <w:keepLines/>
              <w:widowControl w:val="0"/>
              <w:jc w:val="center"/>
              <w:rPr>
                <w:szCs w:val="20"/>
              </w:rPr>
            </w:pPr>
            <w:r w:rsidRPr="000C48F9">
              <w:rPr>
                <w:rFonts w:cs="Calibri"/>
                <w:color w:val="000000"/>
                <w:szCs w:val="20"/>
              </w:rPr>
              <w:t>2.30</w:t>
            </w:r>
          </w:p>
        </w:tc>
        <w:tc>
          <w:tcPr>
            <w:tcW w:w="1842" w:type="dxa"/>
            <w:tcBorders>
              <w:top w:val="single" w:sz="4" w:space="0" w:color="auto"/>
              <w:left w:val="single" w:sz="4" w:space="0" w:color="auto"/>
              <w:bottom w:val="single" w:sz="4" w:space="0" w:color="auto"/>
              <w:right w:val="single" w:sz="4" w:space="0" w:color="auto"/>
            </w:tcBorders>
            <w:vAlign w:val="center"/>
          </w:tcPr>
          <w:p w14:paraId="7F0A4A20" w14:textId="5B10004B" w:rsidR="002D5E3C" w:rsidRPr="000C48F9" w:rsidDel="00ED6951" w:rsidRDefault="002D5E3C" w:rsidP="003E016D">
            <w:pPr>
              <w:pStyle w:val="TableText0"/>
              <w:keepLines/>
              <w:widowControl w:val="0"/>
              <w:jc w:val="center"/>
              <w:rPr>
                <w:szCs w:val="20"/>
              </w:rPr>
            </w:pPr>
            <w:r w:rsidRPr="000C48F9">
              <w:rPr>
                <w:rFonts w:cs="Calibri"/>
                <w:color w:val="000000"/>
                <w:szCs w:val="20"/>
              </w:rPr>
              <w:t>$</w:t>
            </w:r>
            <w:r w:rsidR="00987958" w:rsidRPr="00987958">
              <w:rPr>
                <w:rFonts w:cs="Calibri" w:hint="eastAsia"/>
                <w:color w:val="000000"/>
                <w:w w:val="15"/>
                <w:szCs w:val="20"/>
                <w:shd w:val="solid" w:color="000000" w:fill="000000"/>
                <w:fitText w:val="54" w:id="-1300528633"/>
                <w14:textFill>
                  <w14:solidFill>
                    <w14:srgbClr w14:val="000000">
                      <w14:alpha w14:val="100000"/>
                    </w14:srgbClr>
                  </w14:solidFill>
                </w14:textFill>
              </w:rPr>
              <w:t xml:space="preserve">　</w:t>
            </w:r>
            <w:r w:rsidR="00987958" w:rsidRPr="00987958">
              <w:rPr>
                <w:rFonts w:cs="Calibri"/>
                <w:color w:val="000000"/>
                <w:w w:val="15"/>
                <w:szCs w:val="20"/>
                <w:shd w:val="solid" w:color="000000" w:fill="000000"/>
                <w:fitText w:val="54" w:id="-1300528633"/>
                <w14:textFill>
                  <w14:solidFill>
                    <w14:srgbClr w14:val="000000">
                      <w14:alpha w14:val="100000"/>
                    </w14:srgbClr>
                  </w14:solidFill>
                </w14:textFill>
              </w:rPr>
              <w:t>|</w:t>
            </w:r>
            <w:r w:rsidR="00987958" w:rsidRPr="00987958">
              <w:rPr>
                <w:rFonts w:cs="Calibri" w:hint="eastAsia"/>
                <w:color w:val="000000"/>
                <w:spacing w:val="-11"/>
                <w:w w:val="15"/>
                <w:szCs w:val="20"/>
                <w:shd w:val="solid" w:color="000000" w:fill="000000"/>
                <w:fitText w:val="54" w:id="-1300528633"/>
                <w14:textFill>
                  <w14:solidFill>
                    <w14:srgbClr w14:val="000000">
                      <w14:alpha w14:val="100000"/>
                    </w14:srgbClr>
                  </w14:solidFill>
                </w14:textFill>
              </w:rPr>
              <w:t xml:space="preserve">　</w:t>
            </w:r>
            <w:r w:rsidR="00C701A2">
              <w:rPr>
                <w:rFonts w:cs="Arial"/>
                <w:iCs/>
                <w:szCs w:val="20"/>
                <w:vertAlign w:val="superscript"/>
              </w:rPr>
              <w:t>5</w:t>
            </w:r>
            <w:r w:rsidRPr="00C61A44">
              <w:rPr>
                <w:rFonts w:cs="Calibri"/>
                <w:color w:val="000000"/>
                <w:szCs w:val="20"/>
              </w:rPr>
              <w:t xml:space="preserve"> (+156%)</w:t>
            </w:r>
          </w:p>
        </w:tc>
      </w:tr>
      <w:tr w:rsidR="002D5E3C" w:rsidRPr="000C48F9" w14:paraId="14C0DFFF" w14:textId="77777777" w:rsidTr="009949FD">
        <w:tc>
          <w:tcPr>
            <w:tcW w:w="3114" w:type="dxa"/>
            <w:vMerge w:val="restart"/>
            <w:tcBorders>
              <w:top w:val="single" w:sz="4" w:space="0" w:color="auto"/>
              <w:left w:val="single" w:sz="4" w:space="0" w:color="auto"/>
              <w:right w:val="single" w:sz="4" w:space="0" w:color="auto"/>
            </w:tcBorders>
            <w:vAlign w:val="center"/>
          </w:tcPr>
          <w:p w14:paraId="656112AC" w14:textId="0ABD13F1" w:rsidR="002D5E3C" w:rsidRPr="00EB1712" w:rsidRDefault="002D5E3C" w:rsidP="003E016D">
            <w:pPr>
              <w:pStyle w:val="TableText0"/>
              <w:keepLines/>
              <w:widowControl w:val="0"/>
              <w:rPr>
                <w:szCs w:val="20"/>
              </w:rPr>
            </w:pPr>
            <w:r w:rsidRPr="00EB1712">
              <w:rPr>
                <w:szCs w:val="20"/>
              </w:rPr>
              <w:t xml:space="preserve">Compliance as in the trials of 100% (base case 90%) </w:t>
            </w:r>
          </w:p>
        </w:tc>
        <w:tc>
          <w:tcPr>
            <w:tcW w:w="1135" w:type="dxa"/>
            <w:tcBorders>
              <w:top w:val="single" w:sz="4" w:space="0" w:color="auto"/>
              <w:left w:val="single" w:sz="4" w:space="0" w:color="auto"/>
              <w:bottom w:val="single" w:sz="4" w:space="0" w:color="auto"/>
              <w:right w:val="single" w:sz="4" w:space="0" w:color="auto"/>
            </w:tcBorders>
          </w:tcPr>
          <w:p w14:paraId="58162B72" w14:textId="5B56290D" w:rsidR="002D5E3C" w:rsidRPr="00EB1712" w:rsidRDefault="002D5E3C" w:rsidP="003E016D">
            <w:pPr>
              <w:pStyle w:val="TableText0"/>
              <w:keepLines/>
              <w:widowControl w:val="0"/>
              <w:jc w:val="center"/>
              <w:rPr>
                <w:szCs w:val="20"/>
              </w:rPr>
            </w:pPr>
            <w:r w:rsidRPr="00EB1712">
              <w:rPr>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658DA1E2" w14:textId="731A8DB1" w:rsidR="002D5E3C" w:rsidRPr="000A1BBC" w:rsidRDefault="002D5E3C" w:rsidP="003E016D">
            <w:pPr>
              <w:pStyle w:val="TableText0"/>
              <w:keepLines/>
              <w:widowControl w:val="0"/>
              <w:jc w:val="center"/>
              <w:rPr>
                <w:rFonts w:cs="Calibri"/>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05884368" w14:textId="0D53A05D" w:rsidR="002D5E3C" w:rsidRPr="00EB1712" w:rsidRDefault="002D5E3C" w:rsidP="003E016D">
            <w:pPr>
              <w:pStyle w:val="TableText0"/>
              <w:keepLines/>
              <w:widowControl w:val="0"/>
              <w:jc w:val="center"/>
              <w:rPr>
                <w:rFonts w:cs="Calibri"/>
                <w:color w:val="000000"/>
                <w:szCs w:val="20"/>
              </w:rPr>
            </w:pPr>
            <w:r w:rsidRPr="00EB1712">
              <w:rPr>
                <w:szCs w:val="20"/>
              </w:rPr>
              <w:t>5.72</w:t>
            </w:r>
          </w:p>
        </w:tc>
        <w:tc>
          <w:tcPr>
            <w:tcW w:w="1842" w:type="dxa"/>
            <w:tcBorders>
              <w:top w:val="single" w:sz="4" w:space="0" w:color="auto"/>
              <w:left w:val="single" w:sz="4" w:space="0" w:color="auto"/>
              <w:bottom w:val="single" w:sz="4" w:space="0" w:color="auto"/>
              <w:right w:val="single" w:sz="4" w:space="0" w:color="auto"/>
            </w:tcBorders>
            <w:vAlign w:val="center"/>
          </w:tcPr>
          <w:p w14:paraId="578E9A43" w14:textId="324CA317" w:rsidR="002D5E3C" w:rsidRPr="00EB1712" w:rsidRDefault="002D5E3C" w:rsidP="003E016D">
            <w:pPr>
              <w:pStyle w:val="TableText0"/>
              <w:keepLines/>
              <w:widowControl w:val="0"/>
              <w:jc w:val="center"/>
              <w:rPr>
                <w:rFonts w:cs="Calibri"/>
                <w:color w:val="000000"/>
                <w:szCs w:val="20"/>
              </w:rPr>
            </w:pPr>
            <w:r w:rsidRPr="00EB1712">
              <w:rPr>
                <w:szCs w:val="20"/>
              </w:rPr>
              <w:t>$</w:t>
            </w:r>
            <w:r w:rsidR="00987958" w:rsidRPr="008E430C">
              <w:rPr>
                <w:rFonts w:hint="eastAsia"/>
                <w:color w:val="000000"/>
                <w:w w:val="15"/>
                <w:szCs w:val="20"/>
                <w:shd w:val="solid" w:color="000000" w:fill="000000"/>
                <w:fitText w:val="9" w:id="-1300528632"/>
                <w14:textFill>
                  <w14:solidFill>
                    <w14:srgbClr w14:val="000000">
                      <w14:alpha w14:val="100000"/>
                    </w14:srgbClr>
                  </w14:solidFill>
                </w14:textFill>
              </w:rPr>
              <w:t xml:space="preserve">　</w:t>
            </w:r>
            <w:r w:rsidR="00987958" w:rsidRPr="008E430C">
              <w:rPr>
                <w:color w:val="000000"/>
                <w:w w:val="15"/>
                <w:szCs w:val="20"/>
                <w:shd w:val="solid" w:color="000000" w:fill="000000"/>
                <w:fitText w:val="9" w:id="-1300528632"/>
                <w14:textFill>
                  <w14:solidFill>
                    <w14:srgbClr w14:val="000000">
                      <w14:alpha w14:val="100000"/>
                    </w14:srgbClr>
                  </w14:solidFill>
                </w14:textFill>
              </w:rPr>
              <w:t>|</w:t>
            </w:r>
            <w:r w:rsidR="00987958" w:rsidRPr="008E430C">
              <w:rPr>
                <w:rFonts w:hint="eastAsia"/>
                <w:color w:val="000000"/>
                <w:spacing w:val="-56"/>
                <w:w w:val="15"/>
                <w:szCs w:val="20"/>
                <w:shd w:val="solid" w:color="000000" w:fill="000000"/>
                <w:fitText w:val="9" w:id="-1300528632"/>
                <w14:textFill>
                  <w14:solidFill>
                    <w14:srgbClr w14:val="000000">
                      <w14:alpha w14:val="100000"/>
                    </w14:srgbClr>
                  </w14:solidFill>
                </w14:textFill>
              </w:rPr>
              <w:t xml:space="preserve">　</w:t>
            </w:r>
            <w:r w:rsidR="00C701A2">
              <w:rPr>
                <w:rFonts w:cs="Arial"/>
                <w:iCs/>
                <w:szCs w:val="20"/>
                <w:vertAlign w:val="superscript"/>
              </w:rPr>
              <w:t>4</w:t>
            </w:r>
            <w:r w:rsidRPr="00C61A44">
              <w:rPr>
                <w:szCs w:val="20"/>
              </w:rPr>
              <w:t xml:space="preserve"> (+12%)</w:t>
            </w:r>
          </w:p>
        </w:tc>
      </w:tr>
      <w:tr w:rsidR="002D5E3C" w:rsidRPr="000C48F9" w14:paraId="718D2AFF" w14:textId="77777777" w:rsidTr="009949FD">
        <w:tc>
          <w:tcPr>
            <w:tcW w:w="3114" w:type="dxa"/>
            <w:vMerge/>
            <w:tcBorders>
              <w:left w:val="single" w:sz="4" w:space="0" w:color="auto"/>
              <w:right w:val="single" w:sz="4" w:space="0" w:color="auto"/>
            </w:tcBorders>
            <w:vAlign w:val="center"/>
          </w:tcPr>
          <w:p w14:paraId="7852767D" w14:textId="77777777" w:rsidR="002D5E3C" w:rsidRPr="00EB1712"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0E9884B6" w14:textId="7EBB509C" w:rsidR="002D5E3C" w:rsidRPr="00EB1712" w:rsidRDefault="002D5E3C" w:rsidP="003E016D">
            <w:pPr>
              <w:pStyle w:val="TableText0"/>
              <w:keepLines/>
              <w:widowControl w:val="0"/>
              <w:jc w:val="center"/>
              <w:rPr>
                <w:szCs w:val="20"/>
              </w:rPr>
            </w:pPr>
            <w:r w:rsidRPr="00EB1712">
              <w:rPr>
                <w:szCs w:val="20"/>
              </w:rPr>
              <w:t>F/MF</w:t>
            </w:r>
          </w:p>
        </w:tc>
        <w:tc>
          <w:tcPr>
            <w:tcW w:w="1598" w:type="dxa"/>
            <w:tcBorders>
              <w:top w:val="single" w:sz="4" w:space="0" w:color="auto"/>
              <w:left w:val="single" w:sz="4" w:space="0" w:color="auto"/>
              <w:bottom w:val="single" w:sz="4" w:space="0" w:color="auto"/>
              <w:right w:val="single" w:sz="4" w:space="0" w:color="auto"/>
            </w:tcBorders>
            <w:vAlign w:val="center"/>
          </w:tcPr>
          <w:p w14:paraId="0C27F1CB" w14:textId="0CEA14C2" w:rsidR="002D5E3C" w:rsidRPr="000A1BBC" w:rsidRDefault="002D5E3C" w:rsidP="003E016D">
            <w:pPr>
              <w:pStyle w:val="TableText0"/>
              <w:keepLines/>
              <w:widowControl w:val="0"/>
              <w:jc w:val="center"/>
              <w:rPr>
                <w:rFonts w:cs="Calibri"/>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7373AAA5" w14:textId="5568B9EB" w:rsidR="002D5E3C" w:rsidRPr="00EB1712" w:rsidRDefault="002D5E3C" w:rsidP="003E016D">
            <w:pPr>
              <w:pStyle w:val="TableText0"/>
              <w:keepLines/>
              <w:widowControl w:val="0"/>
              <w:jc w:val="center"/>
              <w:rPr>
                <w:rFonts w:cs="Calibri"/>
                <w:color w:val="000000"/>
                <w:szCs w:val="20"/>
              </w:rPr>
            </w:pPr>
            <w:r w:rsidRPr="00EB1712">
              <w:rPr>
                <w:szCs w:val="20"/>
              </w:rPr>
              <w:t>7.66</w:t>
            </w:r>
          </w:p>
        </w:tc>
        <w:tc>
          <w:tcPr>
            <w:tcW w:w="1842" w:type="dxa"/>
            <w:tcBorders>
              <w:top w:val="single" w:sz="4" w:space="0" w:color="auto"/>
              <w:left w:val="single" w:sz="4" w:space="0" w:color="auto"/>
              <w:bottom w:val="single" w:sz="4" w:space="0" w:color="auto"/>
              <w:right w:val="single" w:sz="4" w:space="0" w:color="auto"/>
            </w:tcBorders>
            <w:vAlign w:val="center"/>
          </w:tcPr>
          <w:p w14:paraId="37667B18" w14:textId="3CBC2650" w:rsidR="002D5E3C" w:rsidRPr="00EB1712" w:rsidRDefault="002D5E3C" w:rsidP="003E016D">
            <w:pPr>
              <w:pStyle w:val="TableText0"/>
              <w:keepLines/>
              <w:widowControl w:val="0"/>
              <w:jc w:val="center"/>
              <w:rPr>
                <w:rFonts w:cs="Calibri"/>
                <w:color w:val="000000"/>
                <w:szCs w:val="20"/>
              </w:rPr>
            </w:pPr>
            <w:r w:rsidRPr="00EB1712">
              <w:rPr>
                <w:szCs w:val="20"/>
              </w:rPr>
              <w:t>$</w:t>
            </w:r>
            <w:r w:rsidR="00987958" w:rsidRPr="008E430C">
              <w:rPr>
                <w:rFonts w:hint="eastAsia"/>
                <w:color w:val="000000"/>
                <w:w w:val="15"/>
                <w:szCs w:val="20"/>
                <w:shd w:val="solid" w:color="000000" w:fill="000000"/>
                <w:fitText w:val="9" w:id="-1300528631"/>
                <w14:textFill>
                  <w14:solidFill>
                    <w14:srgbClr w14:val="000000">
                      <w14:alpha w14:val="100000"/>
                    </w14:srgbClr>
                  </w14:solidFill>
                </w14:textFill>
              </w:rPr>
              <w:t xml:space="preserve">　</w:t>
            </w:r>
            <w:r w:rsidR="00987958" w:rsidRPr="008E430C">
              <w:rPr>
                <w:color w:val="000000"/>
                <w:w w:val="15"/>
                <w:szCs w:val="20"/>
                <w:shd w:val="solid" w:color="000000" w:fill="000000"/>
                <w:fitText w:val="9" w:id="-1300528631"/>
                <w14:textFill>
                  <w14:solidFill>
                    <w14:srgbClr w14:val="000000">
                      <w14:alpha w14:val="100000"/>
                    </w14:srgbClr>
                  </w14:solidFill>
                </w14:textFill>
              </w:rPr>
              <w:t>|</w:t>
            </w:r>
            <w:r w:rsidR="00987958" w:rsidRPr="008E430C">
              <w:rPr>
                <w:rFonts w:hint="eastAsia"/>
                <w:color w:val="000000"/>
                <w:spacing w:val="-56"/>
                <w:w w:val="15"/>
                <w:szCs w:val="20"/>
                <w:shd w:val="solid" w:color="000000" w:fill="000000"/>
                <w:fitText w:val="9" w:id="-1300528631"/>
                <w14:textFill>
                  <w14:solidFill>
                    <w14:srgbClr w14:val="000000">
                      <w14:alpha w14:val="100000"/>
                    </w14:srgbClr>
                  </w14:solidFill>
                </w14:textFill>
              </w:rPr>
              <w:t xml:space="preserve">　</w:t>
            </w:r>
            <w:r w:rsidR="00C701A2">
              <w:rPr>
                <w:rFonts w:cs="Arial"/>
                <w:iCs/>
                <w:szCs w:val="20"/>
                <w:vertAlign w:val="superscript"/>
              </w:rPr>
              <w:t>4</w:t>
            </w:r>
            <w:r w:rsidRPr="00C61A44">
              <w:rPr>
                <w:szCs w:val="20"/>
              </w:rPr>
              <w:t xml:space="preserve"> (+12%)</w:t>
            </w:r>
          </w:p>
        </w:tc>
      </w:tr>
      <w:tr w:rsidR="002D5E3C" w:rsidRPr="000C48F9" w14:paraId="063CFDBA" w14:textId="77777777" w:rsidTr="009949FD">
        <w:tc>
          <w:tcPr>
            <w:tcW w:w="3114" w:type="dxa"/>
            <w:vMerge/>
            <w:tcBorders>
              <w:left w:val="single" w:sz="4" w:space="0" w:color="auto"/>
              <w:right w:val="single" w:sz="4" w:space="0" w:color="auto"/>
            </w:tcBorders>
            <w:vAlign w:val="center"/>
          </w:tcPr>
          <w:p w14:paraId="3004FEBC" w14:textId="77777777" w:rsidR="002D5E3C" w:rsidRPr="00EB1712"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4AAD3EA6" w14:textId="0729BCE9" w:rsidR="002D5E3C" w:rsidRPr="00EB1712" w:rsidRDefault="002D5E3C" w:rsidP="003E016D">
            <w:pPr>
              <w:pStyle w:val="TableText0"/>
              <w:keepLines/>
              <w:widowControl w:val="0"/>
              <w:jc w:val="center"/>
              <w:rPr>
                <w:szCs w:val="20"/>
              </w:rPr>
            </w:pPr>
            <w:r w:rsidRPr="00EB1712">
              <w:rPr>
                <w:szCs w:val="20"/>
              </w:rPr>
              <w:t>Combined</w:t>
            </w:r>
          </w:p>
        </w:tc>
        <w:tc>
          <w:tcPr>
            <w:tcW w:w="1598" w:type="dxa"/>
            <w:tcBorders>
              <w:top w:val="single" w:sz="4" w:space="0" w:color="auto"/>
              <w:left w:val="single" w:sz="4" w:space="0" w:color="auto"/>
              <w:bottom w:val="single" w:sz="4" w:space="0" w:color="auto"/>
              <w:right w:val="single" w:sz="4" w:space="0" w:color="auto"/>
            </w:tcBorders>
            <w:vAlign w:val="center"/>
          </w:tcPr>
          <w:p w14:paraId="734943AA" w14:textId="02DAC2FB" w:rsidR="002D5E3C" w:rsidRPr="000A1BBC" w:rsidRDefault="002D5E3C" w:rsidP="003E016D">
            <w:pPr>
              <w:pStyle w:val="TableText0"/>
              <w:keepLines/>
              <w:widowControl w:val="0"/>
              <w:jc w:val="center"/>
              <w:rPr>
                <w:rFonts w:cs="Calibri"/>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5CB5B709" w14:textId="40CFB405" w:rsidR="002D5E3C" w:rsidRPr="00EB1712" w:rsidRDefault="002D5E3C" w:rsidP="003E016D">
            <w:pPr>
              <w:pStyle w:val="TableText0"/>
              <w:keepLines/>
              <w:widowControl w:val="0"/>
              <w:jc w:val="center"/>
              <w:rPr>
                <w:rFonts w:cs="Calibri"/>
                <w:color w:val="000000"/>
                <w:szCs w:val="20"/>
              </w:rPr>
            </w:pPr>
            <w:r w:rsidRPr="00EB1712">
              <w:rPr>
                <w:szCs w:val="20"/>
              </w:rPr>
              <w:t>6.46</w:t>
            </w:r>
          </w:p>
        </w:tc>
        <w:tc>
          <w:tcPr>
            <w:tcW w:w="1842" w:type="dxa"/>
            <w:tcBorders>
              <w:top w:val="single" w:sz="4" w:space="0" w:color="auto"/>
              <w:left w:val="single" w:sz="4" w:space="0" w:color="auto"/>
              <w:bottom w:val="single" w:sz="4" w:space="0" w:color="auto"/>
              <w:right w:val="single" w:sz="4" w:space="0" w:color="auto"/>
            </w:tcBorders>
            <w:vAlign w:val="center"/>
          </w:tcPr>
          <w:p w14:paraId="423BABDC" w14:textId="6B49C224" w:rsidR="002D5E3C" w:rsidRPr="00EB1712" w:rsidRDefault="002D5E3C" w:rsidP="003E016D">
            <w:pPr>
              <w:pStyle w:val="TableText0"/>
              <w:keepLines/>
              <w:widowControl w:val="0"/>
              <w:jc w:val="center"/>
              <w:rPr>
                <w:rFonts w:cs="Calibri"/>
                <w:color w:val="000000"/>
                <w:szCs w:val="20"/>
              </w:rPr>
            </w:pPr>
            <w:r w:rsidRPr="00EB1712">
              <w:rPr>
                <w:szCs w:val="20"/>
              </w:rPr>
              <w:t>$</w:t>
            </w:r>
            <w:r w:rsidR="00987958" w:rsidRPr="008E430C">
              <w:rPr>
                <w:rFonts w:hint="eastAsia"/>
                <w:color w:val="000000"/>
                <w:w w:val="15"/>
                <w:szCs w:val="20"/>
                <w:shd w:val="solid" w:color="000000" w:fill="000000"/>
                <w:fitText w:val="9" w:id="-1300528630"/>
                <w14:textFill>
                  <w14:solidFill>
                    <w14:srgbClr w14:val="000000">
                      <w14:alpha w14:val="100000"/>
                    </w14:srgbClr>
                  </w14:solidFill>
                </w14:textFill>
              </w:rPr>
              <w:t xml:space="preserve">　</w:t>
            </w:r>
            <w:r w:rsidR="00987958" w:rsidRPr="008E430C">
              <w:rPr>
                <w:color w:val="000000"/>
                <w:w w:val="15"/>
                <w:szCs w:val="20"/>
                <w:shd w:val="solid" w:color="000000" w:fill="000000"/>
                <w:fitText w:val="9" w:id="-1300528630"/>
                <w14:textFill>
                  <w14:solidFill>
                    <w14:srgbClr w14:val="000000">
                      <w14:alpha w14:val="100000"/>
                    </w14:srgbClr>
                  </w14:solidFill>
                </w14:textFill>
              </w:rPr>
              <w:t>|</w:t>
            </w:r>
            <w:r w:rsidR="00987958" w:rsidRPr="008E430C">
              <w:rPr>
                <w:rFonts w:hint="eastAsia"/>
                <w:color w:val="000000"/>
                <w:spacing w:val="-56"/>
                <w:w w:val="15"/>
                <w:szCs w:val="20"/>
                <w:shd w:val="solid" w:color="000000" w:fill="000000"/>
                <w:fitText w:val="9" w:id="-1300528630"/>
                <w14:textFill>
                  <w14:solidFill>
                    <w14:srgbClr w14:val="000000">
                      <w14:alpha w14:val="100000"/>
                    </w14:srgbClr>
                  </w14:solidFill>
                </w14:textFill>
              </w:rPr>
              <w:t xml:space="preserve">　</w:t>
            </w:r>
            <w:r w:rsidR="00C701A2">
              <w:rPr>
                <w:rFonts w:cs="Arial"/>
                <w:iCs/>
                <w:szCs w:val="20"/>
                <w:vertAlign w:val="superscript"/>
              </w:rPr>
              <w:t>4</w:t>
            </w:r>
            <w:r w:rsidRPr="00C61A44">
              <w:rPr>
                <w:szCs w:val="20"/>
              </w:rPr>
              <w:t xml:space="preserve"> (+12%)</w:t>
            </w:r>
          </w:p>
        </w:tc>
      </w:tr>
      <w:tr w:rsidR="002D5E3C" w:rsidRPr="000C48F9" w14:paraId="72047115" w14:textId="77777777" w:rsidTr="001315B5">
        <w:tc>
          <w:tcPr>
            <w:tcW w:w="3114" w:type="dxa"/>
            <w:vMerge w:val="restart"/>
            <w:tcBorders>
              <w:top w:val="single" w:sz="4" w:space="0" w:color="auto"/>
              <w:left w:val="single" w:sz="4" w:space="0" w:color="auto"/>
              <w:right w:val="single" w:sz="4" w:space="0" w:color="auto"/>
            </w:tcBorders>
          </w:tcPr>
          <w:p w14:paraId="210B8051" w14:textId="12B2A96B" w:rsidR="002D5E3C" w:rsidRPr="000C48F9" w:rsidDel="00B70B68" w:rsidRDefault="002D5E3C" w:rsidP="003E016D">
            <w:pPr>
              <w:pStyle w:val="TableText0"/>
              <w:keepLines/>
              <w:widowControl w:val="0"/>
              <w:rPr>
                <w:szCs w:val="20"/>
              </w:rPr>
            </w:pPr>
            <w:r w:rsidRPr="000C48F9">
              <w:rPr>
                <w:szCs w:val="20"/>
              </w:rPr>
              <w:t>rROD in ppFEV</w:t>
            </w:r>
            <w:r w:rsidRPr="000C48F9">
              <w:rPr>
                <w:szCs w:val="20"/>
                <w:vertAlign w:val="subscript"/>
              </w:rPr>
              <w:t>1</w:t>
            </w:r>
            <w:r w:rsidRPr="000C48F9">
              <w:rPr>
                <w:szCs w:val="20"/>
              </w:rPr>
              <w:t xml:space="preserve"> of 80% (base case 90%) </w:t>
            </w:r>
          </w:p>
        </w:tc>
        <w:tc>
          <w:tcPr>
            <w:tcW w:w="1135" w:type="dxa"/>
            <w:tcBorders>
              <w:top w:val="single" w:sz="4" w:space="0" w:color="auto"/>
              <w:left w:val="single" w:sz="4" w:space="0" w:color="auto"/>
              <w:bottom w:val="single" w:sz="4" w:space="0" w:color="auto"/>
              <w:right w:val="single" w:sz="4" w:space="0" w:color="auto"/>
            </w:tcBorders>
          </w:tcPr>
          <w:p w14:paraId="51467A31" w14:textId="77777777" w:rsidR="002D5E3C" w:rsidRPr="000C48F9" w:rsidRDefault="002D5E3C" w:rsidP="003E016D">
            <w:pPr>
              <w:pStyle w:val="TableText0"/>
              <w:keepLines/>
              <w:widowControl w:val="0"/>
              <w:jc w:val="center"/>
              <w:rPr>
                <w:szCs w:val="20"/>
              </w:rPr>
            </w:pPr>
            <w:r w:rsidRPr="000C48F9">
              <w:rPr>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17CA90AE" w14:textId="52428278" w:rsidR="002D5E3C" w:rsidRPr="000A1BBC" w:rsidDel="00ED6951" w:rsidRDefault="002D5E3C" w:rsidP="003E016D">
            <w:pPr>
              <w:pStyle w:val="TableText0"/>
              <w:keepLines/>
              <w:widowControl w:val="0"/>
              <w:jc w:val="center"/>
              <w:rPr>
                <w:bCs w:val="0"/>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511D25BF" w14:textId="77777777" w:rsidR="002D5E3C" w:rsidRPr="000C48F9" w:rsidDel="00ED6951" w:rsidRDefault="002D5E3C" w:rsidP="003E016D">
            <w:pPr>
              <w:pStyle w:val="TableText0"/>
              <w:keepLines/>
              <w:widowControl w:val="0"/>
              <w:jc w:val="center"/>
              <w:rPr>
                <w:szCs w:val="20"/>
              </w:rPr>
            </w:pPr>
            <w:r w:rsidRPr="000C48F9">
              <w:rPr>
                <w:rFonts w:cs="Calibri"/>
                <w:color w:val="000000"/>
                <w:szCs w:val="20"/>
              </w:rPr>
              <w:t>5.08</w:t>
            </w:r>
          </w:p>
        </w:tc>
        <w:tc>
          <w:tcPr>
            <w:tcW w:w="1842" w:type="dxa"/>
            <w:tcBorders>
              <w:top w:val="single" w:sz="4" w:space="0" w:color="auto"/>
              <w:left w:val="single" w:sz="4" w:space="0" w:color="auto"/>
              <w:bottom w:val="single" w:sz="4" w:space="0" w:color="auto"/>
              <w:right w:val="single" w:sz="4" w:space="0" w:color="auto"/>
            </w:tcBorders>
            <w:vAlign w:val="center"/>
          </w:tcPr>
          <w:p w14:paraId="663DF59D" w14:textId="0CF500C1" w:rsidR="002D5E3C" w:rsidRPr="000C48F9" w:rsidDel="00ED6951" w:rsidRDefault="002D5E3C" w:rsidP="003E016D">
            <w:pPr>
              <w:pStyle w:val="TableText0"/>
              <w:keepLines/>
              <w:widowControl w:val="0"/>
              <w:jc w:val="center"/>
              <w:rPr>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29"/>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29"/>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29"/>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(+14%)</w:t>
            </w:r>
          </w:p>
        </w:tc>
      </w:tr>
      <w:tr w:rsidR="002D5E3C" w:rsidRPr="000C48F9" w14:paraId="573BCDD8" w14:textId="77777777" w:rsidTr="001315B5">
        <w:tc>
          <w:tcPr>
            <w:tcW w:w="3114" w:type="dxa"/>
            <w:vMerge/>
            <w:tcBorders>
              <w:left w:val="single" w:sz="4" w:space="0" w:color="auto"/>
              <w:right w:val="single" w:sz="4" w:space="0" w:color="auto"/>
            </w:tcBorders>
          </w:tcPr>
          <w:p w14:paraId="2F7325CC" w14:textId="77777777" w:rsidR="002D5E3C" w:rsidRPr="000C48F9" w:rsidDel="00B70B68"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6F7DBDA0" w14:textId="77777777" w:rsidR="002D5E3C" w:rsidRPr="000C48F9" w:rsidRDefault="002D5E3C" w:rsidP="003E016D">
            <w:pPr>
              <w:pStyle w:val="TableText0"/>
              <w:keepLines/>
              <w:widowControl w:val="0"/>
              <w:jc w:val="center"/>
              <w:rPr>
                <w:szCs w:val="20"/>
              </w:rPr>
            </w:pPr>
            <w:r w:rsidRPr="000C48F9">
              <w:rPr>
                <w:szCs w:val="20"/>
              </w:rPr>
              <w:t>F/MF</w:t>
            </w:r>
          </w:p>
        </w:tc>
        <w:tc>
          <w:tcPr>
            <w:tcW w:w="1598" w:type="dxa"/>
            <w:tcBorders>
              <w:top w:val="single" w:sz="4" w:space="0" w:color="auto"/>
              <w:left w:val="single" w:sz="4" w:space="0" w:color="auto"/>
              <w:bottom w:val="single" w:sz="4" w:space="0" w:color="auto"/>
              <w:right w:val="single" w:sz="4" w:space="0" w:color="auto"/>
            </w:tcBorders>
            <w:vAlign w:val="center"/>
          </w:tcPr>
          <w:p w14:paraId="45E09E02" w14:textId="5323373E" w:rsidR="002D5E3C" w:rsidRPr="000A1BBC" w:rsidDel="00ED6951" w:rsidRDefault="002D5E3C" w:rsidP="003E016D">
            <w:pPr>
              <w:pStyle w:val="TableText0"/>
              <w:keepLines/>
              <w:widowControl w:val="0"/>
              <w:jc w:val="center"/>
              <w:rPr>
                <w:bCs w:val="0"/>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551A885E" w14:textId="77777777" w:rsidR="002D5E3C" w:rsidRPr="000C48F9" w:rsidDel="00ED6951" w:rsidRDefault="002D5E3C" w:rsidP="003E016D">
            <w:pPr>
              <w:pStyle w:val="TableText0"/>
              <w:keepLines/>
              <w:widowControl w:val="0"/>
              <w:jc w:val="center"/>
              <w:rPr>
                <w:szCs w:val="20"/>
              </w:rPr>
            </w:pPr>
            <w:r w:rsidRPr="000C48F9">
              <w:rPr>
                <w:rFonts w:cs="Calibri"/>
                <w:color w:val="000000"/>
                <w:szCs w:val="20"/>
              </w:rPr>
              <w:t>6.95</w:t>
            </w:r>
          </w:p>
        </w:tc>
        <w:tc>
          <w:tcPr>
            <w:tcW w:w="1842" w:type="dxa"/>
            <w:tcBorders>
              <w:top w:val="single" w:sz="4" w:space="0" w:color="auto"/>
              <w:left w:val="single" w:sz="4" w:space="0" w:color="auto"/>
              <w:bottom w:val="single" w:sz="4" w:space="0" w:color="auto"/>
              <w:right w:val="single" w:sz="4" w:space="0" w:color="auto"/>
            </w:tcBorders>
            <w:vAlign w:val="center"/>
          </w:tcPr>
          <w:p w14:paraId="75EE6F96" w14:textId="4FC69262" w:rsidR="002D5E3C" w:rsidRPr="000C48F9" w:rsidDel="00ED6951" w:rsidRDefault="002D5E3C" w:rsidP="003E016D">
            <w:pPr>
              <w:pStyle w:val="TableText0"/>
              <w:keepLines/>
              <w:widowControl w:val="0"/>
              <w:jc w:val="center"/>
              <w:rPr>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28"/>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28"/>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28"/>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(+11%)</w:t>
            </w:r>
          </w:p>
        </w:tc>
      </w:tr>
      <w:tr w:rsidR="002D5E3C" w:rsidRPr="000C48F9" w14:paraId="3BD481D8" w14:textId="77777777" w:rsidTr="001315B5">
        <w:tc>
          <w:tcPr>
            <w:tcW w:w="3114" w:type="dxa"/>
            <w:vMerge/>
            <w:tcBorders>
              <w:left w:val="single" w:sz="4" w:space="0" w:color="auto"/>
              <w:right w:val="single" w:sz="4" w:space="0" w:color="auto"/>
            </w:tcBorders>
          </w:tcPr>
          <w:p w14:paraId="2C54B727" w14:textId="77777777" w:rsidR="002D5E3C" w:rsidRPr="000C48F9" w:rsidDel="00B70B68"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49032B49" w14:textId="77777777" w:rsidR="002D5E3C" w:rsidRPr="000C48F9" w:rsidRDefault="002D5E3C" w:rsidP="003E016D">
            <w:pPr>
              <w:pStyle w:val="TableText0"/>
              <w:keepLines/>
              <w:widowControl w:val="0"/>
              <w:jc w:val="center"/>
              <w:rPr>
                <w:szCs w:val="20"/>
              </w:rPr>
            </w:pPr>
            <w:r w:rsidRPr="000C48F9">
              <w:rPr>
                <w:szCs w:val="20"/>
              </w:rPr>
              <w:t>Combined</w:t>
            </w:r>
          </w:p>
        </w:tc>
        <w:tc>
          <w:tcPr>
            <w:tcW w:w="1598" w:type="dxa"/>
            <w:tcBorders>
              <w:top w:val="single" w:sz="4" w:space="0" w:color="auto"/>
              <w:left w:val="single" w:sz="4" w:space="0" w:color="auto"/>
              <w:bottom w:val="single" w:sz="4" w:space="0" w:color="auto"/>
              <w:right w:val="single" w:sz="4" w:space="0" w:color="auto"/>
            </w:tcBorders>
            <w:vAlign w:val="center"/>
          </w:tcPr>
          <w:p w14:paraId="19A05A60" w14:textId="231A2478" w:rsidR="002D5E3C" w:rsidRPr="000A1BBC" w:rsidDel="00ED6951" w:rsidRDefault="002D5E3C" w:rsidP="003E016D">
            <w:pPr>
              <w:pStyle w:val="TableText0"/>
              <w:keepLines/>
              <w:widowControl w:val="0"/>
              <w:jc w:val="center"/>
              <w:rPr>
                <w:bCs w:val="0"/>
                <w:szCs w:val="20"/>
              </w:rPr>
            </w:pPr>
            <w:r w:rsidRPr="000A1BBC">
              <w:rPr>
                <w:rFonts w:cs="Calibri"/>
                <w:szCs w:val="20"/>
              </w:rPr>
              <w:t>$</w:t>
            </w:r>
            <w:r w:rsidR="00987958" w:rsidRPr="00987958">
              <w:rPr>
                <w:rFonts w:cs="Calibri"/>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37B7D9F6" w14:textId="77777777" w:rsidR="002D5E3C" w:rsidRPr="000C48F9" w:rsidDel="00ED6951" w:rsidRDefault="002D5E3C" w:rsidP="003E016D">
            <w:pPr>
              <w:pStyle w:val="TableText0"/>
              <w:keepLines/>
              <w:widowControl w:val="0"/>
              <w:jc w:val="center"/>
              <w:rPr>
                <w:bCs w:val="0"/>
                <w:szCs w:val="20"/>
              </w:rPr>
            </w:pPr>
            <w:r w:rsidRPr="000C48F9">
              <w:rPr>
                <w:rFonts w:cs="Calibri"/>
                <w:color w:val="000000"/>
                <w:szCs w:val="20"/>
              </w:rPr>
              <w:t>5.80</w:t>
            </w:r>
          </w:p>
        </w:tc>
        <w:tc>
          <w:tcPr>
            <w:tcW w:w="1842" w:type="dxa"/>
            <w:tcBorders>
              <w:top w:val="single" w:sz="4" w:space="0" w:color="auto"/>
              <w:left w:val="single" w:sz="4" w:space="0" w:color="auto"/>
              <w:bottom w:val="single" w:sz="4" w:space="0" w:color="auto"/>
              <w:right w:val="single" w:sz="4" w:space="0" w:color="auto"/>
            </w:tcBorders>
            <w:vAlign w:val="center"/>
          </w:tcPr>
          <w:p w14:paraId="233177FA" w14:textId="0F251C17" w:rsidR="002D5E3C" w:rsidRPr="000C48F9" w:rsidDel="00ED6951" w:rsidRDefault="002D5E3C" w:rsidP="003E016D">
            <w:pPr>
              <w:pStyle w:val="TableText0"/>
              <w:keepLines/>
              <w:widowControl w:val="0"/>
              <w:jc w:val="center"/>
              <w:rPr>
                <w:bCs w:val="0"/>
                <w:szCs w:val="20"/>
              </w:rPr>
            </w:pPr>
            <w:r w:rsidRPr="000C48F9">
              <w:rPr>
                <w:rFonts w:cs="Calibri"/>
                <w:color w:val="000000"/>
                <w:szCs w:val="20"/>
              </w:rPr>
              <w:t>$</w:t>
            </w:r>
            <w:r w:rsidR="00987958" w:rsidRPr="008E430C">
              <w:rPr>
                <w:rFonts w:cs="Calibri" w:hint="eastAsia"/>
                <w:color w:val="000000"/>
                <w:w w:val="15"/>
                <w:szCs w:val="20"/>
                <w:shd w:val="solid" w:color="000000" w:fill="000000"/>
                <w:fitText w:val="9" w:id="-1300528627"/>
                <w14:textFill>
                  <w14:solidFill>
                    <w14:srgbClr w14:val="000000">
                      <w14:alpha w14:val="100000"/>
                    </w14:srgbClr>
                  </w14:solidFill>
                </w14:textFill>
              </w:rPr>
              <w:t xml:space="preserve">　</w:t>
            </w:r>
            <w:r w:rsidR="00987958" w:rsidRPr="008E430C">
              <w:rPr>
                <w:rFonts w:cs="Calibri"/>
                <w:color w:val="000000"/>
                <w:w w:val="15"/>
                <w:szCs w:val="20"/>
                <w:shd w:val="solid" w:color="000000" w:fill="000000"/>
                <w:fitText w:val="9" w:id="-1300528627"/>
                <w14:textFill>
                  <w14:solidFill>
                    <w14:srgbClr w14:val="000000">
                      <w14:alpha w14:val="100000"/>
                    </w14:srgbClr>
                  </w14:solidFill>
                </w14:textFill>
              </w:rPr>
              <w:t>|</w:t>
            </w:r>
            <w:r w:rsidR="00987958" w:rsidRPr="008E430C">
              <w:rPr>
                <w:rFonts w:cs="Calibri" w:hint="eastAsia"/>
                <w:color w:val="000000"/>
                <w:spacing w:val="-56"/>
                <w:w w:val="15"/>
                <w:szCs w:val="20"/>
                <w:shd w:val="solid" w:color="000000" w:fill="000000"/>
                <w:fitText w:val="9" w:id="-1300528627"/>
                <w14:textFill>
                  <w14:solidFill>
                    <w14:srgbClr w14:val="000000">
                      <w14:alpha w14:val="100000"/>
                    </w14:srgbClr>
                  </w14:solidFill>
                </w14:textFill>
              </w:rPr>
              <w:t xml:space="preserve">　</w:t>
            </w:r>
            <w:r w:rsidR="00C701A2">
              <w:rPr>
                <w:rFonts w:cs="Arial"/>
                <w:iCs/>
                <w:szCs w:val="20"/>
                <w:vertAlign w:val="superscript"/>
              </w:rPr>
              <w:t>4</w:t>
            </w:r>
            <w:r w:rsidRPr="00C61A44">
              <w:rPr>
                <w:rFonts w:cs="Calibri"/>
                <w:color w:val="000000"/>
                <w:szCs w:val="20"/>
              </w:rPr>
              <w:t xml:space="preserve"> (+13%)</w:t>
            </w:r>
          </w:p>
        </w:tc>
      </w:tr>
      <w:tr w:rsidR="002D5E3C" w:rsidRPr="000C48F9" w14:paraId="7C75E09E" w14:textId="77777777" w:rsidTr="00EC7AB1">
        <w:tc>
          <w:tcPr>
            <w:tcW w:w="3114" w:type="dxa"/>
            <w:vMerge w:val="restart"/>
            <w:tcBorders>
              <w:left w:val="single" w:sz="4" w:space="0" w:color="auto"/>
              <w:right w:val="single" w:sz="4" w:space="0" w:color="auto"/>
            </w:tcBorders>
          </w:tcPr>
          <w:p w14:paraId="48DC9383" w14:textId="16C5C804" w:rsidR="002D5E3C" w:rsidRPr="000C48F9" w:rsidRDefault="002D5E3C" w:rsidP="003E016D">
            <w:pPr>
              <w:pStyle w:val="TableText0"/>
              <w:keepLines/>
              <w:widowControl w:val="0"/>
              <w:rPr>
                <w:b/>
                <w:i/>
                <w:iCs/>
                <w:color w:val="FF0000"/>
                <w:szCs w:val="20"/>
              </w:rPr>
            </w:pPr>
            <w:r w:rsidRPr="000C48F9">
              <w:rPr>
                <w:szCs w:val="20"/>
              </w:rPr>
              <w:t xml:space="preserve">Same costs of ELX/TEZ/IVA as listed for the ≥12 years </w:t>
            </w:r>
          </w:p>
        </w:tc>
        <w:tc>
          <w:tcPr>
            <w:tcW w:w="1135" w:type="dxa"/>
            <w:tcBorders>
              <w:top w:val="single" w:sz="4" w:space="0" w:color="auto"/>
              <w:left w:val="single" w:sz="4" w:space="0" w:color="auto"/>
              <w:bottom w:val="single" w:sz="4" w:space="0" w:color="auto"/>
              <w:right w:val="single" w:sz="4" w:space="0" w:color="auto"/>
            </w:tcBorders>
          </w:tcPr>
          <w:p w14:paraId="5113F293" w14:textId="0F1D33C2" w:rsidR="002D5E3C" w:rsidRPr="000C48F9" w:rsidRDefault="002D5E3C" w:rsidP="003E016D">
            <w:pPr>
              <w:pStyle w:val="TableText0"/>
              <w:keepLines/>
              <w:widowControl w:val="0"/>
              <w:jc w:val="center"/>
              <w:rPr>
                <w:i/>
                <w:iCs/>
                <w:color w:val="4F81BD" w:themeColor="accent1"/>
                <w:szCs w:val="20"/>
              </w:rPr>
            </w:pPr>
            <w:r w:rsidRPr="000C48F9">
              <w:rPr>
                <w:szCs w:val="20"/>
              </w:rPr>
              <w:t>F/F</w:t>
            </w:r>
          </w:p>
        </w:tc>
        <w:tc>
          <w:tcPr>
            <w:tcW w:w="1598" w:type="dxa"/>
            <w:tcBorders>
              <w:top w:val="single" w:sz="4" w:space="0" w:color="auto"/>
              <w:left w:val="single" w:sz="4" w:space="0" w:color="auto"/>
              <w:bottom w:val="single" w:sz="4" w:space="0" w:color="auto"/>
              <w:right w:val="single" w:sz="4" w:space="0" w:color="auto"/>
            </w:tcBorders>
            <w:vAlign w:val="center"/>
          </w:tcPr>
          <w:p w14:paraId="054DDBCE" w14:textId="2B4EE455" w:rsidR="002D5E3C" w:rsidRPr="000A1BBC" w:rsidRDefault="002D5E3C" w:rsidP="003E016D">
            <w:pPr>
              <w:pStyle w:val="TableText0"/>
              <w:keepLines/>
              <w:widowControl w:val="0"/>
              <w:jc w:val="center"/>
              <w:rPr>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16F61E9E" w14:textId="28AB41BC" w:rsidR="002D5E3C" w:rsidRPr="000C48F9" w:rsidRDefault="002D5E3C" w:rsidP="003E016D">
            <w:pPr>
              <w:pStyle w:val="TableText0"/>
              <w:keepLines/>
              <w:widowControl w:val="0"/>
              <w:jc w:val="center"/>
              <w:rPr>
                <w:i/>
                <w:iCs/>
                <w:color w:val="4F81BD" w:themeColor="accent1"/>
                <w:szCs w:val="20"/>
              </w:rPr>
            </w:pPr>
            <w:r w:rsidRPr="000C48F9">
              <w:rPr>
                <w:rFonts w:cs="Calibri"/>
                <w:color w:val="000000"/>
                <w:szCs w:val="20"/>
              </w:rPr>
              <w:t>5.72</w:t>
            </w:r>
          </w:p>
        </w:tc>
        <w:tc>
          <w:tcPr>
            <w:tcW w:w="1842" w:type="dxa"/>
            <w:tcBorders>
              <w:top w:val="single" w:sz="4" w:space="0" w:color="auto"/>
              <w:left w:val="single" w:sz="4" w:space="0" w:color="auto"/>
              <w:bottom w:val="single" w:sz="4" w:space="0" w:color="auto"/>
              <w:right w:val="single" w:sz="4" w:space="0" w:color="auto"/>
            </w:tcBorders>
            <w:vAlign w:val="center"/>
          </w:tcPr>
          <w:p w14:paraId="7B015063" w14:textId="4CC53F85" w:rsidR="002D5E3C" w:rsidRPr="000C48F9" w:rsidRDefault="002D5E3C" w:rsidP="003E016D">
            <w:pPr>
              <w:pStyle w:val="TableText0"/>
              <w:keepLines/>
              <w:widowControl w:val="0"/>
              <w:jc w:val="center"/>
              <w:rPr>
                <w:i/>
                <w:iCs/>
                <w:color w:val="4F81BD" w:themeColor="accent1"/>
                <w:szCs w:val="20"/>
              </w:rPr>
            </w:pPr>
            <w:r w:rsidRPr="000C48F9">
              <w:rPr>
                <w:rFonts w:cs="Calibri"/>
                <w:color w:val="000000"/>
                <w:szCs w:val="20"/>
              </w:rPr>
              <w:t>$</w:t>
            </w:r>
            <w:r w:rsidR="00987958" w:rsidRPr="00987958">
              <w:rPr>
                <w:rFonts w:cs="Calibri"/>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7</w:t>
            </w:r>
            <w:r w:rsidRPr="00C61A44">
              <w:rPr>
                <w:rFonts w:cs="Calibri"/>
                <w:color w:val="000000"/>
                <w:szCs w:val="20"/>
              </w:rPr>
              <w:t xml:space="preserve"> (-15%)</w:t>
            </w:r>
          </w:p>
        </w:tc>
      </w:tr>
      <w:tr w:rsidR="002D5E3C" w:rsidRPr="000C48F9" w14:paraId="4CD1AE19" w14:textId="77777777" w:rsidTr="0081393F">
        <w:tc>
          <w:tcPr>
            <w:tcW w:w="3114" w:type="dxa"/>
            <w:vMerge/>
            <w:tcBorders>
              <w:left w:val="single" w:sz="4" w:space="0" w:color="auto"/>
              <w:right w:val="single" w:sz="4" w:space="0" w:color="auto"/>
            </w:tcBorders>
          </w:tcPr>
          <w:p w14:paraId="4BFB2B5A" w14:textId="77777777" w:rsidR="002D5E3C" w:rsidRPr="000C48F9"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7DBAF9E0" w14:textId="2310C927" w:rsidR="002D5E3C" w:rsidRPr="000C48F9" w:rsidRDefault="002D5E3C" w:rsidP="003E016D">
            <w:pPr>
              <w:pStyle w:val="TableText0"/>
              <w:keepLines/>
              <w:widowControl w:val="0"/>
              <w:jc w:val="center"/>
              <w:rPr>
                <w:szCs w:val="20"/>
              </w:rPr>
            </w:pPr>
            <w:r w:rsidRPr="000C48F9">
              <w:rPr>
                <w:szCs w:val="20"/>
              </w:rPr>
              <w:t>F/MF</w:t>
            </w:r>
          </w:p>
        </w:tc>
        <w:tc>
          <w:tcPr>
            <w:tcW w:w="1598" w:type="dxa"/>
            <w:tcBorders>
              <w:top w:val="single" w:sz="4" w:space="0" w:color="auto"/>
              <w:left w:val="single" w:sz="4" w:space="0" w:color="auto"/>
              <w:bottom w:val="single" w:sz="4" w:space="0" w:color="auto"/>
              <w:right w:val="single" w:sz="4" w:space="0" w:color="auto"/>
            </w:tcBorders>
            <w:vAlign w:val="center"/>
          </w:tcPr>
          <w:p w14:paraId="091112F2" w14:textId="34A95463" w:rsidR="002D5E3C" w:rsidRPr="000A1BBC" w:rsidRDefault="002D5E3C" w:rsidP="003E016D">
            <w:pPr>
              <w:pStyle w:val="TableText0"/>
              <w:keepLines/>
              <w:widowControl w:val="0"/>
              <w:jc w:val="center"/>
              <w:rPr>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6F107819" w14:textId="19B16698" w:rsidR="002D5E3C" w:rsidRPr="000C48F9" w:rsidRDefault="002D5E3C" w:rsidP="003E016D">
            <w:pPr>
              <w:pStyle w:val="TableText0"/>
              <w:keepLines/>
              <w:widowControl w:val="0"/>
              <w:jc w:val="center"/>
              <w:rPr>
                <w:rFonts w:cs="Calibri"/>
                <w:color w:val="000000"/>
                <w:szCs w:val="20"/>
              </w:rPr>
            </w:pPr>
            <w:r w:rsidRPr="000C48F9">
              <w:rPr>
                <w:rFonts w:cs="Calibri"/>
                <w:color w:val="000000"/>
                <w:szCs w:val="20"/>
              </w:rPr>
              <w:t>7.66</w:t>
            </w:r>
          </w:p>
        </w:tc>
        <w:tc>
          <w:tcPr>
            <w:tcW w:w="1842" w:type="dxa"/>
            <w:tcBorders>
              <w:top w:val="single" w:sz="4" w:space="0" w:color="auto"/>
              <w:left w:val="single" w:sz="4" w:space="0" w:color="auto"/>
              <w:bottom w:val="single" w:sz="4" w:space="0" w:color="auto"/>
              <w:right w:val="single" w:sz="4" w:space="0" w:color="auto"/>
            </w:tcBorders>
            <w:vAlign w:val="center"/>
          </w:tcPr>
          <w:p w14:paraId="65DC3B09" w14:textId="4D18FB6F" w:rsidR="002D5E3C" w:rsidRPr="000C48F9" w:rsidRDefault="002D5E3C" w:rsidP="003E016D">
            <w:pPr>
              <w:pStyle w:val="TableText0"/>
              <w:keepLines/>
              <w:widowControl w:val="0"/>
              <w:jc w:val="center"/>
              <w:rPr>
                <w:rFonts w:cs="Calibri"/>
                <w:color w:val="000000"/>
                <w:szCs w:val="20"/>
              </w:rPr>
            </w:pPr>
            <w:r w:rsidRPr="000C48F9">
              <w:rPr>
                <w:rFonts w:cs="Calibri"/>
                <w:color w:val="000000"/>
                <w:szCs w:val="20"/>
              </w:rPr>
              <w:t>$</w:t>
            </w:r>
            <w:r w:rsidR="00987958" w:rsidRPr="00987958">
              <w:rPr>
                <w:rFonts w:cs="Calibri"/>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7</w:t>
            </w:r>
            <w:r w:rsidRPr="00C61A44">
              <w:rPr>
                <w:rFonts w:cs="Calibri"/>
                <w:color w:val="000000"/>
                <w:szCs w:val="20"/>
              </w:rPr>
              <w:t xml:space="preserve"> (-11%)</w:t>
            </w:r>
          </w:p>
        </w:tc>
      </w:tr>
      <w:tr w:rsidR="002D5E3C" w:rsidRPr="000C48F9" w14:paraId="764C7532" w14:textId="77777777" w:rsidTr="0081393F">
        <w:tc>
          <w:tcPr>
            <w:tcW w:w="3114" w:type="dxa"/>
            <w:vMerge/>
            <w:tcBorders>
              <w:left w:val="single" w:sz="4" w:space="0" w:color="auto"/>
              <w:right w:val="single" w:sz="4" w:space="0" w:color="auto"/>
            </w:tcBorders>
          </w:tcPr>
          <w:p w14:paraId="11C9B766" w14:textId="77777777" w:rsidR="002D5E3C" w:rsidRPr="000C48F9" w:rsidRDefault="002D5E3C" w:rsidP="003E016D">
            <w:pPr>
              <w:pStyle w:val="TableText0"/>
              <w:keepLines/>
              <w:widowControl w:val="0"/>
              <w:rPr>
                <w:szCs w:val="20"/>
              </w:rPr>
            </w:pPr>
          </w:p>
        </w:tc>
        <w:tc>
          <w:tcPr>
            <w:tcW w:w="1135" w:type="dxa"/>
            <w:tcBorders>
              <w:top w:val="single" w:sz="4" w:space="0" w:color="auto"/>
              <w:left w:val="single" w:sz="4" w:space="0" w:color="auto"/>
              <w:bottom w:val="single" w:sz="4" w:space="0" w:color="auto"/>
              <w:right w:val="single" w:sz="4" w:space="0" w:color="auto"/>
            </w:tcBorders>
          </w:tcPr>
          <w:p w14:paraId="028D8FBD" w14:textId="6E390402" w:rsidR="002D5E3C" w:rsidRPr="000C48F9" w:rsidRDefault="002D5E3C" w:rsidP="003E016D">
            <w:pPr>
              <w:pStyle w:val="TableText0"/>
              <w:keepLines/>
              <w:widowControl w:val="0"/>
              <w:jc w:val="center"/>
              <w:rPr>
                <w:szCs w:val="20"/>
              </w:rPr>
            </w:pPr>
            <w:r w:rsidRPr="000C48F9">
              <w:rPr>
                <w:szCs w:val="20"/>
              </w:rPr>
              <w:t>Combined</w:t>
            </w:r>
          </w:p>
        </w:tc>
        <w:tc>
          <w:tcPr>
            <w:tcW w:w="1598" w:type="dxa"/>
            <w:tcBorders>
              <w:top w:val="single" w:sz="4" w:space="0" w:color="auto"/>
              <w:left w:val="single" w:sz="4" w:space="0" w:color="auto"/>
              <w:bottom w:val="single" w:sz="4" w:space="0" w:color="auto"/>
              <w:right w:val="single" w:sz="4" w:space="0" w:color="auto"/>
            </w:tcBorders>
            <w:vAlign w:val="center"/>
          </w:tcPr>
          <w:p w14:paraId="0BCFE44F" w14:textId="33456E14" w:rsidR="002D5E3C" w:rsidRPr="000A1BBC" w:rsidRDefault="002D5E3C" w:rsidP="003E016D">
            <w:pPr>
              <w:pStyle w:val="TableText0"/>
              <w:keepLines/>
              <w:widowControl w:val="0"/>
              <w:jc w:val="center"/>
              <w:rPr>
                <w:szCs w:val="20"/>
              </w:rPr>
            </w:pPr>
            <w:r w:rsidRPr="000A1BBC">
              <w:rPr>
                <w:szCs w:val="20"/>
              </w:rPr>
              <w:t>$</w:t>
            </w:r>
            <w:r w:rsidR="00987958" w:rsidRPr="00987958">
              <w:rPr>
                <w:color w:val="000000"/>
                <w:szCs w:val="20"/>
                <w:shd w:val="solid" w:color="000000" w:fill="000000"/>
                <w14:textFill>
                  <w14:solidFill>
                    <w14:srgbClr w14:val="000000">
                      <w14:alpha w14:val="100000"/>
                    </w14:srgbClr>
                  </w14:solidFill>
                </w14:textFill>
              </w:rPr>
              <w:t>|</w:t>
            </w:r>
          </w:p>
        </w:tc>
        <w:tc>
          <w:tcPr>
            <w:tcW w:w="1378" w:type="dxa"/>
            <w:tcBorders>
              <w:top w:val="single" w:sz="4" w:space="0" w:color="auto"/>
              <w:left w:val="single" w:sz="4" w:space="0" w:color="auto"/>
              <w:bottom w:val="single" w:sz="4" w:space="0" w:color="auto"/>
              <w:right w:val="single" w:sz="4" w:space="0" w:color="auto"/>
            </w:tcBorders>
            <w:vAlign w:val="center"/>
          </w:tcPr>
          <w:p w14:paraId="41766958" w14:textId="074FF8D9" w:rsidR="002D5E3C" w:rsidRPr="000C48F9" w:rsidRDefault="002D5E3C" w:rsidP="003E016D">
            <w:pPr>
              <w:pStyle w:val="TableText0"/>
              <w:keepLines/>
              <w:widowControl w:val="0"/>
              <w:jc w:val="center"/>
              <w:rPr>
                <w:rFonts w:cs="Calibri"/>
                <w:color w:val="000000"/>
                <w:szCs w:val="20"/>
              </w:rPr>
            </w:pPr>
            <w:r w:rsidRPr="000C48F9">
              <w:rPr>
                <w:rFonts w:cs="Calibri"/>
                <w:color w:val="000000"/>
                <w:szCs w:val="20"/>
              </w:rPr>
              <w:t>6.46</w:t>
            </w:r>
          </w:p>
        </w:tc>
        <w:tc>
          <w:tcPr>
            <w:tcW w:w="1842" w:type="dxa"/>
            <w:tcBorders>
              <w:top w:val="single" w:sz="4" w:space="0" w:color="auto"/>
              <w:left w:val="single" w:sz="4" w:space="0" w:color="auto"/>
              <w:bottom w:val="single" w:sz="4" w:space="0" w:color="auto"/>
              <w:right w:val="single" w:sz="4" w:space="0" w:color="auto"/>
            </w:tcBorders>
            <w:vAlign w:val="center"/>
          </w:tcPr>
          <w:p w14:paraId="76B419BE" w14:textId="4F87FD0A" w:rsidR="002D5E3C" w:rsidRPr="000C48F9" w:rsidRDefault="002D5E3C" w:rsidP="003E016D">
            <w:pPr>
              <w:pStyle w:val="TableText0"/>
              <w:keepLines/>
              <w:widowControl w:val="0"/>
              <w:jc w:val="center"/>
              <w:rPr>
                <w:rFonts w:cs="Calibri"/>
                <w:color w:val="000000"/>
                <w:szCs w:val="20"/>
              </w:rPr>
            </w:pPr>
            <w:r w:rsidRPr="000C48F9">
              <w:rPr>
                <w:rFonts w:cs="Calibri"/>
                <w:color w:val="000000"/>
                <w:szCs w:val="20"/>
              </w:rPr>
              <w:t>$</w:t>
            </w:r>
            <w:r w:rsidR="00987958" w:rsidRPr="00987958">
              <w:rPr>
                <w:rFonts w:cs="Calibri"/>
                <w:color w:val="000000"/>
                <w:szCs w:val="20"/>
                <w:shd w:val="solid" w:color="000000" w:fill="000000"/>
                <w14:textFill>
                  <w14:solidFill>
                    <w14:srgbClr w14:val="000000">
                      <w14:alpha w14:val="100000"/>
                    </w14:srgbClr>
                  </w14:solidFill>
                </w14:textFill>
              </w:rPr>
              <w:t>|</w:t>
            </w:r>
            <w:r w:rsidR="00C701A2">
              <w:rPr>
                <w:rFonts w:cs="Arial"/>
                <w:iCs/>
                <w:szCs w:val="20"/>
                <w:vertAlign w:val="superscript"/>
              </w:rPr>
              <w:t>7</w:t>
            </w:r>
            <w:r w:rsidRPr="00C61A44">
              <w:rPr>
                <w:rFonts w:cs="Calibri"/>
                <w:color w:val="000000"/>
                <w:szCs w:val="20"/>
              </w:rPr>
              <w:t xml:space="preserve"> (-13%)</w:t>
            </w:r>
          </w:p>
        </w:tc>
      </w:tr>
    </w:tbl>
    <w:p w14:paraId="25536029" w14:textId="77777777" w:rsidR="00832B86" w:rsidRPr="000C48F9" w:rsidRDefault="00832B86" w:rsidP="003E016D">
      <w:pPr>
        <w:keepNext/>
        <w:keepLines/>
        <w:rPr>
          <w:rFonts w:ascii="Arial Narrow" w:hAnsi="Arial Narrow"/>
          <w:sz w:val="18"/>
          <w:szCs w:val="18"/>
        </w:rPr>
      </w:pPr>
      <w:r w:rsidRPr="000C48F9">
        <w:rPr>
          <w:rFonts w:ascii="Arial Narrow" w:hAnsi="Arial Narrow"/>
          <w:sz w:val="18"/>
          <w:szCs w:val="18"/>
        </w:rPr>
        <w:t>Source: Table 3.1.32, pp175-177 of the submission; developed as part of the Commentary.</w:t>
      </w:r>
    </w:p>
    <w:p w14:paraId="0A9CD406" w14:textId="7702F84B" w:rsidR="00832B86" w:rsidRPr="000C48F9" w:rsidRDefault="00832B86" w:rsidP="003E016D">
      <w:pPr>
        <w:keepNext/>
        <w:keepLines/>
        <w:jc w:val="left"/>
      </w:pPr>
      <w:r w:rsidRPr="000C48F9">
        <w:rPr>
          <w:rFonts w:ascii="Arial Narrow" w:hAnsi="Arial Narrow"/>
          <w:sz w:val="18"/>
        </w:rPr>
        <w:t xml:space="preserve">ELX/TEZ/IVA = elexacaftor/tezacaftor/ivacaftor; F/F = homozygous for F508del-CFTR mutations; F/MF = heterozygous for F508del-CFTR mutation with a second minimal </w:t>
      </w:r>
      <w:r w:rsidRPr="000C48F9">
        <w:rPr>
          <w:rFonts w:ascii="Arial Narrow" w:hAnsi="Arial Narrow"/>
          <w:sz w:val="18"/>
          <w:szCs w:val="18"/>
        </w:rPr>
        <w:t xml:space="preserve">function allele; ICER = incremental cost-effectiveness ratio; ppFEV1 = percent predicted forced expiratory volume in one second; QALYs = quality-adjusted life-years; rROD = relative rate of reduction in </w:t>
      </w:r>
      <w:r w:rsidR="00DD6EA4" w:rsidRPr="000C48F9">
        <w:rPr>
          <w:rFonts w:ascii="Arial Narrow" w:hAnsi="Arial Narrow"/>
          <w:sz w:val="18"/>
          <w:szCs w:val="18"/>
        </w:rPr>
        <w:t>decline.</w:t>
      </w:r>
      <w:r w:rsidRPr="000C48F9">
        <w:rPr>
          <w:rFonts w:ascii="Arial Narrow" w:hAnsi="Arial Narrow"/>
          <w:sz w:val="18"/>
          <w:szCs w:val="18"/>
        </w:rPr>
        <w:t xml:space="preserve"> </w:t>
      </w:r>
    </w:p>
    <w:p w14:paraId="3D7E9676" w14:textId="324F8E1D" w:rsidR="00832B86" w:rsidRDefault="00832B86" w:rsidP="003E016D">
      <w:pPr>
        <w:keepNext/>
        <w:keepLines/>
        <w:rPr>
          <w:rFonts w:ascii="Arial Narrow" w:hAnsi="Arial Narrow"/>
          <w:sz w:val="18"/>
          <w:szCs w:val="18"/>
        </w:rPr>
      </w:pPr>
      <w:r w:rsidRPr="000C48F9">
        <w:rPr>
          <w:rFonts w:ascii="Arial Narrow" w:hAnsi="Arial Narrow"/>
          <w:sz w:val="18"/>
          <w:szCs w:val="18"/>
        </w:rPr>
        <w:t xml:space="preserve">Note: </w:t>
      </w:r>
      <w:r w:rsidRPr="000C48F9">
        <w:rPr>
          <w:rFonts w:ascii="Arial Narrow" w:hAnsi="Arial Narrow"/>
          <w:sz w:val="18"/>
          <w:szCs w:val="18"/>
          <w:vertAlign w:val="superscript"/>
        </w:rPr>
        <w:t>a</w:t>
      </w:r>
      <w:r w:rsidRPr="000C48F9">
        <w:rPr>
          <w:rFonts w:ascii="Arial Narrow" w:hAnsi="Arial Narrow"/>
          <w:sz w:val="18"/>
          <w:szCs w:val="18"/>
        </w:rPr>
        <w:t xml:space="preserve"> Table 4, ELX/TEZ/IVA PSD, December 2021</w:t>
      </w:r>
    </w:p>
    <w:p w14:paraId="2883A58B" w14:textId="5CEA782C" w:rsidR="00AD0BAC" w:rsidRDefault="00AD0BAC" w:rsidP="00AD0BAC">
      <w:pPr>
        <w:rPr>
          <w:rFonts w:ascii="Arial Narrow" w:hAnsi="Arial Narrow"/>
          <w:i/>
          <w:sz w:val="18"/>
          <w:szCs w:val="18"/>
        </w:rPr>
      </w:pPr>
      <w:r>
        <w:rPr>
          <w:rFonts w:ascii="Arial Narrow" w:hAnsi="Arial Narrow"/>
          <w:i/>
          <w:sz w:val="18"/>
          <w:szCs w:val="18"/>
        </w:rPr>
        <w:t xml:space="preserve">The redacted values correspond to the following ranges: </w:t>
      </w:r>
    </w:p>
    <w:p w14:paraId="51FD9DD4" w14:textId="284CCF49" w:rsidR="00AD0BAC" w:rsidRDefault="00C701A2" w:rsidP="00D51248">
      <w:pPr>
        <w:rPr>
          <w:rFonts w:ascii="Arial Narrow" w:hAnsi="Arial Narrow"/>
          <w:i/>
          <w:sz w:val="18"/>
          <w:szCs w:val="18"/>
        </w:rPr>
      </w:pPr>
      <w:r w:rsidRPr="00C701A2">
        <w:rPr>
          <w:rFonts w:ascii="Arial Narrow" w:hAnsi="Arial Narrow"/>
          <w:i/>
          <w:sz w:val="18"/>
          <w:szCs w:val="18"/>
          <w:vertAlign w:val="superscript"/>
        </w:rPr>
        <w:t>1</w:t>
      </w:r>
      <w:r w:rsidR="00AD0BAC">
        <w:rPr>
          <w:rFonts w:ascii="Arial Narrow" w:hAnsi="Arial Narrow"/>
          <w:i/>
          <w:sz w:val="18"/>
          <w:szCs w:val="18"/>
        </w:rPr>
        <w:t xml:space="preserve"> </w:t>
      </w:r>
      <w:r w:rsidR="001E260E" w:rsidRPr="001E260E">
        <w:rPr>
          <w:rFonts w:ascii="Arial Narrow" w:hAnsi="Arial Narrow"/>
          <w:i/>
          <w:sz w:val="18"/>
          <w:szCs w:val="18"/>
        </w:rPr>
        <w:t>$135,000 to &lt; $155,000</w:t>
      </w:r>
    </w:p>
    <w:p w14:paraId="099CAE74" w14:textId="41B7A84E" w:rsidR="00AD0BAC" w:rsidRDefault="00C701A2" w:rsidP="00AD0BAC">
      <w:pPr>
        <w:rPr>
          <w:rFonts w:ascii="Arial Narrow" w:hAnsi="Arial Narrow"/>
          <w:i/>
          <w:sz w:val="18"/>
          <w:szCs w:val="18"/>
        </w:rPr>
      </w:pPr>
      <w:r>
        <w:rPr>
          <w:rFonts w:ascii="Arial Narrow" w:hAnsi="Arial Narrow"/>
          <w:i/>
          <w:sz w:val="18"/>
          <w:szCs w:val="18"/>
          <w:vertAlign w:val="superscript"/>
        </w:rPr>
        <w:t>2</w:t>
      </w:r>
      <w:r w:rsidR="00AD0BAC">
        <w:rPr>
          <w:rFonts w:ascii="Arial Narrow" w:hAnsi="Arial Narrow"/>
          <w:i/>
          <w:sz w:val="18"/>
          <w:szCs w:val="18"/>
        </w:rPr>
        <w:t xml:space="preserve"> </w:t>
      </w:r>
      <w:r w:rsidR="001E260E" w:rsidRPr="001E260E">
        <w:rPr>
          <w:rFonts w:ascii="Arial Narrow" w:hAnsi="Arial Narrow"/>
          <w:i/>
          <w:sz w:val="18"/>
          <w:szCs w:val="18"/>
        </w:rPr>
        <w:t>$55,000 to &lt; $75,000</w:t>
      </w:r>
    </w:p>
    <w:p w14:paraId="2C8D2EC1" w14:textId="5D10145C" w:rsidR="00936F99" w:rsidRDefault="00C701A2" w:rsidP="00AD0BAC">
      <w:pPr>
        <w:rPr>
          <w:rFonts w:ascii="Arial Narrow" w:hAnsi="Arial Narrow"/>
          <w:i/>
          <w:sz w:val="18"/>
          <w:szCs w:val="18"/>
        </w:rPr>
      </w:pPr>
      <w:r>
        <w:rPr>
          <w:rFonts w:ascii="Arial Narrow" w:hAnsi="Arial Narrow"/>
          <w:i/>
          <w:sz w:val="18"/>
          <w:szCs w:val="18"/>
          <w:vertAlign w:val="superscript"/>
        </w:rPr>
        <w:t>3</w:t>
      </w:r>
      <w:r w:rsidR="00AD0BAC">
        <w:rPr>
          <w:rFonts w:ascii="Arial Narrow" w:hAnsi="Arial Narrow"/>
          <w:i/>
          <w:sz w:val="18"/>
          <w:szCs w:val="18"/>
        </w:rPr>
        <w:t xml:space="preserve"> </w:t>
      </w:r>
      <w:r w:rsidR="00936F99" w:rsidRPr="00936F99">
        <w:rPr>
          <w:rFonts w:ascii="Arial Narrow" w:hAnsi="Arial Narrow"/>
          <w:i/>
          <w:sz w:val="18"/>
          <w:szCs w:val="18"/>
        </w:rPr>
        <w:t>$95,000 to &lt; $115,000</w:t>
      </w:r>
    </w:p>
    <w:p w14:paraId="755A6D33" w14:textId="490860C7" w:rsidR="00AD0BAC" w:rsidRDefault="00C701A2" w:rsidP="00AD0BAC">
      <w:pPr>
        <w:rPr>
          <w:rFonts w:ascii="Arial Narrow" w:hAnsi="Arial Narrow"/>
          <w:i/>
          <w:sz w:val="18"/>
          <w:szCs w:val="18"/>
        </w:rPr>
      </w:pPr>
      <w:r>
        <w:rPr>
          <w:rFonts w:ascii="Arial Narrow" w:hAnsi="Arial Narrow"/>
          <w:i/>
          <w:sz w:val="18"/>
          <w:szCs w:val="18"/>
          <w:vertAlign w:val="superscript"/>
        </w:rPr>
        <w:t>4</w:t>
      </w:r>
      <w:r w:rsidR="00AD0BAC">
        <w:rPr>
          <w:rFonts w:ascii="Arial Narrow" w:hAnsi="Arial Narrow"/>
          <w:i/>
          <w:sz w:val="18"/>
          <w:szCs w:val="18"/>
        </w:rPr>
        <w:t xml:space="preserve"> </w:t>
      </w:r>
      <w:r w:rsidR="00936F99" w:rsidRPr="00936F99">
        <w:rPr>
          <w:rFonts w:ascii="Arial Narrow" w:hAnsi="Arial Narrow"/>
          <w:i/>
          <w:sz w:val="18"/>
          <w:szCs w:val="18"/>
        </w:rPr>
        <w:t>$155,000 to &lt; $255,000</w:t>
      </w:r>
    </w:p>
    <w:p w14:paraId="291C2CB9" w14:textId="33737F03" w:rsidR="00AD0BAC" w:rsidRDefault="00C701A2" w:rsidP="00D51248">
      <w:pPr>
        <w:rPr>
          <w:rFonts w:ascii="Arial Narrow" w:hAnsi="Arial Narrow"/>
          <w:i/>
          <w:sz w:val="18"/>
          <w:szCs w:val="18"/>
        </w:rPr>
      </w:pPr>
      <w:r>
        <w:rPr>
          <w:rFonts w:ascii="Arial Narrow" w:hAnsi="Arial Narrow"/>
          <w:i/>
          <w:sz w:val="18"/>
          <w:szCs w:val="18"/>
          <w:vertAlign w:val="superscript"/>
        </w:rPr>
        <w:t>5</w:t>
      </w:r>
      <w:r w:rsidR="00AD0BAC">
        <w:rPr>
          <w:rFonts w:ascii="Arial Narrow" w:hAnsi="Arial Narrow"/>
          <w:i/>
          <w:sz w:val="18"/>
          <w:szCs w:val="18"/>
        </w:rPr>
        <w:t xml:space="preserve"> </w:t>
      </w:r>
      <w:r w:rsidR="00936F99" w:rsidRPr="00936F99">
        <w:rPr>
          <w:rFonts w:ascii="Arial Narrow" w:hAnsi="Arial Narrow"/>
          <w:i/>
          <w:sz w:val="18"/>
          <w:szCs w:val="18"/>
        </w:rPr>
        <w:t>$355,000 to &lt; $455,000</w:t>
      </w:r>
    </w:p>
    <w:p w14:paraId="5D70CC5E" w14:textId="3171C0C2" w:rsidR="00936F99" w:rsidRDefault="00C701A2" w:rsidP="00D51248">
      <w:pPr>
        <w:rPr>
          <w:rFonts w:ascii="Arial Narrow" w:hAnsi="Arial Narrow"/>
          <w:i/>
          <w:sz w:val="18"/>
          <w:szCs w:val="18"/>
        </w:rPr>
      </w:pPr>
      <w:r>
        <w:rPr>
          <w:rFonts w:ascii="Arial Narrow" w:hAnsi="Arial Narrow"/>
          <w:i/>
          <w:sz w:val="18"/>
          <w:szCs w:val="18"/>
          <w:vertAlign w:val="superscript"/>
        </w:rPr>
        <w:t>6</w:t>
      </w:r>
      <w:r w:rsidR="00936F99">
        <w:rPr>
          <w:rFonts w:ascii="Arial Narrow" w:hAnsi="Arial Narrow"/>
          <w:i/>
          <w:sz w:val="18"/>
          <w:szCs w:val="18"/>
        </w:rPr>
        <w:t xml:space="preserve"> </w:t>
      </w:r>
      <w:r w:rsidR="00031541" w:rsidRPr="00031541">
        <w:rPr>
          <w:rFonts w:ascii="Arial Narrow" w:hAnsi="Arial Narrow"/>
          <w:i/>
          <w:sz w:val="18"/>
          <w:szCs w:val="18"/>
        </w:rPr>
        <w:t>$255,000 to &lt; $355,000</w:t>
      </w:r>
    </w:p>
    <w:p w14:paraId="74586544" w14:textId="3A5E22FD" w:rsidR="005301F0" w:rsidRPr="000C48F9" w:rsidRDefault="00C701A2" w:rsidP="0044604E">
      <w:pPr>
        <w:spacing w:after="120"/>
      </w:pPr>
      <w:r>
        <w:rPr>
          <w:rFonts w:ascii="Arial Narrow" w:hAnsi="Arial Narrow"/>
          <w:i/>
          <w:sz w:val="18"/>
          <w:szCs w:val="18"/>
          <w:vertAlign w:val="superscript"/>
        </w:rPr>
        <w:t>7</w:t>
      </w:r>
      <w:r w:rsidR="00936F99">
        <w:rPr>
          <w:rFonts w:ascii="Arial Narrow" w:hAnsi="Arial Narrow"/>
          <w:i/>
          <w:sz w:val="18"/>
          <w:szCs w:val="18"/>
        </w:rPr>
        <w:t xml:space="preserve"> </w:t>
      </w:r>
      <w:r w:rsidR="00D51248" w:rsidRPr="00D51248">
        <w:rPr>
          <w:rFonts w:ascii="Arial Narrow" w:hAnsi="Arial Narrow"/>
          <w:i/>
          <w:sz w:val="18"/>
          <w:szCs w:val="18"/>
        </w:rPr>
        <w:t>$115,000 to &lt; $135,000</w:t>
      </w:r>
    </w:p>
    <w:p w14:paraId="4956BDD5" w14:textId="2EE2DA94" w:rsidR="00ED00F6" w:rsidRPr="003153BB" w:rsidRDefault="00ED00F6" w:rsidP="00832B86">
      <w:pPr>
        <w:pStyle w:val="3-BodyText"/>
      </w:pPr>
      <w:r w:rsidRPr="00EB1712">
        <w:t>The ESC</w:t>
      </w:r>
      <w:r w:rsidR="00611BC4" w:rsidRPr="00EB1712">
        <w:t xml:space="preserve"> noted the economic model </w:t>
      </w:r>
      <w:r w:rsidR="009818AE" w:rsidRPr="00EB1712">
        <w:t xml:space="preserve">assumed LoE after </w:t>
      </w:r>
      <w:r w:rsidR="00987958" w:rsidRPr="00987958">
        <w:rPr>
          <w:color w:val="000000"/>
          <w:w w:val="62"/>
          <w:shd w:val="solid" w:color="000000" w:fill="000000"/>
          <w:fitText w:val="345" w:id="-1300528626"/>
          <w14:textFill>
            <w14:solidFill>
              <w14:srgbClr w14:val="000000">
                <w14:alpha w14:val="100000"/>
              </w14:srgbClr>
            </w14:solidFill>
          </w14:textFill>
        </w:rPr>
        <w:t>||  |</w:t>
      </w:r>
      <w:r w:rsidR="00987958" w:rsidRPr="00987958">
        <w:rPr>
          <w:color w:val="000000"/>
          <w:spacing w:val="3"/>
          <w:w w:val="62"/>
          <w:shd w:val="solid" w:color="000000" w:fill="000000"/>
          <w:fitText w:val="345" w:id="-1300528626"/>
          <w14:textFill>
            <w14:solidFill>
              <w14:srgbClr w14:val="000000">
                <w14:alpha w14:val="100000"/>
              </w14:srgbClr>
            </w14:solidFill>
          </w14:textFill>
        </w:rPr>
        <w:t>|</w:t>
      </w:r>
      <w:r w:rsidR="00987958" w:rsidRPr="00987958">
        <w:t xml:space="preserve"> </w:t>
      </w:r>
      <w:r w:rsidR="009818AE" w:rsidRPr="00EB1712">
        <w:t xml:space="preserve">years for ELX/TEZ/IVA and </w:t>
      </w:r>
      <w:r w:rsidR="00987958" w:rsidRPr="008E430C">
        <w:rPr>
          <w:color w:val="000000"/>
          <w:w w:val="15"/>
          <w:shd w:val="solid" w:color="000000" w:fill="000000"/>
          <w:fitText w:val="-20" w:id="-1300528625"/>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5"/>
          <w14:textFill>
            <w14:solidFill>
              <w14:srgbClr w14:val="000000">
                <w14:alpha w14:val="100000"/>
              </w14:srgbClr>
            </w14:solidFill>
          </w14:textFill>
        </w:rPr>
        <w:t>|</w:t>
      </w:r>
      <w:r w:rsidR="00987958" w:rsidRPr="00987958">
        <w:t xml:space="preserve"> </w:t>
      </w:r>
      <w:r w:rsidR="009818AE" w:rsidRPr="00EB1712">
        <w:t xml:space="preserve">years of LUM/IVA after which generic entry would result in </w:t>
      </w:r>
      <w:r w:rsidR="009818AE" w:rsidRPr="003153BB">
        <w:t xml:space="preserve">a 90% price reduction. The ESC </w:t>
      </w:r>
      <w:r w:rsidR="00611BC4" w:rsidRPr="003153BB">
        <w:t>reiterated its previous consideration</w:t>
      </w:r>
      <w:r w:rsidR="009818AE" w:rsidRPr="003153BB">
        <w:t xml:space="preserve"> that modelling decreases</w:t>
      </w:r>
      <w:r w:rsidR="009818AE" w:rsidRPr="00EB1712">
        <w:t xml:space="preserve"> due to LoE was not appropriate (paragraph 6.</w:t>
      </w:r>
      <w:r w:rsidR="00D308F3" w:rsidRPr="00EB1712">
        <w:t>50</w:t>
      </w:r>
      <w:r w:rsidR="009818AE" w:rsidRPr="00EB1712">
        <w:t>, ELX/TEZ/IVA PSD, March</w:t>
      </w:r>
      <w:r w:rsidR="009818AE" w:rsidRPr="000C48F9">
        <w:rPr>
          <w:i/>
          <w:iCs/>
        </w:rPr>
        <w:t xml:space="preserve"> </w:t>
      </w:r>
      <w:r w:rsidR="009818AE" w:rsidRPr="00EB1712">
        <w:t xml:space="preserve">2021 PBAC meeting). The ESC noted </w:t>
      </w:r>
      <w:r w:rsidR="007F018C" w:rsidRPr="00EB1712">
        <w:t xml:space="preserve">price reductions due to LoE previously claimed have not been </w:t>
      </w:r>
      <w:r w:rsidR="00444710" w:rsidRPr="00EB1712">
        <w:t>realised as new treatments have become available before the price reduction occurs</w:t>
      </w:r>
      <w:r w:rsidR="007F018C" w:rsidRPr="00EB1712">
        <w:t xml:space="preserve">. </w:t>
      </w:r>
      <w:r w:rsidR="009818AE" w:rsidRPr="00EB1712">
        <w:t>The ESC noted removal of th</w:t>
      </w:r>
      <w:r w:rsidR="002F532A" w:rsidRPr="00EB1712">
        <w:t>e LoE</w:t>
      </w:r>
      <w:r w:rsidR="009818AE" w:rsidRPr="00EB1712">
        <w:t xml:space="preserve"> assumption increased the ICERs substantially, particularly for the F/MF </w:t>
      </w:r>
      <w:r w:rsidR="009818AE" w:rsidRPr="003153BB">
        <w:t xml:space="preserve">population (74% increase). </w:t>
      </w:r>
    </w:p>
    <w:p w14:paraId="134FF6F8" w14:textId="01B29E61" w:rsidR="00016DA2" w:rsidRPr="00EB1712" w:rsidRDefault="00016DA2" w:rsidP="00832B86">
      <w:pPr>
        <w:pStyle w:val="3-BodyText"/>
      </w:pPr>
      <w:r w:rsidRPr="003153BB">
        <w:t xml:space="preserve">The ESC noted the economic model assumed compliance of 90% which </w:t>
      </w:r>
      <w:r w:rsidR="005F51F1" w:rsidRPr="003153BB">
        <w:t>wa</w:t>
      </w:r>
      <w:r w:rsidRPr="003153BB">
        <w:t xml:space="preserve">s lower than </w:t>
      </w:r>
      <w:r w:rsidR="005F51F1" w:rsidRPr="003153BB">
        <w:t xml:space="preserve">the </w:t>
      </w:r>
      <w:r w:rsidRPr="003153BB">
        <w:t>trial compliance of 100%. The ESC reiterated</w:t>
      </w:r>
      <w:r w:rsidRPr="00EB1712">
        <w:t xml:space="preserve"> this was inappropriate and that the use of compliance lower than in the trials and assuming the same treatment effect as in the trials was not</w:t>
      </w:r>
      <w:r w:rsidR="007F018C" w:rsidRPr="00EB1712">
        <w:t xml:space="preserve"> </w:t>
      </w:r>
      <w:r w:rsidR="00D308F3" w:rsidRPr="00EB1712">
        <w:t>justified by the submission</w:t>
      </w:r>
      <w:r w:rsidR="005F51F1" w:rsidRPr="00EB1712">
        <w:t xml:space="preserve"> (paragraph 6.4</w:t>
      </w:r>
      <w:r w:rsidR="00D308F3" w:rsidRPr="00EB1712">
        <w:t>7</w:t>
      </w:r>
      <w:r w:rsidR="005F51F1" w:rsidRPr="00EB1712">
        <w:t>, ELX/TEZ/IVA PSD, March 2021 PBAC meeting)</w:t>
      </w:r>
      <w:r w:rsidRPr="00EB1712">
        <w:t xml:space="preserve">.  </w:t>
      </w:r>
    </w:p>
    <w:p w14:paraId="4DBC48E0" w14:textId="64B8C542" w:rsidR="00011CD8" w:rsidRPr="00EB1712" w:rsidRDefault="00011CD8" w:rsidP="00832B86">
      <w:pPr>
        <w:pStyle w:val="3-BodyText"/>
      </w:pPr>
      <w:r w:rsidRPr="00EB1712">
        <w:t xml:space="preserve">The ESC </w:t>
      </w:r>
      <w:r w:rsidR="0063281E" w:rsidRPr="00EB1712">
        <w:t>considered it remained unclear what the appropriate cost per patient</w:t>
      </w:r>
      <w:r w:rsidR="006F2204" w:rsidRPr="00EB1712">
        <w:t xml:space="preserve"> per year</w:t>
      </w:r>
      <w:r w:rsidR="0063281E" w:rsidRPr="00EB1712">
        <w:t xml:space="preserve"> </w:t>
      </w:r>
      <w:r w:rsidR="00A20977" w:rsidRPr="00EB1712">
        <w:t xml:space="preserve">is </w:t>
      </w:r>
      <w:r w:rsidR="0063281E" w:rsidRPr="00EB1712">
        <w:t>for the</w:t>
      </w:r>
      <w:r w:rsidR="006F2204" w:rsidRPr="00EB1712">
        <w:t xml:space="preserve"> additional treatment </w:t>
      </w:r>
      <w:r w:rsidR="005E42B1" w:rsidRPr="00EB1712">
        <w:t>due to</w:t>
      </w:r>
      <w:r w:rsidR="006F2204" w:rsidRPr="00EB1712">
        <w:t xml:space="preserve"> starting treatment at a younger age</w:t>
      </w:r>
      <w:r w:rsidR="0063281E" w:rsidRPr="00EB1712">
        <w:t>. The ESC noted in the initial years of treatment the absolute increase in ppFEV</w:t>
      </w:r>
      <w:r w:rsidR="0063281E" w:rsidRPr="00EB1712">
        <w:rPr>
          <w:vertAlign w:val="subscript"/>
        </w:rPr>
        <w:t>1</w:t>
      </w:r>
      <w:r w:rsidR="0063281E" w:rsidRPr="00EB1712">
        <w:t xml:space="preserve"> would </w:t>
      </w:r>
      <w:r w:rsidR="00A20977" w:rsidRPr="00EB1712">
        <w:t xml:space="preserve">likely </w:t>
      </w:r>
      <w:r w:rsidR="0063281E" w:rsidRPr="00EB1712">
        <w:t>be small</w:t>
      </w:r>
      <w:r w:rsidR="00A20977" w:rsidRPr="00EB1712">
        <w:t>er</w:t>
      </w:r>
      <w:r w:rsidR="0063281E" w:rsidRPr="00EB1712">
        <w:t xml:space="preserve"> in </w:t>
      </w:r>
      <w:r w:rsidR="006F2204" w:rsidRPr="00EB1712">
        <w:t xml:space="preserve">patients aged </w:t>
      </w:r>
      <w:r w:rsidR="0063281E" w:rsidRPr="00EB1712">
        <w:t>6 to 11 year</w:t>
      </w:r>
      <w:r w:rsidR="006F2204" w:rsidRPr="00EB1712">
        <w:t>s</w:t>
      </w:r>
      <w:r w:rsidR="0063281E" w:rsidRPr="00EB1712">
        <w:t xml:space="preserve"> compared </w:t>
      </w:r>
      <w:r w:rsidR="006F2204" w:rsidRPr="00EB1712">
        <w:t>with those aged</w:t>
      </w:r>
      <w:r w:rsidR="0063281E" w:rsidRPr="00EB1712">
        <w:t xml:space="preserve"> ≥12 year</w:t>
      </w:r>
      <w:r w:rsidR="006F2204" w:rsidRPr="00EB1712">
        <w:t>s</w:t>
      </w:r>
      <w:r w:rsidR="0063281E" w:rsidRPr="00EB1712">
        <w:t xml:space="preserve"> as the lung function in the young</w:t>
      </w:r>
      <w:r w:rsidR="006F2204" w:rsidRPr="00EB1712">
        <w:t xml:space="preserve"> patients</w:t>
      </w:r>
      <w:r w:rsidR="0063281E" w:rsidRPr="00EB1712">
        <w:t xml:space="preserve"> is</w:t>
      </w:r>
      <w:r w:rsidR="00A20977" w:rsidRPr="00EB1712">
        <w:t>, on average, higher</w:t>
      </w:r>
      <w:r w:rsidR="0063281E" w:rsidRPr="00EB1712">
        <w:t>.</w:t>
      </w:r>
      <w:r w:rsidR="006F2204" w:rsidRPr="00EB1712">
        <w:t xml:space="preserve"> This potentially suggests the cost per patient per year should be lower in the younger patients. </w:t>
      </w:r>
      <w:r w:rsidR="00A611CC" w:rsidRPr="00EB1712">
        <w:t>Overall,</w:t>
      </w:r>
      <w:r w:rsidR="00A20977" w:rsidRPr="00EB1712">
        <w:t xml:space="preserve"> </w:t>
      </w:r>
      <w:r w:rsidR="006F2204" w:rsidRPr="00EB1712">
        <w:t>t</w:t>
      </w:r>
      <w:r w:rsidR="00A20977" w:rsidRPr="00EB1712">
        <w:t>he ESC considered the magnitude of benefit associated with earlier treatment</w:t>
      </w:r>
      <w:r w:rsidR="00DE3EBD" w:rsidRPr="00EB1712">
        <w:t xml:space="preserve"> is unknown and hence the </w:t>
      </w:r>
      <w:r w:rsidR="006F2204" w:rsidRPr="00EB1712">
        <w:t>appropriate cost per patient for the additional years of treatment is also largely unknown</w:t>
      </w:r>
      <w:r w:rsidR="00A20977" w:rsidRPr="00EB1712">
        <w:t xml:space="preserve">.  </w:t>
      </w:r>
    </w:p>
    <w:p w14:paraId="63A927F0" w14:textId="3914D0F5" w:rsidR="00832B86" w:rsidRPr="000C48F9" w:rsidRDefault="00832B86" w:rsidP="00832B86">
      <w:pPr>
        <w:pStyle w:val="3-BodyText"/>
        <w:rPr>
          <w:b/>
          <w:bCs/>
          <w:color w:val="0066FF"/>
        </w:rPr>
      </w:pPr>
      <w:r w:rsidRPr="000C48F9">
        <w:rPr>
          <w:lang w:eastAsia="en-GB"/>
        </w:rPr>
        <w:t>For F/RF and F/R117H patients, t</w:t>
      </w:r>
      <w:r w:rsidRPr="000C48F9">
        <w:t xml:space="preserve">he submission proposed the listing of </w:t>
      </w:r>
      <w:r w:rsidRPr="000C48F9">
        <w:rPr>
          <w:lang w:eastAsia="en-GB"/>
        </w:rPr>
        <w:t xml:space="preserve">ELX/TEZ/IVA at the same price as LUM/IVA and TEZ/IVA stating that the proposed price will be economically attractive given the </w:t>
      </w:r>
      <w:r w:rsidRPr="000C48F9">
        <w:rPr>
          <w:bCs/>
          <w:lang w:eastAsia="en-GB"/>
        </w:rPr>
        <w:t xml:space="preserve">superior treatment effect associated with </w:t>
      </w:r>
      <w:r w:rsidRPr="000C48F9">
        <w:rPr>
          <w:lang w:eastAsia="en-GB"/>
        </w:rPr>
        <w:t>ELX/TEZ/IVA</w:t>
      </w:r>
      <w:r w:rsidRPr="000C48F9">
        <w:rPr>
          <w:bCs/>
          <w:lang w:eastAsia="en-GB"/>
        </w:rPr>
        <w:t xml:space="preserve"> over </w:t>
      </w:r>
      <w:r w:rsidRPr="000C48F9">
        <w:rPr>
          <w:lang w:eastAsia="en-GB"/>
        </w:rPr>
        <w:t>LUM/IVA and TEZ/IVA.</w:t>
      </w:r>
      <w:r w:rsidRPr="000C48F9">
        <w:rPr>
          <w:i/>
          <w:iCs/>
          <w:lang w:eastAsia="en-GB"/>
        </w:rPr>
        <w:t xml:space="preserve"> </w:t>
      </w:r>
      <w:r w:rsidRPr="000C48F9">
        <w:t xml:space="preserve">For F/G patients, the submission proposed the same effective price of ELX/TEZ/IVA used for F/F and F/MF in the economic model arguing that this will result in cost-savings given the superior efficacy of ELX/TEZ/IVA compared to IVA. Given the high cost of ivacaftor, the claimed cost saving for F/G patients seemed reasonable. However, there are limitations associated with extrapolating the clinical efficacy from evidence in patients </w:t>
      </w:r>
      <w:r w:rsidRPr="000C48F9">
        <w:rPr>
          <w:rFonts w:cstheme="minorHAnsi"/>
        </w:rPr>
        <w:t>≥</w:t>
      </w:r>
      <w:r w:rsidRPr="000C48F9">
        <w:t>12 years.</w:t>
      </w:r>
      <w:r w:rsidRPr="000C48F9">
        <w:rPr>
          <w:i/>
          <w:iCs/>
        </w:rPr>
        <w:t xml:space="preserve"> </w:t>
      </w:r>
    </w:p>
    <w:p w14:paraId="6B6E14D3" w14:textId="64AFF566" w:rsidR="00832B86" w:rsidRPr="000C48F9" w:rsidRDefault="00832B86" w:rsidP="00832B86">
      <w:pPr>
        <w:pStyle w:val="3-BodyText"/>
        <w:rPr>
          <w:b/>
          <w:bCs/>
          <w:color w:val="0066FF"/>
        </w:rPr>
      </w:pPr>
      <w:r w:rsidRPr="008B32CD">
        <w:t xml:space="preserve">The calculation of the proposed effective price is presented in </w:t>
      </w:r>
      <w:r w:rsidRPr="008B32CD">
        <w:fldChar w:fldCharType="begin" w:fldLock="1"/>
      </w:r>
      <w:r w:rsidRPr="008B32CD">
        <w:instrText xml:space="preserve"> REF _Ref112923545 \h  \* MERGEFORMAT </w:instrText>
      </w:r>
      <w:r w:rsidRPr="008B32CD">
        <w:fldChar w:fldCharType="separate"/>
      </w:r>
      <w:r w:rsidR="009A1227" w:rsidRPr="000C48F9">
        <w:t xml:space="preserve">Table </w:t>
      </w:r>
      <w:r w:rsidR="009A1227">
        <w:t>17</w:t>
      </w:r>
      <w:r w:rsidRPr="008B32CD">
        <w:fldChar w:fldCharType="end"/>
      </w:r>
      <w:r w:rsidRPr="008B32CD">
        <w:t>.</w:t>
      </w:r>
      <w:r w:rsidRPr="000C48F9">
        <w:t xml:space="preserve"> The proposed effective price for patients aged 6 to 11 years for which evidence is available (F/F and F/MF patients) is higher than the agreed price for patients aged </w:t>
      </w:r>
      <w:r w:rsidRPr="000C48F9">
        <w:rPr>
          <w:rFonts w:cstheme="minorHAnsi"/>
        </w:rPr>
        <w:t>≥</w:t>
      </w:r>
      <w:r w:rsidRPr="000C48F9">
        <w:t>12 years. The requested annual effective price of ELX/TEZ/IVA for the proposed listing was calculated as the weighted price across the subpopulations as $</w:t>
      </w:r>
      <w:r w:rsidR="00987958" w:rsidRPr="008E430C">
        <w:rPr>
          <w:color w:val="000000"/>
          <w:w w:val="15"/>
          <w:shd w:val="solid" w:color="000000" w:fill="000000"/>
          <w:fitText w:val="-20" w:id="-1300528624"/>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4"/>
          <w14:textFill>
            <w14:solidFill>
              <w14:srgbClr w14:val="000000">
                <w14:alpha w14:val="100000"/>
              </w14:srgbClr>
            </w14:solidFill>
          </w14:textFill>
        </w:rPr>
        <w:t>|</w:t>
      </w:r>
      <w:r w:rsidRPr="000C48F9">
        <w:t xml:space="preserve"> ($</w:t>
      </w:r>
      <w:r w:rsidR="00987958" w:rsidRPr="008E430C">
        <w:rPr>
          <w:color w:val="000000"/>
          <w:w w:val="15"/>
          <w:shd w:val="solid" w:color="000000" w:fill="000000"/>
          <w:fitText w:val="-20" w:id="-1300528640"/>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40"/>
          <w14:textFill>
            <w14:solidFill>
              <w14:srgbClr w14:val="000000">
                <w14:alpha w14:val="100000"/>
              </w14:srgbClr>
            </w14:solidFill>
          </w14:textFill>
        </w:rPr>
        <w:t>|</w:t>
      </w:r>
      <w:r w:rsidRPr="000C48F9">
        <w:t xml:space="preserve"> per pack; </w:t>
      </w:r>
      <w:r w:rsidRPr="003153BB">
        <w:t>13.04 packs</w:t>
      </w:r>
      <w:r w:rsidRPr="000C48F9">
        <w:t xml:space="preserve"> per year). This is higher than the current annual effective price for the </w:t>
      </w:r>
      <w:r w:rsidRPr="000C48F9">
        <w:rPr>
          <w:rFonts w:cstheme="minorHAnsi"/>
        </w:rPr>
        <w:t>≥</w:t>
      </w:r>
      <w:r w:rsidRPr="000C48F9">
        <w:t>12 years patients of $</w:t>
      </w:r>
      <w:r w:rsidR="00987958" w:rsidRPr="008E430C">
        <w:rPr>
          <w:color w:val="000000"/>
          <w:w w:val="15"/>
          <w:shd w:val="solid" w:color="000000" w:fill="000000"/>
          <w:fitText w:val="-20" w:id="-1300528639"/>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9"/>
          <w14:textFill>
            <w14:solidFill>
              <w14:srgbClr w14:val="000000">
                <w14:alpha w14:val="100000"/>
              </w14:srgbClr>
            </w14:solidFill>
          </w14:textFill>
        </w:rPr>
        <w:t>|</w:t>
      </w:r>
      <w:r w:rsidRPr="000C48F9">
        <w:t xml:space="preserve"> per patient per year ($</w:t>
      </w:r>
      <w:r w:rsidR="00987958" w:rsidRPr="008E430C">
        <w:rPr>
          <w:color w:val="000000"/>
          <w:w w:val="15"/>
          <w:shd w:val="solid" w:color="000000" w:fill="000000"/>
          <w:fitText w:val="-20" w:id="-1300528638"/>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8"/>
          <w14:textFill>
            <w14:solidFill>
              <w14:srgbClr w14:val="000000">
                <w14:alpha w14:val="100000"/>
              </w14:srgbClr>
            </w14:solidFill>
          </w14:textFill>
        </w:rPr>
        <w:t>|</w:t>
      </w:r>
      <w:r w:rsidRPr="000C48F9">
        <w:t xml:space="preserve"> per pack</w:t>
      </w:r>
      <w:r w:rsidR="00E77443" w:rsidRPr="003153BB">
        <w:t>; 13.04</w:t>
      </w:r>
      <w:r w:rsidR="00E77443" w:rsidRPr="000C48F9">
        <w:t xml:space="preserve"> packs per year</w:t>
      </w:r>
      <w:r w:rsidRPr="000C48F9">
        <w:t xml:space="preserve">).   </w:t>
      </w:r>
      <w:r w:rsidR="000A1BBC">
        <w:t xml:space="preserve"> </w:t>
      </w:r>
    </w:p>
    <w:p w14:paraId="7921DF68" w14:textId="02C9683D" w:rsidR="00832B86" w:rsidRPr="000C48F9" w:rsidRDefault="00832B86" w:rsidP="0085193E">
      <w:pPr>
        <w:pStyle w:val="Caption"/>
        <w:jc w:val="left"/>
      </w:pPr>
      <w:bookmarkStart w:id="49" w:name="_Ref112923545"/>
      <w:r w:rsidRPr="000C48F9">
        <w:t xml:space="preserve">Table </w:t>
      </w:r>
      <w:r w:rsidR="008E430C">
        <w:fldChar w:fldCharType="begin" w:fldLock="1"/>
      </w:r>
      <w:r w:rsidR="008E430C">
        <w:instrText xml:space="preserve"> SEQ Table \* ARABIC </w:instrText>
      </w:r>
      <w:r w:rsidR="008E430C">
        <w:fldChar w:fldCharType="separate"/>
      </w:r>
      <w:r w:rsidR="009A1227">
        <w:rPr>
          <w:noProof/>
        </w:rPr>
        <w:t>17</w:t>
      </w:r>
      <w:r w:rsidR="008E430C">
        <w:rPr>
          <w:noProof/>
        </w:rPr>
        <w:fldChar w:fldCharType="end"/>
      </w:r>
      <w:bookmarkEnd w:id="49"/>
      <w:r w:rsidRPr="000C48F9">
        <w:rPr>
          <w:rFonts w:cs="Times New Roman"/>
          <w:szCs w:val="20"/>
        </w:rPr>
        <w:t>: ELX/TEZ/IVA requested effective p</w:t>
      </w:r>
      <w:r w:rsidRPr="000C48F9">
        <w:rPr>
          <w:szCs w:val="20"/>
          <w:lang w:eastAsia="en-GB"/>
        </w:rPr>
        <w:t xml:space="preserve">rices for patients initiating therapy </w:t>
      </w:r>
      <w:r w:rsidRPr="000C48F9">
        <w:rPr>
          <w:rFonts w:cs="Times New Roman"/>
          <w:szCs w:val="20"/>
        </w:rPr>
        <w:t>aged 6-11 years</w:t>
      </w:r>
    </w:p>
    <w:tbl>
      <w:tblPr>
        <w:tblStyle w:val="HTATableshaded"/>
        <w:tblW w:w="5000" w:type="pct"/>
        <w:tblLook w:val="04A0" w:firstRow="1" w:lastRow="0" w:firstColumn="1" w:lastColumn="0" w:noHBand="0" w:noVBand="1"/>
      </w:tblPr>
      <w:tblGrid>
        <w:gridCol w:w="1913"/>
        <w:gridCol w:w="1152"/>
        <w:gridCol w:w="2976"/>
        <w:gridCol w:w="2976"/>
      </w:tblGrid>
      <w:tr w:rsidR="00832B86" w:rsidRPr="000C48F9" w14:paraId="1987B2CE" w14:textId="77777777" w:rsidTr="001315B5">
        <w:trPr>
          <w:cnfStyle w:val="100000000000" w:firstRow="1" w:lastRow="0" w:firstColumn="0" w:lastColumn="0" w:oddVBand="0" w:evenVBand="0" w:oddHBand="0" w:evenHBand="0" w:firstRowFirstColumn="0" w:firstRowLastColumn="0" w:lastRowFirstColumn="0" w:lastRowLastColumn="0"/>
          <w:trHeight w:val="479"/>
        </w:trPr>
        <w:tc>
          <w:tcPr>
            <w:tcW w:w="1061" w:type="pct"/>
            <w:vAlign w:val="center"/>
          </w:tcPr>
          <w:p w14:paraId="23848342" w14:textId="77777777" w:rsidR="00832B86" w:rsidRPr="000C48F9" w:rsidRDefault="00832B86" w:rsidP="0085193E">
            <w:pPr>
              <w:pStyle w:val="Tabletextcent"/>
              <w:keepNext/>
              <w:keepLines/>
              <w:jc w:val="left"/>
              <w:rPr>
                <w:rFonts w:ascii="Arial Narrow" w:hAnsi="Arial Narrow"/>
                <w:b/>
                <w:bCs/>
                <w:sz w:val="20"/>
                <w:lang w:val="en-AU"/>
              </w:rPr>
            </w:pPr>
            <w:r w:rsidRPr="000C48F9">
              <w:rPr>
                <w:rFonts w:ascii="Arial Narrow" w:hAnsi="Arial Narrow"/>
                <w:b/>
                <w:bCs/>
                <w:sz w:val="20"/>
                <w:lang w:val="en-AU"/>
              </w:rPr>
              <w:t>Subpopulation</w:t>
            </w:r>
          </w:p>
        </w:tc>
        <w:tc>
          <w:tcPr>
            <w:tcW w:w="638" w:type="pct"/>
            <w:vAlign w:val="center"/>
          </w:tcPr>
          <w:p w14:paraId="2DAC32CD" w14:textId="77777777" w:rsidR="00832B86" w:rsidRPr="000C48F9" w:rsidRDefault="00832B86" w:rsidP="0085193E">
            <w:pPr>
              <w:pStyle w:val="Tabletextcent"/>
              <w:keepNext/>
              <w:keepLines/>
              <w:rPr>
                <w:rFonts w:ascii="Arial Narrow" w:hAnsi="Arial Narrow"/>
                <w:b/>
                <w:bCs/>
                <w:sz w:val="20"/>
                <w:lang w:val="en-AU"/>
              </w:rPr>
            </w:pPr>
            <w:r w:rsidRPr="000C48F9">
              <w:rPr>
                <w:rFonts w:ascii="Arial Narrow" w:hAnsi="Arial Narrow"/>
                <w:b/>
                <w:bCs/>
                <w:sz w:val="20"/>
                <w:lang w:val="en-AU"/>
              </w:rPr>
              <w:t>Proportion (%)</w:t>
            </w:r>
            <w:r w:rsidRPr="000C48F9">
              <w:rPr>
                <w:rFonts w:ascii="Arial Narrow" w:hAnsi="Arial Narrow"/>
                <w:b/>
                <w:bCs/>
                <w:sz w:val="20"/>
                <w:vertAlign w:val="superscript"/>
                <w:lang w:val="en-AU"/>
              </w:rPr>
              <w:t>a</w:t>
            </w:r>
            <w:r w:rsidRPr="000C48F9">
              <w:rPr>
                <w:rFonts w:ascii="Arial Narrow" w:hAnsi="Arial Narrow"/>
                <w:b/>
                <w:bCs/>
                <w:sz w:val="20"/>
                <w:lang w:val="en-AU"/>
              </w:rPr>
              <w:t xml:space="preserve"> </w:t>
            </w:r>
          </w:p>
        </w:tc>
        <w:tc>
          <w:tcPr>
            <w:tcW w:w="1650" w:type="pct"/>
            <w:vAlign w:val="center"/>
          </w:tcPr>
          <w:p w14:paraId="4225A250" w14:textId="77777777" w:rsidR="00832B86" w:rsidRPr="003153BB" w:rsidRDefault="00832B86" w:rsidP="0085193E">
            <w:pPr>
              <w:pStyle w:val="Tabletextcent"/>
              <w:keepNext/>
              <w:keepLines/>
              <w:rPr>
                <w:rFonts w:ascii="Arial Narrow" w:hAnsi="Arial Narrow"/>
                <w:b/>
                <w:bCs/>
                <w:sz w:val="20"/>
                <w:lang w:val="en-AU"/>
              </w:rPr>
            </w:pPr>
            <w:r w:rsidRPr="000C48F9">
              <w:rPr>
                <w:rFonts w:ascii="Arial Narrow" w:hAnsi="Arial Narrow"/>
                <w:b/>
                <w:bCs/>
                <w:sz w:val="20"/>
                <w:lang w:val="en-AU"/>
              </w:rPr>
              <w:t xml:space="preserve">Effective </w:t>
            </w:r>
            <w:r w:rsidRPr="003153BB">
              <w:rPr>
                <w:rFonts w:ascii="Arial Narrow" w:hAnsi="Arial Narrow"/>
                <w:b/>
                <w:bCs/>
                <w:sz w:val="20"/>
                <w:lang w:val="en-AU"/>
              </w:rPr>
              <w:t>price per patient per year</w:t>
            </w:r>
          </w:p>
          <w:p w14:paraId="38D0A79C" w14:textId="77777777" w:rsidR="00832B86" w:rsidRPr="000C48F9" w:rsidRDefault="00832B86" w:rsidP="0085193E">
            <w:pPr>
              <w:pStyle w:val="Tabletextcent"/>
              <w:keepNext/>
              <w:keepLines/>
              <w:rPr>
                <w:rFonts w:ascii="Arial Narrow" w:hAnsi="Arial Narrow"/>
                <w:b/>
                <w:bCs/>
                <w:sz w:val="20"/>
                <w:lang w:val="en-AU"/>
              </w:rPr>
            </w:pPr>
            <w:r w:rsidRPr="003153BB">
              <w:rPr>
                <w:rFonts w:ascii="Arial Narrow" w:hAnsi="Arial Narrow"/>
                <w:b/>
                <w:bCs/>
                <w:sz w:val="20"/>
                <w:lang w:val="en-AU"/>
              </w:rPr>
              <w:t>(assuming 13.04 packs per year i.e., 100</w:t>
            </w:r>
            <w:r w:rsidRPr="000C48F9">
              <w:rPr>
                <w:rFonts w:ascii="Arial Narrow" w:hAnsi="Arial Narrow"/>
                <w:b/>
                <w:bCs/>
                <w:sz w:val="20"/>
                <w:lang w:val="en-AU"/>
              </w:rPr>
              <w:t xml:space="preserve">% compliance) </w:t>
            </w:r>
          </w:p>
        </w:tc>
        <w:tc>
          <w:tcPr>
            <w:tcW w:w="1650" w:type="pct"/>
          </w:tcPr>
          <w:p w14:paraId="37BAEFA1" w14:textId="77777777" w:rsidR="00832B86" w:rsidRPr="000C48F9" w:rsidRDefault="00832B86" w:rsidP="0085193E">
            <w:pPr>
              <w:pStyle w:val="Tabletextcent"/>
              <w:keepNext/>
              <w:keepLines/>
              <w:rPr>
                <w:rFonts w:ascii="Arial Narrow" w:hAnsi="Arial Narrow"/>
                <w:b/>
                <w:bCs/>
                <w:sz w:val="20"/>
                <w:lang w:val="en-AU"/>
              </w:rPr>
            </w:pPr>
            <w:r w:rsidRPr="000C48F9">
              <w:rPr>
                <w:rFonts w:ascii="Arial Narrow" w:hAnsi="Arial Narrow"/>
                <w:b/>
                <w:bCs/>
                <w:sz w:val="20"/>
                <w:lang w:val="en-AU"/>
              </w:rPr>
              <w:t>Basis of price</w:t>
            </w:r>
          </w:p>
        </w:tc>
      </w:tr>
      <w:tr w:rsidR="00832B86" w:rsidRPr="000C48F9" w14:paraId="0093F6A3" w14:textId="77777777" w:rsidTr="001315B5">
        <w:trPr>
          <w:trHeight w:val="150"/>
        </w:trPr>
        <w:tc>
          <w:tcPr>
            <w:tcW w:w="1061" w:type="pct"/>
            <w:vAlign w:val="center"/>
            <w:hideMark/>
          </w:tcPr>
          <w:p w14:paraId="05E34EF9"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F/F</w:t>
            </w:r>
          </w:p>
        </w:tc>
        <w:tc>
          <w:tcPr>
            <w:tcW w:w="638" w:type="pct"/>
            <w:vAlign w:val="center"/>
          </w:tcPr>
          <w:p w14:paraId="7C595A87"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48.93%</w:t>
            </w:r>
          </w:p>
        </w:tc>
        <w:tc>
          <w:tcPr>
            <w:tcW w:w="1650" w:type="pct"/>
            <w:vAlign w:val="center"/>
          </w:tcPr>
          <w:p w14:paraId="0AF2F677" w14:textId="72D49D30"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p>
        </w:tc>
        <w:tc>
          <w:tcPr>
            <w:tcW w:w="1650" w:type="pct"/>
          </w:tcPr>
          <w:p w14:paraId="25E5EBCE"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CEA vs LUM/IVA</w:t>
            </w:r>
          </w:p>
        </w:tc>
      </w:tr>
      <w:tr w:rsidR="00832B86" w:rsidRPr="000C48F9" w14:paraId="5C5AF3C5" w14:textId="77777777" w:rsidTr="001315B5">
        <w:trPr>
          <w:trHeight w:val="47"/>
        </w:trPr>
        <w:tc>
          <w:tcPr>
            <w:tcW w:w="1061" w:type="pct"/>
            <w:vAlign w:val="center"/>
            <w:hideMark/>
          </w:tcPr>
          <w:p w14:paraId="4769728D"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 xml:space="preserve">F/MF </w:t>
            </w:r>
          </w:p>
        </w:tc>
        <w:tc>
          <w:tcPr>
            <w:tcW w:w="638" w:type="pct"/>
            <w:vAlign w:val="center"/>
          </w:tcPr>
          <w:p w14:paraId="335C72ED"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30.41%</w:t>
            </w:r>
          </w:p>
        </w:tc>
        <w:tc>
          <w:tcPr>
            <w:tcW w:w="1650" w:type="pct"/>
            <w:vAlign w:val="center"/>
          </w:tcPr>
          <w:p w14:paraId="7CB1BC05" w14:textId="10878DDE"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p>
        </w:tc>
        <w:tc>
          <w:tcPr>
            <w:tcW w:w="1650" w:type="pct"/>
          </w:tcPr>
          <w:p w14:paraId="4987086C"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CEA vs BSC</w:t>
            </w:r>
          </w:p>
        </w:tc>
      </w:tr>
      <w:tr w:rsidR="00832B86" w:rsidRPr="000C48F9" w14:paraId="02E2803B" w14:textId="77777777" w:rsidTr="001315B5">
        <w:tc>
          <w:tcPr>
            <w:tcW w:w="1061" w:type="pct"/>
            <w:vAlign w:val="center"/>
            <w:hideMark/>
          </w:tcPr>
          <w:p w14:paraId="2846B2EC"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F/G</w:t>
            </w:r>
          </w:p>
        </w:tc>
        <w:tc>
          <w:tcPr>
            <w:tcW w:w="638" w:type="pct"/>
            <w:vAlign w:val="center"/>
          </w:tcPr>
          <w:p w14:paraId="3B4ABFDB"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7.21%</w:t>
            </w:r>
          </w:p>
        </w:tc>
        <w:tc>
          <w:tcPr>
            <w:tcW w:w="1650" w:type="pct"/>
            <w:vAlign w:val="center"/>
          </w:tcPr>
          <w:p w14:paraId="3DAF1045" w14:textId="32BFC06E"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p>
        </w:tc>
        <w:tc>
          <w:tcPr>
            <w:tcW w:w="1650" w:type="pct"/>
          </w:tcPr>
          <w:p w14:paraId="00100D7F"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 xml:space="preserve">Same price as F/F and F/MF population </w:t>
            </w:r>
          </w:p>
        </w:tc>
      </w:tr>
      <w:tr w:rsidR="00832B86" w:rsidRPr="000C48F9" w14:paraId="29C83755" w14:textId="77777777" w:rsidTr="001315B5">
        <w:tc>
          <w:tcPr>
            <w:tcW w:w="1061" w:type="pct"/>
            <w:vAlign w:val="center"/>
            <w:hideMark/>
          </w:tcPr>
          <w:p w14:paraId="465E08AA"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 xml:space="preserve">F/RF </w:t>
            </w:r>
          </w:p>
        </w:tc>
        <w:tc>
          <w:tcPr>
            <w:tcW w:w="638" w:type="pct"/>
            <w:vAlign w:val="center"/>
          </w:tcPr>
          <w:p w14:paraId="207F2FDB"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7.99%</w:t>
            </w:r>
          </w:p>
        </w:tc>
        <w:tc>
          <w:tcPr>
            <w:tcW w:w="1650" w:type="pct"/>
            <w:vAlign w:val="center"/>
          </w:tcPr>
          <w:p w14:paraId="4A5B9A82" w14:textId="566AB686"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r w:rsidR="00E73BB0" w:rsidRPr="000C48F9">
              <w:rPr>
                <w:rFonts w:ascii="Arial Narrow" w:hAnsi="Arial Narrow"/>
                <w:sz w:val="20"/>
                <w:vertAlign w:val="superscript"/>
                <w:lang w:val="en-AU"/>
              </w:rPr>
              <w:t>b</w:t>
            </w:r>
          </w:p>
        </w:tc>
        <w:tc>
          <w:tcPr>
            <w:tcW w:w="1650" w:type="pct"/>
          </w:tcPr>
          <w:p w14:paraId="37433EAD"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Same price as LUM/IVA</w:t>
            </w:r>
          </w:p>
        </w:tc>
      </w:tr>
      <w:tr w:rsidR="00832B86" w:rsidRPr="000C48F9" w14:paraId="5B9B83E5" w14:textId="77777777" w:rsidTr="001315B5">
        <w:trPr>
          <w:trHeight w:val="47"/>
        </w:trPr>
        <w:tc>
          <w:tcPr>
            <w:tcW w:w="1061" w:type="pct"/>
            <w:vAlign w:val="center"/>
            <w:hideMark/>
          </w:tcPr>
          <w:p w14:paraId="00FF9279"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F/R117H</w:t>
            </w:r>
          </w:p>
        </w:tc>
        <w:tc>
          <w:tcPr>
            <w:tcW w:w="638" w:type="pct"/>
            <w:vAlign w:val="center"/>
          </w:tcPr>
          <w:p w14:paraId="67A2D038"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5.46%</w:t>
            </w:r>
          </w:p>
        </w:tc>
        <w:tc>
          <w:tcPr>
            <w:tcW w:w="1650" w:type="pct"/>
            <w:vAlign w:val="center"/>
          </w:tcPr>
          <w:p w14:paraId="6C1AF13F" w14:textId="0012296E"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r w:rsidR="00E73BB0" w:rsidRPr="000C48F9">
              <w:rPr>
                <w:rFonts w:ascii="Arial Narrow" w:hAnsi="Arial Narrow"/>
                <w:sz w:val="20"/>
                <w:vertAlign w:val="superscript"/>
                <w:lang w:val="en-AU"/>
              </w:rPr>
              <w:t>b</w:t>
            </w:r>
          </w:p>
        </w:tc>
        <w:tc>
          <w:tcPr>
            <w:tcW w:w="1650" w:type="pct"/>
          </w:tcPr>
          <w:p w14:paraId="60A601AF"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Same price as LUM/IVA</w:t>
            </w:r>
          </w:p>
        </w:tc>
      </w:tr>
      <w:tr w:rsidR="00832B86" w:rsidRPr="000C48F9" w14:paraId="29E064CD" w14:textId="77777777" w:rsidTr="001315B5">
        <w:tc>
          <w:tcPr>
            <w:tcW w:w="1061" w:type="pct"/>
            <w:vAlign w:val="center"/>
            <w:hideMark/>
          </w:tcPr>
          <w:p w14:paraId="781FC28D" w14:textId="77777777" w:rsidR="00832B86" w:rsidRPr="000C48F9" w:rsidRDefault="00832B86" w:rsidP="0085193E">
            <w:pPr>
              <w:pStyle w:val="Tabletextcent"/>
              <w:keepNext/>
              <w:keepLines/>
              <w:jc w:val="left"/>
              <w:rPr>
                <w:rFonts w:ascii="Arial Narrow" w:hAnsi="Arial Narrow"/>
                <w:sz w:val="20"/>
                <w:lang w:val="en-AU"/>
              </w:rPr>
            </w:pPr>
            <w:r w:rsidRPr="000C48F9">
              <w:rPr>
                <w:rFonts w:ascii="Arial Narrow" w:hAnsi="Arial Narrow"/>
                <w:sz w:val="20"/>
                <w:lang w:val="en-AU"/>
              </w:rPr>
              <w:t xml:space="preserve">Total </w:t>
            </w:r>
          </w:p>
        </w:tc>
        <w:tc>
          <w:tcPr>
            <w:tcW w:w="638" w:type="pct"/>
            <w:vAlign w:val="center"/>
          </w:tcPr>
          <w:p w14:paraId="75779DAB"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100.00%</w:t>
            </w:r>
          </w:p>
        </w:tc>
        <w:tc>
          <w:tcPr>
            <w:tcW w:w="1650" w:type="pct"/>
            <w:vAlign w:val="center"/>
          </w:tcPr>
          <w:p w14:paraId="08E8B278"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 xml:space="preserve"> </w:t>
            </w:r>
          </w:p>
          <w:p w14:paraId="6213571F" w14:textId="75D8B6B3"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 xml:space="preserve"> $</w:t>
            </w:r>
            <w:r w:rsidR="00987958" w:rsidRPr="00987958">
              <w:rPr>
                <w:rFonts w:ascii="Arial Narrow" w:hAnsi="Arial Narrow"/>
                <w:color w:val="000000"/>
                <w:sz w:val="20"/>
                <w:shd w:val="solid" w:color="000000" w:fill="000000"/>
                <w:lang w:val="en-AU"/>
                <w14:textFill>
                  <w14:solidFill>
                    <w14:srgbClr w14:val="000000">
                      <w14:alpha w14:val="100000"/>
                    </w14:srgbClr>
                  </w14:solidFill>
                </w14:textFill>
              </w:rPr>
              <w:t>|</w:t>
            </w:r>
          </w:p>
        </w:tc>
        <w:tc>
          <w:tcPr>
            <w:tcW w:w="1650" w:type="pct"/>
          </w:tcPr>
          <w:p w14:paraId="1B021C93" w14:textId="77777777"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Weighted price</w:t>
            </w:r>
          </w:p>
          <w:p w14:paraId="3B0F04DA" w14:textId="77777777" w:rsidR="00832B86" w:rsidRPr="000C48F9" w:rsidRDefault="00832B86" w:rsidP="0085193E">
            <w:pPr>
              <w:pStyle w:val="Tabletextcent"/>
              <w:keepNext/>
              <w:keepLines/>
              <w:rPr>
                <w:rFonts w:ascii="Arial Narrow" w:hAnsi="Arial Narrow"/>
                <w:sz w:val="20"/>
                <w:lang w:val="en-AU"/>
              </w:rPr>
            </w:pPr>
          </w:p>
          <w:p w14:paraId="4A39E3AE" w14:textId="5FFF4B5D" w:rsidR="00832B86" w:rsidRPr="000C48F9" w:rsidRDefault="00832B86" w:rsidP="0085193E">
            <w:pPr>
              <w:pStyle w:val="Tabletextcent"/>
              <w:keepNext/>
              <w:keepLines/>
              <w:rPr>
                <w:rFonts w:ascii="Arial Narrow" w:hAnsi="Arial Narrow"/>
                <w:sz w:val="20"/>
                <w:lang w:val="en-AU"/>
              </w:rPr>
            </w:pPr>
            <w:r w:rsidRPr="000C48F9">
              <w:rPr>
                <w:rFonts w:ascii="Arial Narrow" w:hAnsi="Arial Narrow"/>
                <w:sz w:val="20"/>
                <w:lang w:val="en-AU"/>
              </w:rPr>
              <w:t>$</w:t>
            </w:r>
            <w:r w:rsidR="00987958" w:rsidRPr="00987958">
              <w:rPr>
                <w:rFonts w:ascii="Arial Narrow" w:hAnsi="Arial Narrow" w:hint="eastAsia"/>
                <w:color w:val="000000"/>
                <w:w w:val="24"/>
                <w:sz w:val="20"/>
                <w:shd w:val="solid" w:color="000000" w:fill="000000"/>
                <w:fitText w:val="110" w:id="-1300528637"/>
                <w:lang w:val="en-AU"/>
                <w14:textFill>
                  <w14:solidFill>
                    <w14:srgbClr w14:val="000000">
                      <w14:alpha w14:val="100000"/>
                    </w14:srgbClr>
                  </w14:solidFill>
                </w14:textFill>
              </w:rPr>
              <w:t xml:space="preserve">　</w:t>
            </w:r>
            <w:r w:rsidR="00987958" w:rsidRPr="00987958">
              <w:rPr>
                <w:rFonts w:ascii="Arial Narrow" w:hAnsi="Arial Narrow"/>
                <w:color w:val="000000"/>
                <w:w w:val="24"/>
                <w:sz w:val="20"/>
                <w:shd w:val="solid" w:color="000000" w:fill="000000"/>
                <w:fitText w:val="110" w:id="-1300528637"/>
                <w:lang w:val="en-AU"/>
                <w14:textFill>
                  <w14:solidFill>
                    <w14:srgbClr w14:val="000000">
                      <w14:alpha w14:val="100000"/>
                    </w14:srgbClr>
                  </w14:solidFill>
                </w14:textFill>
              </w:rPr>
              <w:t>|</w:t>
            </w:r>
            <w:r w:rsidR="00987958" w:rsidRPr="00987958">
              <w:rPr>
                <w:rFonts w:ascii="Arial Narrow" w:hAnsi="Arial Narrow" w:hint="eastAsia"/>
                <w:color w:val="000000"/>
                <w:spacing w:val="6"/>
                <w:w w:val="24"/>
                <w:sz w:val="20"/>
                <w:shd w:val="solid" w:color="000000" w:fill="000000"/>
                <w:fitText w:val="110" w:id="-1300528637"/>
                <w:lang w:val="en-AU"/>
                <w14:textFill>
                  <w14:solidFill>
                    <w14:srgbClr w14:val="000000">
                      <w14:alpha w14:val="100000"/>
                    </w14:srgbClr>
                  </w14:solidFill>
                </w14:textFill>
              </w:rPr>
              <w:t xml:space="preserve">　</w:t>
            </w:r>
            <w:r w:rsidRPr="000C48F9">
              <w:rPr>
                <w:rFonts w:ascii="Arial Narrow" w:hAnsi="Arial Narrow"/>
                <w:sz w:val="20"/>
                <w:lang w:val="en-AU"/>
              </w:rPr>
              <w:t xml:space="preserve"> per pack (assuming 95% x 13.04 = 12.39 packs per year)</w:t>
            </w:r>
          </w:p>
        </w:tc>
      </w:tr>
      <w:tr w:rsidR="00832B86" w:rsidRPr="000C48F9" w14:paraId="1B2FA201" w14:textId="77777777" w:rsidTr="001315B5">
        <w:tc>
          <w:tcPr>
            <w:tcW w:w="1700" w:type="pct"/>
            <w:gridSpan w:val="2"/>
            <w:vAlign w:val="center"/>
          </w:tcPr>
          <w:p w14:paraId="2087D71A" w14:textId="77777777" w:rsidR="00832B86" w:rsidRPr="000C48F9" w:rsidRDefault="00832B86" w:rsidP="0085193E">
            <w:pPr>
              <w:pStyle w:val="Tabletextcent"/>
              <w:keepNext/>
              <w:keepLines/>
              <w:jc w:val="both"/>
              <w:rPr>
                <w:rFonts w:ascii="Arial Narrow" w:hAnsi="Arial Narrow"/>
                <w:iCs/>
                <w:sz w:val="20"/>
                <w:lang w:val="en-AU"/>
              </w:rPr>
            </w:pPr>
            <w:r w:rsidRPr="000C48F9">
              <w:rPr>
                <w:rFonts w:ascii="Arial Narrow" w:hAnsi="Arial Narrow"/>
                <w:iCs/>
                <w:sz w:val="20"/>
                <w:lang w:val="en-AU"/>
              </w:rPr>
              <w:t>Current effective price for the listing of patients  ≥12 years)</w:t>
            </w:r>
          </w:p>
        </w:tc>
        <w:tc>
          <w:tcPr>
            <w:tcW w:w="1650" w:type="pct"/>
            <w:vAlign w:val="center"/>
          </w:tcPr>
          <w:p w14:paraId="1653D6FE" w14:textId="755F7697" w:rsidR="00832B86" w:rsidRPr="000C48F9" w:rsidRDefault="00832B86" w:rsidP="0085193E">
            <w:pPr>
              <w:pStyle w:val="Tabletextcent"/>
              <w:keepNext/>
              <w:keepLines/>
              <w:rPr>
                <w:rFonts w:ascii="Arial Narrow" w:hAnsi="Arial Narrow"/>
                <w:iCs/>
                <w:sz w:val="20"/>
                <w:lang w:val="en-AU"/>
              </w:rPr>
            </w:pPr>
            <w:r w:rsidRPr="000C48F9">
              <w:rPr>
                <w:rFonts w:ascii="Arial Narrow" w:hAnsi="Arial Narrow"/>
                <w:iCs/>
                <w:sz w:val="20"/>
                <w:lang w:val="en-AU"/>
              </w:rPr>
              <w:t>$</w:t>
            </w:r>
            <w:r w:rsidR="00987958" w:rsidRPr="00987958">
              <w:rPr>
                <w:rFonts w:ascii="Arial Narrow" w:hAnsi="Arial Narrow"/>
                <w:iCs/>
                <w:color w:val="000000"/>
                <w:sz w:val="20"/>
                <w:shd w:val="solid" w:color="000000" w:fill="000000"/>
                <w:lang w:val="en-AU"/>
                <w14:textFill>
                  <w14:solidFill>
                    <w14:srgbClr w14:val="000000">
                      <w14:alpha w14:val="100000"/>
                    </w14:srgbClr>
                  </w14:solidFill>
                </w14:textFill>
              </w:rPr>
              <w:t>|</w:t>
            </w:r>
            <w:r w:rsidRPr="000C48F9">
              <w:rPr>
                <w:rFonts w:ascii="Arial Narrow" w:hAnsi="Arial Narrow"/>
                <w:iCs/>
                <w:sz w:val="20"/>
                <w:lang w:val="en-AU"/>
              </w:rPr>
              <w:t xml:space="preserve"> </w:t>
            </w:r>
          </w:p>
        </w:tc>
        <w:tc>
          <w:tcPr>
            <w:tcW w:w="1650" w:type="pct"/>
          </w:tcPr>
          <w:p w14:paraId="296B79E2" w14:textId="5F6D184B" w:rsidR="00832B86" w:rsidRPr="000C48F9" w:rsidRDefault="00832B86" w:rsidP="0085193E">
            <w:pPr>
              <w:pStyle w:val="Tabletextcent"/>
              <w:keepNext/>
              <w:keepLines/>
              <w:rPr>
                <w:rFonts w:ascii="Arial Narrow" w:hAnsi="Arial Narrow"/>
                <w:iCs/>
                <w:sz w:val="20"/>
                <w:lang w:val="en-AU"/>
              </w:rPr>
            </w:pPr>
            <w:r w:rsidRPr="000C48F9">
              <w:rPr>
                <w:rFonts w:ascii="Arial Narrow" w:hAnsi="Arial Narrow"/>
                <w:iCs/>
                <w:sz w:val="20"/>
                <w:lang w:val="en-AU"/>
              </w:rPr>
              <w:t>$</w:t>
            </w:r>
            <w:r w:rsidR="00987958" w:rsidRPr="00987958">
              <w:rPr>
                <w:rFonts w:ascii="Arial Narrow" w:hAnsi="Arial Narrow" w:hint="eastAsia"/>
                <w:iCs/>
                <w:color w:val="000000"/>
                <w:w w:val="24"/>
                <w:sz w:val="20"/>
                <w:shd w:val="solid" w:color="000000" w:fill="000000"/>
                <w:fitText w:val="110" w:id="-1300528636"/>
                <w:lang w:val="en-AU"/>
                <w14:textFill>
                  <w14:solidFill>
                    <w14:srgbClr w14:val="000000">
                      <w14:alpha w14:val="100000"/>
                    </w14:srgbClr>
                  </w14:solidFill>
                </w14:textFill>
              </w:rPr>
              <w:t xml:space="preserve">　</w:t>
            </w:r>
            <w:r w:rsidR="00987958" w:rsidRPr="00987958">
              <w:rPr>
                <w:rFonts w:ascii="Arial Narrow" w:hAnsi="Arial Narrow"/>
                <w:iCs/>
                <w:color w:val="000000"/>
                <w:w w:val="24"/>
                <w:sz w:val="20"/>
                <w:shd w:val="solid" w:color="000000" w:fill="000000"/>
                <w:fitText w:val="110" w:id="-1300528636"/>
                <w:lang w:val="en-AU"/>
                <w14:textFill>
                  <w14:solidFill>
                    <w14:srgbClr w14:val="000000">
                      <w14:alpha w14:val="100000"/>
                    </w14:srgbClr>
                  </w14:solidFill>
                </w14:textFill>
              </w:rPr>
              <w:t>|</w:t>
            </w:r>
            <w:r w:rsidR="00987958" w:rsidRPr="00987958">
              <w:rPr>
                <w:rFonts w:ascii="Arial Narrow" w:hAnsi="Arial Narrow" w:hint="eastAsia"/>
                <w:iCs/>
                <w:color w:val="000000"/>
                <w:spacing w:val="6"/>
                <w:w w:val="24"/>
                <w:sz w:val="20"/>
                <w:shd w:val="solid" w:color="000000" w:fill="000000"/>
                <w:fitText w:val="110" w:id="-1300528636"/>
                <w:lang w:val="en-AU"/>
                <w14:textFill>
                  <w14:solidFill>
                    <w14:srgbClr w14:val="000000">
                      <w14:alpha w14:val="100000"/>
                    </w14:srgbClr>
                  </w14:solidFill>
                </w14:textFill>
              </w:rPr>
              <w:t xml:space="preserve">　</w:t>
            </w:r>
            <w:r w:rsidRPr="000C48F9">
              <w:rPr>
                <w:rFonts w:ascii="Arial Narrow" w:hAnsi="Arial Narrow"/>
                <w:iCs/>
                <w:sz w:val="20"/>
                <w:lang w:val="en-AU"/>
              </w:rPr>
              <w:t xml:space="preserve"> per pack (assuming 90% x 13.04 = 11.74 packs per year)</w:t>
            </w:r>
          </w:p>
        </w:tc>
      </w:tr>
    </w:tbl>
    <w:p w14:paraId="0D66BE1C" w14:textId="77777777" w:rsidR="00832B86" w:rsidRPr="000C48F9" w:rsidRDefault="00832B86" w:rsidP="0085193E">
      <w:pPr>
        <w:pStyle w:val="TableFigureFooter"/>
        <w:keepNext/>
        <w:keepLines/>
      </w:pPr>
      <w:r w:rsidRPr="000C48F9">
        <w:t xml:space="preserve">Source: Table 3.2.2, p180 of the submission. </w:t>
      </w:r>
    </w:p>
    <w:p w14:paraId="3997DF0F" w14:textId="77777777" w:rsidR="00832B86" w:rsidRPr="000C48F9" w:rsidRDefault="00832B86" w:rsidP="0085193E">
      <w:pPr>
        <w:pStyle w:val="TableFigureFooter"/>
        <w:keepNext/>
        <w:keepLines/>
      </w:pPr>
      <w:r w:rsidRPr="000C48F9">
        <w:t>BSC = best supportive care; CEA = cost effectiveness analysis; CF = Cystic Fibrosis; CM = cost minimisation; ELX/TEZ/IVA = elexacaftor/tezacaftor/ivacaftor; F/F = homozygous for F508del-CFTR mutations; F/G = heterozygous for F508del-CFTR mutation with a second gating mutation; F/MF = heterozygous for F508del-CFTR mutation with a second minimal function allele; F/NYC = F not yet characterised; F/RF = heterozygous for F508del-CFTR with a second residual function mutation; LUM/IVA = lumacaftor/ ivacaftor</w:t>
      </w:r>
    </w:p>
    <w:p w14:paraId="125526B5" w14:textId="77777777" w:rsidR="00832B86" w:rsidRPr="000C48F9" w:rsidRDefault="00832B86" w:rsidP="0085193E">
      <w:pPr>
        <w:pStyle w:val="TableFigureFooter"/>
        <w:keepNext/>
        <w:keepLines/>
      </w:pPr>
      <w:r w:rsidRPr="000C48F9">
        <w:t xml:space="preserve">Note: Rounding applies. </w:t>
      </w:r>
    </w:p>
    <w:p w14:paraId="202560FB" w14:textId="030668B0" w:rsidR="00EB6899" w:rsidRDefault="00832B86" w:rsidP="0044604E">
      <w:pPr>
        <w:pStyle w:val="TableFigureFooter"/>
        <w:keepNext/>
        <w:keepLines/>
        <w:jc w:val="left"/>
      </w:pPr>
      <w:r w:rsidRPr="000C48F9">
        <w:rPr>
          <w:vertAlign w:val="superscript"/>
        </w:rPr>
        <w:t>a</w:t>
      </w:r>
      <w:r w:rsidRPr="000C48F9">
        <w:t xml:space="preserve"> ACFDR 2021 requested data by the sponsor</w:t>
      </w:r>
      <w:r w:rsidRPr="000C48F9">
        <w:br/>
      </w:r>
      <w:r w:rsidR="00E73BB0" w:rsidRPr="000C48F9">
        <w:rPr>
          <w:vertAlign w:val="superscript"/>
        </w:rPr>
        <w:t xml:space="preserve">b </w:t>
      </w:r>
      <w:r w:rsidRPr="000C48F9">
        <w:t>Consistent with agreed price of $</w:t>
      </w:r>
      <w:r w:rsidR="00987958" w:rsidRPr="00987958">
        <w:rPr>
          <w:color w:val="000000"/>
          <w:spacing w:val="169"/>
          <w:shd w:val="solid" w:color="000000" w:fill="000000"/>
          <w:fitText w:val="246" w:id="-1300528635"/>
          <w14:textFill>
            <w14:solidFill>
              <w14:srgbClr w14:val="000000">
                <w14:alpha w14:val="100000"/>
              </w14:srgbClr>
            </w14:solidFill>
          </w14:textFill>
        </w:rPr>
        <w:t>|</w:t>
      </w:r>
      <w:r w:rsidR="00987958" w:rsidRPr="00987958">
        <w:rPr>
          <w:color w:val="000000"/>
          <w:spacing w:val="1"/>
          <w:shd w:val="solid" w:color="000000" w:fill="000000"/>
          <w:fitText w:val="246" w:id="-1300528635"/>
          <w14:textFill>
            <w14:solidFill>
              <w14:srgbClr w14:val="000000">
                <w14:alpha w14:val="100000"/>
              </w14:srgbClr>
            </w14:solidFill>
          </w14:textFill>
        </w:rPr>
        <w:t>|</w:t>
      </w:r>
      <w:r w:rsidRPr="000C48F9">
        <w:t xml:space="preserve"> for 11 packs </w:t>
      </w:r>
    </w:p>
    <w:p w14:paraId="35D5FBE7" w14:textId="5A539EEA" w:rsidR="001C3FDF" w:rsidRDefault="00317057" w:rsidP="001C3FDF">
      <w:pPr>
        <w:pStyle w:val="3-BodyText"/>
      </w:pPr>
      <w:bookmarkStart w:id="50" w:name="_Ref118804342"/>
      <w:r>
        <w:t>The pre-PBAC response proposed a</w:t>
      </w:r>
      <w:r w:rsidR="00BF2455">
        <w:t>n ex-manufacturer</w:t>
      </w:r>
      <w:r>
        <w:t xml:space="preserve"> price per pack for patients aged 6 to 11 years </w:t>
      </w:r>
      <w:r w:rsidR="001C3FDF">
        <w:t>($</w:t>
      </w:r>
      <w:r w:rsidR="00987958" w:rsidRPr="008E430C">
        <w:rPr>
          <w:color w:val="000000"/>
          <w:w w:val="15"/>
          <w:shd w:val="solid" w:color="000000" w:fill="000000"/>
          <w:fitText w:val="-20" w:id="-1300528634"/>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4"/>
          <w14:textFill>
            <w14:solidFill>
              <w14:srgbClr w14:val="000000">
                <w14:alpha w14:val="100000"/>
              </w14:srgbClr>
            </w14:solidFill>
          </w14:textFill>
        </w:rPr>
        <w:t>|</w:t>
      </w:r>
      <w:r w:rsidR="001C3FDF">
        <w:t xml:space="preserve">) </w:t>
      </w:r>
      <w:r>
        <w:t>that</w:t>
      </w:r>
      <w:r w:rsidR="00F76CBE">
        <w:t xml:space="preserve"> i</w:t>
      </w:r>
      <w:r>
        <w:t xml:space="preserve">s equivalent </w:t>
      </w:r>
      <w:r w:rsidRPr="00317057">
        <w:t xml:space="preserve">to that agreed for the PBS listing </w:t>
      </w:r>
      <w:r>
        <w:t xml:space="preserve">for patients aged </w:t>
      </w:r>
      <w:r>
        <w:rPr>
          <w:rFonts w:cstheme="minorHAnsi"/>
        </w:rPr>
        <w:t>≥12 years</w:t>
      </w:r>
      <w:r w:rsidR="00F76CBE">
        <w:rPr>
          <w:rFonts w:cstheme="minorHAnsi"/>
        </w:rPr>
        <w:t>.</w:t>
      </w:r>
      <w:r>
        <w:rPr>
          <w:rFonts w:cstheme="minorHAnsi"/>
        </w:rPr>
        <w:t xml:space="preserve"> </w:t>
      </w:r>
      <w:r w:rsidR="001C3FDF">
        <w:t xml:space="preserve">The pre-PBAC response stated that at this pack price, the </w:t>
      </w:r>
      <w:r w:rsidR="00BF2455">
        <w:t xml:space="preserve">weighted </w:t>
      </w:r>
      <w:r w:rsidR="001C3FDF">
        <w:t xml:space="preserve">cost per patient per year </w:t>
      </w:r>
      <w:r w:rsidR="00BF2455">
        <w:t>is $</w:t>
      </w:r>
      <w:r w:rsidR="00987958" w:rsidRPr="008E430C">
        <w:rPr>
          <w:color w:val="000000"/>
          <w:w w:val="15"/>
          <w:shd w:val="solid" w:color="000000" w:fill="000000"/>
          <w:fitText w:val="-20" w:id="-1300528633"/>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3"/>
          <w14:textFill>
            <w14:solidFill>
              <w14:srgbClr w14:val="000000">
                <w14:alpha w14:val="100000"/>
              </w14:srgbClr>
            </w14:solidFill>
          </w14:textFill>
        </w:rPr>
        <w:t>|</w:t>
      </w:r>
      <w:r w:rsidR="00BF2455">
        <w:t xml:space="preserve"> (assuming </w:t>
      </w:r>
      <w:r w:rsidR="00BF2455" w:rsidRPr="00703FA9">
        <w:t>100</w:t>
      </w:r>
      <w:r w:rsidR="00BF2455">
        <w:t>% compliance</w:t>
      </w:r>
      <w:r w:rsidR="00F76CBE">
        <w:t>; noted to be $</w:t>
      </w:r>
      <w:r w:rsidR="00987958" w:rsidRPr="008E430C">
        <w:rPr>
          <w:color w:val="000000"/>
          <w:w w:val="15"/>
          <w:shd w:val="solid" w:color="000000" w:fill="000000"/>
          <w:fitText w:val="-20" w:id="-1300528632"/>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2"/>
          <w14:textFill>
            <w14:solidFill>
              <w14:srgbClr w14:val="000000">
                <w14:alpha w14:val="100000"/>
              </w14:srgbClr>
            </w14:solidFill>
          </w14:textFill>
        </w:rPr>
        <w:t>|</w:t>
      </w:r>
      <w:r w:rsidR="00F76CBE">
        <w:t xml:space="preserve"> in </w:t>
      </w:r>
      <w:r w:rsidR="00F76CBE">
        <w:fldChar w:fldCharType="begin" w:fldLock="1"/>
      </w:r>
      <w:r w:rsidR="00F76CBE">
        <w:instrText xml:space="preserve"> REF _Ref112923545 \h </w:instrText>
      </w:r>
      <w:r w:rsidR="00F76CBE">
        <w:fldChar w:fldCharType="separate"/>
      </w:r>
      <w:r w:rsidR="009A1227" w:rsidRPr="000C48F9">
        <w:t xml:space="preserve">Table </w:t>
      </w:r>
      <w:r w:rsidR="009A1227">
        <w:rPr>
          <w:noProof/>
        </w:rPr>
        <w:t>17</w:t>
      </w:r>
      <w:r w:rsidR="00F76CBE">
        <w:fldChar w:fldCharType="end"/>
      </w:r>
      <w:r w:rsidR="00F76CBE">
        <w:t xml:space="preserve"> due to rounding of pack sizes</w:t>
      </w:r>
      <w:r w:rsidR="00BF2455">
        <w:t>).</w:t>
      </w:r>
      <w:bookmarkEnd w:id="50"/>
      <w:r w:rsidR="00BF2455">
        <w:t xml:space="preserve">  </w:t>
      </w:r>
    </w:p>
    <w:p w14:paraId="0E3F542C" w14:textId="35C09FF8" w:rsidR="002F541A" w:rsidRPr="001C3FDF" w:rsidRDefault="001C3FDF" w:rsidP="001C3FDF">
      <w:pPr>
        <w:pStyle w:val="3-BodyText"/>
      </w:pPr>
      <w:r>
        <w:t xml:space="preserve">The pre-PBAC response calculated </w:t>
      </w:r>
      <w:r w:rsidR="00BF2455">
        <w:t xml:space="preserve">a </w:t>
      </w:r>
      <w:r>
        <w:t>cost per patient per year for the F/F and F/MF population of $</w:t>
      </w:r>
      <w:r w:rsidR="00987958" w:rsidRPr="008E430C">
        <w:rPr>
          <w:color w:val="000000"/>
          <w:w w:val="15"/>
          <w:shd w:val="solid" w:color="000000" w:fill="000000"/>
          <w:fitText w:val="-20" w:id="-1300528631"/>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1"/>
          <w14:textFill>
            <w14:solidFill>
              <w14:srgbClr w14:val="000000">
                <w14:alpha w14:val="100000"/>
              </w14:srgbClr>
            </w14:solidFill>
          </w14:textFill>
        </w:rPr>
        <w:t>|</w:t>
      </w:r>
      <w:r>
        <w:t xml:space="preserve"> (</w:t>
      </w:r>
      <w:r w:rsidR="00BF2455">
        <w:t xml:space="preserve">assuming </w:t>
      </w:r>
      <w:r w:rsidRPr="00703FA9">
        <w:t>100</w:t>
      </w:r>
      <w:r>
        <w:t xml:space="preserve">% compliance) </w:t>
      </w:r>
      <w:r w:rsidR="00BF2455">
        <w:t xml:space="preserve">based on </w:t>
      </w:r>
      <w:r>
        <w:t>achiev</w:t>
      </w:r>
      <w:r w:rsidR="00BF2455">
        <w:t xml:space="preserve">ing the weighted price outlined in paragraph </w:t>
      </w:r>
      <w:r w:rsidR="00BF2455">
        <w:fldChar w:fldCharType="begin" w:fldLock="1"/>
      </w:r>
      <w:r w:rsidR="00BF2455">
        <w:instrText xml:space="preserve"> REF _Ref118804342 \r \h </w:instrText>
      </w:r>
      <w:r w:rsidR="00BF2455">
        <w:fldChar w:fldCharType="separate"/>
      </w:r>
      <w:r w:rsidR="009A1227">
        <w:t>6.59</w:t>
      </w:r>
      <w:r w:rsidR="00BF2455">
        <w:fldChar w:fldCharType="end"/>
      </w:r>
      <w:r w:rsidR="00BF2455">
        <w:t xml:space="preserve"> using the proportion of patients over 6 years of age across the populations. The PBAC noted the methodology for calculating the weighted price was different to the approach in the submission (which used the proportion of patients aged 6 to 11 years)</w:t>
      </w:r>
      <w:r w:rsidR="000436EE">
        <w:t>,</w:t>
      </w:r>
      <w:r w:rsidR="00BF2455">
        <w:t xml:space="preserve"> however</w:t>
      </w:r>
      <w:r w:rsidR="000436EE">
        <w:t>,</w:t>
      </w:r>
      <w:r w:rsidR="00BF2455">
        <w:t xml:space="preserve"> </w:t>
      </w:r>
      <w:r w:rsidR="00F76CBE">
        <w:t xml:space="preserve">acknowledged this was likely to have only resulted in the cost per patient in the F/F and F/MF populations being slightly </w:t>
      </w:r>
      <w:r w:rsidR="00F76CBE" w:rsidRPr="00F76CBE">
        <w:t>overestimated</w:t>
      </w:r>
      <w:r w:rsidR="00BF2455" w:rsidRPr="00F76CBE">
        <w:t>.</w:t>
      </w:r>
      <w:r w:rsidR="00BF2455">
        <w:t xml:space="preserve"> </w:t>
      </w:r>
      <w:bookmarkStart w:id="51" w:name="_Ref119920116"/>
      <w:r w:rsidR="002F541A">
        <w:t>The PBAC noted the base case model provided with the pre-PBAC response, using a cost per patient per year of $</w:t>
      </w:r>
      <w:r w:rsidR="00987958" w:rsidRPr="008E430C">
        <w:rPr>
          <w:color w:val="000000"/>
          <w:w w:val="15"/>
          <w:shd w:val="solid" w:color="000000" w:fill="000000"/>
          <w:fitText w:val="-20" w:id="-1300528630"/>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30"/>
          <w14:textFill>
            <w14:solidFill>
              <w14:srgbClr w14:val="000000">
                <w14:alpha w14:val="100000"/>
              </w14:srgbClr>
            </w14:solidFill>
          </w14:textFill>
        </w:rPr>
        <w:t>|</w:t>
      </w:r>
      <w:r w:rsidR="002F541A">
        <w:t xml:space="preserve"> </w:t>
      </w:r>
      <w:r w:rsidR="00B33AC8">
        <w:t>(</w:t>
      </w:r>
      <w:r w:rsidR="00793DE3">
        <w:t>$</w:t>
      </w:r>
      <w:r w:rsidR="00987958" w:rsidRPr="008E430C">
        <w:rPr>
          <w:color w:val="000000"/>
          <w:w w:val="15"/>
          <w:shd w:val="solid" w:color="000000" w:fill="000000"/>
          <w:fitText w:val="-20" w:id="-1300528629"/>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9"/>
          <w14:textFill>
            <w14:solidFill>
              <w14:srgbClr w14:val="000000">
                <w14:alpha w14:val="100000"/>
              </w14:srgbClr>
            </w14:solidFill>
          </w14:textFill>
        </w:rPr>
        <w:t>|</w:t>
      </w:r>
      <w:r w:rsidR="00793DE3">
        <w:t xml:space="preserve"> x </w:t>
      </w:r>
      <w:r w:rsidR="002F541A" w:rsidRPr="00703FA9">
        <w:t>90</w:t>
      </w:r>
      <w:r w:rsidR="002F541A">
        <w:t>% compliance</w:t>
      </w:r>
      <w:r w:rsidR="00B33AC8">
        <w:t>)</w:t>
      </w:r>
      <w:r w:rsidR="002F541A">
        <w:t xml:space="preserve"> and </w:t>
      </w:r>
      <w:r w:rsidR="002F541A" w:rsidRPr="00703FA9">
        <w:t>80</w:t>
      </w:r>
      <w:r w:rsidR="002F541A">
        <w:t>% rROD</w:t>
      </w:r>
      <w:r w:rsidR="000419BC">
        <w:t xml:space="preserve"> (as accepted in the pre-PBAC response, refer paragraph </w:t>
      </w:r>
      <w:r w:rsidR="000419BC">
        <w:fldChar w:fldCharType="begin" w:fldLock="1"/>
      </w:r>
      <w:r w:rsidR="000419BC">
        <w:instrText xml:space="preserve"> REF _Ref119311962 \r \h </w:instrText>
      </w:r>
      <w:r w:rsidR="000419BC">
        <w:fldChar w:fldCharType="separate"/>
      </w:r>
      <w:r w:rsidR="009A1227">
        <w:t>6.45</w:t>
      </w:r>
      <w:r w:rsidR="000419BC">
        <w:fldChar w:fldCharType="end"/>
      </w:r>
      <w:r w:rsidR="000419BC">
        <w:t>)</w:t>
      </w:r>
      <w:r w:rsidR="002F541A">
        <w:t xml:space="preserve">, resulted in a combined ICER of </w:t>
      </w:r>
      <w:r w:rsidR="00DF1E66" w:rsidRPr="00DF1E66">
        <w:t>$135,000 to &lt; $155,</w:t>
      </w:r>
      <w:r w:rsidR="00A611CC" w:rsidRPr="00DF1E66">
        <w:t>000</w:t>
      </w:r>
      <w:r w:rsidR="00A611CC">
        <w:t>/</w:t>
      </w:r>
      <w:r w:rsidR="002F541A">
        <w:t>QALY (</w:t>
      </w:r>
      <w:r w:rsidR="00304C53" w:rsidRPr="00DF1E66">
        <w:t>$135,000 to &lt; $155,000</w:t>
      </w:r>
      <w:r w:rsidR="00A611CC">
        <w:t>/</w:t>
      </w:r>
      <w:r w:rsidR="002F541A">
        <w:t xml:space="preserve">QALY in the F/F population and </w:t>
      </w:r>
      <w:r w:rsidR="00304C53" w:rsidRPr="00DF1E66">
        <w:t>$135,000 to &lt; $155,000</w:t>
      </w:r>
      <w:r w:rsidR="00A611CC">
        <w:t>/</w:t>
      </w:r>
      <w:r w:rsidR="002F541A">
        <w:t>QALY in the F/ MF population).</w:t>
      </w:r>
      <w:bookmarkEnd w:id="51"/>
      <w:r w:rsidR="002F541A">
        <w:t xml:space="preserve"> </w:t>
      </w:r>
    </w:p>
    <w:p w14:paraId="55065167" w14:textId="77777777" w:rsidR="00B44292" w:rsidRPr="000C48F9" w:rsidRDefault="00B44292" w:rsidP="001C3FDF">
      <w:pPr>
        <w:pStyle w:val="4-SubsectionHeading"/>
      </w:pPr>
      <w:bookmarkStart w:id="52" w:name="_Toc114047719"/>
      <w:r w:rsidRPr="000C48F9">
        <w:t>Drug cost/patient/year</w:t>
      </w:r>
      <w:bookmarkEnd w:id="52"/>
    </w:p>
    <w:p w14:paraId="1ED47957" w14:textId="43321CDA" w:rsidR="00EB50E2" w:rsidRDefault="006B0318" w:rsidP="00B44292">
      <w:pPr>
        <w:pStyle w:val="3-BodyText"/>
      </w:pPr>
      <w:r w:rsidRPr="000C48F9">
        <w:t xml:space="preserve">The price per pack for ELX/TEZ/IVA in the economic model </w:t>
      </w:r>
      <w:r w:rsidR="001C3FDF">
        <w:t xml:space="preserve">provided with the submission </w:t>
      </w:r>
      <w:r w:rsidRPr="000C48F9">
        <w:t xml:space="preserve">was </w:t>
      </w:r>
      <w:r w:rsidR="00EC20C1" w:rsidRPr="000C48F9">
        <w:t xml:space="preserve">the </w:t>
      </w:r>
      <w:r w:rsidRPr="000C48F9">
        <w:t>specific price for the F/F and F/MF subpopulations ($</w:t>
      </w:r>
      <w:r w:rsidR="00987958" w:rsidRPr="008E430C">
        <w:rPr>
          <w:color w:val="000000"/>
          <w:w w:val="15"/>
          <w:shd w:val="solid" w:color="000000" w:fill="000000"/>
          <w:fitText w:val="-20" w:id="-1300528628"/>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8"/>
          <w14:textFill>
            <w14:solidFill>
              <w14:srgbClr w14:val="000000">
                <w14:alpha w14:val="100000"/>
              </w14:srgbClr>
            </w14:solidFill>
          </w14:textFill>
        </w:rPr>
        <w:t>|</w:t>
      </w:r>
      <w:r w:rsidRPr="000C48F9">
        <w:t>), whereas the price per pack used in the financial estimates was the weighted price across all subpopulations ($</w:t>
      </w:r>
      <w:r w:rsidR="00987958" w:rsidRPr="008E430C">
        <w:rPr>
          <w:color w:val="000000"/>
          <w:w w:val="15"/>
          <w:shd w:val="solid" w:color="000000" w:fill="000000"/>
          <w:fitText w:val="-20" w:id="-1300528627"/>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7"/>
          <w14:textFill>
            <w14:solidFill>
              <w14:srgbClr w14:val="000000">
                <w14:alpha w14:val="100000"/>
              </w14:srgbClr>
            </w14:solidFill>
          </w14:textFill>
        </w:rPr>
        <w:t>|</w:t>
      </w:r>
      <w:r w:rsidRPr="000C48F9">
        <w:t xml:space="preserve">). </w:t>
      </w:r>
    </w:p>
    <w:p w14:paraId="7D26E69D" w14:textId="39BD82DB" w:rsidR="00EB50E2" w:rsidRDefault="00DF6B3F" w:rsidP="00B44292">
      <w:pPr>
        <w:pStyle w:val="3-BodyText"/>
      </w:pPr>
      <w:r>
        <w:t xml:space="preserve">The ELX/TEZ/IVA price per pack </w:t>
      </w:r>
      <w:r w:rsidR="00DC0F6A">
        <w:t xml:space="preserve">for the F/F and F/MF populations </w:t>
      </w:r>
      <w:r w:rsidR="00D12357">
        <w:t xml:space="preserve">in the economic model </w:t>
      </w:r>
      <w:r>
        <w:t>was revised to $</w:t>
      </w:r>
      <w:r w:rsidR="00987958" w:rsidRPr="008E430C">
        <w:rPr>
          <w:color w:val="000000"/>
          <w:w w:val="15"/>
          <w:shd w:val="solid" w:color="000000" w:fill="000000"/>
          <w:fitText w:val="-20" w:id="-1300528626"/>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6"/>
          <w14:textFill>
            <w14:solidFill>
              <w14:srgbClr w14:val="000000">
                <w14:alpha w14:val="100000"/>
              </w14:srgbClr>
            </w14:solidFill>
          </w14:textFill>
        </w:rPr>
        <w:t>|</w:t>
      </w:r>
      <w:r>
        <w:t xml:space="preserve"> and </w:t>
      </w:r>
      <w:r w:rsidR="00DC0F6A">
        <w:t xml:space="preserve">the weighted price </w:t>
      </w:r>
      <w:r w:rsidR="00D12357">
        <w:t xml:space="preserve">used in the financials </w:t>
      </w:r>
      <w:r w:rsidR="00DC0F6A">
        <w:t xml:space="preserve">was revised to </w:t>
      </w:r>
      <w:r>
        <w:t>$</w:t>
      </w:r>
      <w:r w:rsidR="00987958" w:rsidRPr="008E430C">
        <w:rPr>
          <w:color w:val="000000"/>
          <w:w w:val="15"/>
          <w:shd w:val="solid" w:color="000000" w:fill="000000"/>
          <w:fitText w:val="-20" w:id="-1300528625"/>
          <w14:textFill>
            <w14:solidFill>
              <w14:srgbClr w14:val="000000">
                <w14:alpha w14:val="100000"/>
              </w14:srgbClr>
            </w14:solidFill>
          </w14:textFill>
        </w:rPr>
        <w:t xml:space="preserve">|  </w:t>
      </w:r>
      <w:r w:rsidR="00987958" w:rsidRPr="008E430C">
        <w:rPr>
          <w:color w:val="000000"/>
          <w:spacing w:val="-69"/>
          <w:w w:val="15"/>
          <w:shd w:val="solid" w:color="000000" w:fill="000000"/>
          <w:fitText w:val="-20" w:id="-1300528625"/>
          <w14:textFill>
            <w14:solidFill>
              <w14:srgbClr w14:val="000000">
                <w14:alpha w14:val="100000"/>
              </w14:srgbClr>
            </w14:solidFill>
          </w14:textFill>
        </w:rPr>
        <w:t>|</w:t>
      </w:r>
      <w:r>
        <w:t xml:space="preserve"> per pack i</w:t>
      </w:r>
      <w:r w:rsidR="00EB50E2">
        <w:t xml:space="preserve">n the pre-PBAC response. The drug cost per patient per year in the economic model and the financial estimates </w:t>
      </w:r>
      <w:r>
        <w:t xml:space="preserve">using the revised costs </w:t>
      </w:r>
      <w:r w:rsidR="00EB50E2">
        <w:t xml:space="preserve">are summarised in </w:t>
      </w:r>
      <w:r>
        <w:fldChar w:fldCharType="begin" w:fldLock="1"/>
      </w:r>
      <w:r>
        <w:instrText xml:space="preserve"> REF _Ref119313397 \h </w:instrText>
      </w:r>
      <w:r>
        <w:fldChar w:fldCharType="separate"/>
      </w:r>
      <w:r w:rsidR="009A1227" w:rsidRPr="000C48F9">
        <w:t xml:space="preserve">Table </w:t>
      </w:r>
      <w:r w:rsidR="009A1227">
        <w:rPr>
          <w:noProof/>
        </w:rPr>
        <w:t>18</w:t>
      </w:r>
      <w:r>
        <w:fldChar w:fldCharType="end"/>
      </w:r>
      <w:r w:rsidR="00EB50E2">
        <w:t>. For simplicity, these costs include compliance but exclude discontinuation</w:t>
      </w:r>
      <w:r>
        <w:t>s</w:t>
      </w:r>
      <w:r w:rsidR="00EB50E2">
        <w:t xml:space="preserve">. </w:t>
      </w:r>
    </w:p>
    <w:p w14:paraId="6E8572DD" w14:textId="56F4EBF8" w:rsidR="00EB50E2" w:rsidRPr="00EB50E2" w:rsidRDefault="00EB50E2" w:rsidP="00D12357">
      <w:pPr>
        <w:pStyle w:val="Caption"/>
      </w:pPr>
      <w:bookmarkStart w:id="53" w:name="_Ref119313397"/>
      <w:r w:rsidRPr="000C48F9">
        <w:t xml:space="preserve">Table </w:t>
      </w:r>
      <w:r w:rsidR="008E430C">
        <w:fldChar w:fldCharType="begin" w:fldLock="1"/>
      </w:r>
      <w:r w:rsidR="008E430C">
        <w:instrText xml:space="preserve"> SEQ Table \* ARABIC </w:instrText>
      </w:r>
      <w:r w:rsidR="008E430C">
        <w:fldChar w:fldCharType="separate"/>
      </w:r>
      <w:r w:rsidR="009A1227">
        <w:rPr>
          <w:noProof/>
        </w:rPr>
        <w:t>18</w:t>
      </w:r>
      <w:r w:rsidR="008E430C">
        <w:rPr>
          <w:noProof/>
        </w:rPr>
        <w:fldChar w:fldCharType="end"/>
      </w:r>
      <w:bookmarkEnd w:id="53"/>
      <w:r w:rsidRPr="00EB50E2">
        <w:t>: Drug cost per patient for proposed and comparator drugs</w:t>
      </w:r>
      <w:r w:rsidR="00DF6B3F">
        <w:t xml:space="preserve"> (using revised unit price provided in pre-PBAC response)</w:t>
      </w:r>
    </w:p>
    <w:tbl>
      <w:tblPr>
        <w:tblStyle w:val="TableGrid"/>
        <w:tblW w:w="5000" w:type="pct"/>
        <w:tblLook w:val="04A0" w:firstRow="1" w:lastRow="0" w:firstColumn="1" w:lastColumn="0" w:noHBand="0" w:noVBand="1"/>
      </w:tblPr>
      <w:tblGrid>
        <w:gridCol w:w="2830"/>
        <w:gridCol w:w="1546"/>
        <w:gridCol w:w="1547"/>
        <w:gridCol w:w="1547"/>
        <w:gridCol w:w="1547"/>
      </w:tblGrid>
      <w:tr w:rsidR="00DF6B3F" w:rsidRPr="00EB50E2" w14:paraId="1E99FFFE" w14:textId="77777777" w:rsidTr="008334B0">
        <w:tc>
          <w:tcPr>
            <w:tcW w:w="1569" w:type="pct"/>
            <w:vMerge w:val="restart"/>
          </w:tcPr>
          <w:p w14:paraId="38D6CC7F" w14:textId="4E3FE506" w:rsidR="00DF6B3F" w:rsidRPr="00DF6B3F" w:rsidRDefault="00DF6B3F" w:rsidP="008334B0">
            <w:pPr>
              <w:pStyle w:val="3-BodyText"/>
              <w:keepNext/>
              <w:keepLines/>
              <w:numPr>
                <w:ilvl w:val="0"/>
                <w:numId w:val="0"/>
              </w:numPr>
              <w:spacing w:after="0"/>
              <w:rPr>
                <w:rFonts w:ascii="Arial Narrow" w:hAnsi="Arial Narrow"/>
                <w:b/>
                <w:bCs/>
                <w:sz w:val="20"/>
                <w:szCs w:val="20"/>
              </w:rPr>
            </w:pPr>
          </w:p>
        </w:tc>
        <w:tc>
          <w:tcPr>
            <w:tcW w:w="1715" w:type="pct"/>
            <w:gridSpan w:val="2"/>
          </w:tcPr>
          <w:p w14:paraId="17F9ADD1" w14:textId="5891529B" w:rsidR="00DF6B3F" w:rsidRPr="00EB50E2" w:rsidRDefault="00DF6B3F" w:rsidP="008334B0">
            <w:pPr>
              <w:pStyle w:val="3-BodyText"/>
              <w:keepNext/>
              <w:keepLines/>
              <w:numPr>
                <w:ilvl w:val="0"/>
                <w:numId w:val="0"/>
              </w:numPr>
              <w:spacing w:after="0"/>
              <w:jc w:val="center"/>
              <w:rPr>
                <w:rFonts w:ascii="Arial Narrow" w:hAnsi="Arial Narrow"/>
                <w:b/>
                <w:bCs/>
                <w:sz w:val="20"/>
                <w:szCs w:val="20"/>
              </w:rPr>
            </w:pPr>
            <w:r w:rsidRPr="00EB50E2">
              <w:rPr>
                <w:rFonts w:ascii="Arial Narrow" w:hAnsi="Arial Narrow"/>
                <w:b/>
                <w:bCs/>
                <w:sz w:val="20"/>
                <w:szCs w:val="20"/>
              </w:rPr>
              <w:t>ELX/ TEZ/ IVA</w:t>
            </w:r>
          </w:p>
        </w:tc>
        <w:tc>
          <w:tcPr>
            <w:tcW w:w="1716" w:type="pct"/>
            <w:gridSpan w:val="2"/>
          </w:tcPr>
          <w:p w14:paraId="408DE514" w14:textId="29C3EEEE" w:rsidR="00DF6B3F" w:rsidRPr="00EB50E2" w:rsidRDefault="00DF6B3F" w:rsidP="008334B0">
            <w:pPr>
              <w:pStyle w:val="3-BodyText"/>
              <w:keepNext/>
              <w:keepLines/>
              <w:numPr>
                <w:ilvl w:val="0"/>
                <w:numId w:val="0"/>
              </w:numPr>
              <w:spacing w:after="0"/>
              <w:jc w:val="center"/>
              <w:rPr>
                <w:rFonts w:ascii="Arial Narrow" w:hAnsi="Arial Narrow"/>
                <w:b/>
                <w:bCs/>
                <w:sz w:val="20"/>
                <w:szCs w:val="20"/>
              </w:rPr>
            </w:pPr>
            <w:r w:rsidRPr="00EB50E2">
              <w:rPr>
                <w:rFonts w:ascii="Arial Narrow" w:hAnsi="Arial Narrow"/>
                <w:b/>
                <w:bCs/>
                <w:sz w:val="20"/>
                <w:szCs w:val="20"/>
              </w:rPr>
              <w:t>LUM/ IVA (for F/F population</w:t>
            </w:r>
            <w:r w:rsidR="00DC0F6A">
              <w:rPr>
                <w:rFonts w:ascii="Arial Narrow" w:hAnsi="Arial Narrow"/>
                <w:b/>
                <w:bCs/>
                <w:sz w:val="20"/>
                <w:szCs w:val="20"/>
              </w:rPr>
              <w:t xml:space="preserve"> only</w:t>
            </w:r>
            <w:r w:rsidRPr="00EB50E2">
              <w:rPr>
                <w:rFonts w:ascii="Arial Narrow" w:hAnsi="Arial Narrow"/>
                <w:b/>
                <w:bCs/>
                <w:sz w:val="20"/>
                <w:szCs w:val="20"/>
              </w:rPr>
              <w:t>)</w:t>
            </w:r>
          </w:p>
        </w:tc>
      </w:tr>
      <w:tr w:rsidR="00DF6B3F" w:rsidRPr="00EB50E2" w14:paraId="21C158FC" w14:textId="77777777" w:rsidTr="008334B0">
        <w:tc>
          <w:tcPr>
            <w:tcW w:w="1569" w:type="pct"/>
            <w:vMerge/>
          </w:tcPr>
          <w:p w14:paraId="2F518747" w14:textId="77777777" w:rsidR="00DF6B3F" w:rsidRPr="00EB50E2" w:rsidRDefault="00DF6B3F" w:rsidP="008334B0">
            <w:pPr>
              <w:pStyle w:val="3-BodyText"/>
              <w:keepNext/>
              <w:keepLines/>
              <w:numPr>
                <w:ilvl w:val="0"/>
                <w:numId w:val="0"/>
              </w:numPr>
              <w:spacing w:after="0"/>
              <w:rPr>
                <w:rFonts w:ascii="Arial Narrow" w:hAnsi="Arial Narrow"/>
                <w:sz w:val="20"/>
                <w:szCs w:val="20"/>
              </w:rPr>
            </w:pPr>
          </w:p>
        </w:tc>
        <w:tc>
          <w:tcPr>
            <w:tcW w:w="857" w:type="pct"/>
          </w:tcPr>
          <w:p w14:paraId="7FB77595" w14:textId="77777777" w:rsidR="00DF6B3F" w:rsidRDefault="00DF6B3F" w:rsidP="008334B0">
            <w:pPr>
              <w:pStyle w:val="3-BodyText"/>
              <w:keepNext/>
              <w:keepLines/>
              <w:numPr>
                <w:ilvl w:val="0"/>
                <w:numId w:val="0"/>
              </w:numPr>
              <w:spacing w:after="0"/>
              <w:jc w:val="left"/>
              <w:rPr>
                <w:rFonts w:ascii="Arial Narrow" w:hAnsi="Arial Narrow"/>
                <w:b/>
                <w:bCs/>
                <w:sz w:val="20"/>
                <w:szCs w:val="20"/>
              </w:rPr>
            </w:pPr>
            <w:r w:rsidRPr="00EB50E2">
              <w:rPr>
                <w:rFonts w:ascii="Arial Narrow" w:hAnsi="Arial Narrow"/>
                <w:b/>
                <w:bCs/>
                <w:sz w:val="20"/>
                <w:szCs w:val="20"/>
              </w:rPr>
              <w:t>Economic model</w:t>
            </w:r>
          </w:p>
          <w:p w14:paraId="65BF70E1" w14:textId="384EB593" w:rsidR="00D12357" w:rsidRPr="00EB50E2" w:rsidRDefault="00D12357" w:rsidP="008334B0">
            <w:pPr>
              <w:pStyle w:val="3-BodyText"/>
              <w:keepNext/>
              <w:keepLines/>
              <w:numPr>
                <w:ilvl w:val="0"/>
                <w:numId w:val="0"/>
              </w:numPr>
              <w:spacing w:after="0"/>
              <w:jc w:val="left"/>
              <w:rPr>
                <w:rFonts w:ascii="Arial Narrow" w:hAnsi="Arial Narrow"/>
                <w:b/>
                <w:bCs/>
                <w:sz w:val="20"/>
                <w:szCs w:val="20"/>
              </w:rPr>
            </w:pPr>
            <w:r>
              <w:rPr>
                <w:rFonts w:ascii="Arial Narrow" w:hAnsi="Arial Narrow"/>
                <w:b/>
                <w:bCs/>
                <w:sz w:val="20"/>
                <w:szCs w:val="20"/>
              </w:rPr>
              <w:t>(</w:t>
            </w:r>
            <w:r w:rsidRPr="00DF6B3F">
              <w:rPr>
                <w:rFonts w:ascii="Arial Narrow" w:hAnsi="Arial Narrow"/>
                <w:b/>
                <w:bCs/>
                <w:sz w:val="20"/>
                <w:szCs w:val="20"/>
              </w:rPr>
              <w:t>F/F and F/ MF population</w:t>
            </w:r>
          </w:p>
        </w:tc>
        <w:tc>
          <w:tcPr>
            <w:tcW w:w="858" w:type="pct"/>
          </w:tcPr>
          <w:p w14:paraId="0138CED4" w14:textId="77777777" w:rsidR="00DF6B3F" w:rsidRDefault="00DF6B3F" w:rsidP="008334B0">
            <w:pPr>
              <w:pStyle w:val="3-BodyText"/>
              <w:keepNext/>
              <w:keepLines/>
              <w:numPr>
                <w:ilvl w:val="0"/>
                <w:numId w:val="0"/>
              </w:numPr>
              <w:spacing w:after="0"/>
              <w:jc w:val="left"/>
              <w:rPr>
                <w:rFonts w:ascii="Arial Narrow" w:hAnsi="Arial Narrow"/>
                <w:b/>
                <w:bCs/>
                <w:sz w:val="20"/>
                <w:szCs w:val="20"/>
              </w:rPr>
            </w:pPr>
            <w:r w:rsidRPr="00EB50E2">
              <w:rPr>
                <w:rFonts w:ascii="Arial Narrow" w:hAnsi="Arial Narrow"/>
                <w:b/>
                <w:bCs/>
                <w:sz w:val="20"/>
                <w:szCs w:val="20"/>
              </w:rPr>
              <w:t>Financial estimates</w:t>
            </w:r>
          </w:p>
          <w:p w14:paraId="7C5A4984" w14:textId="17854F76" w:rsidR="00D12357" w:rsidRPr="00EB50E2" w:rsidRDefault="00D12357" w:rsidP="008334B0">
            <w:pPr>
              <w:pStyle w:val="3-BodyText"/>
              <w:keepNext/>
              <w:keepLines/>
              <w:numPr>
                <w:ilvl w:val="0"/>
                <w:numId w:val="0"/>
              </w:numPr>
              <w:spacing w:after="0"/>
              <w:jc w:val="left"/>
              <w:rPr>
                <w:rFonts w:ascii="Arial Narrow" w:hAnsi="Arial Narrow"/>
                <w:b/>
                <w:bCs/>
                <w:sz w:val="20"/>
                <w:szCs w:val="20"/>
              </w:rPr>
            </w:pPr>
            <w:r>
              <w:rPr>
                <w:rFonts w:ascii="Arial Narrow" w:hAnsi="Arial Narrow"/>
                <w:b/>
                <w:bCs/>
                <w:sz w:val="20"/>
                <w:szCs w:val="20"/>
              </w:rPr>
              <w:t>(F/any population)</w:t>
            </w:r>
          </w:p>
        </w:tc>
        <w:tc>
          <w:tcPr>
            <w:tcW w:w="858" w:type="pct"/>
          </w:tcPr>
          <w:p w14:paraId="2EC34EBB" w14:textId="3D352E04" w:rsidR="00DF6B3F" w:rsidRPr="00EB50E2" w:rsidRDefault="00DF6B3F" w:rsidP="008334B0">
            <w:pPr>
              <w:pStyle w:val="3-BodyText"/>
              <w:keepNext/>
              <w:keepLines/>
              <w:numPr>
                <w:ilvl w:val="0"/>
                <w:numId w:val="0"/>
              </w:numPr>
              <w:spacing w:after="0"/>
              <w:jc w:val="left"/>
              <w:rPr>
                <w:rFonts w:ascii="Arial Narrow" w:hAnsi="Arial Narrow"/>
                <w:b/>
                <w:bCs/>
                <w:sz w:val="20"/>
                <w:szCs w:val="20"/>
              </w:rPr>
            </w:pPr>
            <w:r w:rsidRPr="00EB50E2">
              <w:rPr>
                <w:rFonts w:ascii="Arial Narrow" w:hAnsi="Arial Narrow"/>
                <w:b/>
                <w:bCs/>
                <w:sz w:val="20"/>
                <w:szCs w:val="20"/>
              </w:rPr>
              <w:t>Economic model</w:t>
            </w:r>
          </w:p>
        </w:tc>
        <w:tc>
          <w:tcPr>
            <w:tcW w:w="858" w:type="pct"/>
          </w:tcPr>
          <w:p w14:paraId="15B0267D" w14:textId="57FA20BC" w:rsidR="00DF6B3F" w:rsidRPr="00EB50E2" w:rsidRDefault="00DF6B3F" w:rsidP="008334B0">
            <w:pPr>
              <w:pStyle w:val="3-BodyText"/>
              <w:keepNext/>
              <w:keepLines/>
              <w:numPr>
                <w:ilvl w:val="0"/>
                <w:numId w:val="0"/>
              </w:numPr>
              <w:spacing w:after="0"/>
              <w:jc w:val="left"/>
              <w:rPr>
                <w:rFonts w:ascii="Arial Narrow" w:hAnsi="Arial Narrow"/>
                <w:b/>
                <w:bCs/>
                <w:sz w:val="20"/>
                <w:szCs w:val="20"/>
              </w:rPr>
            </w:pPr>
            <w:r w:rsidRPr="00EB50E2">
              <w:rPr>
                <w:rFonts w:ascii="Arial Narrow" w:hAnsi="Arial Narrow"/>
                <w:b/>
                <w:bCs/>
                <w:sz w:val="20"/>
                <w:szCs w:val="20"/>
              </w:rPr>
              <w:t>Financial estimates</w:t>
            </w:r>
          </w:p>
        </w:tc>
      </w:tr>
      <w:tr w:rsidR="00EB50E2" w:rsidRPr="00EB50E2" w14:paraId="04BE9F3B" w14:textId="77777777" w:rsidTr="008334B0">
        <w:tc>
          <w:tcPr>
            <w:tcW w:w="1569" w:type="pct"/>
          </w:tcPr>
          <w:p w14:paraId="336B58C7" w14:textId="2046A9C4" w:rsidR="00EB50E2" w:rsidRPr="00EB50E2" w:rsidRDefault="00EB50E2" w:rsidP="008334B0">
            <w:pPr>
              <w:pStyle w:val="3-BodyText"/>
              <w:keepNext/>
              <w:keepLines/>
              <w:numPr>
                <w:ilvl w:val="0"/>
                <w:numId w:val="0"/>
              </w:numPr>
              <w:spacing w:after="0"/>
              <w:rPr>
                <w:rFonts w:ascii="Arial Narrow" w:hAnsi="Arial Narrow"/>
                <w:sz w:val="20"/>
                <w:szCs w:val="20"/>
              </w:rPr>
            </w:pPr>
            <w:r w:rsidRPr="000C48F9">
              <w:rPr>
                <w:rFonts w:ascii="Arial Narrow" w:hAnsi="Arial Narrow" w:cs="Calibri"/>
                <w:color w:val="000000"/>
                <w:sz w:val="20"/>
                <w:szCs w:val="20"/>
                <w:lang w:eastAsia="en-GB"/>
              </w:rPr>
              <w:t>Price per pack/ 28-day supply (A</w:t>
            </w:r>
            <w:r>
              <w:rPr>
                <w:rFonts w:ascii="Arial Narrow" w:hAnsi="Arial Narrow" w:cs="Calibri"/>
                <w:color w:val="000000"/>
                <w:sz w:val="20"/>
                <w:szCs w:val="20"/>
                <w:lang w:eastAsia="en-GB"/>
              </w:rPr>
              <w:t>)</w:t>
            </w:r>
          </w:p>
        </w:tc>
        <w:tc>
          <w:tcPr>
            <w:tcW w:w="857" w:type="pct"/>
          </w:tcPr>
          <w:p w14:paraId="3839A88E" w14:textId="39A0DCAE" w:rsidR="00EB50E2" w:rsidRPr="00EB50E2" w:rsidRDefault="00DF6B3F" w:rsidP="008334B0">
            <w:pPr>
              <w:pStyle w:val="3-BodyText"/>
              <w:keepNext/>
              <w:keepLines/>
              <w:numPr>
                <w:ilvl w:val="0"/>
                <w:numId w:val="0"/>
              </w:numPr>
              <w:spacing w:after="0"/>
              <w:rPr>
                <w:rFonts w:ascii="Arial Narrow" w:hAnsi="Arial Narrow"/>
                <w:sz w:val="20"/>
                <w:szCs w:val="20"/>
              </w:rPr>
            </w:pPr>
            <w:r w:rsidRPr="00DF6B3F">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3" w:id="-1300528624"/>
                <w14:textFill>
                  <w14:solidFill>
                    <w14:srgbClr w14:val="000000">
                      <w14:alpha w14:val="100000"/>
                    </w14:srgbClr>
                  </w14:solidFill>
                </w14:textFill>
              </w:rPr>
              <w:t xml:space="preserve">|  </w:t>
            </w:r>
            <w:r w:rsidR="00987958" w:rsidRPr="00987958">
              <w:rPr>
                <w:rFonts w:ascii="Arial Narrow" w:hAnsi="Arial Narrow"/>
                <w:color w:val="000000"/>
                <w:spacing w:val="2"/>
                <w:sz w:val="20"/>
                <w:szCs w:val="20"/>
                <w:shd w:val="solid" w:color="000000" w:fill="000000"/>
                <w:fitText w:val="253" w:id="-1300528624"/>
                <w14:textFill>
                  <w14:solidFill>
                    <w14:srgbClr w14:val="000000">
                      <w14:alpha w14:val="100000"/>
                    </w14:srgbClr>
                  </w14:solidFill>
                </w14:textFill>
              </w:rPr>
              <w:t>|</w:t>
            </w:r>
          </w:p>
        </w:tc>
        <w:tc>
          <w:tcPr>
            <w:tcW w:w="858" w:type="pct"/>
          </w:tcPr>
          <w:p w14:paraId="17041665" w14:textId="67588EFC" w:rsidR="00EB50E2" w:rsidRPr="00EB50E2" w:rsidRDefault="00DF6B3F" w:rsidP="008334B0">
            <w:pPr>
              <w:pStyle w:val="3-BodyText"/>
              <w:keepNext/>
              <w:keepLines/>
              <w:numPr>
                <w:ilvl w:val="0"/>
                <w:numId w:val="0"/>
              </w:numPr>
              <w:spacing w:after="0"/>
              <w:rPr>
                <w:rFonts w:ascii="Arial Narrow" w:hAnsi="Arial Narrow"/>
                <w:sz w:val="20"/>
                <w:szCs w:val="20"/>
              </w:rPr>
            </w:pPr>
            <w:r>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4" w:id="-1300528640"/>
                <w14:textFill>
                  <w14:solidFill>
                    <w14:srgbClr w14:val="000000">
                      <w14:alpha w14:val="100000"/>
                    </w14:srgbClr>
                  </w14:solidFill>
                </w14:textFill>
              </w:rPr>
              <w:t xml:space="preserve">|  </w:t>
            </w:r>
            <w:r w:rsidR="00987958" w:rsidRPr="00987958">
              <w:rPr>
                <w:rFonts w:ascii="Arial Narrow" w:hAnsi="Arial Narrow"/>
                <w:color w:val="000000"/>
                <w:spacing w:val="3"/>
                <w:sz w:val="20"/>
                <w:szCs w:val="20"/>
                <w:shd w:val="solid" w:color="000000" w:fill="000000"/>
                <w:fitText w:val="254" w:id="-1300528640"/>
                <w14:textFill>
                  <w14:solidFill>
                    <w14:srgbClr w14:val="000000">
                      <w14:alpha w14:val="100000"/>
                    </w14:srgbClr>
                  </w14:solidFill>
                </w14:textFill>
              </w:rPr>
              <w:t>|</w:t>
            </w:r>
          </w:p>
        </w:tc>
        <w:tc>
          <w:tcPr>
            <w:tcW w:w="858" w:type="pct"/>
          </w:tcPr>
          <w:p w14:paraId="12DBED1F" w14:textId="5A286A40" w:rsidR="00EB50E2" w:rsidRPr="00EB50E2" w:rsidRDefault="00DF6B3F" w:rsidP="008334B0">
            <w:pPr>
              <w:pStyle w:val="3-BodyText"/>
              <w:keepNext/>
              <w:keepLines/>
              <w:numPr>
                <w:ilvl w:val="0"/>
                <w:numId w:val="0"/>
              </w:numPr>
              <w:spacing w:after="0"/>
              <w:rPr>
                <w:rFonts w:ascii="Arial Narrow" w:hAnsi="Arial Narrow"/>
                <w:sz w:val="20"/>
                <w:szCs w:val="20"/>
              </w:rPr>
            </w:pPr>
            <w:r w:rsidRPr="000C48F9">
              <w:rPr>
                <w:rFonts w:ascii="Arial Narrow" w:hAnsi="Arial Narrow" w:cs="Calibri"/>
                <w:color w:val="000000"/>
                <w:sz w:val="20"/>
                <w:szCs w:val="20"/>
                <w:lang w:eastAsia="en-GB"/>
              </w:rPr>
              <w:t>$</w:t>
            </w:r>
            <w:r w:rsidR="00987958" w:rsidRPr="00987958">
              <w:rPr>
                <w:rFonts w:ascii="Arial Narrow" w:hAnsi="Arial Narrow" w:cs="Calibri"/>
                <w:color w:val="000000"/>
                <w:spacing w:val="25"/>
                <w:sz w:val="20"/>
                <w:szCs w:val="20"/>
                <w:shd w:val="solid" w:color="000000" w:fill="000000"/>
                <w:fitText w:val="253" w:id="-1300528639"/>
                <w:lang w:eastAsia="en-GB"/>
                <w14:textFill>
                  <w14:solidFill>
                    <w14:srgbClr w14:val="000000">
                      <w14:alpha w14:val="100000"/>
                    </w14:srgbClr>
                  </w14:solidFill>
                </w14:textFill>
              </w:rPr>
              <w:t xml:space="preserve">|  </w:t>
            </w:r>
            <w:r w:rsidR="00987958" w:rsidRPr="00987958">
              <w:rPr>
                <w:rFonts w:ascii="Arial Narrow" w:hAnsi="Arial Narrow" w:cs="Calibri"/>
                <w:color w:val="000000"/>
                <w:spacing w:val="2"/>
                <w:sz w:val="20"/>
                <w:szCs w:val="20"/>
                <w:shd w:val="solid" w:color="000000" w:fill="000000"/>
                <w:fitText w:val="253" w:id="-1300528639"/>
                <w:lang w:eastAsia="en-GB"/>
                <w14:textFill>
                  <w14:solidFill>
                    <w14:srgbClr w14:val="000000">
                      <w14:alpha w14:val="100000"/>
                    </w14:srgbClr>
                  </w14:solidFill>
                </w14:textFill>
              </w:rPr>
              <w:t>|</w:t>
            </w:r>
          </w:p>
        </w:tc>
        <w:tc>
          <w:tcPr>
            <w:tcW w:w="858" w:type="pct"/>
          </w:tcPr>
          <w:p w14:paraId="1A247C3B" w14:textId="2869C7D5" w:rsidR="00EB50E2" w:rsidRPr="00EB50E2" w:rsidRDefault="00DF6B3F" w:rsidP="008334B0">
            <w:pPr>
              <w:pStyle w:val="3-BodyText"/>
              <w:keepNext/>
              <w:keepLines/>
              <w:numPr>
                <w:ilvl w:val="0"/>
                <w:numId w:val="0"/>
              </w:numPr>
              <w:spacing w:after="0"/>
              <w:rPr>
                <w:rFonts w:ascii="Arial Narrow" w:hAnsi="Arial Narrow"/>
                <w:sz w:val="20"/>
                <w:szCs w:val="20"/>
              </w:rPr>
            </w:pPr>
            <w:r w:rsidRPr="000C48F9">
              <w:rPr>
                <w:rFonts w:ascii="Arial Narrow" w:hAnsi="Arial Narrow" w:cs="Calibri"/>
                <w:color w:val="000000"/>
                <w:sz w:val="20"/>
                <w:szCs w:val="20"/>
                <w:lang w:eastAsia="en-GB"/>
              </w:rPr>
              <w:t>$</w:t>
            </w:r>
            <w:r w:rsidR="00987958" w:rsidRPr="00987958">
              <w:rPr>
                <w:rFonts w:ascii="Arial Narrow" w:hAnsi="Arial Narrow" w:cs="Calibri"/>
                <w:color w:val="000000"/>
                <w:spacing w:val="25"/>
                <w:sz w:val="20"/>
                <w:szCs w:val="20"/>
                <w:shd w:val="solid" w:color="000000" w:fill="000000"/>
                <w:fitText w:val="253" w:id="-1300528638"/>
                <w:lang w:eastAsia="en-GB"/>
                <w14:textFill>
                  <w14:solidFill>
                    <w14:srgbClr w14:val="000000">
                      <w14:alpha w14:val="100000"/>
                    </w14:srgbClr>
                  </w14:solidFill>
                </w14:textFill>
              </w:rPr>
              <w:t xml:space="preserve">|  </w:t>
            </w:r>
            <w:r w:rsidR="00987958" w:rsidRPr="00987958">
              <w:rPr>
                <w:rFonts w:ascii="Arial Narrow" w:hAnsi="Arial Narrow" w:cs="Calibri"/>
                <w:color w:val="000000"/>
                <w:spacing w:val="2"/>
                <w:sz w:val="20"/>
                <w:szCs w:val="20"/>
                <w:shd w:val="solid" w:color="000000" w:fill="000000"/>
                <w:fitText w:val="253" w:id="-1300528638"/>
                <w:lang w:eastAsia="en-GB"/>
                <w14:textFill>
                  <w14:solidFill>
                    <w14:srgbClr w14:val="000000">
                      <w14:alpha w14:val="100000"/>
                    </w14:srgbClr>
                  </w14:solidFill>
                </w14:textFill>
              </w:rPr>
              <w:t>|</w:t>
            </w:r>
          </w:p>
        </w:tc>
      </w:tr>
      <w:tr w:rsidR="00EB50E2" w:rsidRPr="00EB50E2" w14:paraId="692B9CC7" w14:textId="77777777" w:rsidTr="008334B0">
        <w:tc>
          <w:tcPr>
            <w:tcW w:w="1569" w:type="pct"/>
          </w:tcPr>
          <w:p w14:paraId="54D57BDF" w14:textId="0F8B5F45" w:rsidR="00EB50E2" w:rsidRPr="00703FA9" w:rsidRDefault="00EB50E2" w:rsidP="008334B0">
            <w:pPr>
              <w:pStyle w:val="3-BodyText"/>
              <w:keepNext/>
              <w:keepLines/>
              <w:numPr>
                <w:ilvl w:val="0"/>
                <w:numId w:val="0"/>
              </w:numPr>
              <w:spacing w:after="0"/>
              <w:rPr>
                <w:rFonts w:ascii="Arial Narrow" w:hAnsi="Arial Narrow" w:cs="Calibri"/>
                <w:color w:val="000000"/>
                <w:sz w:val="20"/>
                <w:szCs w:val="20"/>
                <w:lang w:eastAsia="en-GB"/>
              </w:rPr>
            </w:pPr>
            <w:r w:rsidRPr="00703FA9">
              <w:rPr>
                <w:rFonts w:ascii="Arial Narrow" w:hAnsi="Arial Narrow" w:cs="Calibri"/>
                <w:color w:val="000000"/>
                <w:sz w:val="20"/>
                <w:szCs w:val="20"/>
                <w:lang w:eastAsia="en-GB"/>
              </w:rPr>
              <w:t>Compliance (B)</w:t>
            </w:r>
          </w:p>
        </w:tc>
        <w:tc>
          <w:tcPr>
            <w:tcW w:w="857" w:type="pct"/>
          </w:tcPr>
          <w:p w14:paraId="1CFE0862" w14:textId="18D50BBB" w:rsidR="00EB50E2" w:rsidRPr="00703FA9" w:rsidRDefault="00DF6B3F" w:rsidP="008334B0">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90%</w:t>
            </w:r>
          </w:p>
        </w:tc>
        <w:tc>
          <w:tcPr>
            <w:tcW w:w="858" w:type="pct"/>
          </w:tcPr>
          <w:p w14:paraId="5894606E" w14:textId="016A61FB" w:rsidR="00EB50E2" w:rsidRPr="00703FA9" w:rsidRDefault="00DF6B3F" w:rsidP="008334B0">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95%</w:t>
            </w:r>
          </w:p>
        </w:tc>
        <w:tc>
          <w:tcPr>
            <w:tcW w:w="858" w:type="pct"/>
          </w:tcPr>
          <w:p w14:paraId="4F444B14" w14:textId="64B2B955" w:rsidR="00EB50E2" w:rsidRPr="00703FA9" w:rsidRDefault="00DF6B3F" w:rsidP="008334B0">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90%</w:t>
            </w:r>
          </w:p>
        </w:tc>
        <w:tc>
          <w:tcPr>
            <w:tcW w:w="858" w:type="pct"/>
          </w:tcPr>
          <w:p w14:paraId="0A01266B" w14:textId="5AB81FE8" w:rsidR="00EB50E2" w:rsidRPr="00EB50E2" w:rsidRDefault="00DF6B3F" w:rsidP="008334B0">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84.4%</w:t>
            </w:r>
            <w:r w:rsidR="00DC0F6A" w:rsidRPr="00703FA9">
              <w:rPr>
                <w:rFonts w:ascii="Arial Narrow" w:hAnsi="Arial Narrow"/>
                <w:sz w:val="20"/>
                <w:szCs w:val="20"/>
                <w:vertAlign w:val="superscript"/>
              </w:rPr>
              <w:t>1</w:t>
            </w:r>
          </w:p>
        </w:tc>
      </w:tr>
      <w:tr w:rsidR="00EB50E2" w:rsidRPr="00EB50E2" w14:paraId="230FD59A" w14:textId="77777777" w:rsidTr="008334B0">
        <w:tc>
          <w:tcPr>
            <w:tcW w:w="1569" w:type="pct"/>
          </w:tcPr>
          <w:p w14:paraId="6E1BBCF8" w14:textId="14315708" w:rsidR="00EB50E2" w:rsidRPr="000C48F9" w:rsidRDefault="00EB50E2" w:rsidP="008334B0">
            <w:pPr>
              <w:pStyle w:val="3-BodyText"/>
              <w:keepNext/>
              <w:keepLines/>
              <w:numPr>
                <w:ilvl w:val="0"/>
                <w:numId w:val="0"/>
              </w:numPr>
              <w:spacing w:after="0"/>
              <w:jc w:val="left"/>
              <w:rPr>
                <w:rFonts w:ascii="Arial Narrow" w:hAnsi="Arial Narrow" w:cs="Calibri"/>
                <w:color w:val="000000"/>
                <w:sz w:val="20"/>
                <w:szCs w:val="20"/>
                <w:lang w:eastAsia="en-GB"/>
              </w:rPr>
            </w:pPr>
            <w:r w:rsidRPr="000C48F9">
              <w:rPr>
                <w:rFonts w:ascii="Arial Narrow" w:hAnsi="Arial Narrow" w:cs="Calibri"/>
                <w:color w:val="000000"/>
                <w:sz w:val="20"/>
                <w:szCs w:val="20"/>
                <w:lang w:eastAsia="en-GB"/>
              </w:rPr>
              <w:t>Cost/</w:t>
            </w:r>
            <w:r w:rsidR="00DF6B3F">
              <w:rPr>
                <w:rFonts w:ascii="Arial Narrow" w:hAnsi="Arial Narrow" w:cs="Calibri"/>
                <w:color w:val="000000"/>
                <w:sz w:val="20"/>
                <w:szCs w:val="20"/>
                <w:lang w:eastAsia="en-GB"/>
              </w:rPr>
              <w:t xml:space="preserve"> </w:t>
            </w:r>
            <w:r w:rsidRPr="000C48F9">
              <w:rPr>
                <w:rFonts w:ascii="Arial Narrow" w:hAnsi="Arial Narrow" w:cs="Calibri"/>
                <w:color w:val="000000"/>
                <w:sz w:val="20"/>
                <w:szCs w:val="20"/>
                <w:lang w:eastAsia="en-GB"/>
              </w:rPr>
              <w:t>patient/ year (</w:t>
            </w:r>
            <w:r w:rsidR="00C31F3B">
              <w:rPr>
                <w:rFonts w:ascii="Arial Narrow" w:hAnsi="Arial Narrow" w:cs="Calibri"/>
                <w:color w:val="000000"/>
                <w:sz w:val="20"/>
                <w:szCs w:val="20"/>
                <w:lang w:eastAsia="en-GB"/>
              </w:rPr>
              <w:t>(365.25/28)</w:t>
            </w:r>
            <w:r w:rsidRPr="000C48F9">
              <w:rPr>
                <w:rFonts w:ascii="Arial Narrow" w:hAnsi="Arial Narrow" w:cs="Calibri"/>
                <w:color w:val="000000"/>
                <w:sz w:val="20"/>
                <w:szCs w:val="20"/>
                <w:lang w:eastAsia="en-GB"/>
              </w:rPr>
              <w:t xml:space="preserve"> pack/year* A*</w:t>
            </w:r>
            <w:r>
              <w:rPr>
                <w:rFonts w:ascii="Arial Narrow" w:hAnsi="Arial Narrow" w:cs="Calibri"/>
                <w:color w:val="000000"/>
                <w:sz w:val="20"/>
                <w:szCs w:val="20"/>
                <w:lang w:eastAsia="en-GB"/>
              </w:rPr>
              <w:t>B)</w:t>
            </w:r>
          </w:p>
        </w:tc>
        <w:tc>
          <w:tcPr>
            <w:tcW w:w="857" w:type="pct"/>
          </w:tcPr>
          <w:p w14:paraId="392D6C08" w14:textId="63343E54" w:rsidR="00EB50E2" w:rsidRPr="00EB50E2" w:rsidRDefault="00DF6B3F" w:rsidP="008334B0">
            <w:pPr>
              <w:pStyle w:val="3-BodyText"/>
              <w:keepNext/>
              <w:keepLines/>
              <w:numPr>
                <w:ilvl w:val="0"/>
                <w:numId w:val="0"/>
              </w:numPr>
              <w:spacing w:after="0"/>
              <w:rPr>
                <w:rFonts w:ascii="Arial Narrow" w:hAnsi="Arial Narrow"/>
                <w:sz w:val="20"/>
                <w:szCs w:val="20"/>
              </w:rPr>
            </w:pPr>
            <w:r>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3" w:id="-1300528637"/>
                <w14:textFill>
                  <w14:solidFill>
                    <w14:srgbClr w14:val="000000">
                      <w14:alpha w14:val="100000"/>
                    </w14:srgbClr>
                  </w14:solidFill>
                </w14:textFill>
              </w:rPr>
              <w:t xml:space="preserve">|  </w:t>
            </w:r>
            <w:r w:rsidR="00987958" w:rsidRPr="00987958">
              <w:rPr>
                <w:rFonts w:ascii="Arial Narrow" w:hAnsi="Arial Narrow"/>
                <w:color w:val="000000"/>
                <w:spacing w:val="2"/>
                <w:sz w:val="20"/>
                <w:szCs w:val="20"/>
                <w:shd w:val="solid" w:color="000000" w:fill="000000"/>
                <w:fitText w:val="253" w:id="-1300528637"/>
                <w14:textFill>
                  <w14:solidFill>
                    <w14:srgbClr w14:val="000000">
                      <w14:alpha w14:val="100000"/>
                    </w14:srgbClr>
                  </w14:solidFill>
                </w14:textFill>
              </w:rPr>
              <w:t>|</w:t>
            </w:r>
          </w:p>
        </w:tc>
        <w:tc>
          <w:tcPr>
            <w:tcW w:w="858" w:type="pct"/>
          </w:tcPr>
          <w:p w14:paraId="1E964527" w14:textId="70FCBD53" w:rsidR="00EB50E2" w:rsidRPr="00EB50E2" w:rsidRDefault="00DC0F6A" w:rsidP="008334B0">
            <w:pPr>
              <w:pStyle w:val="3-BodyText"/>
              <w:keepNext/>
              <w:keepLines/>
              <w:numPr>
                <w:ilvl w:val="0"/>
                <w:numId w:val="0"/>
              </w:numPr>
              <w:spacing w:after="0"/>
              <w:rPr>
                <w:rFonts w:ascii="Arial Narrow" w:hAnsi="Arial Narrow"/>
                <w:sz w:val="20"/>
                <w:szCs w:val="20"/>
              </w:rPr>
            </w:pPr>
            <w:r>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4" w:id="-1300528636"/>
                <w14:textFill>
                  <w14:solidFill>
                    <w14:srgbClr w14:val="000000">
                      <w14:alpha w14:val="100000"/>
                    </w14:srgbClr>
                  </w14:solidFill>
                </w14:textFill>
              </w:rPr>
              <w:t xml:space="preserve">|  </w:t>
            </w:r>
            <w:r w:rsidR="00987958" w:rsidRPr="00987958">
              <w:rPr>
                <w:rFonts w:ascii="Arial Narrow" w:hAnsi="Arial Narrow"/>
                <w:color w:val="000000"/>
                <w:spacing w:val="3"/>
                <w:sz w:val="20"/>
                <w:szCs w:val="20"/>
                <w:shd w:val="solid" w:color="000000" w:fill="000000"/>
                <w:fitText w:val="254" w:id="-1300528636"/>
                <w14:textFill>
                  <w14:solidFill>
                    <w14:srgbClr w14:val="000000">
                      <w14:alpha w14:val="100000"/>
                    </w14:srgbClr>
                  </w14:solidFill>
                </w14:textFill>
              </w:rPr>
              <w:t>|</w:t>
            </w:r>
          </w:p>
        </w:tc>
        <w:tc>
          <w:tcPr>
            <w:tcW w:w="858" w:type="pct"/>
          </w:tcPr>
          <w:p w14:paraId="05E79F45" w14:textId="005748E7" w:rsidR="00EB50E2" w:rsidRPr="00EB50E2" w:rsidRDefault="00DC0F6A" w:rsidP="008334B0">
            <w:pPr>
              <w:pStyle w:val="3-BodyText"/>
              <w:keepNext/>
              <w:keepLines/>
              <w:numPr>
                <w:ilvl w:val="0"/>
                <w:numId w:val="0"/>
              </w:numPr>
              <w:spacing w:after="0"/>
              <w:rPr>
                <w:rFonts w:ascii="Arial Narrow" w:hAnsi="Arial Narrow"/>
                <w:sz w:val="20"/>
                <w:szCs w:val="20"/>
              </w:rPr>
            </w:pPr>
            <w:r>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3" w:id="-1300528635"/>
                <w14:textFill>
                  <w14:solidFill>
                    <w14:srgbClr w14:val="000000">
                      <w14:alpha w14:val="100000"/>
                    </w14:srgbClr>
                  </w14:solidFill>
                </w14:textFill>
              </w:rPr>
              <w:t xml:space="preserve">|  </w:t>
            </w:r>
            <w:r w:rsidR="00987958" w:rsidRPr="00987958">
              <w:rPr>
                <w:rFonts w:ascii="Arial Narrow" w:hAnsi="Arial Narrow"/>
                <w:color w:val="000000"/>
                <w:spacing w:val="2"/>
                <w:sz w:val="20"/>
                <w:szCs w:val="20"/>
                <w:shd w:val="solid" w:color="000000" w:fill="000000"/>
                <w:fitText w:val="253" w:id="-1300528635"/>
                <w14:textFill>
                  <w14:solidFill>
                    <w14:srgbClr w14:val="000000">
                      <w14:alpha w14:val="100000"/>
                    </w14:srgbClr>
                  </w14:solidFill>
                </w14:textFill>
              </w:rPr>
              <w:t>|</w:t>
            </w:r>
          </w:p>
        </w:tc>
        <w:tc>
          <w:tcPr>
            <w:tcW w:w="858" w:type="pct"/>
          </w:tcPr>
          <w:p w14:paraId="21D5D317" w14:textId="2BC07192" w:rsidR="00EB50E2" w:rsidRPr="00EB50E2" w:rsidRDefault="00DF6B3F" w:rsidP="008334B0">
            <w:pPr>
              <w:pStyle w:val="3-BodyText"/>
              <w:keepNext/>
              <w:keepLines/>
              <w:numPr>
                <w:ilvl w:val="0"/>
                <w:numId w:val="0"/>
              </w:numPr>
              <w:spacing w:after="0"/>
              <w:rPr>
                <w:rFonts w:ascii="Arial Narrow" w:hAnsi="Arial Narrow"/>
                <w:sz w:val="20"/>
                <w:szCs w:val="20"/>
              </w:rPr>
            </w:pPr>
            <w:r>
              <w:rPr>
                <w:rFonts w:ascii="Arial Narrow" w:hAnsi="Arial Narrow"/>
                <w:sz w:val="20"/>
                <w:szCs w:val="20"/>
              </w:rPr>
              <w:t>$</w:t>
            </w:r>
            <w:r w:rsidR="00987958" w:rsidRPr="00987958">
              <w:rPr>
                <w:rFonts w:ascii="Arial Narrow" w:hAnsi="Arial Narrow"/>
                <w:color w:val="000000"/>
                <w:spacing w:val="25"/>
                <w:sz w:val="20"/>
                <w:szCs w:val="20"/>
                <w:shd w:val="solid" w:color="000000" w:fill="000000"/>
                <w:fitText w:val="253" w:id="-1300528634"/>
                <w14:textFill>
                  <w14:solidFill>
                    <w14:srgbClr w14:val="000000">
                      <w14:alpha w14:val="100000"/>
                    </w14:srgbClr>
                  </w14:solidFill>
                </w14:textFill>
              </w:rPr>
              <w:t xml:space="preserve">|  </w:t>
            </w:r>
            <w:r w:rsidR="00987958" w:rsidRPr="00987958">
              <w:rPr>
                <w:rFonts w:ascii="Arial Narrow" w:hAnsi="Arial Narrow"/>
                <w:color w:val="000000"/>
                <w:spacing w:val="2"/>
                <w:sz w:val="20"/>
                <w:szCs w:val="20"/>
                <w:shd w:val="solid" w:color="000000" w:fill="000000"/>
                <w:fitText w:val="253" w:id="-1300528634"/>
                <w14:textFill>
                  <w14:solidFill>
                    <w14:srgbClr w14:val="000000">
                      <w14:alpha w14:val="100000"/>
                    </w14:srgbClr>
                  </w14:solidFill>
                </w14:textFill>
              </w:rPr>
              <w:t>|</w:t>
            </w:r>
          </w:p>
        </w:tc>
      </w:tr>
    </w:tbl>
    <w:p w14:paraId="02745497" w14:textId="6C8501EF" w:rsidR="00EB50E2" w:rsidRPr="00DC0F6A" w:rsidRDefault="00DC0F6A" w:rsidP="00D12357">
      <w:pPr>
        <w:pStyle w:val="3-BodyText"/>
        <w:keepNext/>
        <w:keepLines/>
        <w:numPr>
          <w:ilvl w:val="0"/>
          <w:numId w:val="29"/>
        </w:numPr>
        <w:jc w:val="left"/>
        <w:rPr>
          <w:rFonts w:ascii="Arial Narrow" w:hAnsi="Arial Narrow"/>
          <w:sz w:val="18"/>
          <w:szCs w:val="18"/>
        </w:rPr>
      </w:pPr>
      <w:r w:rsidRPr="00DC0F6A">
        <w:rPr>
          <w:rFonts w:ascii="Arial Narrow" w:hAnsi="Arial Narrow"/>
          <w:sz w:val="18"/>
          <w:szCs w:val="18"/>
        </w:rPr>
        <w:t xml:space="preserve">Calculated as </w:t>
      </w:r>
      <w:r w:rsidR="00DF6B3F" w:rsidRPr="00DC0F6A">
        <w:rPr>
          <w:rFonts w:ascii="Arial Narrow" w:hAnsi="Arial Narrow"/>
          <w:sz w:val="18"/>
          <w:szCs w:val="18"/>
        </w:rPr>
        <w:t>11/13.04</w:t>
      </w:r>
      <w:r>
        <w:rPr>
          <w:rFonts w:ascii="Arial Narrow" w:hAnsi="Arial Narrow"/>
          <w:sz w:val="18"/>
          <w:szCs w:val="18"/>
        </w:rPr>
        <w:t xml:space="preserve"> </w:t>
      </w:r>
    </w:p>
    <w:p w14:paraId="216F06A0" w14:textId="77777777" w:rsidR="00B44292" w:rsidRPr="000C48F9" w:rsidRDefault="00B44292" w:rsidP="002B05A1">
      <w:pPr>
        <w:pStyle w:val="4-SubsectionHeading"/>
      </w:pPr>
      <w:bookmarkStart w:id="54" w:name="_Toc114047720"/>
      <w:r w:rsidRPr="000C48F9">
        <w:t>Estimated PBS usage &amp; financial implications</w:t>
      </w:r>
      <w:bookmarkEnd w:id="54"/>
    </w:p>
    <w:p w14:paraId="3B5DDB14" w14:textId="7DC546C4" w:rsidR="00B44292" w:rsidRPr="000C48F9" w:rsidRDefault="00B44292" w:rsidP="00B44292">
      <w:pPr>
        <w:pStyle w:val="3-BodyText"/>
        <w:rPr>
          <w:color w:val="0066FF"/>
        </w:rPr>
      </w:pPr>
      <w:r w:rsidRPr="000C48F9">
        <w:t>This submission w</w:t>
      </w:r>
      <w:r w:rsidR="003430DD" w:rsidRPr="000C48F9">
        <w:t xml:space="preserve">as </w:t>
      </w:r>
      <w:r w:rsidRPr="000C48F9">
        <w:t>not</w:t>
      </w:r>
      <w:r w:rsidR="003430DD" w:rsidRPr="000C48F9">
        <w:t xml:space="preserve"> </w:t>
      </w:r>
      <w:r w:rsidRPr="000C48F9">
        <w:t xml:space="preserve">considered by DUSC. </w:t>
      </w:r>
    </w:p>
    <w:p w14:paraId="5295A5FB" w14:textId="59E47999" w:rsidR="007F67AA" w:rsidRPr="000C48F9" w:rsidRDefault="00B44292" w:rsidP="007F4CA0">
      <w:pPr>
        <w:pStyle w:val="3-BodyText"/>
        <w:rPr>
          <w:rFonts w:ascii="Arial Narrow" w:hAnsi="Arial Narrow"/>
          <w:b/>
          <w:sz w:val="20"/>
        </w:rPr>
      </w:pPr>
      <w:r w:rsidRPr="000C48F9">
        <w:t>The submission used two approaches to estimate the number of eligible patients: (1</w:t>
      </w:r>
      <w:r w:rsidR="007F67AA" w:rsidRPr="000C48F9">
        <w:t>) the number of patients who are currently eligible for PBS listed CFTR modulators were estimated from the subsidisation caps in existing Deeds and (2) the number of patients who are not currently eligible for PBS listed CFTRs were estimated from epidemiological data</w:t>
      </w:r>
      <w:r w:rsidR="00222485" w:rsidRPr="000C48F9">
        <w:t xml:space="preserve"> (</w:t>
      </w:r>
      <w:r w:rsidR="00AD10FD" w:rsidRPr="000C48F9">
        <w:fldChar w:fldCharType="begin" w:fldLock="1"/>
      </w:r>
      <w:r w:rsidR="00AD10FD" w:rsidRPr="000C48F9">
        <w:instrText xml:space="preserve"> REF _Ref113915166 \h </w:instrText>
      </w:r>
      <w:r w:rsidR="00AD10FD" w:rsidRPr="000C48F9">
        <w:fldChar w:fldCharType="separate"/>
      </w:r>
      <w:r w:rsidR="009A1227" w:rsidRPr="000C48F9">
        <w:t xml:space="preserve">Table </w:t>
      </w:r>
      <w:r w:rsidR="009A1227">
        <w:rPr>
          <w:noProof/>
        </w:rPr>
        <w:t>19</w:t>
      </w:r>
      <w:r w:rsidR="00AD10FD" w:rsidRPr="000C48F9">
        <w:fldChar w:fldCharType="end"/>
      </w:r>
      <w:r w:rsidR="00AD10FD" w:rsidRPr="000C48F9">
        <w:t>)</w:t>
      </w:r>
      <w:r w:rsidR="007F67AA" w:rsidRPr="000C48F9">
        <w:t xml:space="preserve">.  </w:t>
      </w:r>
      <w:r w:rsidRPr="000C48F9">
        <w:t xml:space="preserve"> </w:t>
      </w:r>
    </w:p>
    <w:p w14:paraId="11511F5C" w14:textId="5206618A" w:rsidR="002A2C4D" w:rsidRPr="000C48F9" w:rsidRDefault="00222485" w:rsidP="00B74198">
      <w:pPr>
        <w:pStyle w:val="Caption"/>
        <w:keepNext w:val="0"/>
        <w:keepLines w:val="0"/>
        <w:rPr>
          <w:szCs w:val="24"/>
        </w:rPr>
      </w:pPr>
      <w:bookmarkStart w:id="55" w:name="_Ref113915166"/>
      <w:r w:rsidRPr="000C48F9">
        <w:t xml:space="preserve">Table </w:t>
      </w:r>
      <w:r w:rsidR="008E430C">
        <w:fldChar w:fldCharType="begin" w:fldLock="1"/>
      </w:r>
      <w:r w:rsidR="008E430C">
        <w:instrText xml:space="preserve"> SEQ Table \* ARABIC </w:instrText>
      </w:r>
      <w:r w:rsidR="008E430C">
        <w:fldChar w:fldCharType="separate"/>
      </w:r>
      <w:r w:rsidR="009A1227">
        <w:rPr>
          <w:noProof/>
        </w:rPr>
        <w:t>19</w:t>
      </w:r>
      <w:r w:rsidR="008E430C">
        <w:rPr>
          <w:noProof/>
        </w:rPr>
        <w:fldChar w:fldCharType="end"/>
      </w:r>
      <w:bookmarkEnd w:id="55"/>
      <w:r w:rsidRPr="000C48F9">
        <w:rPr>
          <w:rStyle w:val="CommentReference"/>
          <w:b/>
          <w:szCs w:val="24"/>
        </w:rPr>
        <w:t>: Epidemiological data used to estimate the number of patients eligible for ELZ/TEZ/IVA</w:t>
      </w:r>
    </w:p>
    <w:tbl>
      <w:tblPr>
        <w:tblStyle w:val="HTAtableplain1"/>
        <w:tblW w:w="5000" w:type="pct"/>
        <w:tblLook w:val="04A0" w:firstRow="1" w:lastRow="0" w:firstColumn="1" w:lastColumn="0" w:noHBand="0" w:noVBand="1"/>
      </w:tblPr>
      <w:tblGrid>
        <w:gridCol w:w="1576"/>
        <w:gridCol w:w="2873"/>
        <w:gridCol w:w="2873"/>
        <w:gridCol w:w="1695"/>
      </w:tblGrid>
      <w:tr w:rsidR="003E5048" w:rsidRPr="000C48F9" w14:paraId="671DF8D0" w14:textId="77777777" w:rsidTr="00174268">
        <w:trPr>
          <w:trHeight w:val="881"/>
        </w:trPr>
        <w:tc>
          <w:tcPr>
            <w:tcW w:w="874" w:type="pct"/>
            <w:hideMark/>
          </w:tcPr>
          <w:p w14:paraId="7E9A660A" w14:textId="77777777" w:rsidR="003E5048" w:rsidRPr="000C48F9" w:rsidRDefault="003E5048" w:rsidP="00B74198">
            <w:pPr>
              <w:jc w:val="left"/>
              <w:rPr>
                <w:rFonts w:ascii="Arial Narrow" w:hAnsi="Arial Narrow" w:cs="Calibri"/>
                <w:b/>
                <w:bCs/>
                <w:color w:val="000000"/>
                <w:sz w:val="20"/>
                <w:szCs w:val="20"/>
              </w:rPr>
            </w:pPr>
            <w:r w:rsidRPr="000C48F9">
              <w:rPr>
                <w:rFonts w:ascii="Arial Narrow" w:hAnsi="Arial Narrow" w:cs="Calibri"/>
                <w:b/>
                <w:bCs/>
                <w:color w:val="000000"/>
                <w:sz w:val="20"/>
                <w:szCs w:val="20"/>
              </w:rPr>
              <w:t xml:space="preserve">Population </w:t>
            </w:r>
          </w:p>
          <w:p w14:paraId="21B3AB19" w14:textId="5FEE55CD" w:rsidR="003E5048" w:rsidRPr="000C48F9" w:rsidRDefault="003E5048" w:rsidP="00B74198">
            <w:pPr>
              <w:jc w:val="left"/>
              <w:rPr>
                <w:rFonts w:ascii="Arial Narrow" w:hAnsi="Arial Narrow" w:cs="Calibri"/>
                <w:b/>
                <w:bCs/>
                <w:color w:val="000000"/>
                <w:sz w:val="20"/>
                <w:szCs w:val="20"/>
              </w:rPr>
            </w:pPr>
            <w:r w:rsidRPr="000C48F9">
              <w:rPr>
                <w:rFonts w:ascii="Arial Narrow" w:hAnsi="Arial Narrow" w:cs="Calibri"/>
                <w:b/>
                <w:bCs/>
                <w:color w:val="000000"/>
                <w:sz w:val="20"/>
                <w:szCs w:val="20"/>
              </w:rPr>
              <w:t>(6 to 11 years</w:t>
            </w:r>
            <w:r w:rsidR="00222485" w:rsidRPr="000C48F9">
              <w:rPr>
                <w:rFonts w:ascii="Arial Narrow" w:hAnsi="Arial Narrow" w:cs="Calibri"/>
                <w:b/>
                <w:bCs/>
                <w:color w:val="000000"/>
                <w:sz w:val="20"/>
                <w:szCs w:val="20"/>
              </w:rPr>
              <w:t>)</w:t>
            </w:r>
          </w:p>
        </w:tc>
        <w:tc>
          <w:tcPr>
            <w:tcW w:w="1593" w:type="pct"/>
          </w:tcPr>
          <w:p w14:paraId="66078B0C" w14:textId="35DDCBF3" w:rsidR="003E5048" w:rsidRPr="000C48F9" w:rsidRDefault="003E5048" w:rsidP="00B74198">
            <w:pPr>
              <w:jc w:val="center"/>
              <w:rPr>
                <w:rFonts w:ascii="Arial Narrow" w:hAnsi="Arial Narrow" w:cs="Calibri"/>
                <w:b/>
                <w:bCs/>
                <w:color w:val="000000"/>
                <w:sz w:val="20"/>
                <w:szCs w:val="20"/>
              </w:rPr>
            </w:pPr>
            <w:r w:rsidRPr="000C48F9">
              <w:rPr>
                <w:rFonts w:ascii="Arial Narrow" w:hAnsi="Arial Narrow" w:cs="Calibri"/>
                <w:b/>
                <w:bCs/>
                <w:color w:val="000000"/>
                <w:sz w:val="20"/>
                <w:szCs w:val="20"/>
              </w:rPr>
              <w:t>Number of patients in ACFDR analysis (actual 2020)</w:t>
            </w:r>
          </w:p>
        </w:tc>
        <w:tc>
          <w:tcPr>
            <w:tcW w:w="1593" w:type="pct"/>
            <w:hideMark/>
          </w:tcPr>
          <w:p w14:paraId="04B7A258" w14:textId="3079004F" w:rsidR="003E5048" w:rsidRPr="000C48F9" w:rsidRDefault="003E5048" w:rsidP="00B74198">
            <w:pPr>
              <w:jc w:val="center"/>
              <w:rPr>
                <w:rFonts w:ascii="Arial Narrow" w:hAnsi="Arial Narrow" w:cs="Calibri"/>
                <w:b/>
                <w:bCs/>
                <w:color w:val="000000"/>
                <w:sz w:val="20"/>
                <w:szCs w:val="20"/>
              </w:rPr>
            </w:pPr>
            <w:r w:rsidRPr="000C48F9">
              <w:rPr>
                <w:rFonts w:ascii="Arial Narrow" w:hAnsi="Arial Narrow" w:cs="Calibri"/>
                <w:b/>
                <w:bCs/>
                <w:color w:val="000000"/>
                <w:sz w:val="20"/>
                <w:szCs w:val="20"/>
              </w:rPr>
              <w:t>Number of patients in ACFDR analysis (estimated 2023</w:t>
            </w:r>
            <w:r w:rsidR="009D6921" w:rsidRPr="000C48F9">
              <w:rPr>
                <w:rFonts w:ascii="Arial Narrow" w:hAnsi="Arial Narrow" w:cs="Calibri"/>
                <w:b/>
                <w:bCs/>
                <w:color w:val="000000"/>
                <w:sz w:val="20"/>
                <w:szCs w:val="20"/>
              </w:rPr>
              <w:t>, assumed to be Year 1</w:t>
            </w:r>
            <w:r w:rsidRPr="000C48F9">
              <w:rPr>
                <w:rFonts w:ascii="Arial Narrow" w:hAnsi="Arial Narrow" w:cs="Calibri"/>
                <w:b/>
                <w:bCs/>
                <w:color w:val="000000"/>
                <w:sz w:val="20"/>
                <w:szCs w:val="20"/>
              </w:rPr>
              <w:t>)</w:t>
            </w:r>
          </w:p>
        </w:tc>
        <w:tc>
          <w:tcPr>
            <w:tcW w:w="940" w:type="pct"/>
            <w:hideMark/>
          </w:tcPr>
          <w:p w14:paraId="72BA10A8" w14:textId="06D6BF75" w:rsidR="003E5048" w:rsidRPr="000C48F9" w:rsidRDefault="00222485" w:rsidP="00B74198">
            <w:pPr>
              <w:rPr>
                <w:rFonts w:ascii="Arial Narrow" w:hAnsi="Arial Narrow" w:cs="Calibri"/>
                <w:b/>
                <w:bCs/>
                <w:color w:val="000000"/>
                <w:sz w:val="20"/>
                <w:szCs w:val="20"/>
              </w:rPr>
            </w:pPr>
            <w:r w:rsidRPr="000C48F9">
              <w:rPr>
                <w:rFonts w:ascii="Arial Narrow" w:hAnsi="Arial Narrow" w:cs="Calibri"/>
                <w:b/>
                <w:bCs/>
                <w:color w:val="000000"/>
                <w:sz w:val="20"/>
                <w:szCs w:val="20"/>
              </w:rPr>
              <w:t xml:space="preserve"> % of overall F/ any aged 6 to 11 years of age</w:t>
            </w:r>
          </w:p>
        </w:tc>
      </w:tr>
      <w:tr w:rsidR="003E5048" w:rsidRPr="000C48F9" w14:paraId="054E0A13" w14:textId="77777777" w:rsidTr="009C3039">
        <w:trPr>
          <w:trHeight w:val="157"/>
        </w:trPr>
        <w:tc>
          <w:tcPr>
            <w:tcW w:w="874" w:type="pct"/>
            <w:hideMark/>
          </w:tcPr>
          <w:p w14:paraId="03DF201A"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F/F</w:t>
            </w:r>
          </w:p>
        </w:tc>
        <w:tc>
          <w:tcPr>
            <w:tcW w:w="1593" w:type="pct"/>
          </w:tcPr>
          <w:p w14:paraId="0355D080" w14:textId="4DD876F3"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251</w:t>
            </w:r>
          </w:p>
        </w:tc>
        <w:tc>
          <w:tcPr>
            <w:tcW w:w="1593" w:type="pct"/>
          </w:tcPr>
          <w:p w14:paraId="21DF4570" w14:textId="4A6E44E5"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263</w:t>
            </w:r>
          </w:p>
        </w:tc>
        <w:tc>
          <w:tcPr>
            <w:tcW w:w="940" w:type="pct"/>
          </w:tcPr>
          <w:p w14:paraId="3F218DE9" w14:textId="694E293E"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48.9</w:t>
            </w:r>
            <w:r w:rsidR="002B334E" w:rsidRPr="000C48F9">
              <w:rPr>
                <w:rFonts w:ascii="Arial Narrow" w:hAnsi="Arial Narrow" w:cs="Calibri"/>
                <w:color w:val="000000"/>
                <w:sz w:val="20"/>
                <w:szCs w:val="20"/>
              </w:rPr>
              <w:t>3</w:t>
            </w:r>
            <w:r w:rsidRPr="000C48F9">
              <w:rPr>
                <w:rFonts w:ascii="Arial Narrow" w:hAnsi="Arial Narrow" w:cs="Calibri"/>
                <w:color w:val="000000"/>
                <w:sz w:val="20"/>
                <w:szCs w:val="20"/>
              </w:rPr>
              <w:t>%</w:t>
            </w:r>
          </w:p>
        </w:tc>
      </w:tr>
      <w:tr w:rsidR="003E5048" w:rsidRPr="000C48F9" w14:paraId="561A9915" w14:textId="77777777" w:rsidTr="009C3039">
        <w:trPr>
          <w:trHeight w:val="61"/>
        </w:trPr>
        <w:tc>
          <w:tcPr>
            <w:tcW w:w="874" w:type="pct"/>
            <w:hideMark/>
          </w:tcPr>
          <w:p w14:paraId="1DE539FF"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F/RF</w:t>
            </w:r>
          </w:p>
        </w:tc>
        <w:tc>
          <w:tcPr>
            <w:tcW w:w="1593" w:type="pct"/>
          </w:tcPr>
          <w:p w14:paraId="5785535E" w14:textId="447AC690"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41</w:t>
            </w:r>
          </w:p>
        </w:tc>
        <w:tc>
          <w:tcPr>
            <w:tcW w:w="1593" w:type="pct"/>
          </w:tcPr>
          <w:p w14:paraId="7DEE9CDC" w14:textId="0E2C60AC"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43</w:t>
            </w:r>
          </w:p>
        </w:tc>
        <w:tc>
          <w:tcPr>
            <w:tcW w:w="940" w:type="pct"/>
          </w:tcPr>
          <w:p w14:paraId="3D0A7AED" w14:textId="4F984027" w:rsidR="003E5048" w:rsidRPr="000C48F9" w:rsidRDefault="002B334E"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7.99</w:t>
            </w:r>
            <w:r w:rsidR="003E5048" w:rsidRPr="000C48F9">
              <w:rPr>
                <w:rFonts w:ascii="Arial Narrow" w:hAnsi="Arial Narrow" w:cs="Calibri"/>
                <w:color w:val="000000"/>
                <w:sz w:val="20"/>
                <w:szCs w:val="20"/>
              </w:rPr>
              <w:t>%</w:t>
            </w:r>
          </w:p>
        </w:tc>
      </w:tr>
      <w:tr w:rsidR="003E5048" w:rsidRPr="000C48F9" w14:paraId="708F5FBA" w14:textId="77777777" w:rsidTr="009C3039">
        <w:trPr>
          <w:trHeight w:val="107"/>
        </w:trPr>
        <w:tc>
          <w:tcPr>
            <w:tcW w:w="874" w:type="pct"/>
            <w:hideMark/>
          </w:tcPr>
          <w:p w14:paraId="556FA34E"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 xml:space="preserve">F/G </w:t>
            </w:r>
          </w:p>
        </w:tc>
        <w:tc>
          <w:tcPr>
            <w:tcW w:w="1593" w:type="pct"/>
          </w:tcPr>
          <w:p w14:paraId="054866A6" w14:textId="33850C79"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37</w:t>
            </w:r>
          </w:p>
        </w:tc>
        <w:tc>
          <w:tcPr>
            <w:tcW w:w="1593" w:type="pct"/>
          </w:tcPr>
          <w:p w14:paraId="36D8B7A9" w14:textId="30DC0F6C"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39</w:t>
            </w:r>
          </w:p>
        </w:tc>
        <w:tc>
          <w:tcPr>
            <w:tcW w:w="940" w:type="pct"/>
          </w:tcPr>
          <w:p w14:paraId="3946EA18" w14:textId="1EE203B1"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7.2</w:t>
            </w:r>
            <w:r w:rsidR="002B334E" w:rsidRPr="000C48F9">
              <w:rPr>
                <w:rFonts w:ascii="Arial Narrow" w:hAnsi="Arial Narrow" w:cs="Calibri"/>
                <w:color w:val="000000"/>
                <w:sz w:val="20"/>
                <w:szCs w:val="20"/>
              </w:rPr>
              <w:t>1</w:t>
            </w:r>
            <w:r w:rsidRPr="000C48F9">
              <w:rPr>
                <w:rFonts w:ascii="Arial Narrow" w:hAnsi="Arial Narrow" w:cs="Calibri"/>
                <w:color w:val="000000"/>
                <w:sz w:val="20"/>
                <w:szCs w:val="20"/>
              </w:rPr>
              <w:t>%</w:t>
            </w:r>
          </w:p>
        </w:tc>
      </w:tr>
      <w:tr w:rsidR="003E5048" w:rsidRPr="000C48F9" w14:paraId="54E93966" w14:textId="77777777" w:rsidTr="009C3039">
        <w:trPr>
          <w:trHeight w:val="153"/>
        </w:trPr>
        <w:tc>
          <w:tcPr>
            <w:tcW w:w="874" w:type="pct"/>
            <w:hideMark/>
          </w:tcPr>
          <w:p w14:paraId="47584793"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 xml:space="preserve">F/MF </w:t>
            </w:r>
          </w:p>
        </w:tc>
        <w:tc>
          <w:tcPr>
            <w:tcW w:w="1593" w:type="pct"/>
          </w:tcPr>
          <w:p w14:paraId="3DDAB210" w14:textId="3D4001F7"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156</w:t>
            </w:r>
          </w:p>
        </w:tc>
        <w:tc>
          <w:tcPr>
            <w:tcW w:w="1593" w:type="pct"/>
          </w:tcPr>
          <w:p w14:paraId="20BEA68D" w14:textId="45969B90"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164</w:t>
            </w:r>
          </w:p>
        </w:tc>
        <w:tc>
          <w:tcPr>
            <w:tcW w:w="940" w:type="pct"/>
          </w:tcPr>
          <w:p w14:paraId="4C0E1FDD" w14:textId="5FB469E0"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30.4</w:t>
            </w:r>
            <w:r w:rsidR="002B334E" w:rsidRPr="000C48F9">
              <w:rPr>
                <w:rFonts w:ascii="Arial Narrow" w:hAnsi="Arial Narrow" w:cs="Calibri"/>
                <w:color w:val="000000"/>
                <w:sz w:val="20"/>
                <w:szCs w:val="20"/>
              </w:rPr>
              <w:t>1</w:t>
            </w:r>
            <w:r w:rsidRPr="000C48F9">
              <w:rPr>
                <w:rFonts w:ascii="Arial Narrow" w:hAnsi="Arial Narrow" w:cs="Calibri"/>
                <w:color w:val="000000"/>
                <w:sz w:val="20"/>
                <w:szCs w:val="20"/>
              </w:rPr>
              <w:t>%</w:t>
            </w:r>
          </w:p>
        </w:tc>
      </w:tr>
      <w:tr w:rsidR="003E5048" w:rsidRPr="000C48F9" w14:paraId="08CEEBD3" w14:textId="77777777" w:rsidTr="009C3039">
        <w:trPr>
          <w:trHeight w:val="58"/>
        </w:trPr>
        <w:tc>
          <w:tcPr>
            <w:tcW w:w="874" w:type="pct"/>
            <w:hideMark/>
          </w:tcPr>
          <w:p w14:paraId="1F668AD2"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F/R117H</w:t>
            </w:r>
          </w:p>
        </w:tc>
        <w:tc>
          <w:tcPr>
            <w:tcW w:w="1593" w:type="pct"/>
          </w:tcPr>
          <w:p w14:paraId="069CA3AE" w14:textId="77EF5D05"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28</w:t>
            </w:r>
          </w:p>
        </w:tc>
        <w:tc>
          <w:tcPr>
            <w:tcW w:w="1593" w:type="pct"/>
          </w:tcPr>
          <w:p w14:paraId="3BE85DCD" w14:textId="09EDE5FC"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29</w:t>
            </w:r>
          </w:p>
        </w:tc>
        <w:tc>
          <w:tcPr>
            <w:tcW w:w="940" w:type="pct"/>
          </w:tcPr>
          <w:p w14:paraId="68BBD45D" w14:textId="07E1C33A"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5.</w:t>
            </w:r>
            <w:r w:rsidR="002B334E" w:rsidRPr="000C48F9">
              <w:rPr>
                <w:rFonts w:ascii="Arial Narrow" w:hAnsi="Arial Narrow" w:cs="Calibri"/>
                <w:color w:val="000000"/>
                <w:sz w:val="20"/>
                <w:szCs w:val="20"/>
              </w:rPr>
              <w:t>46</w:t>
            </w:r>
            <w:r w:rsidRPr="000C48F9">
              <w:rPr>
                <w:rFonts w:ascii="Arial Narrow" w:hAnsi="Arial Narrow" w:cs="Calibri"/>
                <w:color w:val="000000"/>
                <w:sz w:val="20"/>
                <w:szCs w:val="20"/>
              </w:rPr>
              <w:t>%</w:t>
            </w:r>
          </w:p>
        </w:tc>
      </w:tr>
      <w:tr w:rsidR="003E5048" w:rsidRPr="000C48F9" w14:paraId="3F8D256D" w14:textId="77777777" w:rsidTr="009C3039">
        <w:trPr>
          <w:trHeight w:val="90"/>
        </w:trPr>
        <w:tc>
          <w:tcPr>
            <w:tcW w:w="874" w:type="pct"/>
            <w:hideMark/>
          </w:tcPr>
          <w:p w14:paraId="0539B0AF" w14:textId="77777777" w:rsidR="003E5048" w:rsidRPr="000C48F9" w:rsidRDefault="003E5048" w:rsidP="00B74198">
            <w:pPr>
              <w:jc w:val="left"/>
              <w:rPr>
                <w:rFonts w:ascii="Arial Narrow" w:hAnsi="Arial Narrow" w:cs="Calibri"/>
                <w:color w:val="000000"/>
                <w:sz w:val="20"/>
                <w:szCs w:val="20"/>
              </w:rPr>
            </w:pPr>
            <w:r w:rsidRPr="000C48F9">
              <w:rPr>
                <w:rFonts w:ascii="Arial Narrow" w:hAnsi="Arial Narrow" w:cs="Calibri"/>
                <w:color w:val="000000"/>
                <w:sz w:val="20"/>
                <w:szCs w:val="20"/>
              </w:rPr>
              <w:t>Total</w:t>
            </w:r>
          </w:p>
        </w:tc>
        <w:tc>
          <w:tcPr>
            <w:tcW w:w="1593" w:type="pct"/>
          </w:tcPr>
          <w:p w14:paraId="2D66E9EE" w14:textId="14519465"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513</w:t>
            </w:r>
          </w:p>
        </w:tc>
        <w:tc>
          <w:tcPr>
            <w:tcW w:w="1593" w:type="pct"/>
          </w:tcPr>
          <w:p w14:paraId="113BD170" w14:textId="4240075A"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538</w:t>
            </w:r>
          </w:p>
        </w:tc>
        <w:tc>
          <w:tcPr>
            <w:tcW w:w="940" w:type="pct"/>
          </w:tcPr>
          <w:p w14:paraId="79189806" w14:textId="12955DDB" w:rsidR="003E5048" w:rsidRPr="000C48F9" w:rsidRDefault="003E5048" w:rsidP="00B74198">
            <w:pPr>
              <w:jc w:val="center"/>
              <w:rPr>
                <w:rFonts w:ascii="Arial Narrow" w:hAnsi="Arial Narrow" w:cs="Calibri"/>
                <w:color w:val="000000"/>
                <w:sz w:val="20"/>
                <w:szCs w:val="20"/>
              </w:rPr>
            </w:pPr>
            <w:r w:rsidRPr="000C48F9">
              <w:rPr>
                <w:rFonts w:ascii="Arial Narrow" w:hAnsi="Arial Narrow" w:cs="Calibri"/>
                <w:color w:val="000000"/>
                <w:sz w:val="20"/>
                <w:szCs w:val="20"/>
              </w:rPr>
              <w:t>100%</w:t>
            </w:r>
          </w:p>
        </w:tc>
      </w:tr>
    </w:tbl>
    <w:p w14:paraId="03D9D135" w14:textId="1FF76718" w:rsidR="00066A46" w:rsidRPr="000C48F9" w:rsidRDefault="00066A46" w:rsidP="00B74198">
      <w:pPr>
        <w:pStyle w:val="FooterTableFigure"/>
        <w:spacing w:after="0"/>
      </w:pPr>
      <w:r w:rsidRPr="000C48F9">
        <w:t>Source: TRI6-11_UCM-Release-3-Workbook-v018.xls</w:t>
      </w:r>
    </w:p>
    <w:p w14:paraId="568560BA" w14:textId="324ADDDC" w:rsidR="00D63ACA" w:rsidRPr="000C48F9" w:rsidRDefault="00066A46" w:rsidP="00B74198">
      <w:pPr>
        <w:pStyle w:val="FooterTableFigure"/>
      </w:pPr>
      <w:r w:rsidRPr="000C48F9">
        <w:t xml:space="preserve">ACFDR = Australian Cystic Fibrosis Disease Registry; ELX/TEZ/IVA = elexacaftor/tezacaftor/ivacaftor; F/G = CF patient heterozygous for the F508del in the CFTR gene with a gating mutation; F/F = homozygous for F508del-CFTR mutations; F/MF = heterozygous for F508del-CFTR mutation with a second minimal function allele; F/R117H = CF patients who are heterozygous for F508del in the CFTR gene with a R117H mutation; F/RF = heterozygous for F508del-CFTR with a second residual function </w:t>
      </w:r>
      <w:r w:rsidR="00DD6EA4" w:rsidRPr="000C48F9">
        <w:t>mutation.</w:t>
      </w:r>
      <w:r w:rsidRPr="000C48F9">
        <w:t xml:space="preserve"> </w:t>
      </w:r>
    </w:p>
    <w:p w14:paraId="508C80A4" w14:textId="2630DB23" w:rsidR="00222485" w:rsidRPr="000C48F9" w:rsidRDefault="00B44292" w:rsidP="00B74198">
      <w:pPr>
        <w:pStyle w:val="3-BodyText"/>
        <w:rPr>
          <w:rFonts w:ascii="Arial Narrow" w:hAnsi="Arial Narrow"/>
          <w:b/>
          <w:sz w:val="20"/>
        </w:rPr>
      </w:pPr>
      <w:r w:rsidRPr="000C48F9">
        <w:t xml:space="preserve">A summary of the </w:t>
      </w:r>
      <w:r w:rsidR="00CD08F7" w:rsidRPr="000C48F9">
        <w:t xml:space="preserve">estimated number of </w:t>
      </w:r>
      <w:r w:rsidR="00677E86" w:rsidRPr="000C48F9">
        <w:t xml:space="preserve">treated </w:t>
      </w:r>
      <w:r w:rsidR="00CD08F7" w:rsidRPr="000C48F9">
        <w:t xml:space="preserve">patients </w:t>
      </w:r>
      <w:r w:rsidRPr="000C48F9">
        <w:t>is presented in</w:t>
      </w:r>
      <w:r w:rsidR="007F4CA0" w:rsidRPr="000C48F9">
        <w:t xml:space="preserve"> </w:t>
      </w:r>
      <w:r w:rsidR="000A560C">
        <w:fldChar w:fldCharType="begin" w:fldLock="1"/>
      </w:r>
      <w:r w:rsidR="000A560C">
        <w:instrText xml:space="preserve"> REF _Ref119315118 \h </w:instrText>
      </w:r>
      <w:r w:rsidR="000A560C">
        <w:fldChar w:fldCharType="separate"/>
      </w:r>
      <w:r w:rsidR="009A1227" w:rsidRPr="000C48F9">
        <w:t xml:space="preserve">Table </w:t>
      </w:r>
      <w:r w:rsidR="009A1227">
        <w:rPr>
          <w:noProof/>
        </w:rPr>
        <w:t>20</w:t>
      </w:r>
      <w:r w:rsidR="000A560C">
        <w:fldChar w:fldCharType="end"/>
      </w:r>
      <w:r w:rsidR="00A21A58">
        <w:t xml:space="preserve">. </w:t>
      </w:r>
      <w:r w:rsidRPr="000C48F9">
        <w:t xml:space="preserve">The </w:t>
      </w:r>
      <w:r w:rsidR="007F67AA" w:rsidRPr="000C48F9">
        <w:t>submission stated the approach to estimating utilisation was consistent with</w:t>
      </w:r>
      <w:r w:rsidR="00752F20" w:rsidRPr="000C48F9">
        <w:t xml:space="preserve"> the approach used for the </w:t>
      </w:r>
      <w:r w:rsidR="00752F20" w:rsidRPr="000C48F9">
        <w:rPr>
          <w:rFonts w:cstheme="minorHAnsi"/>
        </w:rPr>
        <w:t>≥</w:t>
      </w:r>
      <w:r w:rsidR="00752F20" w:rsidRPr="000C48F9">
        <w:t>12 years population.</w:t>
      </w:r>
      <w:r w:rsidR="00CD08F7" w:rsidRPr="000C48F9">
        <w:t xml:space="preserve"> </w:t>
      </w:r>
      <w:r w:rsidR="00BA003C" w:rsidRPr="000C48F9">
        <w:t xml:space="preserve"> </w:t>
      </w:r>
    </w:p>
    <w:p w14:paraId="0C822F32" w14:textId="24C4A91A" w:rsidR="00DF7AC4" w:rsidRPr="000C48F9" w:rsidRDefault="00CD08F7" w:rsidP="009C3039">
      <w:pPr>
        <w:pStyle w:val="TableFigureHeading"/>
        <w:keepLines/>
      </w:pPr>
      <w:bookmarkStart w:id="56" w:name="_Ref119315118"/>
      <w:bookmarkStart w:id="57" w:name="_Hlk113873909"/>
      <w:r w:rsidRPr="000C48F9">
        <w:t xml:space="preserve">Table </w:t>
      </w:r>
      <w:r w:rsidR="008E430C">
        <w:fldChar w:fldCharType="begin" w:fldLock="1"/>
      </w:r>
      <w:r w:rsidR="008E430C">
        <w:instrText xml:space="preserve"> SEQ Table \* ARABIC </w:instrText>
      </w:r>
      <w:r w:rsidR="008E430C">
        <w:fldChar w:fldCharType="separate"/>
      </w:r>
      <w:r w:rsidR="009A1227">
        <w:rPr>
          <w:noProof/>
        </w:rPr>
        <w:t>20</w:t>
      </w:r>
      <w:r w:rsidR="008E430C">
        <w:rPr>
          <w:noProof/>
        </w:rPr>
        <w:fldChar w:fldCharType="end"/>
      </w:r>
      <w:bookmarkEnd w:id="56"/>
      <w:r w:rsidRPr="000C48F9">
        <w:t xml:space="preserve">: </w:t>
      </w:r>
      <w:r w:rsidR="00DF7AC4" w:rsidRPr="000C48F9">
        <w:t xml:space="preserve">Estimation of number of treated patients </w:t>
      </w:r>
    </w:p>
    <w:bookmarkEnd w:id="57"/>
    <w:tbl>
      <w:tblPr>
        <w:tblStyle w:val="TableGrid"/>
        <w:tblW w:w="5000" w:type="pct"/>
        <w:tblLook w:val="04A0" w:firstRow="1" w:lastRow="0" w:firstColumn="1" w:lastColumn="0" w:noHBand="0" w:noVBand="1"/>
      </w:tblPr>
      <w:tblGrid>
        <w:gridCol w:w="3938"/>
        <w:gridCol w:w="808"/>
        <w:gridCol w:w="810"/>
        <w:gridCol w:w="938"/>
        <w:gridCol w:w="808"/>
        <w:gridCol w:w="943"/>
        <w:gridCol w:w="772"/>
      </w:tblGrid>
      <w:tr w:rsidR="00DF7AC4" w:rsidRPr="000C48F9" w14:paraId="0810BD2B" w14:textId="77777777" w:rsidTr="00174268">
        <w:tc>
          <w:tcPr>
            <w:tcW w:w="2184" w:type="pct"/>
          </w:tcPr>
          <w:p w14:paraId="79593BF2" w14:textId="77777777" w:rsidR="00DF7AC4" w:rsidRPr="000C48F9" w:rsidRDefault="00DF7AC4" w:rsidP="009C3039">
            <w:pPr>
              <w:pStyle w:val="Tabletext"/>
              <w:keepNext/>
              <w:keepLines/>
              <w:rPr>
                <w:b/>
                <w:bCs/>
              </w:rPr>
            </w:pPr>
          </w:p>
        </w:tc>
        <w:tc>
          <w:tcPr>
            <w:tcW w:w="448" w:type="pct"/>
            <w:shd w:val="clear" w:color="auto" w:fill="auto"/>
            <w:vAlign w:val="center"/>
          </w:tcPr>
          <w:p w14:paraId="6F5DA840" w14:textId="77777777" w:rsidR="00DF7AC4" w:rsidRPr="000C48F9" w:rsidRDefault="00DF7AC4" w:rsidP="009C3039">
            <w:pPr>
              <w:pStyle w:val="Tabletext"/>
              <w:keepNext/>
              <w:keepLines/>
              <w:rPr>
                <w:b/>
                <w:bCs/>
              </w:rPr>
            </w:pPr>
            <w:r w:rsidRPr="000C48F9">
              <w:rPr>
                <w:b/>
                <w:bCs/>
              </w:rPr>
              <w:t>Year 1</w:t>
            </w:r>
          </w:p>
        </w:tc>
        <w:tc>
          <w:tcPr>
            <w:tcW w:w="449" w:type="pct"/>
            <w:shd w:val="clear" w:color="auto" w:fill="auto"/>
            <w:vAlign w:val="center"/>
          </w:tcPr>
          <w:p w14:paraId="770C8A78" w14:textId="77777777" w:rsidR="00DF7AC4" w:rsidRPr="000C48F9" w:rsidRDefault="00DF7AC4" w:rsidP="009C3039">
            <w:pPr>
              <w:pStyle w:val="Tabletext"/>
              <w:keepNext/>
              <w:keepLines/>
              <w:rPr>
                <w:b/>
                <w:bCs/>
              </w:rPr>
            </w:pPr>
            <w:r w:rsidRPr="000C48F9">
              <w:rPr>
                <w:b/>
                <w:bCs/>
              </w:rPr>
              <w:t>Year 2</w:t>
            </w:r>
          </w:p>
        </w:tc>
        <w:tc>
          <w:tcPr>
            <w:tcW w:w="520" w:type="pct"/>
            <w:shd w:val="clear" w:color="auto" w:fill="auto"/>
            <w:vAlign w:val="center"/>
          </w:tcPr>
          <w:p w14:paraId="37291B19" w14:textId="77777777" w:rsidR="00DF7AC4" w:rsidRPr="000C48F9" w:rsidRDefault="00DF7AC4" w:rsidP="009C3039">
            <w:pPr>
              <w:pStyle w:val="Tabletext"/>
              <w:keepNext/>
              <w:keepLines/>
              <w:rPr>
                <w:b/>
                <w:bCs/>
              </w:rPr>
            </w:pPr>
            <w:r w:rsidRPr="000C48F9">
              <w:rPr>
                <w:b/>
                <w:bCs/>
              </w:rPr>
              <w:t>Year 3</w:t>
            </w:r>
          </w:p>
        </w:tc>
        <w:tc>
          <w:tcPr>
            <w:tcW w:w="448" w:type="pct"/>
            <w:shd w:val="clear" w:color="auto" w:fill="auto"/>
            <w:vAlign w:val="center"/>
          </w:tcPr>
          <w:p w14:paraId="3F017183" w14:textId="77777777" w:rsidR="00DF7AC4" w:rsidRPr="000C48F9" w:rsidRDefault="00DF7AC4" w:rsidP="009C3039">
            <w:pPr>
              <w:pStyle w:val="Tabletext"/>
              <w:keepNext/>
              <w:keepLines/>
              <w:rPr>
                <w:b/>
                <w:bCs/>
              </w:rPr>
            </w:pPr>
            <w:r w:rsidRPr="000C48F9">
              <w:rPr>
                <w:b/>
                <w:bCs/>
              </w:rPr>
              <w:t>Year 4</w:t>
            </w:r>
          </w:p>
        </w:tc>
        <w:tc>
          <w:tcPr>
            <w:tcW w:w="523" w:type="pct"/>
            <w:shd w:val="clear" w:color="auto" w:fill="auto"/>
            <w:vAlign w:val="center"/>
          </w:tcPr>
          <w:p w14:paraId="356C89DA" w14:textId="77777777" w:rsidR="00DF7AC4" w:rsidRPr="000C48F9" w:rsidRDefault="00DF7AC4" w:rsidP="009C3039">
            <w:pPr>
              <w:pStyle w:val="Tabletext"/>
              <w:keepNext/>
              <w:keepLines/>
              <w:rPr>
                <w:b/>
                <w:bCs/>
              </w:rPr>
            </w:pPr>
            <w:r w:rsidRPr="000C48F9">
              <w:rPr>
                <w:b/>
                <w:bCs/>
              </w:rPr>
              <w:t>Year 5</w:t>
            </w:r>
          </w:p>
        </w:tc>
        <w:tc>
          <w:tcPr>
            <w:tcW w:w="428" w:type="pct"/>
            <w:shd w:val="clear" w:color="auto" w:fill="auto"/>
            <w:vAlign w:val="center"/>
          </w:tcPr>
          <w:p w14:paraId="1FF1532E" w14:textId="77777777" w:rsidR="00DF7AC4" w:rsidRPr="000C48F9" w:rsidRDefault="00DF7AC4" w:rsidP="009C3039">
            <w:pPr>
              <w:pStyle w:val="Tabletext"/>
              <w:keepNext/>
              <w:keepLines/>
              <w:rPr>
                <w:b/>
                <w:bCs/>
              </w:rPr>
            </w:pPr>
            <w:r w:rsidRPr="000C48F9">
              <w:rPr>
                <w:b/>
                <w:bCs/>
              </w:rPr>
              <w:t>Year 6</w:t>
            </w:r>
          </w:p>
        </w:tc>
      </w:tr>
      <w:tr w:rsidR="00DF7AC4" w:rsidRPr="000C48F9" w14:paraId="7B83EE83" w14:textId="77777777" w:rsidTr="00174268">
        <w:tc>
          <w:tcPr>
            <w:tcW w:w="5000" w:type="pct"/>
            <w:gridSpan w:val="7"/>
          </w:tcPr>
          <w:p w14:paraId="0535C99B" w14:textId="77777777" w:rsidR="00DF7AC4" w:rsidRPr="000C48F9" w:rsidRDefault="00DF7AC4" w:rsidP="009C3039">
            <w:pPr>
              <w:pStyle w:val="Tabletext"/>
              <w:keepNext/>
              <w:keepLines/>
            </w:pPr>
            <w:r w:rsidRPr="000C48F9">
              <w:rPr>
                <w:b/>
                <w:szCs w:val="20"/>
              </w:rPr>
              <w:t>Patients included within the subsidisation caps under existing Deeds</w:t>
            </w:r>
            <w:r w:rsidRPr="000C48F9">
              <w:rPr>
                <w:b/>
              </w:rPr>
              <w:t xml:space="preserve"> (calculated from subsidisation caps in existing Deed) </w:t>
            </w:r>
          </w:p>
        </w:tc>
      </w:tr>
      <w:tr w:rsidR="00DF7AC4" w:rsidRPr="000C48F9" w14:paraId="3E26A283" w14:textId="77777777" w:rsidTr="00174268">
        <w:tc>
          <w:tcPr>
            <w:tcW w:w="2184" w:type="pct"/>
          </w:tcPr>
          <w:p w14:paraId="0F620211" w14:textId="4BB7893D" w:rsidR="00DF7AC4" w:rsidRPr="000C48F9" w:rsidRDefault="00DF7AC4" w:rsidP="009C3039">
            <w:pPr>
              <w:pStyle w:val="Tabletext"/>
              <w:keepNext/>
              <w:keepLines/>
            </w:pPr>
            <w:r w:rsidRPr="000C48F9">
              <w:t>Estimated number of F/F patients on LUM/IVA</w:t>
            </w:r>
            <w:r w:rsidR="00677E86" w:rsidRPr="000C48F9">
              <w:rPr>
                <w:vertAlign w:val="superscript"/>
              </w:rPr>
              <w:t>a</w:t>
            </w:r>
          </w:p>
        </w:tc>
        <w:tc>
          <w:tcPr>
            <w:tcW w:w="448" w:type="pct"/>
            <w:vAlign w:val="center"/>
          </w:tcPr>
          <w:p w14:paraId="3DF5FDFF" w14:textId="70550541" w:rsidR="00DF7AC4" w:rsidRPr="000C48F9" w:rsidRDefault="00987958" w:rsidP="009C3039">
            <w:pPr>
              <w:pStyle w:val="Tabletext"/>
              <w:keepNext/>
              <w:keepLines/>
              <w:jc w:val="center"/>
            </w:pPr>
            <w:r w:rsidRPr="00987958">
              <w:rPr>
                <w:color w:val="000000"/>
                <w:spacing w:val="105"/>
                <w:shd w:val="solid" w:color="000000" w:fill="000000"/>
                <w:fitText w:val="191" w:id="-1300528633"/>
                <w14:textFill>
                  <w14:solidFill>
                    <w14:srgbClr w14:val="000000">
                      <w14:alpha w14:val="100000"/>
                    </w14:srgbClr>
                  </w14:solidFill>
                </w14:textFill>
              </w:rPr>
              <w:t>|</w:t>
            </w:r>
            <w:r w:rsidRPr="00987958">
              <w:rPr>
                <w:color w:val="000000"/>
                <w:spacing w:val="1"/>
                <w:shd w:val="solid" w:color="000000" w:fill="000000"/>
                <w:fitText w:val="191" w:id="-1300528633"/>
                <w14:textFill>
                  <w14:solidFill>
                    <w14:srgbClr w14:val="000000">
                      <w14:alpha w14:val="100000"/>
                    </w14:srgbClr>
                  </w14:solidFill>
                </w14:textFill>
              </w:rPr>
              <w:t>|</w:t>
            </w:r>
            <w:r w:rsidR="004D0E54" w:rsidRPr="004D0E54">
              <w:rPr>
                <w:iCs/>
                <w:szCs w:val="20"/>
                <w:vertAlign w:val="superscript"/>
              </w:rPr>
              <w:t>1</w:t>
            </w:r>
          </w:p>
        </w:tc>
        <w:tc>
          <w:tcPr>
            <w:tcW w:w="449" w:type="pct"/>
            <w:vAlign w:val="center"/>
          </w:tcPr>
          <w:p w14:paraId="211E05D7" w14:textId="2E0519E7" w:rsidR="00DF7AC4" w:rsidRPr="000C48F9" w:rsidRDefault="00987958" w:rsidP="009C3039">
            <w:pPr>
              <w:pStyle w:val="Tabletext"/>
              <w:keepNext/>
              <w:keepLines/>
              <w:jc w:val="center"/>
            </w:pPr>
            <w:r w:rsidRPr="00987958">
              <w:rPr>
                <w:color w:val="000000"/>
                <w:spacing w:val="105"/>
                <w:shd w:val="solid" w:color="000000" w:fill="000000"/>
                <w:fitText w:val="191" w:id="-1300528632"/>
                <w14:textFill>
                  <w14:solidFill>
                    <w14:srgbClr w14:val="000000">
                      <w14:alpha w14:val="100000"/>
                    </w14:srgbClr>
                  </w14:solidFill>
                </w14:textFill>
              </w:rPr>
              <w:t>|</w:t>
            </w:r>
            <w:r w:rsidRPr="00987958">
              <w:rPr>
                <w:color w:val="000000"/>
                <w:spacing w:val="1"/>
                <w:shd w:val="solid" w:color="000000" w:fill="000000"/>
                <w:fitText w:val="191" w:id="-1300528632"/>
                <w14:textFill>
                  <w14:solidFill>
                    <w14:srgbClr w14:val="000000">
                      <w14:alpha w14:val="100000"/>
                    </w14:srgbClr>
                  </w14:solidFill>
                </w14:textFill>
              </w:rPr>
              <w:t>|</w:t>
            </w:r>
            <w:r w:rsidR="004D0E54" w:rsidRPr="004D0E54">
              <w:rPr>
                <w:iCs/>
                <w:szCs w:val="20"/>
                <w:vertAlign w:val="superscript"/>
              </w:rPr>
              <w:t>1</w:t>
            </w:r>
          </w:p>
        </w:tc>
        <w:tc>
          <w:tcPr>
            <w:tcW w:w="520" w:type="pct"/>
            <w:vAlign w:val="center"/>
          </w:tcPr>
          <w:p w14:paraId="17D2D9A8" w14:textId="2A8731A7" w:rsidR="00DF7AC4" w:rsidRPr="000C48F9" w:rsidRDefault="00987958" w:rsidP="009C3039">
            <w:pPr>
              <w:pStyle w:val="Tabletext"/>
              <w:keepNext/>
              <w:keepLines/>
              <w:jc w:val="center"/>
            </w:pPr>
            <w:r w:rsidRPr="00987958">
              <w:rPr>
                <w:rFonts w:hint="eastAsia"/>
                <w:color w:val="000000"/>
                <w:w w:val="28"/>
                <w:shd w:val="solid" w:color="000000" w:fill="000000"/>
                <w:fitText w:val="127" w:id="-1300528631"/>
                <w14:textFill>
                  <w14:solidFill>
                    <w14:srgbClr w14:val="000000">
                      <w14:alpha w14:val="100000"/>
                    </w14:srgbClr>
                  </w14:solidFill>
                </w14:textFill>
              </w:rPr>
              <w:t xml:space="preserve">　</w:t>
            </w:r>
            <w:r w:rsidRPr="00987958">
              <w:rPr>
                <w:color w:val="000000"/>
                <w:w w:val="28"/>
                <w:shd w:val="solid" w:color="000000" w:fill="000000"/>
                <w:fitText w:val="127" w:id="-1300528631"/>
                <w14:textFill>
                  <w14:solidFill>
                    <w14:srgbClr w14:val="000000">
                      <w14:alpha w14:val="100000"/>
                    </w14:srgbClr>
                  </w14:solidFill>
                </w14:textFill>
              </w:rPr>
              <w:t>|</w:t>
            </w:r>
            <w:r w:rsidRPr="00987958">
              <w:rPr>
                <w:rFonts w:hint="eastAsia"/>
                <w:color w:val="000000"/>
                <w:spacing w:val="5"/>
                <w:w w:val="28"/>
                <w:shd w:val="solid" w:color="000000" w:fill="000000"/>
                <w:fitText w:val="127" w:id="-1300528631"/>
                <w14:textFill>
                  <w14:solidFill>
                    <w14:srgbClr w14:val="000000">
                      <w14:alpha w14:val="100000"/>
                    </w14:srgbClr>
                  </w14:solidFill>
                </w14:textFill>
              </w:rPr>
              <w:t xml:space="preserve">　</w:t>
            </w:r>
            <w:r w:rsidR="004D0E54" w:rsidRPr="004D0E54">
              <w:rPr>
                <w:iCs/>
                <w:szCs w:val="20"/>
                <w:vertAlign w:val="superscript"/>
              </w:rPr>
              <w:t>1</w:t>
            </w:r>
          </w:p>
        </w:tc>
        <w:tc>
          <w:tcPr>
            <w:tcW w:w="448" w:type="pct"/>
            <w:vAlign w:val="center"/>
          </w:tcPr>
          <w:p w14:paraId="0EF4BFA0" w14:textId="1B79F71B" w:rsidR="00DF7AC4" w:rsidRPr="000C48F9" w:rsidRDefault="00987958" w:rsidP="009C3039">
            <w:pPr>
              <w:pStyle w:val="Tabletext"/>
              <w:keepNext/>
              <w:keepLines/>
              <w:jc w:val="center"/>
            </w:pPr>
            <w:r w:rsidRPr="00987958">
              <w:rPr>
                <w:color w:val="000000"/>
                <w:spacing w:val="105"/>
                <w:shd w:val="solid" w:color="000000" w:fill="000000"/>
                <w:fitText w:val="191" w:id="-1300528630"/>
                <w14:textFill>
                  <w14:solidFill>
                    <w14:srgbClr w14:val="000000">
                      <w14:alpha w14:val="100000"/>
                    </w14:srgbClr>
                  </w14:solidFill>
                </w14:textFill>
              </w:rPr>
              <w:t>|</w:t>
            </w:r>
            <w:r w:rsidRPr="00987958">
              <w:rPr>
                <w:color w:val="000000"/>
                <w:spacing w:val="1"/>
                <w:shd w:val="solid" w:color="000000" w:fill="000000"/>
                <w:fitText w:val="191" w:id="-1300528630"/>
                <w14:textFill>
                  <w14:solidFill>
                    <w14:srgbClr w14:val="000000">
                      <w14:alpha w14:val="100000"/>
                    </w14:srgbClr>
                  </w14:solidFill>
                </w14:textFill>
              </w:rPr>
              <w:t>|</w:t>
            </w:r>
            <w:r w:rsidR="004D0E54" w:rsidRPr="004D0E54">
              <w:rPr>
                <w:iCs/>
                <w:szCs w:val="20"/>
                <w:vertAlign w:val="superscript"/>
              </w:rPr>
              <w:t>1</w:t>
            </w:r>
          </w:p>
        </w:tc>
        <w:tc>
          <w:tcPr>
            <w:tcW w:w="523" w:type="pct"/>
            <w:vAlign w:val="center"/>
          </w:tcPr>
          <w:p w14:paraId="5E681C70" w14:textId="2CCFFB2D" w:rsidR="00DF7AC4" w:rsidRPr="000C48F9" w:rsidRDefault="00987958" w:rsidP="009C3039">
            <w:pPr>
              <w:pStyle w:val="Tabletext"/>
              <w:keepNext/>
              <w:keepLines/>
              <w:jc w:val="center"/>
            </w:pPr>
            <w:r w:rsidRPr="00987958">
              <w:rPr>
                <w:rFonts w:hint="eastAsia"/>
                <w:color w:val="000000"/>
                <w:w w:val="26"/>
                <w:shd w:val="solid" w:color="000000" w:fill="000000"/>
                <w:fitText w:val="118" w:id="-1300528629"/>
                <w14:textFill>
                  <w14:solidFill>
                    <w14:srgbClr w14:val="000000">
                      <w14:alpha w14:val="100000"/>
                    </w14:srgbClr>
                  </w14:solidFill>
                </w14:textFill>
              </w:rPr>
              <w:t xml:space="preserve">　</w:t>
            </w:r>
            <w:r w:rsidRPr="00987958">
              <w:rPr>
                <w:color w:val="000000"/>
                <w:w w:val="26"/>
                <w:shd w:val="solid" w:color="000000" w:fill="000000"/>
                <w:fitText w:val="118" w:id="-1300528629"/>
                <w14:textFill>
                  <w14:solidFill>
                    <w14:srgbClr w14:val="000000">
                      <w14:alpha w14:val="100000"/>
                    </w14:srgbClr>
                  </w14:solidFill>
                </w14:textFill>
              </w:rPr>
              <w:t>|</w:t>
            </w:r>
            <w:r w:rsidRPr="00987958">
              <w:rPr>
                <w:rFonts w:hint="eastAsia"/>
                <w:color w:val="000000"/>
                <w:spacing w:val="3"/>
                <w:w w:val="26"/>
                <w:shd w:val="solid" w:color="000000" w:fill="000000"/>
                <w:fitText w:val="118" w:id="-1300528629"/>
                <w14:textFill>
                  <w14:solidFill>
                    <w14:srgbClr w14:val="000000">
                      <w14:alpha w14:val="100000"/>
                    </w14:srgbClr>
                  </w14:solidFill>
                </w14:textFill>
              </w:rPr>
              <w:t xml:space="preserve">　</w:t>
            </w:r>
            <w:r w:rsidR="004D0E54" w:rsidRPr="004D0E54">
              <w:rPr>
                <w:iCs/>
                <w:szCs w:val="20"/>
                <w:vertAlign w:val="superscript"/>
              </w:rPr>
              <w:t>1</w:t>
            </w:r>
          </w:p>
        </w:tc>
        <w:tc>
          <w:tcPr>
            <w:tcW w:w="428" w:type="pct"/>
            <w:vAlign w:val="center"/>
          </w:tcPr>
          <w:p w14:paraId="5B17E12F" w14:textId="4BE14B54" w:rsidR="00DF7AC4" w:rsidRPr="000C48F9" w:rsidRDefault="00987958" w:rsidP="009C3039">
            <w:pPr>
              <w:pStyle w:val="Tabletext"/>
              <w:keepNext/>
              <w:keepLines/>
              <w:jc w:val="center"/>
            </w:pPr>
            <w:r w:rsidRPr="00987958">
              <w:rPr>
                <w:color w:val="000000"/>
                <w:spacing w:val="41"/>
                <w:shd w:val="solid" w:color="000000" w:fill="000000"/>
                <w:fitText w:val="210" w:id="-1300528628"/>
                <w14:textFill>
                  <w14:solidFill>
                    <w14:srgbClr w14:val="000000">
                      <w14:alpha w14:val="100000"/>
                    </w14:srgbClr>
                  </w14:solidFill>
                </w14:textFill>
              </w:rPr>
              <w:t>||</w:t>
            </w:r>
            <w:r w:rsidRPr="00987958">
              <w:rPr>
                <w:color w:val="000000"/>
                <w:spacing w:val="1"/>
                <w:shd w:val="solid" w:color="000000" w:fill="000000"/>
                <w:fitText w:val="210" w:id="-1300528628"/>
                <w14:textFill>
                  <w14:solidFill>
                    <w14:srgbClr w14:val="000000">
                      <w14:alpha w14:val="100000"/>
                    </w14:srgbClr>
                  </w14:solidFill>
                </w14:textFill>
              </w:rPr>
              <w:t>|</w:t>
            </w:r>
            <w:r w:rsidR="004D0E54" w:rsidRPr="004D0E54">
              <w:rPr>
                <w:iCs/>
                <w:szCs w:val="20"/>
                <w:vertAlign w:val="superscript"/>
              </w:rPr>
              <w:t>1</w:t>
            </w:r>
          </w:p>
        </w:tc>
      </w:tr>
      <w:tr w:rsidR="00DF7AC4" w:rsidRPr="000C48F9" w14:paraId="4F3F311E" w14:textId="77777777" w:rsidTr="00174268">
        <w:tc>
          <w:tcPr>
            <w:tcW w:w="2184" w:type="pct"/>
          </w:tcPr>
          <w:p w14:paraId="6B355EA5" w14:textId="77777777" w:rsidR="00DF7AC4" w:rsidRPr="000C48F9" w:rsidRDefault="00DF7AC4" w:rsidP="009C3039">
            <w:pPr>
              <w:pStyle w:val="Tabletext"/>
              <w:keepNext/>
              <w:keepLines/>
              <w:ind w:left="176"/>
            </w:pPr>
            <w:r w:rsidRPr="000C48F9">
              <w:t>F/F patients on LUM/IVA switching to ELX/TEZ/IVA (100% switch)</w:t>
            </w:r>
          </w:p>
        </w:tc>
        <w:tc>
          <w:tcPr>
            <w:tcW w:w="448" w:type="pct"/>
            <w:vAlign w:val="center"/>
          </w:tcPr>
          <w:p w14:paraId="797CBEB9" w14:textId="6AA13D6E" w:rsidR="00DF7AC4" w:rsidRPr="000C48F9" w:rsidRDefault="00987958" w:rsidP="009C3039">
            <w:pPr>
              <w:pStyle w:val="Tabletext"/>
              <w:keepNext/>
              <w:keepLines/>
              <w:jc w:val="center"/>
            </w:pPr>
            <w:r w:rsidRPr="00987958">
              <w:rPr>
                <w:color w:val="000000"/>
                <w:spacing w:val="105"/>
                <w:shd w:val="solid" w:color="000000" w:fill="000000"/>
                <w:fitText w:val="191" w:id="-1300528627"/>
                <w14:textFill>
                  <w14:solidFill>
                    <w14:srgbClr w14:val="000000">
                      <w14:alpha w14:val="100000"/>
                    </w14:srgbClr>
                  </w14:solidFill>
                </w14:textFill>
              </w:rPr>
              <w:t>|</w:t>
            </w:r>
            <w:r w:rsidRPr="00987958">
              <w:rPr>
                <w:color w:val="000000"/>
                <w:spacing w:val="1"/>
                <w:shd w:val="solid" w:color="000000" w:fill="000000"/>
                <w:fitText w:val="191" w:id="-1300528627"/>
                <w14:textFill>
                  <w14:solidFill>
                    <w14:srgbClr w14:val="000000">
                      <w14:alpha w14:val="100000"/>
                    </w14:srgbClr>
                  </w14:solidFill>
                </w14:textFill>
              </w:rPr>
              <w:t>|</w:t>
            </w:r>
            <w:r w:rsidR="004D0E54" w:rsidRPr="004D0E54">
              <w:rPr>
                <w:iCs/>
                <w:szCs w:val="20"/>
                <w:vertAlign w:val="superscript"/>
              </w:rPr>
              <w:t>1</w:t>
            </w:r>
          </w:p>
        </w:tc>
        <w:tc>
          <w:tcPr>
            <w:tcW w:w="449" w:type="pct"/>
            <w:vAlign w:val="center"/>
          </w:tcPr>
          <w:p w14:paraId="41ADB6DE" w14:textId="4839EFB7" w:rsidR="00DF7AC4" w:rsidRPr="000C48F9" w:rsidRDefault="00987958" w:rsidP="009C3039">
            <w:pPr>
              <w:pStyle w:val="Tabletext"/>
              <w:keepNext/>
              <w:keepLines/>
              <w:jc w:val="center"/>
            </w:pPr>
            <w:r w:rsidRPr="00987958">
              <w:rPr>
                <w:color w:val="000000"/>
                <w:spacing w:val="105"/>
                <w:shd w:val="solid" w:color="000000" w:fill="000000"/>
                <w:fitText w:val="191" w:id="-1300528626"/>
                <w14:textFill>
                  <w14:solidFill>
                    <w14:srgbClr w14:val="000000">
                      <w14:alpha w14:val="100000"/>
                    </w14:srgbClr>
                  </w14:solidFill>
                </w14:textFill>
              </w:rPr>
              <w:t>|</w:t>
            </w:r>
            <w:r w:rsidRPr="00987958">
              <w:rPr>
                <w:color w:val="000000"/>
                <w:spacing w:val="1"/>
                <w:shd w:val="solid" w:color="000000" w:fill="000000"/>
                <w:fitText w:val="191" w:id="-1300528626"/>
                <w14:textFill>
                  <w14:solidFill>
                    <w14:srgbClr w14:val="000000">
                      <w14:alpha w14:val="100000"/>
                    </w14:srgbClr>
                  </w14:solidFill>
                </w14:textFill>
              </w:rPr>
              <w:t>|</w:t>
            </w:r>
            <w:r w:rsidR="004D0E54" w:rsidRPr="004D0E54">
              <w:rPr>
                <w:iCs/>
                <w:szCs w:val="20"/>
                <w:vertAlign w:val="superscript"/>
              </w:rPr>
              <w:t>1</w:t>
            </w:r>
          </w:p>
        </w:tc>
        <w:tc>
          <w:tcPr>
            <w:tcW w:w="520" w:type="pct"/>
            <w:vAlign w:val="center"/>
          </w:tcPr>
          <w:p w14:paraId="404D3FA2" w14:textId="56060653" w:rsidR="00DF7AC4" w:rsidRPr="000C48F9" w:rsidRDefault="00987958" w:rsidP="009C3039">
            <w:pPr>
              <w:pStyle w:val="Tabletext"/>
              <w:keepNext/>
              <w:keepLines/>
              <w:jc w:val="center"/>
            </w:pPr>
            <w:r w:rsidRPr="00987958">
              <w:rPr>
                <w:rFonts w:hint="eastAsia"/>
                <w:color w:val="000000"/>
                <w:w w:val="28"/>
                <w:shd w:val="solid" w:color="000000" w:fill="000000"/>
                <w:fitText w:val="127" w:id="-1300528625"/>
                <w14:textFill>
                  <w14:solidFill>
                    <w14:srgbClr w14:val="000000">
                      <w14:alpha w14:val="100000"/>
                    </w14:srgbClr>
                  </w14:solidFill>
                </w14:textFill>
              </w:rPr>
              <w:t xml:space="preserve">　</w:t>
            </w:r>
            <w:r w:rsidRPr="00987958">
              <w:rPr>
                <w:color w:val="000000"/>
                <w:w w:val="28"/>
                <w:shd w:val="solid" w:color="000000" w:fill="000000"/>
                <w:fitText w:val="127" w:id="-1300528625"/>
                <w14:textFill>
                  <w14:solidFill>
                    <w14:srgbClr w14:val="000000">
                      <w14:alpha w14:val="100000"/>
                    </w14:srgbClr>
                  </w14:solidFill>
                </w14:textFill>
              </w:rPr>
              <w:t>|</w:t>
            </w:r>
            <w:r w:rsidRPr="00987958">
              <w:rPr>
                <w:rFonts w:hint="eastAsia"/>
                <w:color w:val="000000"/>
                <w:spacing w:val="5"/>
                <w:w w:val="28"/>
                <w:shd w:val="solid" w:color="000000" w:fill="000000"/>
                <w:fitText w:val="127" w:id="-1300528625"/>
                <w14:textFill>
                  <w14:solidFill>
                    <w14:srgbClr w14:val="000000">
                      <w14:alpha w14:val="100000"/>
                    </w14:srgbClr>
                  </w14:solidFill>
                </w14:textFill>
              </w:rPr>
              <w:t xml:space="preserve">　</w:t>
            </w:r>
            <w:r w:rsidR="004D0E54" w:rsidRPr="004D0E54">
              <w:rPr>
                <w:iCs/>
                <w:szCs w:val="20"/>
                <w:vertAlign w:val="superscript"/>
              </w:rPr>
              <w:t>1</w:t>
            </w:r>
          </w:p>
        </w:tc>
        <w:tc>
          <w:tcPr>
            <w:tcW w:w="448" w:type="pct"/>
            <w:vAlign w:val="center"/>
          </w:tcPr>
          <w:p w14:paraId="6E8F13A6" w14:textId="167129AB" w:rsidR="00DF7AC4" w:rsidRPr="000C48F9" w:rsidRDefault="00987958" w:rsidP="009C3039">
            <w:pPr>
              <w:pStyle w:val="Tabletext"/>
              <w:keepNext/>
              <w:keepLines/>
              <w:jc w:val="center"/>
            </w:pPr>
            <w:r w:rsidRPr="00987958">
              <w:rPr>
                <w:color w:val="000000"/>
                <w:spacing w:val="105"/>
                <w:shd w:val="solid" w:color="000000" w:fill="000000"/>
                <w:fitText w:val="191" w:id="-1300528624"/>
                <w14:textFill>
                  <w14:solidFill>
                    <w14:srgbClr w14:val="000000">
                      <w14:alpha w14:val="100000"/>
                    </w14:srgbClr>
                  </w14:solidFill>
                </w14:textFill>
              </w:rPr>
              <w:t>|</w:t>
            </w:r>
            <w:r w:rsidRPr="00987958">
              <w:rPr>
                <w:color w:val="000000"/>
                <w:spacing w:val="1"/>
                <w:shd w:val="solid" w:color="000000" w:fill="000000"/>
                <w:fitText w:val="191" w:id="-1300528624"/>
                <w14:textFill>
                  <w14:solidFill>
                    <w14:srgbClr w14:val="000000">
                      <w14:alpha w14:val="100000"/>
                    </w14:srgbClr>
                  </w14:solidFill>
                </w14:textFill>
              </w:rPr>
              <w:t>|</w:t>
            </w:r>
            <w:r w:rsidR="004D0E54" w:rsidRPr="004D0E54">
              <w:rPr>
                <w:iCs/>
                <w:szCs w:val="20"/>
                <w:vertAlign w:val="superscript"/>
              </w:rPr>
              <w:t>1</w:t>
            </w:r>
          </w:p>
        </w:tc>
        <w:tc>
          <w:tcPr>
            <w:tcW w:w="523" w:type="pct"/>
            <w:vAlign w:val="center"/>
          </w:tcPr>
          <w:p w14:paraId="01F1B36E" w14:textId="48289454" w:rsidR="00DF7AC4"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40"/>
                <w14:textFill>
                  <w14:solidFill>
                    <w14:srgbClr w14:val="000000">
                      <w14:alpha w14:val="100000"/>
                    </w14:srgbClr>
                  </w14:solidFill>
                </w14:textFill>
              </w:rPr>
              <w:t xml:space="preserve">　</w:t>
            </w:r>
            <w:r w:rsidRPr="00987958">
              <w:rPr>
                <w:color w:val="000000"/>
                <w:w w:val="26"/>
                <w:shd w:val="solid" w:color="000000" w:fill="000000"/>
                <w:fitText w:val="118" w:id="-1300528640"/>
                <w14:textFill>
                  <w14:solidFill>
                    <w14:srgbClr w14:val="000000">
                      <w14:alpha w14:val="100000"/>
                    </w14:srgbClr>
                  </w14:solidFill>
                </w14:textFill>
              </w:rPr>
              <w:t>|</w:t>
            </w:r>
            <w:r w:rsidRPr="00987958">
              <w:rPr>
                <w:rFonts w:hint="eastAsia"/>
                <w:color w:val="000000"/>
                <w:spacing w:val="3"/>
                <w:w w:val="26"/>
                <w:shd w:val="solid" w:color="000000" w:fill="000000"/>
                <w:fitText w:val="118" w:id="-1300528640"/>
                <w14:textFill>
                  <w14:solidFill>
                    <w14:srgbClr w14:val="000000">
                      <w14:alpha w14:val="100000"/>
                    </w14:srgbClr>
                  </w14:solidFill>
                </w14:textFill>
              </w:rPr>
              <w:t xml:space="preserve">　</w:t>
            </w:r>
            <w:r w:rsidR="004D0E54" w:rsidRPr="002672BE">
              <w:rPr>
                <w:iCs/>
                <w:szCs w:val="20"/>
                <w:vertAlign w:val="superscript"/>
              </w:rPr>
              <w:t>1</w:t>
            </w:r>
          </w:p>
        </w:tc>
        <w:tc>
          <w:tcPr>
            <w:tcW w:w="428" w:type="pct"/>
            <w:vAlign w:val="center"/>
          </w:tcPr>
          <w:p w14:paraId="307D3AA2" w14:textId="3DEA244E" w:rsidR="00DF7AC4" w:rsidRPr="000C48F9" w:rsidRDefault="00987958" w:rsidP="009C3039">
            <w:pPr>
              <w:pStyle w:val="Tabletext"/>
              <w:keepNext/>
              <w:keepLines/>
              <w:jc w:val="center"/>
            </w:pPr>
            <w:r w:rsidRPr="00987958">
              <w:rPr>
                <w:color w:val="000000"/>
                <w:spacing w:val="41"/>
                <w:shd w:val="solid" w:color="000000" w:fill="000000"/>
                <w:fitText w:val="210" w:id="-1300528639"/>
                <w14:textFill>
                  <w14:solidFill>
                    <w14:srgbClr w14:val="000000">
                      <w14:alpha w14:val="100000"/>
                    </w14:srgbClr>
                  </w14:solidFill>
                </w14:textFill>
              </w:rPr>
              <w:t>||</w:t>
            </w:r>
            <w:r w:rsidRPr="00987958">
              <w:rPr>
                <w:color w:val="000000"/>
                <w:spacing w:val="1"/>
                <w:shd w:val="solid" w:color="000000" w:fill="000000"/>
                <w:fitText w:val="210" w:id="-1300528639"/>
                <w14:textFill>
                  <w14:solidFill>
                    <w14:srgbClr w14:val="000000">
                      <w14:alpha w14:val="100000"/>
                    </w14:srgbClr>
                  </w14:solidFill>
                </w14:textFill>
              </w:rPr>
              <w:t>|</w:t>
            </w:r>
            <w:r w:rsidR="00A611CC" w:rsidRPr="004D0E54">
              <w:rPr>
                <w:iCs/>
                <w:szCs w:val="20"/>
                <w:vertAlign w:val="superscript"/>
              </w:rPr>
              <w:t>1</w:t>
            </w:r>
          </w:p>
        </w:tc>
      </w:tr>
      <w:tr w:rsidR="00DF7AC4" w:rsidRPr="000C48F9" w14:paraId="141405E7" w14:textId="77777777" w:rsidTr="00174268">
        <w:tc>
          <w:tcPr>
            <w:tcW w:w="2184" w:type="pct"/>
          </w:tcPr>
          <w:p w14:paraId="464C3BB1" w14:textId="62846B92" w:rsidR="00DF7AC4" w:rsidRPr="000C48F9" w:rsidRDefault="00DF7AC4" w:rsidP="009C3039">
            <w:pPr>
              <w:pStyle w:val="Tabletext"/>
              <w:keepNext/>
              <w:keepLines/>
            </w:pPr>
            <w:r w:rsidRPr="000C48F9">
              <w:t>Estimated number of F/G patients on IVA</w:t>
            </w:r>
            <w:r w:rsidR="00677E86" w:rsidRPr="000C48F9">
              <w:rPr>
                <w:vertAlign w:val="superscript"/>
              </w:rPr>
              <w:t>b</w:t>
            </w:r>
          </w:p>
        </w:tc>
        <w:tc>
          <w:tcPr>
            <w:tcW w:w="448" w:type="pct"/>
            <w:vAlign w:val="center"/>
          </w:tcPr>
          <w:p w14:paraId="759ACF70" w14:textId="3093CE5F" w:rsidR="00DF7AC4" w:rsidRPr="000C48F9" w:rsidRDefault="00987958" w:rsidP="009C3039">
            <w:pPr>
              <w:pStyle w:val="Tabletext"/>
              <w:keepNext/>
              <w:keepLines/>
              <w:jc w:val="center"/>
            </w:pPr>
            <w:r w:rsidRPr="00987958">
              <w:rPr>
                <w:color w:val="000000"/>
                <w:spacing w:val="105"/>
                <w:shd w:val="solid" w:color="000000" w:fill="000000"/>
                <w:fitText w:val="191" w:id="-1300528638"/>
                <w14:textFill>
                  <w14:solidFill>
                    <w14:srgbClr w14:val="000000">
                      <w14:alpha w14:val="100000"/>
                    </w14:srgbClr>
                  </w14:solidFill>
                </w14:textFill>
              </w:rPr>
              <w:t>|</w:t>
            </w:r>
            <w:r w:rsidRPr="00987958">
              <w:rPr>
                <w:color w:val="000000"/>
                <w:spacing w:val="1"/>
                <w:shd w:val="solid" w:color="000000" w:fill="000000"/>
                <w:fitText w:val="191" w:id="-1300528638"/>
                <w14:textFill>
                  <w14:solidFill>
                    <w14:srgbClr w14:val="000000">
                      <w14:alpha w14:val="100000"/>
                    </w14:srgbClr>
                  </w14:solidFill>
                </w14:textFill>
              </w:rPr>
              <w:t>|</w:t>
            </w:r>
            <w:r w:rsidR="002672BE" w:rsidRPr="004D0E54">
              <w:rPr>
                <w:iCs/>
                <w:szCs w:val="20"/>
                <w:vertAlign w:val="superscript"/>
              </w:rPr>
              <w:t>1</w:t>
            </w:r>
          </w:p>
        </w:tc>
        <w:tc>
          <w:tcPr>
            <w:tcW w:w="449" w:type="pct"/>
            <w:vAlign w:val="center"/>
          </w:tcPr>
          <w:p w14:paraId="4F14E93B" w14:textId="525874F3" w:rsidR="00DF7AC4" w:rsidRPr="000C48F9" w:rsidRDefault="00987958" w:rsidP="009C3039">
            <w:pPr>
              <w:pStyle w:val="Tabletext"/>
              <w:keepNext/>
              <w:keepLines/>
              <w:jc w:val="center"/>
            </w:pPr>
            <w:r w:rsidRPr="00987958">
              <w:rPr>
                <w:color w:val="000000"/>
                <w:spacing w:val="105"/>
                <w:shd w:val="solid" w:color="000000" w:fill="000000"/>
                <w:fitText w:val="191" w:id="-1300528637"/>
                <w14:textFill>
                  <w14:solidFill>
                    <w14:srgbClr w14:val="000000">
                      <w14:alpha w14:val="100000"/>
                    </w14:srgbClr>
                  </w14:solidFill>
                </w14:textFill>
              </w:rPr>
              <w:t>|</w:t>
            </w:r>
            <w:r w:rsidRPr="00987958">
              <w:rPr>
                <w:color w:val="000000"/>
                <w:spacing w:val="1"/>
                <w:shd w:val="solid" w:color="000000" w:fill="000000"/>
                <w:fitText w:val="191" w:id="-1300528637"/>
                <w14:textFill>
                  <w14:solidFill>
                    <w14:srgbClr w14:val="000000">
                      <w14:alpha w14:val="100000"/>
                    </w14:srgbClr>
                  </w14:solidFill>
                </w14:textFill>
              </w:rPr>
              <w:t>|</w:t>
            </w:r>
            <w:r w:rsidR="002672BE" w:rsidRPr="004D0E54">
              <w:rPr>
                <w:iCs/>
                <w:szCs w:val="20"/>
                <w:vertAlign w:val="superscript"/>
              </w:rPr>
              <w:t>1</w:t>
            </w:r>
          </w:p>
        </w:tc>
        <w:tc>
          <w:tcPr>
            <w:tcW w:w="520" w:type="pct"/>
            <w:vAlign w:val="center"/>
          </w:tcPr>
          <w:p w14:paraId="70446BD9" w14:textId="23C05E30" w:rsidR="00DF7AC4" w:rsidRPr="000C48F9" w:rsidRDefault="00987958" w:rsidP="009C3039">
            <w:pPr>
              <w:pStyle w:val="Tabletext"/>
              <w:keepNext/>
              <w:keepLines/>
              <w:jc w:val="center"/>
            </w:pPr>
            <w:r w:rsidRPr="00987958">
              <w:rPr>
                <w:rFonts w:hint="eastAsia"/>
                <w:color w:val="000000"/>
                <w:w w:val="28"/>
                <w:shd w:val="solid" w:color="000000" w:fill="000000"/>
                <w:fitText w:val="127" w:id="-1300528636"/>
                <w14:textFill>
                  <w14:solidFill>
                    <w14:srgbClr w14:val="000000">
                      <w14:alpha w14:val="100000"/>
                    </w14:srgbClr>
                  </w14:solidFill>
                </w14:textFill>
              </w:rPr>
              <w:t xml:space="preserve">　</w:t>
            </w:r>
            <w:r w:rsidRPr="00987958">
              <w:rPr>
                <w:color w:val="000000"/>
                <w:w w:val="28"/>
                <w:shd w:val="solid" w:color="000000" w:fill="000000"/>
                <w:fitText w:val="127" w:id="-1300528636"/>
                <w14:textFill>
                  <w14:solidFill>
                    <w14:srgbClr w14:val="000000">
                      <w14:alpha w14:val="100000"/>
                    </w14:srgbClr>
                  </w14:solidFill>
                </w14:textFill>
              </w:rPr>
              <w:t>|</w:t>
            </w:r>
            <w:r w:rsidRPr="00987958">
              <w:rPr>
                <w:rFonts w:hint="eastAsia"/>
                <w:color w:val="000000"/>
                <w:spacing w:val="5"/>
                <w:w w:val="28"/>
                <w:shd w:val="solid" w:color="000000" w:fill="000000"/>
                <w:fitText w:val="127" w:id="-1300528636"/>
                <w14:textFill>
                  <w14:solidFill>
                    <w14:srgbClr w14:val="000000">
                      <w14:alpha w14:val="100000"/>
                    </w14:srgbClr>
                  </w14:solidFill>
                </w14:textFill>
              </w:rPr>
              <w:t xml:space="preserve">　</w:t>
            </w:r>
            <w:r w:rsidR="002672BE" w:rsidRPr="004D0E54">
              <w:rPr>
                <w:iCs/>
                <w:szCs w:val="20"/>
                <w:vertAlign w:val="superscript"/>
              </w:rPr>
              <w:t>1</w:t>
            </w:r>
          </w:p>
        </w:tc>
        <w:tc>
          <w:tcPr>
            <w:tcW w:w="448" w:type="pct"/>
            <w:vAlign w:val="center"/>
          </w:tcPr>
          <w:p w14:paraId="0BEA67DC" w14:textId="054AB083" w:rsidR="00DF7AC4"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5"/>
                <w14:textFill>
                  <w14:solidFill>
                    <w14:srgbClr w14:val="000000">
                      <w14:alpha w14:val="100000"/>
                    </w14:srgbClr>
                  </w14:solidFill>
                </w14:textFill>
              </w:rPr>
              <w:t>|</w:t>
            </w:r>
            <w:r w:rsidRPr="00987958">
              <w:rPr>
                <w:color w:val="000000"/>
                <w:spacing w:val="1"/>
                <w:shd w:val="solid" w:color="000000" w:fill="000000"/>
                <w:fitText w:val="191" w:id="-1300528635"/>
                <w14:textFill>
                  <w14:solidFill>
                    <w14:srgbClr w14:val="000000">
                      <w14:alpha w14:val="100000"/>
                    </w14:srgbClr>
                  </w14:solidFill>
                </w14:textFill>
              </w:rPr>
              <w:t>|</w:t>
            </w:r>
            <w:r w:rsidR="002672BE" w:rsidRPr="004D0E54">
              <w:rPr>
                <w:iCs/>
                <w:szCs w:val="20"/>
                <w:vertAlign w:val="superscript"/>
              </w:rPr>
              <w:t>1</w:t>
            </w:r>
          </w:p>
        </w:tc>
        <w:tc>
          <w:tcPr>
            <w:tcW w:w="523" w:type="pct"/>
            <w:vAlign w:val="center"/>
          </w:tcPr>
          <w:p w14:paraId="3A9F187F" w14:textId="4F3309DF" w:rsidR="00DF7AC4" w:rsidRPr="000C48F9" w:rsidRDefault="00987958" w:rsidP="009C3039">
            <w:pPr>
              <w:pStyle w:val="Tabletext"/>
              <w:keepNext/>
              <w:keepLines/>
              <w:jc w:val="center"/>
            </w:pPr>
            <w:r w:rsidRPr="00987958">
              <w:rPr>
                <w:rFonts w:hint="eastAsia"/>
                <w:color w:val="000000"/>
                <w:w w:val="26"/>
                <w:shd w:val="solid" w:color="000000" w:fill="000000"/>
                <w:fitText w:val="118" w:id="-1300528634"/>
                <w14:textFill>
                  <w14:solidFill>
                    <w14:srgbClr w14:val="000000">
                      <w14:alpha w14:val="100000"/>
                    </w14:srgbClr>
                  </w14:solidFill>
                </w14:textFill>
              </w:rPr>
              <w:t xml:space="preserve">　</w:t>
            </w:r>
            <w:r w:rsidRPr="00987958">
              <w:rPr>
                <w:color w:val="000000"/>
                <w:w w:val="26"/>
                <w:shd w:val="solid" w:color="000000" w:fill="000000"/>
                <w:fitText w:val="118" w:id="-1300528634"/>
                <w14:textFill>
                  <w14:solidFill>
                    <w14:srgbClr w14:val="000000">
                      <w14:alpha w14:val="100000"/>
                    </w14:srgbClr>
                  </w14:solidFill>
                </w14:textFill>
              </w:rPr>
              <w:t>|</w:t>
            </w:r>
            <w:r w:rsidRPr="00987958">
              <w:rPr>
                <w:rFonts w:hint="eastAsia"/>
                <w:color w:val="000000"/>
                <w:spacing w:val="3"/>
                <w:w w:val="26"/>
                <w:shd w:val="solid" w:color="000000" w:fill="000000"/>
                <w:fitText w:val="118" w:id="-1300528634"/>
                <w14:textFill>
                  <w14:solidFill>
                    <w14:srgbClr w14:val="000000">
                      <w14:alpha w14:val="100000"/>
                    </w14:srgbClr>
                  </w14:solidFill>
                </w14:textFill>
              </w:rPr>
              <w:t xml:space="preserve">　</w:t>
            </w:r>
            <w:r w:rsidR="002672BE" w:rsidRPr="004D0E54">
              <w:rPr>
                <w:iCs/>
                <w:szCs w:val="20"/>
                <w:vertAlign w:val="superscript"/>
              </w:rPr>
              <w:t>1</w:t>
            </w:r>
          </w:p>
        </w:tc>
        <w:tc>
          <w:tcPr>
            <w:tcW w:w="428" w:type="pct"/>
            <w:vAlign w:val="center"/>
          </w:tcPr>
          <w:p w14:paraId="047B951C" w14:textId="7C742DEF" w:rsidR="00DF7AC4" w:rsidRPr="000C48F9" w:rsidRDefault="00987958" w:rsidP="009C3039">
            <w:pPr>
              <w:pStyle w:val="Tabletext"/>
              <w:keepNext/>
              <w:keepLines/>
              <w:jc w:val="center"/>
            </w:pPr>
            <w:r w:rsidRPr="00987958">
              <w:rPr>
                <w:color w:val="000000"/>
                <w:spacing w:val="41"/>
                <w:shd w:val="solid" w:color="000000" w:fill="000000"/>
                <w:fitText w:val="210" w:id="-1300528633"/>
                <w14:textFill>
                  <w14:solidFill>
                    <w14:srgbClr w14:val="000000">
                      <w14:alpha w14:val="100000"/>
                    </w14:srgbClr>
                  </w14:solidFill>
                </w14:textFill>
              </w:rPr>
              <w:t>||</w:t>
            </w:r>
            <w:r w:rsidRPr="00987958">
              <w:rPr>
                <w:color w:val="000000"/>
                <w:spacing w:val="1"/>
                <w:shd w:val="solid" w:color="000000" w:fill="000000"/>
                <w:fitText w:val="210" w:id="-1300528633"/>
                <w14:textFill>
                  <w14:solidFill>
                    <w14:srgbClr w14:val="000000">
                      <w14:alpha w14:val="100000"/>
                    </w14:srgbClr>
                  </w14:solidFill>
                </w14:textFill>
              </w:rPr>
              <w:t>|</w:t>
            </w:r>
            <w:r w:rsidR="002672BE" w:rsidRPr="004D0E54">
              <w:rPr>
                <w:iCs/>
                <w:szCs w:val="20"/>
                <w:vertAlign w:val="superscript"/>
              </w:rPr>
              <w:t>1</w:t>
            </w:r>
          </w:p>
        </w:tc>
      </w:tr>
      <w:tr w:rsidR="00DF7AC4" w:rsidRPr="000C48F9" w14:paraId="0990D6DF" w14:textId="77777777" w:rsidTr="00174268">
        <w:tc>
          <w:tcPr>
            <w:tcW w:w="2184" w:type="pct"/>
          </w:tcPr>
          <w:p w14:paraId="5F332145" w14:textId="77777777" w:rsidR="00DF7AC4" w:rsidRPr="000C48F9" w:rsidRDefault="00DF7AC4" w:rsidP="009C3039">
            <w:pPr>
              <w:pStyle w:val="Tabletext"/>
              <w:keepNext/>
              <w:keepLines/>
              <w:ind w:left="176"/>
            </w:pPr>
            <w:r w:rsidRPr="000C48F9">
              <w:t>F/G patients on IVA switching to ELX/TEZ/IVA (100% switch)</w:t>
            </w:r>
          </w:p>
        </w:tc>
        <w:tc>
          <w:tcPr>
            <w:tcW w:w="448" w:type="pct"/>
            <w:vAlign w:val="center"/>
          </w:tcPr>
          <w:p w14:paraId="4790304E" w14:textId="4B573E94" w:rsidR="00DF7AC4" w:rsidRPr="000C48F9" w:rsidRDefault="00987958" w:rsidP="009C3039">
            <w:pPr>
              <w:pStyle w:val="Tabletext"/>
              <w:keepNext/>
              <w:keepLines/>
              <w:jc w:val="center"/>
            </w:pPr>
            <w:r w:rsidRPr="00987958">
              <w:rPr>
                <w:color w:val="000000"/>
                <w:spacing w:val="105"/>
                <w:shd w:val="solid" w:color="000000" w:fill="000000"/>
                <w:fitText w:val="191" w:id="-1300528632"/>
                <w14:textFill>
                  <w14:solidFill>
                    <w14:srgbClr w14:val="000000">
                      <w14:alpha w14:val="100000"/>
                    </w14:srgbClr>
                  </w14:solidFill>
                </w14:textFill>
              </w:rPr>
              <w:t>|</w:t>
            </w:r>
            <w:r w:rsidRPr="00987958">
              <w:rPr>
                <w:color w:val="000000"/>
                <w:spacing w:val="1"/>
                <w:shd w:val="solid" w:color="000000" w:fill="000000"/>
                <w:fitText w:val="191" w:id="-1300528632"/>
                <w14:textFill>
                  <w14:solidFill>
                    <w14:srgbClr w14:val="000000">
                      <w14:alpha w14:val="100000"/>
                    </w14:srgbClr>
                  </w14:solidFill>
                </w14:textFill>
              </w:rPr>
              <w:t>|</w:t>
            </w:r>
            <w:r w:rsidR="002672BE" w:rsidRPr="004D0E54">
              <w:rPr>
                <w:iCs/>
                <w:szCs w:val="20"/>
                <w:vertAlign w:val="superscript"/>
              </w:rPr>
              <w:t>1</w:t>
            </w:r>
          </w:p>
        </w:tc>
        <w:tc>
          <w:tcPr>
            <w:tcW w:w="449" w:type="pct"/>
            <w:vAlign w:val="center"/>
          </w:tcPr>
          <w:p w14:paraId="0199EAD2" w14:textId="1008CC13" w:rsidR="00DF7AC4" w:rsidRPr="000C48F9" w:rsidRDefault="00987958" w:rsidP="009C3039">
            <w:pPr>
              <w:pStyle w:val="Tabletext"/>
              <w:keepNext/>
              <w:keepLines/>
              <w:jc w:val="center"/>
            </w:pPr>
            <w:r w:rsidRPr="00987958">
              <w:rPr>
                <w:color w:val="000000"/>
                <w:spacing w:val="105"/>
                <w:shd w:val="solid" w:color="000000" w:fill="000000"/>
                <w:fitText w:val="191" w:id="-1300528631"/>
                <w14:textFill>
                  <w14:solidFill>
                    <w14:srgbClr w14:val="000000">
                      <w14:alpha w14:val="100000"/>
                    </w14:srgbClr>
                  </w14:solidFill>
                </w14:textFill>
              </w:rPr>
              <w:t>|</w:t>
            </w:r>
            <w:r w:rsidRPr="00987958">
              <w:rPr>
                <w:color w:val="000000"/>
                <w:spacing w:val="1"/>
                <w:shd w:val="solid" w:color="000000" w:fill="000000"/>
                <w:fitText w:val="191" w:id="-1300528631"/>
                <w14:textFill>
                  <w14:solidFill>
                    <w14:srgbClr w14:val="000000">
                      <w14:alpha w14:val="100000"/>
                    </w14:srgbClr>
                  </w14:solidFill>
                </w14:textFill>
              </w:rPr>
              <w:t>|</w:t>
            </w:r>
            <w:r w:rsidR="002672BE" w:rsidRPr="004D0E54">
              <w:rPr>
                <w:iCs/>
                <w:szCs w:val="20"/>
                <w:vertAlign w:val="superscript"/>
              </w:rPr>
              <w:t>1</w:t>
            </w:r>
          </w:p>
        </w:tc>
        <w:tc>
          <w:tcPr>
            <w:tcW w:w="520" w:type="pct"/>
            <w:vAlign w:val="center"/>
          </w:tcPr>
          <w:p w14:paraId="08D21C89" w14:textId="40D5F59A" w:rsidR="00DF7AC4" w:rsidRPr="000C48F9" w:rsidRDefault="00987958" w:rsidP="009C3039">
            <w:pPr>
              <w:pStyle w:val="Tabletext"/>
              <w:keepNext/>
              <w:keepLines/>
              <w:jc w:val="center"/>
            </w:pPr>
            <w:r w:rsidRPr="00987958">
              <w:rPr>
                <w:rFonts w:hint="eastAsia"/>
                <w:color w:val="000000"/>
                <w:w w:val="28"/>
                <w:shd w:val="solid" w:color="000000" w:fill="000000"/>
                <w:fitText w:val="127" w:id="-1300528630"/>
                <w14:textFill>
                  <w14:solidFill>
                    <w14:srgbClr w14:val="000000">
                      <w14:alpha w14:val="100000"/>
                    </w14:srgbClr>
                  </w14:solidFill>
                </w14:textFill>
              </w:rPr>
              <w:t xml:space="preserve">　</w:t>
            </w:r>
            <w:r w:rsidRPr="00987958">
              <w:rPr>
                <w:color w:val="000000"/>
                <w:w w:val="28"/>
                <w:shd w:val="solid" w:color="000000" w:fill="000000"/>
                <w:fitText w:val="127" w:id="-1300528630"/>
                <w14:textFill>
                  <w14:solidFill>
                    <w14:srgbClr w14:val="000000">
                      <w14:alpha w14:val="100000"/>
                    </w14:srgbClr>
                  </w14:solidFill>
                </w14:textFill>
              </w:rPr>
              <w:t>|</w:t>
            </w:r>
            <w:r w:rsidRPr="00987958">
              <w:rPr>
                <w:rFonts w:hint="eastAsia"/>
                <w:color w:val="000000"/>
                <w:spacing w:val="5"/>
                <w:w w:val="28"/>
                <w:shd w:val="solid" w:color="000000" w:fill="000000"/>
                <w:fitText w:val="127" w:id="-1300528630"/>
                <w14:textFill>
                  <w14:solidFill>
                    <w14:srgbClr w14:val="000000">
                      <w14:alpha w14:val="100000"/>
                    </w14:srgbClr>
                  </w14:solidFill>
                </w14:textFill>
              </w:rPr>
              <w:t xml:space="preserve">　</w:t>
            </w:r>
            <w:r w:rsidR="002672BE" w:rsidRPr="004D0E54">
              <w:rPr>
                <w:iCs/>
                <w:szCs w:val="20"/>
                <w:vertAlign w:val="superscript"/>
              </w:rPr>
              <w:t>1</w:t>
            </w:r>
          </w:p>
        </w:tc>
        <w:tc>
          <w:tcPr>
            <w:tcW w:w="448" w:type="pct"/>
            <w:vAlign w:val="center"/>
          </w:tcPr>
          <w:p w14:paraId="7F9D679E" w14:textId="461F5EBA" w:rsidR="00DF7AC4" w:rsidRPr="000C48F9" w:rsidRDefault="00987958" w:rsidP="009C3039">
            <w:pPr>
              <w:pStyle w:val="Tabletext"/>
              <w:keepNext/>
              <w:keepLines/>
              <w:jc w:val="center"/>
            </w:pPr>
            <w:r w:rsidRPr="00987958">
              <w:rPr>
                <w:color w:val="000000"/>
                <w:spacing w:val="105"/>
                <w:shd w:val="solid" w:color="000000" w:fill="000000"/>
                <w:fitText w:val="191" w:id="-1300528629"/>
                <w14:textFill>
                  <w14:solidFill>
                    <w14:srgbClr w14:val="000000">
                      <w14:alpha w14:val="100000"/>
                    </w14:srgbClr>
                  </w14:solidFill>
                </w14:textFill>
              </w:rPr>
              <w:t>|</w:t>
            </w:r>
            <w:r w:rsidRPr="00987958">
              <w:rPr>
                <w:color w:val="000000"/>
                <w:spacing w:val="1"/>
                <w:shd w:val="solid" w:color="000000" w:fill="000000"/>
                <w:fitText w:val="191" w:id="-1300528629"/>
                <w14:textFill>
                  <w14:solidFill>
                    <w14:srgbClr w14:val="000000">
                      <w14:alpha w14:val="100000"/>
                    </w14:srgbClr>
                  </w14:solidFill>
                </w14:textFill>
              </w:rPr>
              <w:t>|</w:t>
            </w:r>
            <w:r w:rsidR="002672BE" w:rsidRPr="004D0E54">
              <w:rPr>
                <w:iCs/>
                <w:szCs w:val="20"/>
                <w:vertAlign w:val="superscript"/>
              </w:rPr>
              <w:t>1</w:t>
            </w:r>
          </w:p>
        </w:tc>
        <w:tc>
          <w:tcPr>
            <w:tcW w:w="523" w:type="pct"/>
            <w:vAlign w:val="center"/>
          </w:tcPr>
          <w:p w14:paraId="549D186A" w14:textId="0D8169E0" w:rsidR="00DF7AC4" w:rsidRPr="000C48F9" w:rsidRDefault="00987958" w:rsidP="009C3039">
            <w:pPr>
              <w:pStyle w:val="Tabletext"/>
              <w:keepNext/>
              <w:keepLines/>
              <w:jc w:val="center"/>
            </w:pPr>
            <w:r w:rsidRPr="00987958">
              <w:rPr>
                <w:rFonts w:hint="eastAsia"/>
                <w:color w:val="000000"/>
                <w:w w:val="26"/>
                <w:shd w:val="solid" w:color="000000" w:fill="000000"/>
                <w:fitText w:val="118" w:id="-1300528628"/>
                <w14:textFill>
                  <w14:solidFill>
                    <w14:srgbClr w14:val="000000">
                      <w14:alpha w14:val="100000"/>
                    </w14:srgbClr>
                  </w14:solidFill>
                </w14:textFill>
              </w:rPr>
              <w:t xml:space="preserve">　</w:t>
            </w:r>
            <w:r w:rsidRPr="00987958">
              <w:rPr>
                <w:color w:val="000000"/>
                <w:w w:val="26"/>
                <w:shd w:val="solid" w:color="000000" w:fill="000000"/>
                <w:fitText w:val="118" w:id="-1300528628"/>
                <w14:textFill>
                  <w14:solidFill>
                    <w14:srgbClr w14:val="000000">
                      <w14:alpha w14:val="100000"/>
                    </w14:srgbClr>
                  </w14:solidFill>
                </w14:textFill>
              </w:rPr>
              <w:t>|</w:t>
            </w:r>
            <w:r w:rsidRPr="00987958">
              <w:rPr>
                <w:rFonts w:hint="eastAsia"/>
                <w:color w:val="000000"/>
                <w:spacing w:val="3"/>
                <w:w w:val="26"/>
                <w:shd w:val="solid" w:color="000000" w:fill="000000"/>
                <w:fitText w:val="118" w:id="-1300528628"/>
                <w14:textFill>
                  <w14:solidFill>
                    <w14:srgbClr w14:val="000000">
                      <w14:alpha w14:val="100000"/>
                    </w14:srgbClr>
                  </w14:solidFill>
                </w14:textFill>
              </w:rPr>
              <w:t xml:space="preserve">　</w:t>
            </w:r>
            <w:r w:rsidR="002672BE" w:rsidRPr="004D0E54">
              <w:rPr>
                <w:iCs/>
                <w:szCs w:val="20"/>
                <w:vertAlign w:val="superscript"/>
              </w:rPr>
              <w:t>1</w:t>
            </w:r>
          </w:p>
        </w:tc>
        <w:tc>
          <w:tcPr>
            <w:tcW w:w="428" w:type="pct"/>
            <w:vAlign w:val="center"/>
          </w:tcPr>
          <w:p w14:paraId="29BE6E0E" w14:textId="3EC5D529" w:rsidR="00DF7AC4" w:rsidRPr="000C48F9" w:rsidRDefault="00987958" w:rsidP="009C3039">
            <w:pPr>
              <w:pStyle w:val="Tabletext"/>
              <w:keepNext/>
              <w:keepLines/>
              <w:jc w:val="center"/>
            </w:pPr>
            <w:r w:rsidRPr="00987958">
              <w:rPr>
                <w:color w:val="000000"/>
                <w:spacing w:val="41"/>
                <w:shd w:val="solid" w:color="000000" w:fill="000000"/>
                <w:fitText w:val="210" w:id="-1300528627"/>
                <w14:textFill>
                  <w14:solidFill>
                    <w14:srgbClr w14:val="000000">
                      <w14:alpha w14:val="100000"/>
                    </w14:srgbClr>
                  </w14:solidFill>
                </w14:textFill>
              </w:rPr>
              <w:t>||</w:t>
            </w:r>
            <w:r w:rsidRPr="00987958">
              <w:rPr>
                <w:color w:val="000000"/>
                <w:spacing w:val="1"/>
                <w:shd w:val="solid" w:color="000000" w:fill="000000"/>
                <w:fitText w:val="210" w:id="-1300528627"/>
                <w14:textFill>
                  <w14:solidFill>
                    <w14:srgbClr w14:val="000000">
                      <w14:alpha w14:val="100000"/>
                    </w14:srgbClr>
                  </w14:solidFill>
                </w14:textFill>
              </w:rPr>
              <w:t>|</w:t>
            </w:r>
            <w:r w:rsidR="002672BE" w:rsidRPr="004D0E54">
              <w:rPr>
                <w:iCs/>
                <w:szCs w:val="20"/>
                <w:vertAlign w:val="superscript"/>
              </w:rPr>
              <w:t>1</w:t>
            </w:r>
          </w:p>
        </w:tc>
      </w:tr>
      <w:tr w:rsidR="00DF7AC4" w:rsidRPr="000C48F9" w14:paraId="7B499B6F" w14:textId="77777777" w:rsidTr="00174268">
        <w:tc>
          <w:tcPr>
            <w:tcW w:w="2184" w:type="pct"/>
          </w:tcPr>
          <w:p w14:paraId="148FDCF1" w14:textId="77777777" w:rsidR="00DF7AC4" w:rsidRPr="000C48F9" w:rsidRDefault="00DF7AC4" w:rsidP="009C3039">
            <w:pPr>
              <w:pStyle w:val="Tabletext"/>
              <w:keepNext/>
              <w:keepLines/>
            </w:pPr>
            <w:r w:rsidRPr="000C48F9">
              <w:t xml:space="preserve">Total treated population </w:t>
            </w:r>
          </w:p>
        </w:tc>
        <w:tc>
          <w:tcPr>
            <w:tcW w:w="448" w:type="pct"/>
            <w:vAlign w:val="bottom"/>
          </w:tcPr>
          <w:p w14:paraId="6E1BB84E" w14:textId="348CFA48" w:rsidR="00DF7AC4" w:rsidRPr="000C48F9" w:rsidRDefault="00987958" w:rsidP="009C3039">
            <w:pPr>
              <w:pStyle w:val="Tabletext"/>
              <w:keepNext/>
              <w:keepLines/>
              <w:jc w:val="center"/>
              <w:rPr>
                <w:szCs w:val="20"/>
              </w:rPr>
            </w:pPr>
            <w:r w:rsidRPr="00987958">
              <w:rPr>
                <w:rFonts w:cs="Calibri"/>
                <w:color w:val="000000"/>
                <w:spacing w:val="105"/>
                <w:szCs w:val="20"/>
                <w:shd w:val="solid" w:color="000000" w:fill="000000"/>
                <w:fitText w:val="191" w:id="-1300528626"/>
                <w14:textFill>
                  <w14:solidFill>
                    <w14:srgbClr w14:val="000000">
                      <w14:alpha w14:val="100000"/>
                    </w14:srgbClr>
                  </w14:solidFill>
                </w14:textFill>
              </w:rPr>
              <w:t>|</w:t>
            </w:r>
            <w:r w:rsidRPr="00987958">
              <w:rPr>
                <w:rFonts w:cs="Calibri"/>
                <w:color w:val="000000"/>
                <w:spacing w:val="1"/>
                <w:szCs w:val="20"/>
                <w:shd w:val="solid" w:color="000000" w:fill="000000"/>
                <w:fitText w:val="191" w:id="-1300528626"/>
                <w14:textFill>
                  <w14:solidFill>
                    <w14:srgbClr w14:val="000000">
                      <w14:alpha w14:val="100000"/>
                    </w14:srgbClr>
                  </w14:solidFill>
                </w14:textFill>
              </w:rPr>
              <w:t>|</w:t>
            </w:r>
            <w:r w:rsidR="002672BE" w:rsidRPr="004D0E54">
              <w:rPr>
                <w:iCs/>
                <w:szCs w:val="20"/>
                <w:vertAlign w:val="superscript"/>
              </w:rPr>
              <w:t>1</w:t>
            </w:r>
          </w:p>
        </w:tc>
        <w:tc>
          <w:tcPr>
            <w:tcW w:w="449" w:type="pct"/>
            <w:vAlign w:val="bottom"/>
          </w:tcPr>
          <w:p w14:paraId="387A6F5D" w14:textId="592ED0B4" w:rsidR="00DF7AC4" w:rsidRPr="000C48F9" w:rsidRDefault="00987958" w:rsidP="009C3039">
            <w:pPr>
              <w:pStyle w:val="Tabletext"/>
              <w:keepNext/>
              <w:keepLines/>
              <w:jc w:val="center"/>
              <w:rPr>
                <w:szCs w:val="20"/>
              </w:rPr>
            </w:pPr>
            <w:r w:rsidRPr="00987958">
              <w:rPr>
                <w:rFonts w:cs="Calibri"/>
                <w:color w:val="000000"/>
                <w:spacing w:val="105"/>
                <w:szCs w:val="20"/>
                <w:shd w:val="solid" w:color="000000" w:fill="000000"/>
                <w:fitText w:val="191" w:id="-1300528625"/>
                <w14:textFill>
                  <w14:solidFill>
                    <w14:srgbClr w14:val="000000">
                      <w14:alpha w14:val="100000"/>
                    </w14:srgbClr>
                  </w14:solidFill>
                </w14:textFill>
              </w:rPr>
              <w:t>|</w:t>
            </w:r>
            <w:r w:rsidRPr="00987958">
              <w:rPr>
                <w:rFonts w:cs="Calibri"/>
                <w:color w:val="000000"/>
                <w:spacing w:val="1"/>
                <w:szCs w:val="20"/>
                <w:shd w:val="solid" w:color="000000" w:fill="000000"/>
                <w:fitText w:val="191" w:id="-1300528625"/>
                <w14:textFill>
                  <w14:solidFill>
                    <w14:srgbClr w14:val="000000">
                      <w14:alpha w14:val="100000"/>
                    </w14:srgbClr>
                  </w14:solidFill>
                </w14:textFill>
              </w:rPr>
              <w:t>|</w:t>
            </w:r>
            <w:r w:rsidR="002672BE" w:rsidRPr="004D0E54">
              <w:rPr>
                <w:iCs/>
                <w:szCs w:val="20"/>
                <w:vertAlign w:val="superscript"/>
              </w:rPr>
              <w:t>1</w:t>
            </w:r>
          </w:p>
        </w:tc>
        <w:tc>
          <w:tcPr>
            <w:tcW w:w="520" w:type="pct"/>
            <w:vAlign w:val="bottom"/>
          </w:tcPr>
          <w:p w14:paraId="4C0F1355" w14:textId="1D3A3AFA" w:rsidR="00DF7AC4" w:rsidRPr="000C48F9" w:rsidRDefault="00987958" w:rsidP="009C3039">
            <w:pPr>
              <w:pStyle w:val="Tabletext"/>
              <w:keepNext/>
              <w:keepLines/>
              <w:jc w:val="center"/>
              <w:rPr>
                <w:szCs w:val="20"/>
              </w:rPr>
            </w:pPr>
            <w:r w:rsidRPr="00987958">
              <w:rPr>
                <w:rFonts w:cs="Calibri" w:hint="eastAsia"/>
                <w:color w:val="000000"/>
                <w:w w:val="28"/>
                <w:szCs w:val="20"/>
                <w:shd w:val="solid" w:color="000000" w:fill="000000"/>
                <w:fitText w:val="127" w:id="-1300528624"/>
                <w14:textFill>
                  <w14:solidFill>
                    <w14:srgbClr w14:val="000000">
                      <w14:alpha w14:val="100000"/>
                    </w14:srgbClr>
                  </w14:solidFill>
                </w14:textFill>
              </w:rPr>
              <w:t xml:space="preserve">　</w:t>
            </w:r>
            <w:r w:rsidRPr="00987958">
              <w:rPr>
                <w:rFonts w:cs="Calibri"/>
                <w:color w:val="000000"/>
                <w:w w:val="28"/>
                <w:szCs w:val="20"/>
                <w:shd w:val="solid" w:color="000000" w:fill="000000"/>
                <w:fitText w:val="127" w:id="-1300528624"/>
                <w14:textFill>
                  <w14:solidFill>
                    <w14:srgbClr w14:val="000000">
                      <w14:alpha w14:val="100000"/>
                    </w14:srgbClr>
                  </w14:solidFill>
                </w14:textFill>
              </w:rPr>
              <w:t>|</w:t>
            </w:r>
            <w:r w:rsidRPr="00987958">
              <w:rPr>
                <w:rFonts w:cs="Calibri" w:hint="eastAsia"/>
                <w:color w:val="000000"/>
                <w:spacing w:val="5"/>
                <w:w w:val="28"/>
                <w:szCs w:val="20"/>
                <w:shd w:val="solid" w:color="000000" w:fill="000000"/>
                <w:fitText w:val="127" w:id="-1300528624"/>
                <w14:textFill>
                  <w14:solidFill>
                    <w14:srgbClr w14:val="000000">
                      <w14:alpha w14:val="100000"/>
                    </w14:srgbClr>
                  </w14:solidFill>
                </w14:textFill>
              </w:rPr>
              <w:t xml:space="preserve">　</w:t>
            </w:r>
            <w:r w:rsidR="002672BE" w:rsidRPr="004D0E54">
              <w:rPr>
                <w:iCs/>
                <w:szCs w:val="20"/>
                <w:vertAlign w:val="superscript"/>
              </w:rPr>
              <w:t>1</w:t>
            </w:r>
          </w:p>
        </w:tc>
        <w:tc>
          <w:tcPr>
            <w:tcW w:w="448" w:type="pct"/>
            <w:vAlign w:val="bottom"/>
          </w:tcPr>
          <w:p w14:paraId="796587D4" w14:textId="285BB39D" w:rsidR="00DF7AC4" w:rsidRPr="000C48F9" w:rsidRDefault="00987958" w:rsidP="009C3039">
            <w:pPr>
              <w:pStyle w:val="Tabletext"/>
              <w:keepNext/>
              <w:keepLines/>
              <w:jc w:val="center"/>
              <w:rPr>
                <w:szCs w:val="20"/>
              </w:rPr>
            </w:pPr>
            <w:r w:rsidRPr="00987958">
              <w:rPr>
                <w:rFonts w:cs="Calibri"/>
                <w:color w:val="000000"/>
                <w:spacing w:val="105"/>
                <w:szCs w:val="20"/>
                <w:shd w:val="solid" w:color="000000" w:fill="000000"/>
                <w:fitText w:val="191" w:id="-1300528640"/>
                <w14:textFill>
                  <w14:solidFill>
                    <w14:srgbClr w14:val="000000">
                      <w14:alpha w14:val="100000"/>
                    </w14:srgbClr>
                  </w14:solidFill>
                </w14:textFill>
              </w:rPr>
              <w:t>|</w:t>
            </w:r>
            <w:r w:rsidRPr="00987958">
              <w:rPr>
                <w:rFonts w:cs="Calibri"/>
                <w:color w:val="000000"/>
                <w:spacing w:val="1"/>
                <w:szCs w:val="20"/>
                <w:shd w:val="solid" w:color="000000" w:fill="000000"/>
                <w:fitText w:val="191" w:id="-1300528640"/>
                <w14:textFill>
                  <w14:solidFill>
                    <w14:srgbClr w14:val="000000">
                      <w14:alpha w14:val="100000"/>
                    </w14:srgbClr>
                  </w14:solidFill>
                </w14:textFill>
              </w:rPr>
              <w:t>|</w:t>
            </w:r>
            <w:r w:rsidR="002672BE" w:rsidRPr="004D0E54">
              <w:rPr>
                <w:iCs/>
                <w:szCs w:val="20"/>
                <w:vertAlign w:val="superscript"/>
              </w:rPr>
              <w:t>1</w:t>
            </w:r>
          </w:p>
        </w:tc>
        <w:tc>
          <w:tcPr>
            <w:tcW w:w="523" w:type="pct"/>
            <w:vAlign w:val="bottom"/>
          </w:tcPr>
          <w:p w14:paraId="4718DC0E" w14:textId="22BB4F8D" w:rsidR="00DF7AC4" w:rsidRPr="000C48F9" w:rsidRDefault="00987958" w:rsidP="009C3039">
            <w:pPr>
              <w:pStyle w:val="Tabletext"/>
              <w:keepNext/>
              <w:keepLines/>
              <w:jc w:val="center"/>
              <w:rPr>
                <w:szCs w:val="20"/>
              </w:rPr>
            </w:pPr>
            <w:r w:rsidRPr="00987958">
              <w:rPr>
                <w:rFonts w:cs="Calibri" w:hint="eastAsia"/>
                <w:color w:val="000000"/>
                <w:w w:val="26"/>
                <w:szCs w:val="20"/>
                <w:shd w:val="solid" w:color="000000" w:fill="000000"/>
                <w:fitText w:val="118" w:id="-1300528639"/>
                <w14:textFill>
                  <w14:solidFill>
                    <w14:srgbClr w14:val="000000">
                      <w14:alpha w14:val="100000"/>
                    </w14:srgbClr>
                  </w14:solidFill>
                </w14:textFill>
              </w:rPr>
              <w:t xml:space="preserve">　</w:t>
            </w:r>
            <w:r w:rsidRPr="00987958">
              <w:rPr>
                <w:rFonts w:cs="Calibri"/>
                <w:color w:val="000000"/>
                <w:w w:val="26"/>
                <w:szCs w:val="20"/>
                <w:shd w:val="solid" w:color="000000" w:fill="000000"/>
                <w:fitText w:val="118" w:id="-1300528639"/>
                <w14:textFill>
                  <w14:solidFill>
                    <w14:srgbClr w14:val="000000">
                      <w14:alpha w14:val="100000"/>
                    </w14:srgbClr>
                  </w14:solidFill>
                </w14:textFill>
              </w:rPr>
              <w:t>|</w:t>
            </w:r>
            <w:r w:rsidRPr="00987958">
              <w:rPr>
                <w:rFonts w:cs="Calibri" w:hint="eastAsia"/>
                <w:color w:val="000000"/>
                <w:spacing w:val="3"/>
                <w:w w:val="26"/>
                <w:szCs w:val="20"/>
                <w:shd w:val="solid" w:color="000000" w:fill="000000"/>
                <w:fitText w:val="118" w:id="-1300528639"/>
                <w14:textFill>
                  <w14:solidFill>
                    <w14:srgbClr w14:val="000000">
                      <w14:alpha w14:val="100000"/>
                    </w14:srgbClr>
                  </w14:solidFill>
                </w14:textFill>
              </w:rPr>
              <w:t xml:space="preserve">　</w:t>
            </w:r>
            <w:r w:rsidR="002672BE" w:rsidRPr="004D0E54">
              <w:rPr>
                <w:iCs/>
                <w:szCs w:val="20"/>
                <w:vertAlign w:val="superscript"/>
              </w:rPr>
              <w:t>1</w:t>
            </w:r>
          </w:p>
        </w:tc>
        <w:tc>
          <w:tcPr>
            <w:tcW w:w="428" w:type="pct"/>
            <w:vAlign w:val="bottom"/>
          </w:tcPr>
          <w:p w14:paraId="1FBEF1A9" w14:textId="7269081B" w:rsidR="00DF7AC4" w:rsidRPr="000C48F9" w:rsidRDefault="00987958" w:rsidP="009C3039">
            <w:pPr>
              <w:pStyle w:val="Tabletext"/>
              <w:keepNext/>
              <w:keepLines/>
              <w:jc w:val="center"/>
              <w:rPr>
                <w:szCs w:val="20"/>
              </w:rPr>
            </w:pPr>
            <w:r w:rsidRPr="00987958">
              <w:rPr>
                <w:rFonts w:cs="Calibri"/>
                <w:color w:val="000000"/>
                <w:spacing w:val="41"/>
                <w:szCs w:val="20"/>
                <w:shd w:val="solid" w:color="000000" w:fill="000000"/>
                <w:fitText w:val="210" w:id="-1300528638"/>
                <w14:textFill>
                  <w14:solidFill>
                    <w14:srgbClr w14:val="000000">
                      <w14:alpha w14:val="100000"/>
                    </w14:srgbClr>
                  </w14:solidFill>
                </w14:textFill>
              </w:rPr>
              <w:t>||</w:t>
            </w:r>
            <w:r w:rsidRPr="00987958">
              <w:rPr>
                <w:rFonts w:cs="Calibri"/>
                <w:color w:val="000000"/>
                <w:spacing w:val="1"/>
                <w:szCs w:val="20"/>
                <w:shd w:val="solid" w:color="000000" w:fill="000000"/>
                <w:fitText w:val="210" w:id="-1300528638"/>
                <w14:textFill>
                  <w14:solidFill>
                    <w14:srgbClr w14:val="000000">
                      <w14:alpha w14:val="100000"/>
                    </w14:srgbClr>
                  </w14:solidFill>
                </w14:textFill>
              </w:rPr>
              <w:t>|</w:t>
            </w:r>
            <w:r w:rsidR="002672BE" w:rsidRPr="004D0E54">
              <w:rPr>
                <w:iCs/>
                <w:szCs w:val="20"/>
                <w:vertAlign w:val="superscript"/>
              </w:rPr>
              <w:t>1</w:t>
            </w:r>
          </w:p>
        </w:tc>
      </w:tr>
      <w:tr w:rsidR="00DF7AC4" w:rsidRPr="000C48F9" w14:paraId="24EE10FF" w14:textId="77777777" w:rsidTr="00174268">
        <w:tc>
          <w:tcPr>
            <w:tcW w:w="5000" w:type="pct"/>
            <w:gridSpan w:val="7"/>
          </w:tcPr>
          <w:p w14:paraId="51DCF69F" w14:textId="77777777" w:rsidR="00DF7AC4" w:rsidRPr="000C48F9" w:rsidRDefault="00DF7AC4" w:rsidP="009C3039">
            <w:pPr>
              <w:pStyle w:val="Tabletext"/>
              <w:keepNext/>
              <w:keepLines/>
            </w:pPr>
            <w:r w:rsidRPr="000C48F9">
              <w:rPr>
                <w:b/>
              </w:rPr>
              <w:t>Patients not currently eligible for PBS-reimbursed CFTR modulators (using epidemiological approach)</w:t>
            </w:r>
          </w:p>
        </w:tc>
      </w:tr>
      <w:tr w:rsidR="0067132C" w:rsidRPr="000C48F9" w14:paraId="0A34A1B9" w14:textId="77777777" w:rsidTr="00174268">
        <w:tc>
          <w:tcPr>
            <w:tcW w:w="2184" w:type="pct"/>
          </w:tcPr>
          <w:p w14:paraId="5C0EDB4E" w14:textId="70C91B1C" w:rsidR="0067132C" w:rsidRPr="000C48F9" w:rsidRDefault="0067132C" w:rsidP="009C3039">
            <w:pPr>
              <w:pStyle w:val="Tabletext"/>
              <w:keepNext/>
              <w:keepLines/>
            </w:pPr>
            <w:r w:rsidRPr="000C48F9">
              <w:t xml:space="preserve">F/MF prevalent population </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10022EA" w14:textId="427941B8" w:rsidR="0067132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7"/>
                <w14:textFill>
                  <w14:solidFill>
                    <w14:srgbClr w14:val="000000">
                      <w14:alpha w14:val="100000"/>
                    </w14:srgbClr>
                  </w14:solidFill>
                </w14:textFill>
              </w:rPr>
              <w:t>|</w:t>
            </w:r>
            <w:r w:rsidRPr="00987958">
              <w:rPr>
                <w:color w:val="000000"/>
                <w:spacing w:val="1"/>
                <w:shd w:val="solid" w:color="000000" w:fill="000000"/>
                <w:fitText w:val="191" w:id="-1300528637"/>
                <w14:textFill>
                  <w14:solidFill>
                    <w14:srgbClr w14:val="000000">
                      <w14:alpha w14:val="100000"/>
                    </w14:srgbClr>
                  </w14:solidFill>
                </w14:textFill>
              </w:rPr>
              <w:t>|</w:t>
            </w:r>
            <w:r w:rsidR="002672BE" w:rsidRPr="004D0E54">
              <w:rPr>
                <w:iCs/>
                <w:szCs w:val="20"/>
                <w:vertAlign w:val="superscript"/>
              </w:rPr>
              <w:t>1</w:t>
            </w:r>
          </w:p>
        </w:tc>
        <w:tc>
          <w:tcPr>
            <w:tcW w:w="449" w:type="pct"/>
            <w:tcBorders>
              <w:top w:val="single" w:sz="4" w:space="0" w:color="auto"/>
              <w:left w:val="nil"/>
              <w:bottom w:val="single" w:sz="4" w:space="0" w:color="auto"/>
              <w:right w:val="single" w:sz="4" w:space="0" w:color="auto"/>
            </w:tcBorders>
            <w:shd w:val="clear" w:color="auto" w:fill="auto"/>
            <w:vAlign w:val="center"/>
          </w:tcPr>
          <w:p w14:paraId="3D485435" w14:textId="73A7F337" w:rsidR="0067132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6"/>
                <w14:textFill>
                  <w14:solidFill>
                    <w14:srgbClr w14:val="000000">
                      <w14:alpha w14:val="100000"/>
                    </w14:srgbClr>
                  </w14:solidFill>
                </w14:textFill>
              </w:rPr>
              <w:t>|</w:t>
            </w:r>
            <w:r w:rsidRPr="00987958">
              <w:rPr>
                <w:color w:val="000000"/>
                <w:spacing w:val="1"/>
                <w:shd w:val="solid" w:color="000000" w:fill="000000"/>
                <w:fitText w:val="191" w:id="-1300528636"/>
                <w14:textFill>
                  <w14:solidFill>
                    <w14:srgbClr w14:val="000000">
                      <w14:alpha w14:val="100000"/>
                    </w14:srgbClr>
                  </w14:solidFill>
                </w14:textFill>
              </w:rPr>
              <w:t>|</w:t>
            </w:r>
            <w:r w:rsidR="002672BE" w:rsidRPr="004D0E54">
              <w:rPr>
                <w:iCs/>
                <w:szCs w:val="20"/>
                <w:vertAlign w:val="superscript"/>
              </w:rPr>
              <w:t>1</w:t>
            </w:r>
          </w:p>
        </w:tc>
        <w:tc>
          <w:tcPr>
            <w:tcW w:w="520" w:type="pct"/>
            <w:tcBorders>
              <w:top w:val="single" w:sz="4" w:space="0" w:color="auto"/>
              <w:left w:val="nil"/>
              <w:bottom w:val="single" w:sz="4" w:space="0" w:color="auto"/>
              <w:right w:val="single" w:sz="4" w:space="0" w:color="auto"/>
            </w:tcBorders>
            <w:shd w:val="clear" w:color="auto" w:fill="auto"/>
            <w:vAlign w:val="center"/>
          </w:tcPr>
          <w:p w14:paraId="1AD34FFF" w14:textId="3D813CD8" w:rsidR="0067132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635"/>
                <w14:textFill>
                  <w14:solidFill>
                    <w14:srgbClr w14:val="000000">
                      <w14:alpha w14:val="100000"/>
                    </w14:srgbClr>
                  </w14:solidFill>
                </w14:textFill>
              </w:rPr>
              <w:t xml:space="preserve">　</w:t>
            </w:r>
            <w:r w:rsidRPr="00987958">
              <w:rPr>
                <w:color w:val="000000"/>
                <w:w w:val="28"/>
                <w:shd w:val="solid" w:color="000000" w:fill="000000"/>
                <w:fitText w:val="128" w:id="-1300528635"/>
                <w14:textFill>
                  <w14:solidFill>
                    <w14:srgbClr w14:val="000000">
                      <w14:alpha w14:val="100000"/>
                    </w14:srgbClr>
                  </w14:solidFill>
                </w14:textFill>
              </w:rPr>
              <w:t>|</w:t>
            </w:r>
            <w:r w:rsidRPr="00987958">
              <w:rPr>
                <w:rFonts w:hint="eastAsia"/>
                <w:color w:val="000000"/>
                <w:spacing w:val="6"/>
                <w:w w:val="28"/>
                <w:shd w:val="solid" w:color="000000" w:fill="000000"/>
                <w:fitText w:val="128" w:id="-1300528635"/>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single" w:sz="4" w:space="0" w:color="auto"/>
              <w:left w:val="nil"/>
              <w:bottom w:val="single" w:sz="4" w:space="0" w:color="auto"/>
              <w:right w:val="single" w:sz="4" w:space="0" w:color="auto"/>
            </w:tcBorders>
            <w:shd w:val="clear" w:color="auto" w:fill="auto"/>
            <w:vAlign w:val="center"/>
          </w:tcPr>
          <w:p w14:paraId="37B09BD7" w14:textId="32C3D9A9" w:rsidR="0067132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4"/>
                <w14:textFill>
                  <w14:solidFill>
                    <w14:srgbClr w14:val="000000">
                      <w14:alpha w14:val="100000"/>
                    </w14:srgbClr>
                  </w14:solidFill>
                </w14:textFill>
              </w:rPr>
              <w:t>|</w:t>
            </w:r>
            <w:r w:rsidRPr="00987958">
              <w:rPr>
                <w:color w:val="000000"/>
                <w:spacing w:val="1"/>
                <w:shd w:val="solid" w:color="000000" w:fill="000000"/>
                <w:fitText w:val="191" w:id="-1300528634"/>
                <w14:textFill>
                  <w14:solidFill>
                    <w14:srgbClr w14:val="000000">
                      <w14:alpha w14:val="100000"/>
                    </w14:srgbClr>
                  </w14:solidFill>
                </w14:textFill>
              </w:rPr>
              <w:t>|</w:t>
            </w:r>
            <w:r w:rsidR="002672BE" w:rsidRPr="004D0E54">
              <w:rPr>
                <w:iCs/>
                <w:szCs w:val="20"/>
                <w:vertAlign w:val="superscript"/>
              </w:rPr>
              <w:t>1</w:t>
            </w:r>
          </w:p>
        </w:tc>
        <w:tc>
          <w:tcPr>
            <w:tcW w:w="523" w:type="pct"/>
            <w:tcBorders>
              <w:top w:val="single" w:sz="4" w:space="0" w:color="auto"/>
              <w:left w:val="nil"/>
              <w:bottom w:val="single" w:sz="4" w:space="0" w:color="auto"/>
              <w:right w:val="single" w:sz="4" w:space="0" w:color="auto"/>
            </w:tcBorders>
            <w:shd w:val="clear" w:color="auto" w:fill="auto"/>
            <w:vAlign w:val="center"/>
          </w:tcPr>
          <w:p w14:paraId="0D575569" w14:textId="307381B1" w:rsidR="0067132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33"/>
                <w14:textFill>
                  <w14:solidFill>
                    <w14:srgbClr w14:val="000000">
                      <w14:alpha w14:val="100000"/>
                    </w14:srgbClr>
                  </w14:solidFill>
                </w14:textFill>
              </w:rPr>
              <w:t xml:space="preserve">　</w:t>
            </w:r>
            <w:r w:rsidRPr="00987958">
              <w:rPr>
                <w:color w:val="000000"/>
                <w:w w:val="26"/>
                <w:shd w:val="solid" w:color="000000" w:fill="000000"/>
                <w:fitText w:val="118" w:id="-1300528633"/>
                <w14:textFill>
                  <w14:solidFill>
                    <w14:srgbClr w14:val="000000">
                      <w14:alpha w14:val="100000"/>
                    </w14:srgbClr>
                  </w14:solidFill>
                </w14:textFill>
              </w:rPr>
              <w:t>|</w:t>
            </w:r>
            <w:r w:rsidRPr="00987958">
              <w:rPr>
                <w:rFonts w:hint="eastAsia"/>
                <w:color w:val="000000"/>
                <w:spacing w:val="3"/>
                <w:w w:val="26"/>
                <w:shd w:val="solid" w:color="000000" w:fill="000000"/>
                <w:fitText w:val="118" w:id="-1300528633"/>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single" w:sz="4" w:space="0" w:color="auto"/>
              <w:left w:val="nil"/>
              <w:bottom w:val="single" w:sz="4" w:space="0" w:color="auto"/>
              <w:right w:val="single" w:sz="4" w:space="0" w:color="auto"/>
            </w:tcBorders>
            <w:shd w:val="clear" w:color="auto" w:fill="auto"/>
            <w:vAlign w:val="center"/>
          </w:tcPr>
          <w:p w14:paraId="6A744980" w14:textId="1BBABC32" w:rsidR="0067132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632"/>
                <w14:textFill>
                  <w14:solidFill>
                    <w14:srgbClr w14:val="000000">
                      <w14:alpha w14:val="100000"/>
                    </w14:srgbClr>
                  </w14:solidFill>
                </w14:textFill>
              </w:rPr>
              <w:t>|</w:t>
            </w:r>
            <w:r w:rsidRPr="00987958">
              <w:rPr>
                <w:color w:val="000000"/>
                <w:spacing w:val="1"/>
                <w:shd w:val="solid" w:color="000000" w:fill="000000"/>
                <w:fitText w:val="209" w:id="-1300528632"/>
                <w14:textFill>
                  <w14:solidFill>
                    <w14:srgbClr w14:val="000000">
                      <w14:alpha w14:val="100000"/>
                    </w14:srgbClr>
                  </w14:solidFill>
                </w14:textFill>
              </w:rPr>
              <w:t>|</w:t>
            </w:r>
            <w:r w:rsidR="002672BE" w:rsidRPr="004D0E54">
              <w:rPr>
                <w:iCs/>
                <w:szCs w:val="20"/>
                <w:vertAlign w:val="superscript"/>
              </w:rPr>
              <w:t>1</w:t>
            </w:r>
          </w:p>
        </w:tc>
      </w:tr>
      <w:tr w:rsidR="00DF7AC4" w:rsidRPr="000C48F9" w14:paraId="3F4F1905" w14:textId="77777777" w:rsidTr="00174268">
        <w:tc>
          <w:tcPr>
            <w:tcW w:w="2184" w:type="pct"/>
          </w:tcPr>
          <w:p w14:paraId="202CF11A" w14:textId="75138836" w:rsidR="00DF7AC4" w:rsidRPr="000C48F9" w:rsidRDefault="00DF7AC4" w:rsidP="009C3039">
            <w:pPr>
              <w:pStyle w:val="Tabletext"/>
              <w:keepNext/>
              <w:keepLines/>
              <w:ind w:left="176"/>
            </w:pPr>
            <w:r w:rsidRPr="000C48F9">
              <w:t>Treated F/MF patients (98% uptake</w:t>
            </w:r>
            <w:r w:rsidR="0075126C" w:rsidRPr="000C48F9">
              <w:t xml:space="preserve"> and </w:t>
            </w:r>
            <w:r w:rsidRPr="000C48F9">
              <w:t>applying discontinuation rates</w:t>
            </w:r>
            <w:r w:rsidR="000A560C" w:rsidRPr="000A560C">
              <w:rPr>
                <w:vertAlign w:val="superscript"/>
              </w:rPr>
              <w:t>c</w:t>
            </w:r>
            <w:r w:rsidR="009E050C" w:rsidRPr="000C48F9">
              <w:t>)</w:t>
            </w:r>
          </w:p>
        </w:tc>
        <w:tc>
          <w:tcPr>
            <w:tcW w:w="448" w:type="pct"/>
          </w:tcPr>
          <w:p w14:paraId="772A4371" w14:textId="3F3E7828" w:rsidR="00DF7AC4"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1"/>
                <w14:textFill>
                  <w14:solidFill>
                    <w14:srgbClr w14:val="000000">
                      <w14:alpha w14:val="100000"/>
                    </w14:srgbClr>
                  </w14:solidFill>
                </w14:textFill>
              </w:rPr>
              <w:t>|</w:t>
            </w:r>
            <w:r w:rsidRPr="00987958">
              <w:rPr>
                <w:color w:val="000000"/>
                <w:spacing w:val="1"/>
                <w:shd w:val="solid" w:color="000000" w:fill="000000"/>
                <w:fitText w:val="191" w:id="-1300528631"/>
                <w14:textFill>
                  <w14:solidFill>
                    <w14:srgbClr w14:val="000000">
                      <w14:alpha w14:val="100000"/>
                    </w14:srgbClr>
                  </w14:solidFill>
                </w14:textFill>
              </w:rPr>
              <w:t>|</w:t>
            </w:r>
            <w:r w:rsidR="002672BE" w:rsidRPr="004D0E54">
              <w:rPr>
                <w:iCs/>
                <w:szCs w:val="20"/>
                <w:vertAlign w:val="superscript"/>
              </w:rPr>
              <w:t>1</w:t>
            </w:r>
          </w:p>
        </w:tc>
        <w:tc>
          <w:tcPr>
            <w:tcW w:w="449" w:type="pct"/>
          </w:tcPr>
          <w:p w14:paraId="2B6A2D74" w14:textId="0DAE5B53" w:rsidR="00DF7AC4"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0"/>
                <w14:textFill>
                  <w14:solidFill>
                    <w14:srgbClr w14:val="000000">
                      <w14:alpha w14:val="100000"/>
                    </w14:srgbClr>
                  </w14:solidFill>
                </w14:textFill>
              </w:rPr>
              <w:t>|</w:t>
            </w:r>
            <w:r w:rsidRPr="00987958">
              <w:rPr>
                <w:color w:val="000000"/>
                <w:spacing w:val="1"/>
                <w:shd w:val="solid" w:color="000000" w:fill="000000"/>
                <w:fitText w:val="191" w:id="-1300528630"/>
                <w14:textFill>
                  <w14:solidFill>
                    <w14:srgbClr w14:val="000000">
                      <w14:alpha w14:val="100000"/>
                    </w14:srgbClr>
                  </w14:solidFill>
                </w14:textFill>
              </w:rPr>
              <w:t>|</w:t>
            </w:r>
            <w:r w:rsidR="002672BE" w:rsidRPr="004D0E54">
              <w:rPr>
                <w:iCs/>
                <w:szCs w:val="20"/>
                <w:vertAlign w:val="superscript"/>
              </w:rPr>
              <w:t>1</w:t>
            </w:r>
          </w:p>
        </w:tc>
        <w:tc>
          <w:tcPr>
            <w:tcW w:w="520" w:type="pct"/>
          </w:tcPr>
          <w:p w14:paraId="235E8818" w14:textId="06997EC4" w:rsidR="00DF7AC4"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7" w:id="-1300528629"/>
                <w14:textFill>
                  <w14:solidFill>
                    <w14:srgbClr w14:val="000000">
                      <w14:alpha w14:val="100000"/>
                    </w14:srgbClr>
                  </w14:solidFill>
                </w14:textFill>
              </w:rPr>
              <w:t xml:space="preserve">　</w:t>
            </w:r>
            <w:r w:rsidRPr="00987958">
              <w:rPr>
                <w:color w:val="000000"/>
                <w:w w:val="28"/>
                <w:shd w:val="solid" w:color="000000" w:fill="000000"/>
                <w:fitText w:val="127" w:id="-1300528629"/>
                <w14:textFill>
                  <w14:solidFill>
                    <w14:srgbClr w14:val="000000">
                      <w14:alpha w14:val="100000"/>
                    </w14:srgbClr>
                  </w14:solidFill>
                </w14:textFill>
              </w:rPr>
              <w:t>|</w:t>
            </w:r>
            <w:r w:rsidRPr="00987958">
              <w:rPr>
                <w:rFonts w:hint="eastAsia"/>
                <w:color w:val="000000"/>
                <w:spacing w:val="5"/>
                <w:w w:val="28"/>
                <w:shd w:val="solid" w:color="000000" w:fill="000000"/>
                <w:fitText w:val="127" w:id="-1300528629"/>
                <w14:textFill>
                  <w14:solidFill>
                    <w14:srgbClr w14:val="000000">
                      <w14:alpha w14:val="100000"/>
                    </w14:srgbClr>
                  </w14:solidFill>
                </w14:textFill>
              </w:rPr>
              <w:t xml:space="preserve">　</w:t>
            </w:r>
            <w:r w:rsidR="002672BE" w:rsidRPr="004D0E54">
              <w:rPr>
                <w:iCs/>
                <w:szCs w:val="20"/>
                <w:vertAlign w:val="superscript"/>
              </w:rPr>
              <w:t>1</w:t>
            </w:r>
          </w:p>
        </w:tc>
        <w:tc>
          <w:tcPr>
            <w:tcW w:w="448" w:type="pct"/>
          </w:tcPr>
          <w:p w14:paraId="7C97C919" w14:textId="78C78823" w:rsidR="00DF7AC4"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8"/>
                <w14:textFill>
                  <w14:solidFill>
                    <w14:srgbClr w14:val="000000">
                      <w14:alpha w14:val="100000"/>
                    </w14:srgbClr>
                  </w14:solidFill>
                </w14:textFill>
              </w:rPr>
              <w:t>|</w:t>
            </w:r>
            <w:r w:rsidRPr="00987958">
              <w:rPr>
                <w:color w:val="000000"/>
                <w:spacing w:val="1"/>
                <w:shd w:val="solid" w:color="000000" w:fill="000000"/>
                <w:fitText w:val="191" w:id="-1300528628"/>
                <w14:textFill>
                  <w14:solidFill>
                    <w14:srgbClr w14:val="000000">
                      <w14:alpha w14:val="100000"/>
                    </w14:srgbClr>
                  </w14:solidFill>
                </w14:textFill>
              </w:rPr>
              <w:t>|</w:t>
            </w:r>
            <w:r w:rsidR="002672BE" w:rsidRPr="004D0E54">
              <w:rPr>
                <w:iCs/>
                <w:szCs w:val="20"/>
                <w:vertAlign w:val="superscript"/>
              </w:rPr>
              <w:t>1</w:t>
            </w:r>
          </w:p>
        </w:tc>
        <w:tc>
          <w:tcPr>
            <w:tcW w:w="523" w:type="pct"/>
          </w:tcPr>
          <w:p w14:paraId="660AAFC1" w14:textId="0511ED20" w:rsidR="00DF7AC4"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27"/>
                <w14:textFill>
                  <w14:solidFill>
                    <w14:srgbClr w14:val="000000">
                      <w14:alpha w14:val="100000"/>
                    </w14:srgbClr>
                  </w14:solidFill>
                </w14:textFill>
              </w:rPr>
              <w:t xml:space="preserve">　</w:t>
            </w:r>
            <w:r w:rsidRPr="00987958">
              <w:rPr>
                <w:color w:val="000000"/>
                <w:w w:val="26"/>
                <w:shd w:val="solid" w:color="000000" w:fill="000000"/>
                <w:fitText w:val="118" w:id="-1300528627"/>
                <w14:textFill>
                  <w14:solidFill>
                    <w14:srgbClr w14:val="000000">
                      <w14:alpha w14:val="100000"/>
                    </w14:srgbClr>
                  </w14:solidFill>
                </w14:textFill>
              </w:rPr>
              <w:t>|</w:t>
            </w:r>
            <w:r w:rsidRPr="00987958">
              <w:rPr>
                <w:rFonts w:hint="eastAsia"/>
                <w:color w:val="000000"/>
                <w:spacing w:val="3"/>
                <w:w w:val="26"/>
                <w:shd w:val="solid" w:color="000000" w:fill="000000"/>
                <w:fitText w:val="118" w:id="-1300528627"/>
                <w14:textFill>
                  <w14:solidFill>
                    <w14:srgbClr w14:val="000000">
                      <w14:alpha w14:val="100000"/>
                    </w14:srgbClr>
                  </w14:solidFill>
                </w14:textFill>
              </w:rPr>
              <w:t xml:space="preserve">　</w:t>
            </w:r>
            <w:r w:rsidR="002672BE" w:rsidRPr="004D0E54">
              <w:rPr>
                <w:iCs/>
                <w:szCs w:val="20"/>
                <w:vertAlign w:val="superscript"/>
              </w:rPr>
              <w:t>1</w:t>
            </w:r>
          </w:p>
        </w:tc>
        <w:tc>
          <w:tcPr>
            <w:tcW w:w="428" w:type="pct"/>
          </w:tcPr>
          <w:p w14:paraId="430559B4" w14:textId="09A08BF7" w:rsidR="00DF7AC4" w:rsidRPr="002672BE" w:rsidRDefault="00987958" w:rsidP="009C3039">
            <w:pPr>
              <w:pStyle w:val="Tabletext"/>
              <w:keepNext/>
              <w:keepLines/>
              <w:jc w:val="center"/>
              <w:rPr>
                <w:highlight w:val="darkGray"/>
              </w:rPr>
            </w:pPr>
            <w:r w:rsidRPr="00987958">
              <w:rPr>
                <w:color w:val="000000"/>
                <w:spacing w:val="41"/>
                <w:shd w:val="solid" w:color="000000" w:fill="000000"/>
                <w:fitText w:val="210" w:id="-1300528626"/>
                <w14:textFill>
                  <w14:solidFill>
                    <w14:srgbClr w14:val="000000">
                      <w14:alpha w14:val="100000"/>
                    </w14:srgbClr>
                  </w14:solidFill>
                </w14:textFill>
              </w:rPr>
              <w:t>||</w:t>
            </w:r>
            <w:r w:rsidRPr="00987958">
              <w:rPr>
                <w:color w:val="000000"/>
                <w:spacing w:val="1"/>
                <w:shd w:val="solid" w:color="000000" w:fill="000000"/>
                <w:fitText w:val="210" w:id="-1300528626"/>
                <w14:textFill>
                  <w14:solidFill>
                    <w14:srgbClr w14:val="000000">
                      <w14:alpha w14:val="100000"/>
                    </w14:srgbClr>
                  </w14:solidFill>
                </w14:textFill>
              </w:rPr>
              <w:t>|</w:t>
            </w:r>
            <w:r w:rsidR="002672BE" w:rsidRPr="004D0E54">
              <w:rPr>
                <w:iCs/>
                <w:szCs w:val="20"/>
                <w:vertAlign w:val="superscript"/>
              </w:rPr>
              <w:t>1</w:t>
            </w:r>
          </w:p>
        </w:tc>
      </w:tr>
      <w:tr w:rsidR="009E050C" w:rsidRPr="000C48F9" w14:paraId="589DA0A5"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587FAB5B" w14:textId="77777777" w:rsidR="009E050C" w:rsidRPr="000C48F9" w:rsidRDefault="009E050C" w:rsidP="009C3039">
            <w:pPr>
              <w:pStyle w:val="Tabletext"/>
              <w:keepNext/>
              <w:keepLines/>
            </w:pPr>
            <w:r w:rsidRPr="000C48F9">
              <w:t>F/RF population</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4DDBA65" w14:textId="02FC2D42"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5"/>
                <w14:textFill>
                  <w14:solidFill>
                    <w14:srgbClr w14:val="000000">
                      <w14:alpha w14:val="100000"/>
                    </w14:srgbClr>
                  </w14:solidFill>
                </w14:textFill>
              </w:rPr>
              <w:t>|</w:t>
            </w:r>
            <w:r w:rsidRPr="00987958">
              <w:rPr>
                <w:color w:val="000000"/>
                <w:spacing w:val="1"/>
                <w:shd w:val="solid" w:color="000000" w:fill="000000"/>
                <w:fitText w:val="191" w:id="-1300528625"/>
                <w14:textFill>
                  <w14:solidFill>
                    <w14:srgbClr w14:val="000000">
                      <w14:alpha w14:val="100000"/>
                    </w14:srgbClr>
                  </w14:solidFill>
                </w14:textFill>
              </w:rPr>
              <w:t>|</w:t>
            </w:r>
            <w:r w:rsidR="002672BE" w:rsidRPr="004D0E54">
              <w:rPr>
                <w:iCs/>
                <w:szCs w:val="20"/>
                <w:vertAlign w:val="superscript"/>
              </w:rPr>
              <w:t>1</w:t>
            </w:r>
          </w:p>
        </w:tc>
        <w:tc>
          <w:tcPr>
            <w:tcW w:w="449" w:type="pct"/>
            <w:tcBorders>
              <w:top w:val="single" w:sz="4" w:space="0" w:color="auto"/>
              <w:left w:val="nil"/>
              <w:bottom w:val="single" w:sz="4" w:space="0" w:color="auto"/>
              <w:right w:val="single" w:sz="4" w:space="0" w:color="auto"/>
            </w:tcBorders>
            <w:shd w:val="clear" w:color="auto" w:fill="auto"/>
            <w:vAlign w:val="center"/>
          </w:tcPr>
          <w:p w14:paraId="39448397" w14:textId="70942978"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4"/>
                <w14:textFill>
                  <w14:solidFill>
                    <w14:srgbClr w14:val="000000">
                      <w14:alpha w14:val="100000"/>
                    </w14:srgbClr>
                  </w14:solidFill>
                </w14:textFill>
              </w:rPr>
              <w:t>|</w:t>
            </w:r>
            <w:r w:rsidRPr="00987958">
              <w:rPr>
                <w:color w:val="000000"/>
                <w:spacing w:val="1"/>
                <w:shd w:val="solid" w:color="000000" w:fill="000000"/>
                <w:fitText w:val="191" w:id="-1300528624"/>
                <w14:textFill>
                  <w14:solidFill>
                    <w14:srgbClr w14:val="000000">
                      <w14:alpha w14:val="100000"/>
                    </w14:srgbClr>
                  </w14:solidFill>
                </w14:textFill>
              </w:rPr>
              <w:t>|</w:t>
            </w:r>
            <w:r w:rsidR="002672BE" w:rsidRPr="004D0E54">
              <w:rPr>
                <w:iCs/>
                <w:szCs w:val="20"/>
                <w:vertAlign w:val="superscript"/>
              </w:rPr>
              <w:t>1</w:t>
            </w:r>
          </w:p>
        </w:tc>
        <w:tc>
          <w:tcPr>
            <w:tcW w:w="520" w:type="pct"/>
            <w:tcBorders>
              <w:top w:val="single" w:sz="4" w:space="0" w:color="auto"/>
              <w:left w:val="nil"/>
              <w:bottom w:val="single" w:sz="4" w:space="0" w:color="auto"/>
              <w:right w:val="single" w:sz="4" w:space="0" w:color="auto"/>
            </w:tcBorders>
            <w:shd w:val="clear" w:color="auto" w:fill="auto"/>
            <w:vAlign w:val="center"/>
          </w:tcPr>
          <w:p w14:paraId="14791BF6" w14:textId="4A096229"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640"/>
                <w14:textFill>
                  <w14:solidFill>
                    <w14:srgbClr w14:val="000000">
                      <w14:alpha w14:val="100000"/>
                    </w14:srgbClr>
                  </w14:solidFill>
                </w14:textFill>
              </w:rPr>
              <w:t xml:space="preserve">　</w:t>
            </w:r>
            <w:r w:rsidRPr="00987958">
              <w:rPr>
                <w:color w:val="000000"/>
                <w:w w:val="28"/>
                <w:shd w:val="solid" w:color="000000" w:fill="000000"/>
                <w:fitText w:val="128" w:id="-1300528640"/>
                <w14:textFill>
                  <w14:solidFill>
                    <w14:srgbClr w14:val="000000">
                      <w14:alpha w14:val="100000"/>
                    </w14:srgbClr>
                  </w14:solidFill>
                </w14:textFill>
              </w:rPr>
              <w:t>|</w:t>
            </w:r>
            <w:r w:rsidRPr="00987958">
              <w:rPr>
                <w:rFonts w:hint="eastAsia"/>
                <w:color w:val="000000"/>
                <w:spacing w:val="6"/>
                <w:w w:val="28"/>
                <w:shd w:val="solid" w:color="000000" w:fill="000000"/>
                <w:fitText w:val="128" w:id="-1300528640"/>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single" w:sz="4" w:space="0" w:color="auto"/>
              <w:left w:val="nil"/>
              <w:bottom w:val="single" w:sz="4" w:space="0" w:color="auto"/>
              <w:right w:val="single" w:sz="4" w:space="0" w:color="auto"/>
            </w:tcBorders>
            <w:shd w:val="clear" w:color="auto" w:fill="auto"/>
            <w:vAlign w:val="center"/>
          </w:tcPr>
          <w:p w14:paraId="0532799F" w14:textId="006531F4"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9"/>
                <w14:textFill>
                  <w14:solidFill>
                    <w14:srgbClr w14:val="000000">
                      <w14:alpha w14:val="100000"/>
                    </w14:srgbClr>
                  </w14:solidFill>
                </w14:textFill>
              </w:rPr>
              <w:t>|</w:t>
            </w:r>
            <w:r w:rsidRPr="00987958">
              <w:rPr>
                <w:color w:val="000000"/>
                <w:spacing w:val="1"/>
                <w:shd w:val="solid" w:color="000000" w:fill="000000"/>
                <w:fitText w:val="191" w:id="-1300528639"/>
                <w14:textFill>
                  <w14:solidFill>
                    <w14:srgbClr w14:val="000000">
                      <w14:alpha w14:val="100000"/>
                    </w14:srgbClr>
                  </w14:solidFill>
                </w14:textFill>
              </w:rPr>
              <w:t>|</w:t>
            </w:r>
            <w:r w:rsidR="002672BE" w:rsidRPr="004D0E54">
              <w:rPr>
                <w:iCs/>
                <w:szCs w:val="20"/>
                <w:vertAlign w:val="superscript"/>
              </w:rPr>
              <w:t>1</w:t>
            </w:r>
          </w:p>
        </w:tc>
        <w:tc>
          <w:tcPr>
            <w:tcW w:w="523" w:type="pct"/>
            <w:tcBorders>
              <w:top w:val="single" w:sz="4" w:space="0" w:color="auto"/>
              <w:left w:val="nil"/>
              <w:bottom w:val="single" w:sz="4" w:space="0" w:color="auto"/>
              <w:right w:val="single" w:sz="4" w:space="0" w:color="auto"/>
            </w:tcBorders>
            <w:shd w:val="clear" w:color="auto" w:fill="auto"/>
            <w:vAlign w:val="center"/>
          </w:tcPr>
          <w:p w14:paraId="7C7086A6" w14:textId="5296493E"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38"/>
                <w14:textFill>
                  <w14:solidFill>
                    <w14:srgbClr w14:val="000000">
                      <w14:alpha w14:val="100000"/>
                    </w14:srgbClr>
                  </w14:solidFill>
                </w14:textFill>
              </w:rPr>
              <w:t xml:space="preserve">　</w:t>
            </w:r>
            <w:r w:rsidRPr="00987958">
              <w:rPr>
                <w:color w:val="000000"/>
                <w:w w:val="26"/>
                <w:shd w:val="solid" w:color="000000" w:fill="000000"/>
                <w:fitText w:val="118" w:id="-1300528638"/>
                <w14:textFill>
                  <w14:solidFill>
                    <w14:srgbClr w14:val="000000">
                      <w14:alpha w14:val="100000"/>
                    </w14:srgbClr>
                  </w14:solidFill>
                </w14:textFill>
              </w:rPr>
              <w:t>|</w:t>
            </w:r>
            <w:r w:rsidRPr="00987958">
              <w:rPr>
                <w:rFonts w:hint="eastAsia"/>
                <w:color w:val="000000"/>
                <w:spacing w:val="3"/>
                <w:w w:val="26"/>
                <w:shd w:val="solid" w:color="000000" w:fill="000000"/>
                <w:fitText w:val="118" w:id="-1300528638"/>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single" w:sz="4" w:space="0" w:color="auto"/>
              <w:left w:val="nil"/>
              <w:bottom w:val="single" w:sz="4" w:space="0" w:color="auto"/>
              <w:right w:val="single" w:sz="4" w:space="0" w:color="auto"/>
            </w:tcBorders>
            <w:shd w:val="clear" w:color="auto" w:fill="auto"/>
            <w:vAlign w:val="center"/>
          </w:tcPr>
          <w:p w14:paraId="03EA8FDC" w14:textId="438C1A94"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637"/>
                <w14:textFill>
                  <w14:solidFill>
                    <w14:srgbClr w14:val="000000">
                      <w14:alpha w14:val="100000"/>
                    </w14:srgbClr>
                  </w14:solidFill>
                </w14:textFill>
              </w:rPr>
              <w:t>|</w:t>
            </w:r>
            <w:r w:rsidRPr="00987958">
              <w:rPr>
                <w:color w:val="000000"/>
                <w:spacing w:val="1"/>
                <w:shd w:val="solid" w:color="000000" w:fill="000000"/>
                <w:fitText w:val="209" w:id="-1300528637"/>
                <w14:textFill>
                  <w14:solidFill>
                    <w14:srgbClr w14:val="000000">
                      <w14:alpha w14:val="100000"/>
                    </w14:srgbClr>
                  </w14:solidFill>
                </w14:textFill>
              </w:rPr>
              <w:t>|</w:t>
            </w:r>
            <w:r w:rsidR="002672BE" w:rsidRPr="004D0E54">
              <w:rPr>
                <w:iCs/>
                <w:szCs w:val="20"/>
                <w:vertAlign w:val="superscript"/>
              </w:rPr>
              <w:t>1</w:t>
            </w:r>
          </w:p>
        </w:tc>
      </w:tr>
      <w:tr w:rsidR="009E050C" w:rsidRPr="000C48F9" w14:paraId="14660A1D"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5FE1A1AE" w14:textId="6D2C4F52" w:rsidR="009E050C" w:rsidRPr="000C48F9" w:rsidRDefault="009E050C" w:rsidP="009C3039">
            <w:pPr>
              <w:pStyle w:val="Tabletext"/>
              <w:keepNext/>
              <w:keepLines/>
              <w:ind w:left="176"/>
            </w:pPr>
            <w:r w:rsidRPr="000C48F9">
              <w:t>Treated F/RF patients (80% uptake</w:t>
            </w:r>
            <w:r w:rsidR="0075126C" w:rsidRPr="000C48F9">
              <w:t xml:space="preserve"> and </w:t>
            </w:r>
            <w:r w:rsidRPr="000C48F9">
              <w:t xml:space="preserve">applying discontinuation </w:t>
            </w:r>
            <w:r w:rsidR="00715DB8" w:rsidRPr="000C48F9">
              <w:t>rates</w:t>
            </w:r>
            <w:r w:rsidR="00715DB8" w:rsidRPr="000C48F9">
              <w:rPr>
                <w:vertAlign w:val="superscript"/>
              </w:rPr>
              <w:t>c</w:t>
            </w:r>
            <w:r w:rsidRPr="000C48F9">
              <w:rPr>
                <w:vertAlign w:val="superscript"/>
              </w:rPr>
              <w:t>)</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6E0469AC" w14:textId="11F80890"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6"/>
                <w14:textFill>
                  <w14:solidFill>
                    <w14:srgbClr w14:val="000000">
                      <w14:alpha w14:val="100000"/>
                    </w14:srgbClr>
                  </w14:solidFill>
                </w14:textFill>
              </w:rPr>
              <w:t>|</w:t>
            </w:r>
            <w:r w:rsidRPr="00987958">
              <w:rPr>
                <w:color w:val="000000"/>
                <w:spacing w:val="1"/>
                <w:shd w:val="solid" w:color="000000" w:fill="000000"/>
                <w:fitText w:val="191" w:id="-1300528636"/>
                <w14:textFill>
                  <w14:solidFill>
                    <w14:srgbClr w14:val="000000">
                      <w14:alpha w14:val="100000"/>
                    </w14:srgbClr>
                  </w14:solidFill>
                </w14:textFill>
              </w:rPr>
              <w:t>|</w:t>
            </w:r>
            <w:r w:rsidR="002672BE" w:rsidRPr="004D0E54">
              <w:rPr>
                <w:iCs/>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tcPr>
          <w:p w14:paraId="3A56E70B" w14:textId="7779A48B"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5"/>
                <w14:textFill>
                  <w14:solidFill>
                    <w14:srgbClr w14:val="000000">
                      <w14:alpha w14:val="100000"/>
                    </w14:srgbClr>
                  </w14:solidFill>
                </w14:textFill>
              </w:rPr>
              <w:t>|</w:t>
            </w:r>
            <w:r w:rsidRPr="00987958">
              <w:rPr>
                <w:color w:val="000000"/>
                <w:spacing w:val="1"/>
                <w:shd w:val="solid" w:color="000000" w:fill="000000"/>
                <w:fitText w:val="191" w:id="-1300528635"/>
                <w14:textFill>
                  <w14:solidFill>
                    <w14:srgbClr w14:val="000000">
                      <w14:alpha w14:val="100000"/>
                    </w14:srgbClr>
                  </w14:solidFill>
                </w14:textFill>
              </w:rPr>
              <w:t>|</w:t>
            </w:r>
            <w:r w:rsidR="002672BE" w:rsidRPr="004D0E54">
              <w:rPr>
                <w:iCs/>
                <w:szCs w:val="20"/>
                <w:vertAlign w:val="superscript"/>
              </w:rPr>
              <w:t>1</w:t>
            </w:r>
          </w:p>
        </w:tc>
        <w:tc>
          <w:tcPr>
            <w:tcW w:w="520" w:type="pct"/>
            <w:tcBorders>
              <w:top w:val="nil"/>
              <w:left w:val="nil"/>
              <w:bottom w:val="single" w:sz="4" w:space="0" w:color="auto"/>
              <w:right w:val="single" w:sz="4" w:space="0" w:color="auto"/>
            </w:tcBorders>
            <w:shd w:val="clear" w:color="auto" w:fill="FFFFFF" w:themeFill="background1"/>
          </w:tcPr>
          <w:p w14:paraId="32EA58B4" w14:textId="0293089A"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634"/>
                <w14:textFill>
                  <w14:solidFill>
                    <w14:srgbClr w14:val="000000">
                      <w14:alpha w14:val="100000"/>
                    </w14:srgbClr>
                  </w14:solidFill>
                </w14:textFill>
              </w:rPr>
              <w:t xml:space="preserve">　</w:t>
            </w:r>
            <w:r w:rsidRPr="00987958">
              <w:rPr>
                <w:color w:val="000000"/>
                <w:w w:val="28"/>
                <w:shd w:val="solid" w:color="000000" w:fill="000000"/>
                <w:fitText w:val="128" w:id="-1300528634"/>
                <w14:textFill>
                  <w14:solidFill>
                    <w14:srgbClr w14:val="000000">
                      <w14:alpha w14:val="100000"/>
                    </w14:srgbClr>
                  </w14:solidFill>
                </w14:textFill>
              </w:rPr>
              <w:t>|</w:t>
            </w:r>
            <w:r w:rsidRPr="00987958">
              <w:rPr>
                <w:rFonts w:hint="eastAsia"/>
                <w:color w:val="000000"/>
                <w:spacing w:val="6"/>
                <w:w w:val="28"/>
                <w:shd w:val="solid" w:color="000000" w:fill="000000"/>
                <w:fitText w:val="128" w:id="-1300528634"/>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nil"/>
              <w:left w:val="nil"/>
              <w:bottom w:val="single" w:sz="4" w:space="0" w:color="auto"/>
              <w:right w:val="single" w:sz="4" w:space="0" w:color="auto"/>
            </w:tcBorders>
            <w:shd w:val="clear" w:color="auto" w:fill="FFFFFF" w:themeFill="background1"/>
          </w:tcPr>
          <w:p w14:paraId="6359C4B6" w14:textId="265BAEE5"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3"/>
                <w14:textFill>
                  <w14:solidFill>
                    <w14:srgbClr w14:val="000000">
                      <w14:alpha w14:val="100000"/>
                    </w14:srgbClr>
                  </w14:solidFill>
                </w14:textFill>
              </w:rPr>
              <w:t>|</w:t>
            </w:r>
            <w:r w:rsidRPr="00987958">
              <w:rPr>
                <w:color w:val="000000"/>
                <w:spacing w:val="1"/>
                <w:shd w:val="solid" w:color="000000" w:fill="000000"/>
                <w:fitText w:val="191" w:id="-1300528633"/>
                <w14:textFill>
                  <w14:solidFill>
                    <w14:srgbClr w14:val="000000">
                      <w14:alpha w14:val="100000"/>
                    </w14:srgbClr>
                  </w14:solidFill>
                </w14:textFill>
              </w:rPr>
              <w:t>|</w:t>
            </w:r>
            <w:r w:rsidR="002672BE" w:rsidRPr="004D0E54">
              <w:rPr>
                <w:iCs/>
                <w:szCs w:val="20"/>
                <w:vertAlign w:val="superscript"/>
              </w:rPr>
              <w:t>1</w:t>
            </w:r>
          </w:p>
        </w:tc>
        <w:tc>
          <w:tcPr>
            <w:tcW w:w="523" w:type="pct"/>
            <w:tcBorders>
              <w:top w:val="nil"/>
              <w:left w:val="nil"/>
              <w:bottom w:val="single" w:sz="4" w:space="0" w:color="auto"/>
              <w:right w:val="single" w:sz="4" w:space="0" w:color="auto"/>
            </w:tcBorders>
            <w:shd w:val="clear" w:color="auto" w:fill="FFFFFF" w:themeFill="background1"/>
          </w:tcPr>
          <w:p w14:paraId="05DC535C" w14:textId="165ECA70"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32"/>
                <w14:textFill>
                  <w14:solidFill>
                    <w14:srgbClr w14:val="000000">
                      <w14:alpha w14:val="100000"/>
                    </w14:srgbClr>
                  </w14:solidFill>
                </w14:textFill>
              </w:rPr>
              <w:t xml:space="preserve">　</w:t>
            </w:r>
            <w:r w:rsidRPr="00987958">
              <w:rPr>
                <w:color w:val="000000"/>
                <w:w w:val="26"/>
                <w:shd w:val="solid" w:color="000000" w:fill="000000"/>
                <w:fitText w:val="118" w:id="-1300528632"/>
                <w14:textFill>
                  <w14:solidFill>
                    <w14:srgbClr w14:val="000000">
                      <w14:alpha w14:val="100000"/>
                    </w14:srgbClr>
                  </w14:solidFill>
                </w14:textFill>
              </w:rPr>
              <w:t>|</w:t>
            </w:r>
            <w:r w:rsidRPr="00987958">
              <w:rPr>
                <w:rFonts w:hint="eastAsia"/>
                <w:color w:val="000000"/>
                <w:spacing w:val="3"/>
                <w:w w:val="26"/>
                <w:shd w:val="solid" w:color="000000" w:fill="000000"/>
                <w:fitText w:val="118" w:id="-1300528632"/>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nil"/>
              <w:left w:val="nil"/>
              <w:bottom w:val="single" w:sz="4" w:space="0" w:color="auto"/>
              <w:right w:val="single" w:sz="4" w:space="0" w:color="auto"/>
            </w:tcBorders>
            <w:shd w:val="clear" w:color="auto" w:fill="FFFFFF" w:themeFill="background1"/>
          </w:tcPr>
          <w:p w14:paraId="7076B0B5" w14:textId="062DB03D"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631"/>
                <w14:textFill>
                  <w14:solidFill>
                    <w14:srgbClr w14:val="000000">
                      <w14:alpha w14:val="100000"/>
                    </w14:srgbClr>
                  </w14:solidFill>
                </w14:textFill>
              </w:rPr>
              <w:t>|</w:t>
            </w:r>
            <w:r w:rsidRPr="00987958">
              <w:rPr>
                <w:color w:val="000000"/>
                <w:spacing w:val="1"/>
                <w:shd w:val="solid" w:color="000000" w:fill="000000"/>
                <w:fitText w:val="209" w:id="-1300528631"/>
                <w14:textFill>
                  <w14:solidFill>
                    <w14:srgbClr w14:val="000000">
                      <w14:alpha w14:val="100000"/>
                    </w14:srgbClr>
                  </w14:solidFill>
                </w14:textFill>
              </w:rPr>
              <w:t>|</w:t>
            </w:r>
            <w:r w:rsidR="002672BE" w:rsidRPr="004D0E54">
              <w:rPr>
                <w:iCs/>
                <w:szCs w:val="20"/>
                <w:vertAlign w:val="superscript"/>
              </w:rPr>
              <w:t>1</w:t>
            </w:r>
          </w:p>
        </w:tc>
      </w:tr>
      <w:tr w:rsidR="009E050C" w:rsidRPr="000C48F9" w14:paraId="75A02E32"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299EC5D7" w14:textId="77777777" w:rsidR="009E050C" w:rsidRPr="000C48F9" w:rsidRDefault="009E050C" w:rsidP="009C3039">
            <w:pPr>
              <w:pStyle w:val="Tabletext"/>
              <w:keepNext/>
              <w:keepLines/>
            </w:pPr>
            <w:r w:rsidRPr="000C48F9">
              <w:t>F/F117H population</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B1891A3" w14:textId="1E208926"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0"/>
                <w14:textFill>
                  <w14:solidFill>
                    <w14:srgbClr w14:val="000000">
                      <w14:alpha w14:val="100000"/>
                    </w14:srgbClr>
                  </w14:solidFill>
                </w14:textFill>
              </w:rPr>
              <w:t>|</w:t>
            </w:r>
            <w:r w:rsidRPr="00987958">
              <w:rPr>
                <w:color w:val="000000"/>
                <w:spacing w:val="1"/>
                <w:shd w:val="solid" w:color="000000" w:fill="000000"/>
                <w:fitText w:val="191" w:id="-1300528630"/>
                <w14:textFill>
                  <w14:solidFill>
                    <w14:srgbClr w14:val="000000">
                      <w14:alpha w14:val="100000"/>
                    </w14:srgbClr>
                  </w14:solidFill>
                </w14:textFill>
              </w:rPr>
              <w:t>|</w:t>
            </w:r>
            <w:r w:rsidR="002672BE" w:rsidRPr="004D0E54">
              <w:rPr>
                <w:iCs/>
                <w:szCs w:val="20"/>
                <w:vertAlign w:val="superscript"/>
              </w:rPr>
              <w:t>1</w:t>
            </w:r>
          </w:p>
        </w:tc>
        <w:tc>
          <w:tcPr>
            <w:tcW w:w="449" w:type="pct"/>
            <w:tcBorders>
              <w:top w:val="single" w:sz="4" w:space="0" w:color="auto"/>
              <w:left w:val="nil"/>
              <w:bottom w:val="single" w:sz="4" w:space="0" w:color="auto"/>
              <w:right w:val="single" w:sz="4" w:space="0" w:color="auto"/>
            </w:tcBorders>
            <w:shd w:val="clear" w:color="auto" w:fill="auto"/>
            <w:vAlign w:val="center"/>
          </w:tcPr>
          <w:p w14:paraId="0897ED77" w14:textId="0FF9214E"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9"/>
                <w14:textFill>
                  <w14:solidFill>
                    <w14:srgbClr w14:val="000000">
                      <w14:alpha w14:val="100000"/>
                    </w14:srgbClr>
                  </w14:solidFill>
                </w14:textFill>
              </w:rPr>
              <w:t>|</w:t>
            </w:r>
            <w:r w:rsidRPr="00987958">
              <w:rPr>
                <w:color w:val="000000"/>
                <w:spacing w:val="1"/>
                <w:shd w:val="solid" w:color="000000" w:fill="000000"/>
                <w:fitText w:val="191" w:id="-1300528629"/>
                <w14:textFill>
                  <w14:solidFill>
                    <w14:srgbClr w14:val="000000">
                      <w14:alpha w14:val="100000"/>
                    </w14:srgbClr>
                  </w14:solidFill>
                </w14:textFill>
              </w:rPr>
              <w:t>|</w:t>
            </w:r>
            <w:r w:rsidR="002672BE" w:rsidRPr="004D0E54">
              <w:rPr>
                <w:iCs/>
                <w:szCs w:val="20"/>
                <w:vertAlign w:val="superscript"/>
              </w:rPr>
              <w:t>1</w:t>
            </w:r>
          </w:p>
        </w:tc>
        <w:tc>
          <w:tcPr>
            <w:tcW w:w="520" w:type="pct"/>
            <w:tcBorders>
              <w:top w:val="single" w:sz="4" w:space="0" w:color="auto"/>
              <w:left w:val="nil"/>
              <w:bottom w:val="single" w:sz="4" w:space="0" w:color="auto"/>
              <w:right w:val="single" w:sz="4" w:space="0" w:color="auto"/>
            </w:tcBorders>
            <w:shd w:val="clear" w:color="auto" w:fill="auto"/>
            <w:vAlign w:val="center"/>
          </w:tcPr>
          <w:p w14:paraId="477D9A23" w14:textId="08A18E7A"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628"/>
                <w14:textFill>
                  <w14:solidFill>
                    <w14:srgbClr w14:val="000000">
                      <w14:alpha w14:val="100000"/>
                    </w14:srgbClr>
                  </w14:solidFill>
                </w14:textFill>
              </w:rPr>
              <w:t xml:space="preserve">　</w:t>
            </w:r>
            <w:r w:rsidRPr="00987958">
              <w:rPr>
                <w:color w:val="000000"/>
                <w:w w:val="28"/>
                <w:shd w:val="solid" w:color="000000" w:fill="000000"/>
                <w:fitText w:val="128" w:id="-1300528628"/>
                <w14:textFill>
                  <w14:solidFill>
                    <w14:srgbClr w14:val="000000">
                      <w14:alpha w14:val="100000"/>
                    </w14:srgbClr>
                  </w14:solidFill>
                </w14:textFill>
              </w:rPr>
              <w:t>|</w:t>
            </w:r>
            <w:r w:rsidRPr="00987958">
              <w:rPr>
                <w:rFonts w:hint="eastAsia"/>
                <w:color w:val="000000"/>
                <w:spacing w:val="6"/>
                <w:w w:val="28"/>
                <w:shd w:val="solid" w:color="000000" w:fill="000000"/>
                <w:fitText w:val="128" w:id="-1300528628"/>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single" w:sz="4" w:space="0" w:color="auto"/>
              <w:left w:val="nil"/>
              <w:bottom w:val="single" w:sz="4" w:space="0" w:color="auto"/>
              <w:right w:val="single" w:sz="4" w:space="0" w:color="auto"/>
            </w:tcBorders>
            <w:shd w:val="clear" w:color="auto" w:fill="auto"/>
            <w:vAlign w:val="center"/>
          </w:tcPr>
          <w:p w14:paraId="388F1B7D" w14:textId="38AD6253"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7"/>
                <w14:textFill>
                  <w14:solidFill>
                    <w14:srgbClr w14:val="000000">
                      <w14:alpha w14:val="100000"/>
                    </w14:srgbClr>
                  </w14:solidFill>
                </w14:textFill>
              </w:rPr>
              <w:t>|</w:t>
            </w:r>
            <w:r w:rsidRPr="00987958">
              <w:rPr>
                <w:color w:val="000000"/>
                <w:spacing w:val="1"/>
                <w:shd w:val="solid" w:color="000000" w:fill="000000"/>
                <w:fitText w:val="191" w:id="-1300528627"/>
                <w14:textFill>
                  <w14:solidFill>
                    <w14:srgbClr w14:val="000000">
                      <w14:alpha w14:val="100000"/>
                    </w14:srgbClr>
                  </w14:solidFill>
                </w14:textFill>
              </w:rPr>
              <w:t>|</w:t>
            </w:r>
            <w:r w:rsidR="002672BE" w:rsidRPr="004D0E54">
              <w:rPr>
                <w:iCs/>
                <w:szCs w:val="20"/>
                <w:vertAlign w:val="superscript"/>
              </w:rPr>
              <w:t>1</w:t>
            </w:r>
          </w:p>
        </w:tc>
        <w:tc>
          <w:tcPr>
            <w:tcW w:w="523" w:type="pct"/>
            <w:tcBorders>
              <w:top w:val="single" w:sz="4" w:space="0" w:color="auto"/>
              <w:left w:val="nil"/>
              <w:bottom w:val="single" w:sz="4" w:space="0" w:color="auto"/>
              <w:right w:val="single" w:sz="4" w:space="0" w:color="auto"/>
            </w:tcBorders>
            <w:shd w:val="clear" w:color="auto" w:fill="auto"/>
            <w:vAlign w:val="center"/>
          </w:tcPr>
          <w:p w14:paraId="651E5E07" w14:textId="5313D3F9"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26"/>
                <w14:textFill>
                  <w14:solidFill>
                    <w14:srgbClr w14:val="000000">
                      <w14:alpha w14:val="100000"/>
                    </w14:srgbClr>
                  </w14:solidFill>
                </w14:textFill>
              </w:rPr>
              <w:t xml:space="preserve">　</w:t>
            </w:r>
            <w:r w:rsidRPr="00987958">
              <w:rPr>
                <w:color w:val="000000"/>
                <w:w w:val="26"/>
                <w:shd w:val="solid" w:color="000000" w:fill="000000"/>
                <w:fitText w:val="118" w:id="-1300528626"/>
                <w14:textFill>
                  <w14:solidFill>
                    <w14:srgbClr w14:val="000000">
                      <w14:alpha w14:val="100000"/>
                    </w14:srgbClr>
                  </w14:solidFill>
                </w14:textFill>
              </w:rPr>
              <w:t>|</w:t>
            </w:r>
            <w:r w:rsidRPr="00987958">
              <w:rPr>
                <w:rFonts w:hint="eastAsia"/>
                <w:color w:val="000000"/>
                <w:spacing w:val="3"/>
                <w:w w:val="26"/>
                <w:shd w:val="solid" w:color="000000" w:fill="000000"/>
                <w:fitText w:val="118" w:id="-1300528626"/>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single" w:sz="4" w:space="0" w:color="auto"/>
              <w:left w:val="nil"/>
              <w:bottom w:val="single" w:sz="4" w:space="0" w:color="auto"/>
              <w:right w:val="single" w:sz="4" w:space="0" w:color="auto"/>
            </w:tcBorders>
            <w:shd w:val="clear" w:color="auto" w:fill="auto"/>
            <w:vAlign w:val="center"/>
          </w:tcPr>
          <w:p w14:paraId="590A27A8" w14:textId="2A6BC0D7"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625"/>
                <w14:textFill>
                  <w14:solidFill>
                    <w14:srgbClr w14:val="000000">
                      <w14:alpha w14:val="100000"/>
                    </w14:srgbClr>
                  </w14:solidFill>
                </w14:textFill>
              </w:rPr>
              <w:t>|</w:t>
            </w:r>
            <w:r w:rsidRPr="00987958">
              <w:rPr>
                <w:color w:val="000000"/>
                <w:spacing w:val="1"/>
                <w:shd w:val="solid" w:color="000000" w:fill="000000"/>
                <w:fitText w:val="209" w:id="-1300528625"/>
                <w14:textFill>
                  <w14:solidFill>
                    <w14:srgbClr w14:val="000000">
                      <w14:alpha w14:val="100000"/>
                    </w14:srgbClr>
                  </w14:solidFill>
                </w14:textFill>
              </w:rPr>
              <w:t>|</w:t>
            </w:r>
            <w:r w:rsidR="002672BE" w:rsidRPr="004D0E54">
              <w:rPr>
                <w:iCs/>
                <w:szCs w:val="20"/>
                <w:vertAlign w:val="superscript"/>
              </w:rPr>
              <w:t>1</w:t>
            </w:r>
          </w:p>
        </w:tc>
      </w:tr>
      <w:tr w:rsidR="009E050C" w:rsidRPr="000C48F9" w14:paraId="3AB20DBB"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1D193006" w14:textId="54314728" w:rsidR="009E050C" w:rsidRPr="000C48F9" w:rsidRDefault="009E050C" w:rsidP="009C3039">
            <w:pPr>
              <w:pStyle w:val="Tabletext"/>
              <w:keepNext/>
              <w:keepLines/>
              <w:ind w:left="176"/>
            </w:pPr>
            <w:r w:rsidRPr="000C48F9">
              <w:t>Treated F/R117H patients (80% uptake</w:t>
            </w:r>
            <w:r w:rsidR="0075126C" w:rsidRPr="000C48F9">
              <w:t xml:space="preserve"> and </w:t>
            </w:r>
            <w:r w:rsidRPr="000C48F9">
              <w:t xml:space="preserve">applying discontinuation </w:t>
            </w:r>
            <w:r w:rsidR="00677E86" w:rsidRPr="000C48F9">
              <w:t>rates</w:t>
            </w:r>
            <w:r w:rsidR="00677E86" w:rsidRPr="000C48F9">
              <w:rPr>
                <w:vertAlign w:val="superscript"/>
              </w:rPr>
              <w:t>c)</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6A541365" w14:textId="39EC4689"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24"/>
                <w14:textFill>
                  <w14:solidFill>
                    <w14:srgbClr w14:val="000000">
                      <w14:alpha w14:val="100000"/>
                    </w14:srgbClr>
                  </w14:solidFill>
                </w14:textFill>
              </w:rPr>
              <w:t>|</w:t>
            </w:r>
            <w:r w:rsidRPr="00987958">
              <w:rPr>
                <w:color w:val="000000"/>
                <w:spacing w:val="1"/>
                <w:shd w:val="solid" w:color="000000" w:fill="000000"/>
                <w:fitText w:val="191" w:id="-1300528624"/>
                <w14:textFill>
                  <w14:solidFill>
                    <w14:srgbClr w14:val="000000">
                      <w14:alpha w14:val="100000"/>
                    </w14:srgbClr>
                  </w14:solidFill>
                </w14:textFill>
              </w:rPr>
              <w:t>|</w:t>
            </w:r>
            <w:r w:rsidR="002672BE" w:rsidRPr="004D0E54">
              <w:rPr>
                <w:iCs/>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tcPr>
          <w:p w14:paraId="3678F2E4" w14:textId="7FE51847"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40"/>
                <w14:textFill>
                  <w14:solidFill>
                    <w14:srgbClr w14:val="000000">
                      <w14:alpha w14:val="100000"/>
                    </w14:srgbClr>
                  </w14:solidFill>
                </w14:textFill>
              </w:rPr>
              <w:t>|</w:t>
            </w:r>
            <w:r w:rsidRPr="00987958">
              <w:rPr>
                <w:color w:val="000000"/>
                <w:spacing w:val="1"/>
                <w:shd w:val="solid" w:color="000000" w:fill="000000"/>
                <w:fitText w:val="191" w:id="-1300528640"/>
                <w14:textFill>
                  <w14:solidFill>
                    <w14:srgbClr w14:val="000000">
                      <w14:alpha w14:val="100000"/>
                    </w14:srgbClr>
                  </w14:solidFill>
                </w14:textFill>
              </w:rPr>
              <w:t>|</w:t>
            </w:r>
            <w:r w:rsidR="002672BE" w:rsidRPr="004D0E54">
              <w:rPr>
                <w:iCs/>
                <w:szCs w:val="20"/>
                <w:vertAlign w:val="superscript"/>
              </w:rPr>
              <w:t>1</w:t>
            </w:r>
          </w:p>
        </w:tc>
        <w:tc>
          <w:tcPr>
            <w:tcW w:w="520" w:type="pct"/>
            <w:tcBorders>
              <w:top w:val="nil"/>
              <w:left w:val="nil"/>
              <w:bottom w:val="single" w:sz="4" w:space="0" w:color="auto"/>
              <w:right w:val="single" w:sz="4" w:space="0" w:color="auto"/>
            </w:tcBorders>
            <w:shd w:val="clear" w:color="auto" w:fill="FFFFFF" w:themeFill="background1"/>
          </w:tcPr>
          <w:p w14:paraId="590AEF91" w14:textId="695D757F"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639"/>
                <w14:textFill>
                  <w14:solidFill>
                    <w14:srgbClr w14:val="000000">
                      <w14:alpha w14:val="100000"/>
                    </w14:srgbClr>
                  </w14:solidFill>
                </w14:textFill>
              </w:rPr>
              <w:t xml:space="preserve">　</w:t>
            </w:r>
            <w:r w:rsidRPr="00987958">
              <w:rPr>
                <w:color w:val="000000"/>
                <w:w w:val="28"/>
                <w:shd w:val="solid" w:color="000000" w:fill="000000"/>
                <w:fitText w:val="128" w:id="-1300528639"/>
                <w14:textFill>
                  <w14:solidFill>
                    <w14:srgbClr w14:val="000000">
                      <w14:alpha w14:val="100000"/>
                    </w14:srgbClr>
                  </w14:solidFill>
                </w14:textFill>
              </w:rPr>
              <w:t>|</w:t>
            </w:r>
            <w:r w:rsidRPr="00987958">
              <w:rPr>
                <w:rFonts w:hint="eastAsia"/>
                <w:color w:val="000000"/>
                <w:spacing w:val="6"/>
                <w:w w:val="28"/>
                <w:shd w:val="solid" w:color="000000" w:fill="000000"/>
                <w:fitText w:val="128" w:id="-1300528639"/>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nil"/>
              <w:left w:val="nil"/>
              <w:bottom w:val="single" w:sz="4" w:space="0" w:color="auto"/>
              <w:right w:val="single" w:sz="4" w:space="0" w:color="auto"/>
            </w:tcBorders>
            <w:shd w:val="clear" w:color="auto" w:fill="FFFFFF" w:themeFill="background1"/>
          </w:tcPr>
          <w:p w14:paraId="1395663E" w14:textId="59BADBD1"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638"/>
                <w14:textFill>
                  <w14:solidFill>
                    <w14:srgbClr w14:val="000000">
                      <w14:alpha w14:val="100000"/>
                    </w14:srgbClr>
                  </w14:solidFill>
                </w14:textFill>
              </w:rPr>
              <w:t>|</w:t>
            </w:r>
            <w:r w:rsidRPr="00987958">
              <w:rPr>
                <w:color w:val="000000"/>
                <w:spacing w:val="1"/>
                <w:shd w:val="solid" w:color="000000" w:fill="000000"/>
                <w:fitText w:val="191" w:id="-1300528638"/>
                <w14:textFill>
                  <w14:solidFill>
                    <w14:srgbClr w14:val="000000">
                      <w14:alpha w14:val="100000"/>
                    </w14:srgbClr>
                  </w14:solidFill>
                </w14:textFill>
              </w:rPr>
              <w:t>|</w:t>
            </w:r>
            <w:r w:rsidR="002672BE" w:rsidRPr="004D0E54">
              <w:rPr>
                <w:iCs/>
                <w:szCs w:val="20"/>
                <w:vertAlign w:val="superscript"/>
              </w:rPr>
              <w:t>1</w:t>
            </w:r>
          </w:p>
        </w:tc>
        <w:tc>
          <w:tcPr>
            <w:tcW w:w="523" w:type="pct"/>
            <w:tcBorders>
              <w:top w:val="nil"/>
              <w:left w:val="nil"/>
              <w:bottom w:val="single" w:sz="4" w:space="0" w:color="auto"/>
              <w:right w:val="single" w:sz="4" w:space="0" w:color="auto"/>
            </w:tcBorders>
            <w:shd w:val="clear" w:color="auto" w:fill="FFFFFF" w:themeFill="background1"/>
          </w:tcPr>
          <w:p w14:paraId="658026D2" w14:textId="315F3F0E"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637"/>
                <w14:textFill>
                  <w14:solidFill>
                    <w14:srgbClr w14:val="000000">
                      <w14:alpha w14:val="100000"/>
                    </w14:srgbClr>
                  </w14:solidFill>
                </w14:textFill>
              </w:rPr>
              <w:t xml:space="preserve">　</w:t>
            </w:r>
            <w:r w:rsidRPr="00987958">
              <w:rPr>
                <w:color w:val="000000"/>
                <w:w w:val="26"/>
                <w:shd w:val="solid" w:color="000000" w:fill="000000"/>
                <w:fitText w:val="118" w:id="-1300528637"/>
                <w14:textFill>
                  <w14:solidFill>
                    <w14:srgbClr w14:val="000000">
                      <w14:alpha w14:val="100000"/>
                    </w14:srgbClr>
                  </w14:solidFill>
                </w14:textFill>
              </w:rPr>
              <w:t>|</w:t>
            </w:r>
            <w:r w:rsidRPr="00987958">
              <w:rPr>
                <w:rFonts w:hint="eastAsia"/>
                <w:color w:val="000000"/>
                <w:spacing w:val="3"/>
                <w:w w:val="26"/>
                <w:shd w:val="solid" w:color="000000" w:fill="000000"/>
                <w:fitText w:val="118" w:id="-1300528637"/>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nil"/>
              <w:left w:val="nil"/>
              <w:bottom w:val="single" w:sz="4" w:space="0" w:color="auto"/>
              <w:right w:val="single" w:sz="4" w:space="0" w:color="auto"/>
            </w:tcBorders>
            <w:shd w:val="clear" w:color="auto" w:fill="FFFFFF" w:themeFill="background1"/>
          </w:tcPr>
          <w:p w14:paraId="005E3F61" w14:textId="5A55D30D"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636"/>
                <w14:textFill>
                  <w14:solidFill>
                    <w14:srgbClr w14:val="000000">
                      <w14:alpha w14:val="100000"/>
                    </w14:srgbClr>
                  </w14:solidFill>
                </w14:textFill>
              </w:rPr>
              <w:t>|</w:t>
            </w:r>
            <w:r w:rsidRPr="00987958">
              <w:rPr>
                <w:color w:val="000000"/>
                <w:spacing w:val="1"/>
                <w:shd w:val="solid" w:color="000000" w:fill="000000"/>
                <w:fitText w:val="209" w:id="-1300528636"/>
                <w14:textFill>
                  <w14:solidFill>
                    <w14:srgbClr w14:val="000000">
                      <w14:alpha w14:val="100000"/>
                    </w14:srgbClr>
                  </w14:solidFill>
                </w14:textFill>
              </w:rPr>
              <w:t>|</w:t>
            </w:r>
            <w:r w:rsidR="002672BE" w:rsidRPr="004D0E54">
              <w:rPr>
                <w:iCs/>
                <w:szCs w:val="20"/>
                <w:vertAlign w:val="superscript"/>
              </w:rPr>
              <w:t>1</w:t>
            </w:r>
          </w:p>
        </w:tc>
      </w:tr>
      <w:tr w:rsidR="009E050C" w:rsidRPr="000C48F9" w14:paraId="4AEACCB1"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5BC5A031" w14:textId="77777777" w:rsidR="009E050C" w:rsidRPr="000C48F9" w:rsidRDefault="009E050C" w:rsidP="009C3039">
            <w:pPr>
              <w:pStyle w:val="Tabletext"/>
              <w:keepNext/>
              <w:keepLines/>
            </w:pPr>
            <w:r w:rsidRPr="000C48F9">
              <w:t>Total treated population</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9F572F" w14:textId="060A1F2F" w:rsidR="009E050C" w:rsidRPr="002672BE" w:rsidRDefault="00987958" w:rsidP="009C3039">
            <w:pPr>
              <w:pStyle w:val="Tabletext"/>
              <w:keepNext/>
              <w:keepLines/>
              <w:jc w:val="center"/>
              <w:rPr>
                <w:highlight w:val="darkGray"/>
              </w:rPr>
            </w:pPr>
            <w:r w:rsidRPr="00987958">
              <w:rPr>
                <w:rFonts w:cs="Calibri"/>
                <w:color w:val="000000"/>
                <w:spacing w:val="105"/>
                <w:szCs w:val="20"/>
                <w:shd w:val="solid" w:color="000000" w:fill="000000"/>
                <w:fitText w:val="191" w:id="-1300528635"/>
                <w14:textFill>
                  <w14:solidFill>
                    <w14:srgbClr w14:val="000000">
                      <w14:alpha w14:val="100000"/>
                    </w14:srgbClr>
                  </w14:solidFill>
                </w14:textFill>
              </w:rPr>
              <w:t>|</w:t>
            </w:r>
            <w:r w:rsidRPr="00987958">
              <w:rPr>
                <w:rFonts w:cs="Calibri"/>
                <w:color w:val="000000"/>
                <w:spacing w:val="1"/>
                <w:szCs w:val="20"/>
                <w:shd w:val="solid" w:color="000000" w:fill="000000"/>
                <w:fitText w:val="191" w:id="-1300528635"/>
                <w14:textFill>
                  <w14:solidFill>
                    <w14:srgbClr w14:val="000000">
                      <w14:alpha w14:val="100000"/>
                    </w14:srgbClr>
                  </w14:solidFill>
                </w14:textFill>
              </w:rPr>
              <w:t>|</w:t>
            </w:r>
            <w:r w:rsidR="002672BE" w:rsidRPr="004D0E54">
              <w:rPr>
                <w:iCs/>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vAlign w:val="bottom"/>
          </w:tcPr>
          <w:p w14:paraId="46E088AE" w14:textId="7DD8AB04" w:rsidR="009E050C" w:rsidRPr="002672BE" w:rsidRDefault="00987958" w:rsidP="009C3039">
            <w:pPr>
              <w:pStyle w:val="Tabletext"/>
              <w:keepNext/>
              <w:keepLines/>
              <w:jc w:val="center"/>
              <w:rPr>
                <w:highlight w:val="darkGray"/>
              </w:rPr>
            </w:pPr>
            <w:r w:rsidRPr="00987958">
              <w:rPr>
                <w:rFonts w:cs="Calibri"/>
                <w:color w:val="000000"/>
                <w:spacing w:val="105"/>
                <w:szCs w:val="20"/>
                <w:shd w:val="solid" w:color="000000" w:fill="000000"/>
                <w:fitText w:val="191" w:id="-1300528634"/>
                <w14:textFill>
                  <w14:solidFill>
                    <w14:srgbClr w14:val="000000">
                      <w14:alpha w14:val="100000"/>
                    </w14:srgbClr>
                  </w14:solidFill>
                </w14:textFill>
              </w:rPr>
              <w:t>|</w:t>
            </w:r>
            <w:r w:rsidRPr="00987958">
              <w:rPr>
                <w:rFonts w:cs="Calibri"/>
                <w:color w:val="000000"/>
                <w:spacing w:val="1"/>
                <w:szCs w:val="20"/>
                <w:shd w:val="solid" w:color="000000" w:fill="000000"/>
                <w:fitText w:val="191" w:id="-1300528634"/>
                <w14:textFill>
                  <w14:solidFill>
                    <w14:srgbClr w14:val="000000">
                      <w14:alpha w14:val="100000"/>
                    </w14:srgbClr>
                  </w14:solidFill>
                </w14:textFill>
              </w:rPr>
              <w:t>|</w:t>
            </w:r>
            <w:r w:rsidR="002672BE" w:rsidRPr="004D0E54">
              <w:rPr>
                <w:iCs/>
                <w:szCs w:val="20"/>
                <w:vertAlign w:val="superscript"/>
              </w:rPr>
              <w:t>1</w:t>
            </w:r>
          </w:p>
        </w:tc>
        <w:tc>
          <w:tcPr>
            <w:tcW w:w="520" w:type="pct"/>
            <w:tcBorders>
              <w:top w:val="nil"/>
              <w:left w:val="nil"/>
              <w:bottom w:val="single" w:sz="4" w:space="0" w:color="auto"/>
              <w:right w:val="single" w:sz="4" w:space="0" w:color="auto"/>
            </w:tcBorders>
            <w:shd w:val="clear" w:color="auto" w:fill="FFFFFF" w:themeFill="background1"/>
            <w:vAlign w:val="bottom"/>
          </w:tcPr>
          <w:p w14:paraId="2EE8568D" w14:textId="5D944F37" w:rsidR="009E050C" w:rsidRPr="002672BE" w:rsidRDefault="00987958" w:rsidP="009C3039">
            <w:pPr>
              <w:pStyle w:val="Tabletext"/>
              <w:keepNext/>
              <w:keepLines/>
              <w:jc w:val="center"/>
              <w:rPr>
                <w:highlight w:val="darkGray"/>
              </w:rPr>
            </w:pPr>
            <w:r w:rsidRPr="00987958">
              <w:rPr>
                <w:rFonts w:cs="Calibri" w:hint="eastAsia"/>
                <w:color w:val="000000"/>
                <w:w w:val="28"/>
                <w:szCs w:val="20"/>
                <w:shd w:val="solid" w:color="000000" w:fill="000000"/>
                <w:fitText w:val="128" w:id="-1300528633"/>
                <w14:textFill>
                  <w14:solidFill>
                    <w14:srgbClr w14:val="000000">
                      <w14:alpha w14:val="100000"/>
                    </w14:srgbClr>
                  </w14:solidFill>
                </w14:textFill>
              </w:rPr>
              <w:t xml:space="preserve">　</w:t>
            </w:r>
            <w:r w:rsidRPr="00987958">
              <w:rPr>
                <w:rFonts w:cs="Calibri"/>
                <w:color w:val="000000"/>
                <w:w w:val="28"/>
                <w:szCs w:val="20"/>
                <w:shd w:val="solid" w:color="000000" w:fill="000000"/>
                <w:fitText w:val="128" w:id="-1300528633"/>
                <w14:textFill>
                  <w14:solidFill>
                    <w14:srgbClr w14:val="000000">
                      <w14:alpha w14:val="100000"/>
                    </w14:srgbClr>
                  </w14:solidFill>
                </w14:textFill>
              </w:rPr>
              <w:t>|</w:t>
            </w:r>
            <w:r w:rsidRPr="00987958">
              <w:rPr>
                <w:rFonts w:cs="Calibri" w:hint="eastAsia"/>
                <w:color w:val="000000"/>
                <w:spacing w:val="6"/>
                <w:w w:val="28"/>
                <w:szCs w:val="20"/>
                <w:shd w:val="solid" w:color="000000" w:fill="000000"/>
                <w:fitText w:val="128" w:id="-1300528633"/>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nil"/>
              <w:left w:val="nil"/>
              <w:bottom w:val="single" w:sz="4" w:space="0" w:color="auto"/>
              <w:right w:val="single" w:sz="4" w:space="0" w:color="auto"/>
            </w:tcBorders>
            <w:shd w:val="clear" w:color="auto" w:fill="FFFFFF" w:themeFill="background1"/>
            <w:vAlign w:val="bottom"/>
          </w:tcPr>
          <w:p w14:paraId="224D22CF" w14:textId="05C2EC49" w:rsidR="009E050C" w:rsidRPr="002672BE" w:rsidRDefault="00987958" w:rsidP="009C3039">
            <w:pPr>
              <w:pStyle w:val="Tabletext"/>
              <w:keepNext/>
              <w:keepLines/>
              <w:jc w:val="center"/>
              <w:rPr>
                <w:highlight w:val="darkGray"/>
              </w:rPr>
            </w:pPr>
            <w:r w:rsidRPr="00987958">
              <w:rPr>
                <w:rFonts w:cs="Calibri"/>
                <w:color w:val="000000"/>
                <w:spacing w:val="105"/>
                <w:szCs w:val="20"/>
                <w:shd w:val="solid" w:color="000000" w:fill="000000"/>
                <w:fitText w:val="191" w:id="-1300528632"/>
                <w14:textFill>
                  <w14:solidFill>
                    <w14:srgbClr w14:val="000000">
                      <w14:alpha w14:val="100000"/>
                    </w14:srgbClr>
                  </w14:solidFill>
                </w14:textFill>
              </w:rPr>
              <w:t>|</w:t>
            </w:r>
            <w:r w:rsidRPr="00987958">
              <w:rPr>
                <w:rFonts w:cs="Calibri"/>
                <w:color w:val="000000"/>
                <w:spacing w:val="1"/>
                <w:szCs w:val="20"/>
                <w:shd w:val="solid" w:color="000000" w:fill="000000"/>
                <w:fitText w:val="191" w:id="-1300528632"/>
                <w14:textFill>
                  <w14:solidFill>
                    <w14:srgbClr w14:val="000000">
                      <w14:alpha w14:val="100000"/>
                    </w14:srgbClr>
                  </w14:solidFill>
                </w14:textFill>
              </w:rPr>
              <w:t>|</w:t>
            </w:r>
            <w:r w:rsidR="002672BE" w:rsidRPr="004D0E54">
              <w:rPr>
                <w:iCs/>
                <w:szCs w:val="20"/>
                <w:vertAlign w:val="superscript"/>
              </w:rPr>
              <w:t>1</w:t>
            </w:r>
          </w:p>
        </w:tc>
        <w:tc>
          <w:tcPr>
            <w:tcW w:w="523" w:type="pct"/>
            <w:tcBorders>
              <w:top w:val="nil"/>
              <w:left w:val="nil"/>
              <w:bottom w:val="single" w:sz="4" w:space="0" w:color="auto"/>
              <w:right w:val="single" w:sz="4" w:space="0" w:color="auto"/>
            </w:tcBorders>
            <w:shd w:val="clear" w:color="auto" w:fill="FFFFFF" w:themeFill="background1"/>
            <w:vAlign w:val="bottom"/>
          </w:tcPr>
          <w:p w14:paraId="043D32E6" w14:textId="6DC36F1C" w:rsidR="009E050C" w:rsidRPr="002672BE" w:rsidRDefault="00987958" w:rsidP="009C3039">
            <w:pPr>
              <w:pStyle w:val="Tabletext"/>
              <w:keepNext/>
              <w:keepLines/>
              <w:jc w:val="center"/>
              <w:rPr>
                <w:highlight w:val="darkGray"/>
              </w:rPr>
            </w:pPr>
            <w:r w:rsidRPr="00987958">
              <w:rPr>
                <w:rFonts w:cs="Calibri" w:hint="eastAsia"/>
                <w:color w:val="000000"/>
                <w:w w:val="26"/>
                <w:szCs w:val="20"/>
                <w:shd w:val="solid" w:color="000000" w:fill="000000"/>
                <w:fitText w:val="118" w:id="-1300528384"/>
                <w14:textFill>
                  <w14:solidFill>
                    <w14:srgbClr w14:val="000000">
                      <w14:alpha w14:val="100000"/>
                    </w14:srgbClr>
                  </w14:solidFill>
                </w14:textFill>
              </w:rPr>
              <w:t xml:space="preserve">　</w:t>
            </w:r>
            <w:r w:rsidRPr="00987958">
              <w:rPr>
                <w:rFonts w:cs="Calibri"/>
                <w:color w:val="000000"/>
                <w:w w:val="26"/>
                <w:szCs w:val="20"/>
                <w:shd w:val="solid" w:color="000000" w:fill="000000"/>
                <w:fitText w:val="118" w:id="-1300528384"/>
                <w14:textFill>
                  <w14:solidFill>
                    <w14:srgbClr w14:val="000000">
                      <w14:alpha w14:val="100000"/>
                    </w14:srgbClr>
                  </w14:solidFill>
                </w14:textFill>
              </w:rPr>
              <w:t>|</w:t>
            </w:r>
            <w:r w:rsidRPr="00987958">
              <w:rPr>
                <w:rFonts w:cs="Calibri" w:hint="eastAsia"/>
                <w:color w:val="000000"/>
                <w:spacing w:val="3"/>
                <w:w w:val="26"/>
                <w:szCs w:val="20"/>
                <w:shd w:val="solid" w:color="000000" w:fill="000000"/>
                <w:fitText w:val="118" w:id="-1300528384"/>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nil"/>
              <w:left w:val="nil"/>
              <w:bottom w:val="single" w:sz="4" w:space="0" w:color="auto"/>
              <w:right w:val="single" w:sz="4" w:space="0" w:color="auto"/>
            </w:tcBorders>
            <w:shd w:val="clear" w:color="auto" w:fill="FFFFFF" w:themeFill="background1"/>
            <w:vAlign w:val="bottom"/>
          </w:tcPr>
          <w:p w14:paraId="3AD650E9" w14:textId="736DDCC9" w:rsidR="009E050C" w:rsidRPr="002672BE" w:rsidRDefault="00987958" w:rsidP="009C3039">
            <w:pPr>
              <w:pStyle w:val="Tabletext"/>
              <w:keepNext/>
              <w:keepLines/>
              <w:jc w:val="center"/>
              <w:rPr>
                <w:highlight w:val="darkGray"/>
              </w:rPr>
            </w:pPr>
            <w:r w:rsidRPr="00987958">
              <w:rPr>
                <w:rFonts w:cs="Calibri"/>
                <w:color w:val="000000"/>
                <w:spacing w:val="123"/>
                <w:szCs w:val="20"/>
                <w:shd w:val="solid" w:color="000000" w:fill="000000"/>
                <w:fitText w:val="209" w:id="-1300528383"/>
                <w14:textFill>
                  <w14:solidFill>
                    <w14:srgbClr w14:val="000000">
                      <w14:alpha w14:val="100000"/>
                    </w14:srgbClr>
                  </w14:solidFill>
                </w14:textFill>
              </w:rPr>
              <w:t>|</w:t>
            </w:r>
            <w:r w:rsidRPr="00987958">
              <w:rPr>
                <w:rFonts w:cs="Calibri"/>
                <w:color w:val="000000"/>
                <w:spacing w:val="1"/>
                <w:szCs w:val="20"/>
                <w:shd w:val="solid" w:color="000000" w:fill="000000"/>
                <w:fitText w:val="209" w:id="-1300528383"/>
                <w14:textFill>
                  <w14:solidFill>
                    <w14:srgbClr w14:val="000000">
                      <w14:alpha w14:val="100000"/>
                    </w14:srgbClr>
                  </w14:solidFill>
                </w14:textFill>
              </w:rPr>
              <w:t>|</w:t>
            </w:r>
            <w:r w:rsidR="002672BE" w:rsidRPr="004D0E54">
              <w:rPr>
                <w:iCs/>
                <w:szCs w:val="20"/>
                <w:vertAlign w:val="superscript"/>
              </w:rPr>
              <w:t>1</w:t>
            </w:r>
          </w:p>
        </w:tc>
      </w:tr>
      <w:tr w:rsidR="009E050C" w:rsidRPr="000C48F9" w14:paraId="2EFDE99B" w14:textId="77777777" w:rsidTr="00174268">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2CBB782C" w14:textId="77777777" w:rsidR="009E050C" w:rsidRPr="000C48F9" w:rsidRDefault="009E050C" w:rsidP="009C3039">
            <w:pPr>
              <w:pStyle w:val="Tabletext"/>
              <w:keepNext/>
              <w:keepLines/>
            </w:pPr>
            <w:r w:rsidRPr="000C48F9">
              <w:rPr>
                <w:b/>
              </w:rPr>
              <w:t xml:space="preserve">F/F patients not captured in the Deed calculations </w:t>
            </w:r>
          </w:p>
        </w:tc>
      </w:tr>
      <w:tr w:rsidR="009E050C" w:rsidRPr="000C48F9" w14:paraId="42349533"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5DF7ACEF" w14:textId="77777777" w:rsidR="009E050C" w:rsidRPr="000C48F9" w:rsidRDefault="009E050C" w:rsidP="009C3039">
            <w:pPr>
              <w:pStyle w:val="Tabletext"/>
              <w:keepNext/>
              <w:keepLines/>
            </w:pPr>
            <w:r w:rsidRPr="000C48F9">
              <w:t>Total F/F not captured in the Deeds</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22D90" w14:textId="78DCF4E3"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82"/>
                <w14:textFill>
                  <w14:solidFill>
                    <w14:srgbClr w14:val="000000">
                      <w14:alpha w14:val="100000"/>
                    </w14:srgbClr>
                  </w14:solidFill>
                </w14:textFill>
              </w:rPr>
              <w:t>|</w:t>
            </w:r>
            <w:r w:rsidRPr="00987958">
              <w:rPr>
                <w:color w:val="000000"/>
                <w:spacing w:val="1"/>
                <w:shd w:val="solid" w:color="000000" w:fill="000000"/>
                <w:fitText w:val="191" w:id="-1300528382"/>
                <w14:textFill>
                  <w14:solidFill>
                    <w14:srgbClr w14:val="000000">
                      <w14:alpha w14:val="100000"/>
                    </w14:srgbClr>
                  </w14:solidFill>
                </w14:textFill>
              </w:rPr>
              <w:t>|</w:t>
            </w:r>
            <w:r w:rsidR="002672BE" w:rsidRPr="004D0E54">
              <w:rPr>
                <w:iCs/>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vAlign w:val="center"/>
          </w:tcPr>
          <w:p w14:paraId="2B8A8D89" w14:textId="57F49ACB"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81"/>
                <w14:textFill>
                  <w14:solidFill>
                    <w14:srgbClr w14:val="000000">
                      <w14:alpha w14:val="100000"/>
                    </w14:srgbClr>
                  </w14:solidFill>
                </w14:textFill>
              </w:rPr>
              <w:t>|</w:t>
            </w:r>
            <w:r w:rsidRPr="00987958">
              <w:rPr>
                <w:color w:val="000000"/>
                <w:spacing w:val="1"/>
                <w:shd w:val="solid" w:color="000000" w:fill="000000"/>
                <w:fitText w:val="191" w:id="-1300528381"/>
                <w14:textFill>
                  <w14:solidFill>
                    <w14:srgbClr w14:val="000000">
                      <w14:alpha w14:val="100000"/>
                    </w14:srgbClr>
                  </w14:solidFill>
                </w14:textFill>
              </w:rPr>
              <w:t>|</w:t>
            </w:r>
            <w:r w:rsidR="002672BE" w:rsidRPr="004D0E54">
              <w:rPr>
                <w:iCs/>
                <w:szCs w:val="20"/>
                <w:vertAlign w:val="superscript"/>
              </w:rPr>
              <w:t>1</w:t>
            </w:r>
          </w:p>
        </w:tc>
        <w:tc>
          <w:tcPr>
            <w:tcW w:w="520" w:type="pct"/>
            <w:tcBorders>
              <w:top w:val="nil"/>
              <w:left w:val="nil"/>
              <w:bottom w:val="single" w:sz="4" w:space="0" w:color="auto"/>
              <w:right w:val="single" w:sz="4" w:space="0" w:color="auto"/>
            </w:tcBorders>
            <w:shd w:val="clear" w:color="auto" w:fill="FFFFFF" w:themeFill="background1"/>
            <w:vAlign w:val="center"/>
          </w:tcPr>
          <w:p w14:paraId="7D64784A" w14:textId="6D96F9CB"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380"/>
                <w14:textFill>
                  <w14:solidFill>
                    <w14:srgbClr w14:val="000000">
                      <w14:alpha w14:val="100000"/>
                    </w14:srgbClr>
                  </w14:solidFill>
                </w14:textFill>
              </w:rPr>
              <w:t xml:space="preserve">　</w:t>
            </w:r>
            <w:r w:rsidRPr="00987958">
              <w:rPr>
                <w:color w:val="000000"/>
                <w:w w:val="28"/>
                <w:shd w:val="solid" w:color="000000" w:fill="000000"/>
                <w:fitText w:val="128" w:id="-1300528380"/>
                <w14:textFill>
                  <w14:solidFill>
                    <w14:srgbClr w14:val="000000">
                      <w14:alpha w14:val="100000"/>
                    </w14:srgbClr>
                  </w14:solidFill>
                </w14:textFill>
              </w:rPr>
              <w:t>|</w:t>
            </w:r>
            <w:r w:rsidRPr="00987958">
              <w:rPr>
                <w:rFonts w:hint="eastAsia"/>
                <w:color w:val="000000"/>
                <w:spacing w:val="6"/>
                <w:w w:val="28"/>
                <w:shd w:val="solid" w:color="000000" w:fill="000000"/>
                <w:fitText w:val="128" w:id="-1300528380"/>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nil"/>
              <w:left w:val="nil"/>
              <w:bottom w:val="single" w:sz="4" w:space="0" w:color="auto"/>
              <w:right w:val="single" w:sz="4" w:space="0" w:color="auto"/>
            </w:tcBorders>
            <w:shd w:val="clear" w:color="auto" w:fill="FFFFFF" w:themeFill="background1"/>
            <w:vAlign w:val="center"/>
          </w:tcPr>
          <w:p w14:paraId="1267B695" w14:textId="521B198E"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79"/>
                <w14:textFill>
                  <w14:solidFill>
                    <w14:srgbClr w14:val="000000">
                      <w14:alpha w14:val="100000"/>
                    </w14:srgbClr>
                  </w14:solidFill>
                </w14:textFill>
              </w:rPr>
              <w:t>|</w:t>
            </w:r>
            <w:r w:rsidRPr="00987958">
              <w:rPr>
                <w:color w:val="000000"/>
                <w:spacing w:val="1"/>
                <w:shd w:val="solid" w:color="000000" w:fill="000000"/>
                <w:fitText w:val="191" w:id="-1300528379"/>
                <w14:textFill>
                  <w14:solidFill>
                    <w14:srgbClr w14:val="000000">
                      <w14:alpha w14:val="100000"/>
                    </w14:srgbClr>
                  </w14:solidFill>
                </w14:textFill>
              </w:rPr>
              <w:t>|</w:t>
            </w:r>
            <w:r w:rsidR="002672BE" w:rsidRPr="004D0E54">
              <w:rPr>
                <w:iCs/>
                <w:szCs w:val="20"/>
                <w:vertAlign w:val="superscript"/>
              </w:rPr>
              <w:t>1</w:t>
            </w:r>
          </w:p>
        </w:tc>
        <w:tc>
          <w:tcPr>
            <w:tcW w:w="523" w:type="pct"/>
            <w:tcBorders>
              <w:top w:val="nil"/>
              <w:left w:val="nil"/>
              <w:bottom w:val="single" w:sz="4" w:space="0" w:color="auto"/>
              <w:right w:val="single" w:sz="4" w:space="0" w:color="auto"/>
            </w:tcBorders>
            <w:shd w:val="clear" w:color="auto" w:fill="FFFFFF" w:themeFill="background1"/>
            <w:vAlign w:val="center"/>
          </w:tcPr>
          <w:p w14:paraId="2FD423CF" w14:textId="4CCDF243"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378"/>
                <w14:textFill>
                  <w14:solidFill>
                    <w14:srgbClr w14:val="000000">
                      <w14:alpha w14:val="100000"/>
                    </w14:srgbClr>
                  </w14:solidFill>
                </w14:textFill>
              </w:rPr>
              <w:t xml:space="preserve">　</w:t>
            </w:r>
            <w:r w:rsidRPr="00987958">
              <w:rPr>
                <w:color w:val="000000"/>
                <w:w w:val="26"/>
                <w:shd w:val="solid" w:color="000000" w:fill="000000"/>
                <w:fitText w:val="118" w:id="-1300528378"/>
                <w14:textFill>
                  <w14:solidFill>
                    <w14:srgbClr w14:val="000000">
                      <w14:alpha w14:val="100000"/>
                    </w14:srgbClr>
                  </w14:solidFill>
                </w14:textFill>
              </w:rPr>
              <w:t>|</w:t>
            </w:r>
            <w:r w:rsidRPr="00987958">
              <w:rPr>
                <w:rFonts w:hint="eastAsia"/>
                <w:color w:val="000000"/>
                <w:spacing w:val="3"/>
                <w:w w:val="26"/>
                <w:shd w:val="solid" w:color="000000" w:fill="000000"/>
                <w:fitText w:val="118" w:id="-1300528378"/>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nil"/>
              <w:left w:val="nil"/>
              <w:bottom w:val="single" w:sz="4" w:space="0" w:color="auto"/>
              <w:right w:val="single" w:sz="4" w:space="0" w:color="auto"/>
            </w:tcBorders>
            <w:shd w:val="clear" w:color="auto" w:fill="FFFFFF" w:themeFill="background1"/>
            <w:vAlign w:val="center"/>
          </w:tcPr>
          <w:p w14:paraId="786E8015" w14:textId="792EDDE1"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377"/>
                <w14:textFill>
                  <w14:solidFill>
                    <w14:srgbClr w14:val="000000">
                      <w14:alpha w14:val="100000"/>
                    </w14:srgbClr>
                  </w14:solidFill>
                </w14:textFill>
              </w:rPr>
              <w:t>|</w:t>
            </w:r>
            <w:r w:rsidRPr="00987958">
              <w:rPr>
                <w:color w:val="000000"/>
                <w:spacing w:val="1"/>
                <w:shd w:val="solid" w:color="000000" w:fill="000000"/>
                <w:fitText w:val="209" w:id="-1300528377"/>
                <w14:textFill>
                  <w14:solidFill>
                    <w14:srgbClr w14:val="000000">
                      <w14:alpha w14:val="100000"/>
                    </w14:srgbClr>
                  </w14:solidFill>
                </w14:textFill>
              </w:rPr>
              <w:t>|</w:t>
            </w:r>
            <w:r w:rsidR="002672BE" w:rsidRPr="004D0E54">
              <w:rPr>
                <w:iCs/>
                <w:szCs w:val="20"/>
                <w:vertAlign w:val="superscript"/>
              </w:rPr>
              <w:t>1</w:t>
            </w:r>
          </w:p>
        </w:tc>
      </w:tr>
      <w:tr w:rsidR="009E050C" w:rsidRPr="000C48F9" w14:paraId="238D54C3"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764C8AD5" w14:textId="56EF7570" w:rsidR="009E050C" w:rsidRPr="000C48F9" w:rsidRDefault="009E050C" w:rsidP="009C3039">
            <w:pPr>
              <w:pStyle w:val="Tabletext"/>
              <w:keepNext/>
              <w:keepLines/>
              <w:ind w:left="176"/>
            </w:pPr>
            <w:r w:rsidRPr="000C48F9">
              <w:t>Treated F/F not captured in the Deeds (98% uptake</w:t>
            </w:r>
            <w:r w:rsidR="0075126C" w:rsidRPr="000C48F9">
              <w:t xml:space="preserve"> and </w:t>
            </w:r>
            <w:r w:rsidRPr="000C48F9">
              <w:t xml:space="preserve">applying discontinuation </w:t>
            </w:r>
            <w:r w:rsidR="00677E86" w:rsidRPr="000C48F9">
              <w:t>rates</w:t>
            </w:r>
            <w:r w:rsidR="00677E86" w:rsidRPr="000C48F9">
              <w:rPr>
                <w:vertAlign w:val="superscript"/>
              </w:rPr>
              <w:t>c</w:t>
            </w:r>
            <w:r w:rsidRPr="000C48F9">
              <w:t>)</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70E41" w14:textId="27EA9078"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76"/>
                <w14:textFill>
                  <w14:solidFill>
                    <w14:srgbClr w14:val="000000">
                      <w14:alpha w14:val="100000"/>
                    </w14:srgbClr>
                  </w14:solidFill>
                </w14:textFill>
              </w:rPr>
              <w:t>|</w:t>
            </w:r>
            <w:r w:rsidRPr="00987958">
              <w:rPr>
                <w:color w:val="000000"/>
                <w:spacing w:val="1"/>
                <w:shd w:val="solid" w:color="000000" w:fill="000000"/>
                <w:fitText w:val="191" w:id="-1300528376"/>
                <w14:textFill>
                  <w14:solidFill>
                    <w14:srgbClr w14:val="000000">
                      <w14:alpha w14:val="100000"/>
                    </w14:srgbClr>
                  </w14:solidFill>
                </w14:textFill>
              </w:rPr>
              <w:t>|</w:t>
            </w:r>
            <w:r w:rsidR="002672BE" w:rsidRPr="004D0E54">
              <w:rPr>
                <w:iCs/>
                <w:szCs w:val="20"/>
                <w:vertAlign w:val="superscript"/>
              </w:rPr>
              <w:t>1</w:t>
            </w:r>
          </w:p>
        </w:tc>
        <w:tc>
          <w:tcPr>
            <w:tcW w:w="449" w:type="pct"/>
            <w:tcBorders>
              <w:top w:val="nil"/>
              <w:left w:val="nil"/>
              <w:bottom w:val="single" w:sz="4" w:space="0" w:color="auto"/>
              <w:right w:val="single" w:sz="4" w:space="0" w:color="auto"/>
            </w:tcBorders>
            <w:shd w:val="clear" w:color="auto" w:fill="FFFFFF" w:themeFill="background1"/>
            <w:vAlign w:val="center"/>
          </w:tcPr>
          <w:p w14:paraId="7F6ABDA2" w14:textId="2A313DB2"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75"/>
                <w14:textFill>
                  <w14:solidFill>
                    <w14:srgbClr w14:val="000000">
                      <w14:alpha w14:val="100000"/>
                    </w14:srgbClr>
                  </w14:solidFill>
                </w14:textFill>
              </w:rPr>
              <w:t>|</w:t>
            </w:r>
            <w:r w:rsidRPr="00987958">
              <w:rPr>
                <w:color w:val="000000"/>
                <w:spacing w:val="1"/>
                <w:shd w:val="solid" w:color="000000" w:fill="000000"/>
                <w:fitText w:val="191" w:id="-1300528375"/>
                <w14:textFill>
                  <w14:solidFill>
                    <w14:srgbClr w14:val="000000">
                      <w14:alpha w14:val="100000"/>
                    </w14:srgbClr>
                  </w14:solidFill>
                </w14:textFill>
              </w:rPr>
              <w:t>|</w:t>
            </w:r>
            <w:r w:rsidR="002672BE" w:rsidRPr="004D0E54">
              <w:rPr>
                <w:iCs/>
                <w:szCs w:val="20"/>
                <w:vertAlign w:val="superscript"/>
              </w:rPr>
              <w:t>1</w:t>
            </w:r>
          </w:p>
        </w:tc>
        <w:tc>
          <w:tcPr>
            <w:tcW w:w="520" w:type="pct"/>
            <w:tcBorders>
              <w:top w:val="nil"/>
              <w:left w:val="nil"/>
              <w:bottom w:val="single" w:sz="4" w:space="0" w:color="auto"/>
              <w:right w:val="single" w:sz="4" w:space="0" w:color="auto"/>
            </w:tcBorders>
            <w:shd w:val="clear" w:color="auto" w:fill="FFFFFF" w:themeFill="background1"/>
            <w:vAlign w:val="center"/>
          </w:tcPr>
          <w:p w14:paraId="3CF9F0F4" w14:textId="48A4934B" w:rsidR="009E050C" w:rsidRPr="002672BE" w:rsidRDefault="00987958" w:rsidP="009C3039">
            <w:pPr>
              <w:pStyle w:val="Tabletext"/>
              <w:keepNext/>
              <w:keepLines/>
              <w:jc w:val="center"/>
              <w:rPr>
                <w:highlight w:val="darkGray"/>
              </w:rPr>
            </w:pPr>
            <w:r w:rsidRPr="00987958">
              <w:rPr>
                <w:rFonts w:hint="eastAsia"/>
                <w:color w:val="000000"/>
                <w:w w:val="28"/>
                <w:shd w:val="solid" w:color="000000" w:fill="000000"/>
                <w:fitText w:val="128" w:id="-1300528374"/>
                <w14:textFill>
                  <w14:solidFill>
                    <w14:srgbClr w14:val="000000">
                      <w14:alpha w14:val="100000"/>
                    </w14:srgbClr>
                  </w14:solidFill>
                </w14:textFill>
              </w:rPr>
              <w:t xml:space="preserve">　</w:t>
            </w:r>
            <w:r w:rsidRPr="00987958">
              <w:rPr>
                <w:color w:val="000000"/>
                <w:w w:val="28"/>
                <w:shd w:val="solid" w:color="000000" w:fill="000000"/>
                <w:fitText w:val="128" w:id="-1300528374"/>
                <w14:textFill>
                  <w14:solidFill>
                    <w14:srgbClr w14:val="000000">
                      <w14:alpha w14:val="100000"/>
                    </w14:srgbClr>
                  </w14:solidFill>
                </w14:textFill>
              </w:rPr>
              <w:t>|</w:t>
            </w:r>
            <w:r w:rsidRPr="00987958">
              <w:rPr>
                <w:rFonts w:hint="eastAsia"/>
                <w:color w:val="000000"/>
                <w:spacing w:val="6"/>
                <w:w w:val="28"/>
                <w:shd w:val="solid" w:color="000000" w:fill="000000"/>
                <w:fitText w:val="128" w:id="-1300528374"/>
                <w14:textFill>
                  <w14:solidFill>
                    <w14:srgbClr w14:val="000000">
                      <w14:alpha w14:val="100000"/>
                    </w14:srgbClr>
                  </w14:solidFill>
                </w14:textFill>
              </w:rPr>
              <w:t xml:space="preserve">　</w:t>
            </w:r>
            <w:r w:rsidR="002672BE" w:rsidRPr="004D0E54">
              <w:rPr>
                <w:iCs/>
                <w:szCs w:val="20"/>
                <w:vertAlign w:val="superscript"/>
              </w:rPr>
              <w:t>1</w:t>
            </w:r>
          </w:p>
        </w:tc>
        <w:tc>
          <w:tcPr>
            <w:tcW w:w="448" w:type="pct"/>
            <w:tcBorders>
              <w:top w:val="nil"/>
              <w:left w:val="nil"/>
              <w:bottom w:val="single" w:sz="4" w:space="0" w:color="auto"/>
              <w:right w:val="single" w:sz="4" w:space="0" w:color="auto"/>
            </w:tcBorders>
            <w:shd w:val="clear" w:color="auto" w:fill="FFFFFF" w:themeFill="background1"/>
            <w:vAlign w:val="center"/>
          </w:tcPr>
          <w:p w14:paraId="5B9D9948" w14:textId="0CC3A49D" w:rsidR="009E050C" w:rsidRPr="002672BE" w:rsidRDefault="00987958" w:rsidP="009C3039">
            <w:pPr>
              <w:pStyle w:val="Tabletext"/>
              <w:keepNext/>
              <w:keepLines/>
              <w:jc w:val="center"/>
              <w:rPr>
                <w:highlight w:val="darkGray"/>
              </w:rPr>
            </w:pPr>
            <w:r w:rsidRPr="00987958">
              <w:rPr>
                <w:color w:val="000000"/>
                <w:spacing w:val="105"/>
                <w:shd w:val="solid" w:color="000000" w:fill="000000"/>
                <w:fitText w:val="191" w:id="-1300528373"/>
                <w14:textFill>
                  <w14:solidFill>
                    <w14:srgbClr w14:val="000000">
                      <w14:alpha w14:val="100000"/>
                    </w14:srgbClr>
                  </w14:solidFill>
                </w14:textFill>
              </w:rPr>
              <w:t>|</w:t>
            </w:r>
            <w:r w:rsidRPr="00987958">
              <w:rPr>
                <w:color w:val="000000"/>
                <w:spacing w:val="1"/>
                <w:shd w:val="solid" w:color="000000" w:fill="000000"/>
                <w:fitText w:val="191" w:id="-1300528373"/>
                <w14:textFill>
                  <w14:solidFill>
                    <w14:srgbClr w14:val="000000">
                      <w14:alpha w14:val="100000"/>
                    </w14:srgbClr>
                  </w14:solidFill>
                </w14:textFill>
              </w:rPr>
              <w:t>|</w:t>
            </w:r>
            <w:r w:rsidR="002672BE" w:rsidRPr="004D0E54">
              <w:rPr>
                <w:iCs/>
                <w:szCs w:val="20"/>
                <w:vertAlign w:val="superscript"/>
              </w:rPr>
              <w:t>1</w:t>
            </w:r>
          </w:p>
        </w:tc>
        <w:tc>
          <w:tcPr>
            <w:tcW w:w="523" w:type="pct"/>
            <w:tcBorders>
              <w:top w:val="nil"/>
              <w:left w:val="nil"/>
              <w:bottom w:val="single" w:sz="4" w:space="0" w:color="auto"/>
              <w:right w:val="single" w:sz="4" w:space="0" w:color="auto"/>
            </w:tcBorders>
            <w:shd w:val="clear" w:color="auto" w:fill="FFFFFF" w:themeFill="background1"/>
            <w:vAlign w:val="center"/>
          </w:tcPr>
          <w:p w14:paraId="480E346D" w14:textId="21D47C6F" w:rsidR="009E050C" w:rsidRPr="002672BE" w:rsidRDefault="00987958" w:rsidP="009C3039">
            <w:pPr>
              <w:pStyle w:val="Tabletext"/>
              <w:keepNext/>
              <w:keepLines/>
              <w:jc w:val="center"/>
              <w:rPr>
                <w:highlight w:val="darkGray"/>
              </w:rPr>
            </w:pPr>
            <w:r w:rsidRPr="00987958">
              <w:rPr>
                <w:rFonts w:hint="eastAsia"/>
                <w:color w:val="000000"/>
                <w:w w:val="26"/>
                <w:shd w:val="solid" w:color="000000" w:fill="000000"/>
                <w:fitText w:val="118" w:id="-1300528372"/>
                <w14:textFill>
                  <w14:solidFill>
                    <w14:srgbClr w14:val="000000">
                      <w14:alpha w14:val="100000"/>
                    </w14:srgbClr>
                  </w14:solidFill>
                </w14:textFill>
              </w:rPr>
              <w:t xml:space="preserve">　</w:t>
            </w:r>
            <w:r w:rsidRPr="00987958">
              <w:rPr>
                <w:color w:val="000000"/>
                <w:w w:val="26"/>
                <w:shd w:val="solid" w:color="000000" w:fill="000000"/>
                <w:fitText w:val="118" w:id="-1300528372"/>
                <w14:textFill>
                  <w14:solidFill>
                    <w14:srgbClr w14:val="000000">
                      <w14:alpha w14:val="100000"/>
                    </w14:srgbClr>
                  </w14:solidFill>
                </w14:textFill>
              </w:rPr>
              <w:t>|</w:t>
            </w:r>
            <w:r w:rsidRPr="00987958">
              <w:rPr>
                <w:rFonts w:hint="eastAsia"/>
                <w:color w:val="000000"/>
                <w:spacing w:val="3"/>
                <w:w w:val="26"/>
                <w:shd w:val="solid" w:color="000000" w:fill="000000"/>
                <w:fitText w:val="118" w:id="-1300528372"/>
                <w14:textFill>
                  <w14:solidFill>
                    <w14:srgbClr w14:val="000000">
                      <w14:alpha w14:val="100000"/>
                    </w14:srgbClr>
                  </w14:solidFill>
                </w14:textFill>
              </w:rPr>
              <w:t xml:space="preserve">　</w:t>
            </w:r>
            <w:r w:rsidR="002672BE" w:rsidRPr="004D0E54">
              <w:rPr>
                <w:iCs/>
                <w:szCs w:val="20"/>
                <w:vertAlign w:val="superscript"/>
              </w:rPr>
              <w:t>1</w:t>
            </w:r>
          </w:p>
        </w:tc>
        <w:tc>
          <w:tcPr>
            <w:tcW w:w="428" w:type="pct"/>
            <w:tcBorders>
              <w:top w:val="nil"/>
              <w:left w:val="nil"/>
              <w:bottom w:val="single" w:sz="4" w:space="0" w:color="auto"/>
              <w:right w:val="single" w:sz="4" w:space="0" w:color="auto"/>
            </w:tcBorders>
            <w:shd w:val="clear" w:color="auto" w:fill="FFFFFF" w:themeFill="background1"/>
            <w:vAlign w:val="center"/>
          </w:tcPr>
          <w:p w14:paraId="63FE0832" w14:textId="5CF1EE9B" w:rsidR="009E050C" w:rsidRPr="002672BE" w:rsidRDefault="00987958" w:rsidP="009C3039">
            <w:pPr>
              <w:pStyle w:val="Tabletext"/>
              <w:keepNext/>
              <w:keepLines/>
              <w:jc w:val="center"/>
              <w:rPr>
                <w:highlight w:val="darkGray"/>
              </w:rPr>
            </w:pPr>
            <w:r w:rsidRPr="00987958">
              <w:rPr>
                <w:color w:val="000000"/>
                <w:spacing w:val="123"/>
                <w:shd w:val="solid" w:color="000000" w:fill="000000"/>
                <w:fitText w:val="209" w:id="-1300528371"/>
                <w14:textFill>
                  <w14:solidFill>
                    <w14:srgbClr w14:val="000000">
                      <w14:alpha w14:val="100000"/>
                    </w14:srgbClr>
                  </w14:solidFill>
                </w14:textFill>
              </w:rPr>
              <w:t>|</w:t>
            </w:r>
            <w:r w:rsidRPr="00987958">
              <w:rPr>
                <w:color w:val="000000"/>
                <w:spacing w:val="1"/>
                <w:shd w:val="solid" w:color="000000" w:fill="000000"/>
                <w:fitText w:val="209" w:id="-1300528371"/>
                <w14:textFill>
                  <w14:solidFill>
                    <w14:srgbClr w14:val="000000">
                      <w14:alpha w14:val="100000"/>
                    </w14:srgbClr>
                  </w14:solidFill>
                </w14:textFill>
              </w:rPr>
              <w:t>|</w:t>
            </w:r>
            <w:r w:rsidR="002672BE" w:rsidRPr="004D0E54">
              <w:rPr>
                <w:iCs/>
                <w:szCs w:val="20"/>
                <w:vertAlign w:val="superscript"/>
              </w:rPr>
              <w:t>1</w:t>
            </w:r>
          </w:p>
        </w:tc>
      </w:tr>
      <w:tr w:rsidR="009E050C" w:rsidRPr="000C48F9" w14:paraId="448B08DD" w14:textId="77777777" w:rsidTr="00174268">
        <w:tc>
          <w:tcPr>
            <w:tcW w:w="2184" w:type="pct"/>
            <w:tcBorders>
              <w:top w:val="nil"/>
              <w:left w:val="single" w:sz="4" w:space="0" w:color="auto"/>
              <w:bottom w:val="single" w:sz="4" w:space="0" w:color="auto"/>
              <w:right w:val="single" w:sz="4" w:space="0" w:color="auto"/>
            </w:tcBorders>
            <w:shd w:val="clear" w:color="auto" w:fill="FFFFFF" w:themeFill="background1"/>
          </w:tcPr>
          <w:p w14:paraId="7FF97435" w14:textId="77777777" w:rsidR="009E050C" w:rsidRPr="000C48F9" w:rsidRDefault="009E050C" w:rsidP="009C3039">
            <w:pPr>
              <w:pStyle w:val="Tabletext"/>
              <w:keepNext/>
              <w:keepLines/>
            </w:pPr>
            <w:r w:rsidRPr="000C48F9">
              <w:t>Total all subpopulations treated with ELX/TEZ/IVA</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1E60" w14:textId="3A3A13A8" w:rsidR="009E050C" w:rsidRPr="004F7F88" w:rsidRDefault="00987958" w:rsidP="009C3039">
            <w:pPr>
              <w:pStyle w:val="Tabletext"/>
              <w:keepNext/>
              <w:keepLines/>
              <w:jc w:val="center"/>
            </w:pPr>
            <w:r w:rsidRPr="00987958">
              <w:rPr>
                <w:color w:val="000000"/>
                <w:spacing w:val="105"/>
                <w:shd w:val="solid" w:color="000000" w:fill="000000"/>
                <w:fitText w:val="191" w:id="-1300528370"/>
                <w14:textFill>
                  <w14:solidFill>
                    <w14:srgbClr w14:val="000000">
                      <w14:alpha w14:val="100000"/>
                    </w14:srgbClr>
                  </w14:solidFill>
                </w14:textFill>
              </w:rPr>
              <w:t>|</w:t>
            </w:r>
            <w:r w:rsidRPr="00987958">
              <w:rPr>
                <w:color w:val="000000"/>
                <w:spacing w:val="1"/>
                <w:shd w:val="solid" w:color="000000" w:fill="000000"/>
                <w:fitText w:val="191" w:id="-1300528370"/>
                <w14:textFill>
                  <w14:solidFill>
                    <w14:srgbClr w14:val="000000">
                      <w14:alpha w14:val="100000"/>
                    </w14:srgbClr>
                  </w14:solidFill>
                </w14:textFill>
              </w:rPr>
              <w:t>|</w:t>
            </w:r>
            <w:r w:rsidR="002672BE" w:rsidRPr="004F7F88">
              <w:rPr>
                <w:iCs/>
                <w:szCs w:val="20"/>
                <w:vertAlign w:val="superscript"/>
              </w:rPr>
              <w:t>2</w:t>
            </w:r>
          </w:p>
        </w:tc>
        <w:tc>
          <w:tcPr>
            <w:tcW w:w="449" w:type="pct"/>
            <w:tcBorders>
              <w:top w:val="nil"/>
              <w:left w:val="nil"/>
              <w:bottom w:val="single" w:sz="4" w:space="0" w:color="auto"/>
              <w:right w:val="single" w:sz="4" w:space="0" w:color="auto"/>
            </w:tcBorders>
            <w:shd w:val="clear" w:color="auto" w:fill="FFFFFF" w:themeFill="background1"/>
            <w:vAlign w:val="center"/>
          </w:tcPr>
          <w:p w14:paraId="40560BF0" w14:textId="08025BB4" w:rsidR="009E050C" w:rsidRPr="004F7F88" w:rsidRDefault="00987958" w:rsidP="009C3039">
            <w:pPr>
              <w:pStyle w:val="Tabletext"/>
              <w:keepNext/>
              <w:keepLines/>
              <w:jc w:val="center"/>
            </w:pPr>
            <w:r w:rsidRPr="00987958">
              <w:rPr>
                <w:color w:val="000000"/>
                <w:spacing w:val="105"/>
                <w:shd w:val="solid" w:color="000000" w:fill="000000"/>
                <w:fitText w:val="191" w:id="-1300528369"/>
                <w14:textFill>
                  <w14:solidFill>
                    <w14:srgbClr w14:val="000000">
                      <w14:alpha w14:val="100000"/>
                    </w14:srgbClr>
                  </w14:solidFill>
                </w14:textFill>
              </w:rPr>
              <w:t>|</w:t>
            </w:r>
            <w:r w:rsidRPr="00987958">
              <w:rPr>
                <w:color w:val="000000"/>
                <w:spacing w:val="1"/>
                <w:shd w:val="solid" w:color="000000" w:fill="000000"/>
                <w:fitText w:val="191" w:id="-1300528369"/>
                <w14:textFill>
                  <w14:solidFill>
                    <w14:srgbClr w14:val="000000">
                      <w14:alpha w14:val="100000"/>
                    </w14:srgbClr>
                  </w14:solidFill>
                </w14:textFill>
              </w:rPr>
              <w:t>|</w:t>
            </w:r>
            <w:r w:rsidR="002672BE" w:rsidRPr="004F7F88">
              <w:rPr>
                <w:iCs/>
                <w:szCs w:val="20"/>
                <w:vertAlign w:val="superscript"/>
              </w:rPr>
              <w:t>2</w:t>
            </w:r>
          </w:p>
        </w:tc>
        <w:tc>
          <w:tcPr>
            <w:tcW w:w="520" w:type="pct"/>
            <w:tcBorders>
              <w:top w:val="nil"/>
              <w:left w:val="nil"/>
              <w:bottom w:val="single" w:sz="4" w:space="0" w:color="auto"/>
              <w:right w:val="single" w:sz="4" w:space="0" w:color="auto"/>
            </w:tcBorders>
            <w:shd w:val="clear" w:color="auto" w:fill="FFFFFF" w:themeFill="background1"/>
            <w:vAlign w:val="center"/>
          </w:tcPr>
          <w:p w14:paraId="4014BF78" w14:textId="28B3C97C" w:rsidR="009E050C" w:rsidRPr="004F7F88" w:rsidRDefault="00987958" w:rsidP="009C3039">
            <w:pPr>
              <w:pStyle w:val="Tabletext"/>
              <w:keepNext/>
              <w:keepLines/>
              <w:jc w:val="center"/>
            </w:pPr>
            <w:r w:rsidRPr="00987958">
              <w:rPr>
                <w:rFonts w:hint="eastAsia"/>
                <w:color w:val="000000"/>
                <w:w w:val="28"/>
                <w:shd w:val="solid" w:color="000000" w:fill="000000"/>
                <w:fitText w:val="128" w:id="-1300528368"/>
                <w14:textFill>
                  <w14:solidFill>
                    <w14:srgbClr w14:val="000000">
                      <w14:alpha w14:val="100000"/>
                    </w14:srgbClr>
                  </w14:solidFill>
                </w14:textFill>
              </w:rPr>
              <w:t xml:space="preserve">　</w:t>
            </w:r>
            <w:r w:rsidRPr="00987958">
              <w:rPr>
                <w:color w:val="000000"/>
                <w:w w:val="28"/>
                <w:shd w:val="solid" w:color="000000" w:fill="000000"/>
                <w:fitText w:val="128" w:id="-1300528368"/>
                <w14:textFill>
                  <w14:solidFill>
                    <w14:srgbClr w14:val="000000">
                      <w14:alpha w14:val="100000"/>
                    </w14:srgbClr>
                  </w14:solidFill>
                </w14:textFill>
              </w:rPr>
              <w:t>|</w:t>
            </w:r>
            <w:r w:rsidRPr="00987958">
              <w:rPr>
                <w:rFonts w:hint="eastAsia"/>
                <w:color w:val="000000"/>
                <w:spacing w:val="6"/>
                <w:w w:val="28"/>
                <w:shd w:val="solid" w:color="000000" w:fill="000000"/>
                <w:fitText w:val="128" w:id="-1300528368"/>
                <w14:textFill>
                  <w14:solidFill>
                    <w14:srgbClr w14:val="000000">
                      <w14:alpha w14:val="100000"/>
                    </w14:srgbClr>
                  </w14:solidFill>
                </w14:textFill>
              </w:rPr>
              <w:t xml:space="preserve">　</w:t>
            </w:r>
            <w:r w:rsidR="002672BE" w:rsidRPr="004F7F88">
              <w:rPr>
                <w:iCs/>
                <w:szCs w:val="20"/>
                <w:vertAlign w:val="superscript"/>
              </w:rPr>
              <w:t>2</w:t>
            </w:r>
          </w:p>
        </w:tc>
        <w:tc>
          <w:tcPr>
            <w:tcW w:w="448" w:type="pct"/>
            <w:tcBorders>
              <w:top w:val="nil"/>
              <w:left w:val="nil"/>
              <w:bottom w:val="single" w:sz="4" w:space="0" w:color="auto"/>
              <w:right w:val="single" w:sz="4" w:space="0" w:color="auto"/>
            </w:tcBorders>
            <w:shd w:val="clear" w:color="auto" w:fill="FFFFFF" w:themeFill="background1"/>
            <w:vAlign w:val="center"/>
          </w:tcPr>
          <w:p w14:paraId="77022ACB" w14:textId="7E7497FF" w:rsidR="009E050C" w:rsidRPr="004F7F88" w:rsidRDefault="00987958" w:rsidP="009C3039">
            <w:pPr>
              <w:pStyle w:val="Tabletext"/>
              <w:keepNext/>
              <w:keepLines/>
              <w:jc w:val="center"/>
            </w:pPr>
            <w:r w:rsidRPr="00987958">
              <w:rPr>
                <w:color w:val="000000"/>
                <w:spacing w:val="105"/>
                <w:shd w:val="solid" w:color="000000" w:fill="000000"/>
                <w:fitText w:val="191" w:id="-1300528384"/>
                <w14:textFill>
                  <w14:solidFill>
                    <w14:srgbClr w14:val="000000">
                      <w14:alpha w14:val="100000"/>
                    </w14:srgbClr>
                  </w14:solidFill>
                </w14:textFill>
              </w:rPr>
              <w:t>|</w:t>
            </w:r>
            <w:r w:rsidRPr="00987958">
              <w:rPr>
                <w:color w:val="000000"/>
                <w:spacing w:val="1"/>
                <w:shd w:val="solid" w:color="000000" w:fill="000000"/>
                <w:fitText w:val="191" w:id="-1300528384"/>
                <w14:textFill>
                  <w14:solidFill>
                    <w14:srgbClr w14:val="000000">
                      <w14:alpha w14:val="100000"/>
                    </w14:srgbClr>
                  </w14:solidFill>
                </w14:textFill>
              </w:rPr>
              <w:t>|</w:t>
            </w:r>
            <w:r w:rsidR="002672BE" w:rsidRPr="004F7F88">
              <w:rPr>
                <w:iCs/>
                <w:szCs w:val="20"/>
                <w:vertAlign w:val="superscript"/>
              </w:rPr>
              <w:t>2</w:t>
            </w:r>
          </w:p>
        </w:tc>
        <w:tc>
          <w:tcPr>
            <w:tcW w:w="523" w:type="pct"/>
            <w:tcBorders>
              <w:top w:val="nil"/>
              <w:left w:val="nil"/>
              <w:bottom w:val="single" w:sz="4" w:space="0" w:color="auto"/>
              <w:right w:val="single" w:sz="4" w:space="0" w:color="auto"/>
            </w:tcBorders>
            <w:shd w:val="clear" w:color="auto" w:fill="FFFFFF" w:themeFill="background1"/>
            <w:vAlign w:val="center"/>
          </w:tcPr>
          <w:p w14:paraId="2930A389" w14:textId="3A458044" w:rsidR="009E050C" w:rsidRPr="004F7F88" w:rsidRDefault="00987958" w:rsidP="009C3039">
            <w:pPr>
              <w:pStyle w:val="Tabletext"/>
              <w:keepNext/>
              <w:keepLines/>
              <w:jc w:val="center"/>
            </w:pPr>
            <w:r w:rsidRPr="00987958">
              <w:rPr>
                <w:rFonts w:hint="eastAsia"/>
                <w:color w:val="000000"/>
                <w:w w:val="26"/>
                <w:shd w:val="solid" w:color="000000" w:fill="000000"/>
                <w:fitText w:val="118" w:id="-1300528383"/>
                <w14:textFill>
                  <w14:solidFill>
                    <w14:srgbClr w14:val="000000">
                      <w14:alpha w14:val="100000"/>
                    </w14:srgbClr>
                  </w14:solidFill>
                </w14:textFill>
              </w:rPr>
              <w:t xml:space="preserve">　</w:t>
            </w:r>
            <w:r w:rsidRPr="00987958">
              <w:rPr>
                <w:color w:val="000000"/>
                <w:w w:val="26"/>
                <w:shd w:val="solid" w:color="000000" w:fill="000000"/>
                <w:fitText w:val="118" w:id="-1300528383"/>
                <w14:textFill>
                  <w14:solidFill>
                    <w14:srgbClr w14:val="000000">
                      <w14:alpha w14:val="100000"/>
                    </w14:srgbClr>
                  </w14:solidFill>
                </w14:textFill>
              </w:rPr>
              <w:t>|</w:t>
            </w:r>
            <w:r w:rsidRPr="00987958">
              <w:rPr>
                <w:rFonts w:hint="eastAsia"/>
                <w:color w:val="000000"/>
                <w:spacing w:val="3"/>
                <w:w w:val="26"/>
                <w:shd w:val="solid" w:color="000000" w:fill="000000"/>
                <w:fitText w:val="118" w:id="-1300528383"/>
                <w14:textFill>
                  <w14:solidFill>
                    <w14:srgbClr w14:val="000000">
                      <w14:alpha w14:val="100000"/>
                    </w14:srgbClr>
                  </w14:solidFill>
                </w14:textFill>
              </w:rPr>
              <w:t xml:space="preserve">　</w:t>
            </w:r>
            <w:r w:rsidR="002672BE" w:rsidRPr="004F7F88">
              <w:rPr>
                <w:iCs/>
                <w:szCs w:val="20"/>
                <w:vertAlign w:val="superscript"/>
              </w:rPr>
              <w:t>2</w:t>
            </w:r>
          </w:p>
        </w:tc>
        <w:tc>
          <w:tcPr>
            <w:tcW w:w="428" w:type="pct"/>
            <w:tcBorders>
              <w:top w:val="nil"/>
              <w:left w:val="nil"/>
              <w:bottom w:val="single" w:sz="4" w:space="0" w:color="auto"/>
              <w:right w:val="single" w:sz="4" w:space="0" w:color="auto"/>
            </w:tcBorders>
            <w:shd w:val="clear" w:color="auto" w:fill="FFFFFF" w:themeFill="background1"/>
            <w:vAlign w:val="center"/>
          </w:tcPr>
          <w:p w14:paraId="49FE86ED" w14:textId="401745A9" w:rsidR="009E050C" w:rsidRPr="004F7F88" w:rsidRDefault="00987958" w:rsidP="009C3039">
            <w:pPr>
              <w:pStyle w:val="Tabletext"/>
              <w:keepNext/>
              <w:keepLines/>
              <w:jc w:val="center"/>
            </w:pPr>
            <w:r w:rsidRPr="00987958">
              <w:rPr>
                <w:color w:val="000000"/>
                <w:spacing w:val="123"/>
                <w:shd w:val="solid" w:color="000000" w:fill="000000"/>
                <w:fitText w:val="209" w:id="-1300528382"/>
                <w14:textFill>
                  <w14:solidFill>
                    <w14:srgbClr w14:val="000000">
                      <w14:alpha w14:val="100000"/>
                    </w14:srgbClr>
                  </w14:solidFill>
                </w14:textFill>
              </w:rPr>
              <w:t>|</w:t>
            </w:r>
            <w:r w:rsidRPr="00987958">
              <w:rPr>
                <w:color w:val="000000"/>
                <w:spacing w:val="1"/>
                <w:shd w:val="solid" w:color="000000" w:fill="000000"/>
                <w:fitText w:val="209" w:id="-1300528382"/>
                <w14:textFill>
                  <w14:solidFill>
                    <w14:srgbClr w14:val="000000">
                      <w14:alpha w14:val="100000"/>
                    </w14:srgbClr>
                  </w14:solidFill>
                </w14:textFill>
              </w:rPr>
              <w:t>|</w:t>
            </w:r>
            <w:r w:rsidR="002672BE" w:rsidRPr="004F7F88">
              <w:rPr>
                <w:iCs/>
                <w:szCs w:val="20"/>
                <w:vertAlign w:val="superscript"/>
              </w:rPr>
              <w:t>2</w:t>
            </w:r>
          </w:p>
        </w:tc>
      </w:tr>
    </w:tbl>
    <w:p w14:paraId="61823993" w14:textId="63065AB0" w:rsidR="00DF7AC4" w:rsidRPr="000C48F9" w:rsidRDefault="00DF7AC4" w:rsidP="009C3039">
      <w:pPr>
        <w:pStyle w:val="FooterTableFigure"/>
        <w:keepNext/>
        <w:keepLines/>
      </w:pPr>
      <w:r w:rsidRPr="000C48F9">
        <w:t xml:space="preserve">Source: </w:t>
      </w:r>
      <w:r w:rsidR="009E050C" w:rsidRPr="000C48F9">
        <w:t>TRI6-11_UCM-Release-3-Workbook-v018.xls, Worksheet 10.Reg</w:t>
      </w:r>
      <w:r w:rsidR="000C48F9">
        <w:t>i</w:t>
      </w:r>
      <w:r w:rsidR="009E050C" w:rsidRPr="000C48F9">
        <w:t xml:space="preserve">stry population, </w:t>
      </w:r>
    </w:p>
    <w:p w14:paraId="5BE79664" w14:textId="6AA65378" w:rsidR="00DF7AC4" w:rsidRPr="000C48F9" w:rsidRDefault="00DF7AC4" w:rsidP="009C3039">
      <w:pPr>
        <w:pStyle w:val="FooterTableFigure"/>
        <w:keepNext/>
        <w:keepLines/>
      </w:pPr>
      <w:r w:rsidRPr="000C48F9">
        <w:t xml:space="preserve">CFTR = Cystic fibrosis transmembrane conductance regulator; ELX/TEZ/IVA = elexacaftor/tezacaftor/ivacaftor; F/G = CF patient heterozygous for the F508del in the CFTR gene with a gating mutation; F/F = homozygous for F508del-CFTR mutations; F/MF = heterozygous for F508del-CFTR mutation with a second minimal function allele; F/R117H = CF patients who are heterozygous for F508del in the CFTR gene with a R117H mutation; F/RF = heterozygous for F508del-CFTR with a second residual function mutation; LUM/IVA = lumacaftor; PBS = Pharmaceutical Benefits Scheme; </w:t>
      </w:r>
    </w:p>
    <w:p w14:paraId="3503658C" w14:textId="69D17E86" w:rsidR="00677E86" w:rsidRPr="000C48F9" w:rsidRDefault="00677E86" w:rsidP="009C3039">
      <w:pPr>
        <w:pStyle w:val="FooterTableFigure"/>
        <w:keepNext/>
        <w:keepLines/>
        <w:rPr>
          <w:szCs w:val="18"/>
        </w:rPr>
      </w:pPr>
      <w:r w:rsidRPr="000C48F9">
        <w:rPr>
          <w:szCs w:val="18"/>
          <w:vertAlign w:val="superscript"/>
        </w:rPr>
        <w:t xml:space="preserve">a </w:t>
      </w:r>
      <w:r w:rsidRPr="000C48F9">
        <w:rPr>
          <w:szCs w:val="18"/>
        </w:rPr>
        <w:t xml:space="preserve">(annual agreed caps for LUM/IVA for F/F patients aged ≥ 2 years and TEZ/IVA for F/F and RF heterozygous patients aged ≥ 12 years) x (92%; estimated F/F patients aged ≥ 2 years) x (16%; </w:t>
      </w:r>
      <w:r w:rsidRPr="000C48F9">
        <w:rPr>
          <w:color w:val="000000" w:themeColor="text1"/>
          <w:szCs w:val="18"/>
        </w:rPr>
        <w:t>F/F patients aged 6 to 11</w:t>
      </w:r>
      <w:r w:rsidRPr="000C48F9">
        <w:rPr>
          <w:szCs w:val="18"/>
        </w:rPr>
        <w:t>)/($</w:t>
      </w:r>
      <w:r w:rsidR="00987958" w:rsidRPr="00987958">
        <w:rPr>
          <w:color w:val="000000"/>
          <w:spacing w:val="22"/>
          <w:szCs w:val="18"/>
          <w:shd w:val="solid" w:color="000000" w:fill="000000"/>
          <w:fitText w:val="226" w:id="-1300528381"/>
          <w14:textFill>
            <w14:solidFill>
              <w14:srgbClr w14:val="000000">
                <w14:alpha w14:val="100000"/>
              </w14:srgbClr>
            </w14:solidFill>
          </w14:textFill>
        </w:rPr>
        <w:t xml:space="preserve">|  </w:t>
      </w:r>
      <w:r w:rsidR="00987958" w:rsidRPr="00987958">
        <w:rPr>
          <w:color w:val="000000"/>
          <w:spacing w:val="2"/>
          <w:szCs w:val="18"/>
          <w:shd w:val="solid" w:color="000000" w:fill="000000"/>
          <w:fitText w:val="226" w:id="-1300528381"/>
          <w14:textFill>
            <w14:solidFill>
              <w14:srgbClr w14:val="000000">
                <w14:alpha w14:val="100000"/>
              </w14:srgbClr>
            </w14:solidFill>
          </w14:textFill>
        </w:rPr>
        <w:t>|</w:t>
      </w:r>
      <w:r w:rsidRPr="000C48F9">
        <w:rPr>
          <w:szCs w:val="18"/>
        </w:rPr>
        <w:t>; agreed cost per patient per year</w:t>
      </w:r>
      <w:r w:rsidR="00DD6EA4" w:rsidRPr="000C48F9">
        <w:rPr>
          <w:szCs w:val="18"/>
        </w:rPr>
        <w:t>).</w:t>
      </w:r>
    </w:p>
    <w:p w14:paraId="52C63B37" w14:textId="7500271D" w:rsidR="00DF7AC4" w:rsidRPr="000C48F9" w:rsidRDefault="00DF7AC4" w:rsidP="009C3039">
      <w:pPr>
        <w:pStyle w:val="FooterTableFigure"/>
        <w:keepNext/>
        <w:keepLines/>
        <w:rPr>
          <w:szCs w:val="18"/>
        </w:rPr>
      </w:pPr>
      <w:r w:rsidRPr="000C48F9">
        <w:rPr>
          <w:szCs w:val="18"/>
          <w:vertAlign w:val="superscript"/>
        </w:rPr>
        <w:t>b</w:t>
      </w:r>
      <w:r w:rsidRPr="000C48F9">
        <w:rPr>
          <w:szCs w:val="18"/>
        </w:rPr>
        <w:t xml:space="preserve"> (annual agreed previous IVA subsidisation caps for CF patients who have a G551D mutation or other gating (class III) mutation on at least one allele and who are aged ≥ 12 months) x (15%; A gating mutation on ≥ 1 allele patients aged 6–11 yrs) x (86%; F508del mutation (F/G) aged 6–11 yrs)/($</w:t>
      </w:r>
      <w:r w:rsidR="00987958" w:rsidRPr="00987958">
        <w:rPr>
          <w:color w:val="000000"/>
          <w:spacing w:val="22"/>
          <w:szCs w:val="18"/>
          <w:shd w:val="solid" w:color="000000" w:fill="000000"/>
          <w:fitText w:val="227" w:id="-1300528380"/>
          <w14:textFill>
            <w14:solidFill>
              <w14:srgbClr w14:val="000000">
                <w14:alpha w14:val="100000"/>
              </w14:srgbClr>
            </w14:solidFill>
          </w14:textFill>
        </w:rPr>
        <w:t xml:space="preserve">|  </w:t>
      </w:r>
      <w:r w:rsidR="00987958" w:rsidRPr="00987958">
        <w:rPr>
          <w:color w:val="000000"/>
          <w:spacing w:val="3"/>
          <w:szCs w:val="18"/>
          <w:shd w:val="solid" w:color="000000" w:fill="000000"/>
          <w:fitText w:val="227" w:id="-1300528380"/>
          <w14:textFill>
            <w14:solidFill>
              <w14:srgbClr w14:val="000000">
                <w14:alpha w14:val="100000"/>
              </w14:srgbClr>
            </w14:solidFill>
          </w14:textFill>
        </w:rPr>
        <w:t>|</w:t>
      </w:r>
      <w:r w:rsidRPr="000C48F9">
        <w:rPr>
          <w:szCs w:val="18"/>
        </w:rPr>
        <w:t>; agreed cost per patient per year)</w:t>
      </w:r>
    </w:p>
    <w:p w14:paraId="6961F8F3" w14:textId="57464168" w:rsidR="00677E86" w:rsidRDefault="00677E86" w:rsidP="004D0E54">
      <w:pPr>
        <w:pStyle w:val="FooterTableFigure"/>
        <w:keepNext/>
        <w:keepLines/>
        <w:spacing w:after="0"/>
        <w:rPr>
          <w:szCs w:val="18"/>
          <w:vertAlign w:val="superscript"/>
        </w:rPr>
      </w:pPr>
      <w:r w:rsidRPr="000C48F9">
        <w:rPr>
          <w:szCs w:val="18"/>
          <w:vertAlign w:val="superscript"/>
        </w:rPr>
        <w:t>c</w:t>
      </w:r>
      <w:r w:rsidRPr="000C48F9">
        <w:t>1.4% in Yr 1, 4.2% in Yr 2</w:t>
      </w:r>
      <w:r w:rsidRPr="000C48F9">
        <w:rPr>
          <w:szCs w:val="18"/>
          <w:vertAlign w:val="superscript"/>
        </w:rPr>
        <w:t xml:space="preserve"> </w:t>
      </w:r>
    </w:p>
    <w:p w14:paraId="11B0889C" w14:textId="77777777" w:rsidR="004D0E54" w:rsidRPr="009A6D58" w:rsidRDefault="004D0E54" w:rsidP="004D0E5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75715C" w14:textId="41B5A549" w:rsidR="004D0E54" w:rsidRDefault="004D0E54" w:rsidP="004D0E5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06B8D">
        <w:rPr>
          <w:rFonts w:ascii="Arial Narrow" w:hAnsi="Arial Narrow"/>
          <w:i/>
          <w:sz w:val="18"/>
          <w:szCs w:val="18"/>
        </w:rPr>
        <w:t>&lt; 500</w:t>
      </w:r>
    </w:p>
    <w:p w14:paraId="7092AD92" w14:textId="61B7DE6C" w:rsidR="00A611CC" w:rsidRDefault="00A611CC" w:rsidP="004D0E54">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206B8D">
        <w:rPr>
          <w:rFonts w:ascii="Arial Narrow" w:hAnsi="Arial Narrow"/>
          <w:i/>
          <w:sz w:val="18"/>
          <w:szCs w:val="18"/>
        </w:rPr>
        <w:t>500</w:t>
      </w:r>
      <w:r>
        <w:rPr>
          <w:rFonts w:ascii="Arial Narrow" w:hAnsi="Arial Narrow"/>
          <w:i/>
          <w:sz w:val="18"/>
          <w:szCs w:val="18"/>
        </w:rPr>
        <w:t xml:space="preserve"> to &lt; 5000</w:t>
      </w:r>
    </w:p>
    <w:p w14:paraId="56CF301A" w14:textId="77777777" w:rsidR="00A611CC" w:rsidRPr="009A6D58" w:rsidRDefault="00A611CC" w:rsidP="004D0E54">
      <w:pPr>
        <w:rPr>
          <w:rFonts w:ascii="Arial Narrow" w:hAnsi="Arial Narrow"/>
          <w:i/>
          <w:sz w:val="18"/>
          <w:szCs w:val="18"/>
        </w:rPr>
      </w:pPr>
    </w:p>
    <w:p w14:paraId="79E93104" w14:textId="65DCCE9E" w:rsidR="00B44292" w:rsidRPr="000C48F9" w:rsidRDefault="00B44292" w:rsidP="00B44292">
      <w:pPr>
        <w:pStyle w:val="3-BodyText"/>
        <w:rPr>
          <w:i/>
          <w:iCs/>
        </w:rPr>
      </w:pPr>
      <w:r w:rsidRPr="000C48F9">
        <w:t xml:space="preserve">The submission stated that the number of eligible patients estimated using the caps </w:t>
      </w:r>
      <w:r w:rsidR="00677E86" w:rsidRPr="000C48F9">
        <w:t xml:space="preserve">for the F/F population (i.e., </w:t>
      </w:r>
      <w:r w:rsidR="00CD52BD">
        <w:t>&lt; 500</w:t>
      </w:r>
      <w:r w:rsidR="00CD52BD" w:rsidRPr="000C48F9">
        <w:t xml:space="preserve"> </w:t>
      </w:r>
      <w:r w:rsidR="00677E86" w:rsidRPr="000C48F9">
        <w:t xml:space="preserve">in Year 1) </w:t>
      </w:r>
      <w:r w:rsidRPr="000C48F9">
        <w:t>was lower than the number of patients reported in the ACFDR</w:t>
      </w:r>
      <w:r w:rsidR="00677E86" w:rsidRPr="000C48F9">
        <w:t xml:space="preserve"> (263)</w:t>
      </w:r>
      <w:r w:rsidRPr="000C48F9">
        <w:t xml:space="preserve">, hence it was deemed appropriate to estimate how many patients were not being captured </w:t>
      </w:r>
      <w:r w:rsidR="008A293B" w:rsidRPr="000C48F9">
        <w:t xml:space="preserve">within </w:t>
      </w:r>
      <w:r w:rsidRPr="000C48F9">
        <w:t xml:space="preserve">the </w:t>
      </w:r>
      <w:r w:rsidR="008A293B" w:rsidRPr="000C48F9">
        <w:t xml:space="preserve">existing </w:t>
      </w:r>
      <w:r w:rsidRPr="000C48F9">
        <w:t>caps.</w:t>
      </w:r>
      <w:r w:rsidR="00677E86" w:rsidRPr="000C48F9">
        <w:t xml:space="preserve"> Of the additional </w:t>
      </w:r>
      <w:r w:rsidR="00703FA9">
        <w:t>&lt; 500</w:t>
      </w:r>
      <w:r w:rsidR="00703FA9" w:rsidRPr="000C48F9">
        <w:t xml:space="preserve"> </w:t>
      </w:r>
      <w:r w:rsidR="00677E86" w:rsidRPr="000C48F9">
        <w:t>patients</w:t>
      </w:r>
      <w:r w:rsidR="00BA003C" w:rsidRPr="000C48F9">
        <w:t xml:space="preserve">, </w:t>
      </w:r>
      <w:r w:rsidR="00703FA9">
        <w:t>&lt; 500</w:t>
      </w:r>
      <w:r w:rsidR="00703FA9" w:rsidRPr="000C48F9">
        <w:t xml:space="preserve"> </w:t>
      </w:r>
      <w:r w:rsidR="00BA003C" w:rsidRPr="000C48F9">
        <w:t>are currently accessing ELX/TEZ/IVA in clinical trials or through compassionate access.</w:t>
      </w:r>
      <w:r w:rsidR="00BA003C" w:rsidRPr="000C48F9">
        <w:rPr>
          <w:i/>
          <w:iCs/>
        </w:rPr>
        <w:t xml:space="preserve">  </w:t>
      </w:r>
    </w:p>
    <w:p w14:paraId="55F573D0" w14:textId="1BD91824" w:rsidR="00677E86" w:rsidRPr="000C48F9" w:rsidRDefault="00677E86" w:rsidP="00677E86">
      <w:pPr>
        <w:pStyle w:val="3-BodyText"/>
      </w:pPr>
      <w:bookmarkStart w:id="58" w:name="_Ref119950267"/>
      <w:r w:rsidRPr="000C48F9">
        <w:t xml:space="preserve">The submission stated the discontinuation </w:t>
      </w:r>
      <w:r w:rsidRPr="00703FA9">
        <w:t xml:space="preserve">rates for ELX/TEZ/IVA were derived from long-term clinical trials for patients aged </w:t>
      </w:r>
      <w:r w:rsidR="00722630" w:rsidRPr="00703FA9">
        <w:t xml:space="preserve">over 12 years of age </w:t>
      </w:r>
      <w:r w:rsidRPr="00703FA9">
        <w:t>and are expected to be reflective of patients in the requested population (1.4% in Year 1, 4.2% in Year 2). This is lower than the discontinuation rates accepted for the over 12 population (2.6%</w:t>
      </w:r>
      <w:r w:rsidRPr="000C48F9">
        <w:t xml:space="preserve"> in Year 1</w:t>
      </w:r>
      <w:r w:rsidRPr="00703FA9">
        <w:t>, 7.3% in</w:t>
      </w:r>
      <w:r w:rsidRPr="000C48F9">
        <w:t xml:space="preserve"> Year 2) (paragraph 5.17, ELX/TEZ/IVA PSD, December 2021 PBAC meeting). </w:t>
      </w:r>
      <w:r w:rsidR="00C9385A" w:rsidRPr="00EB1712">
        <w:t xml:space="preserve">The PSCR stated the discontinuation rates applied </w:t>
      </w:r>
      <w:r w:rsidR="00687DAA" w:rsidRPr="00EB1712">
        <w:t xml:space="preserve">to the 6 to 11 year population </w:t>
      </w:r>
      <w:r w:rsidR="00C9385A" w:rsidRPr="00EB1712">
        <w:t>are based on clinical evidence and real-world experience</w:t>
      </w:r>
      <w:r w:rsidR="00687DAA" w:rsidRPr="00EB1712">
        <w:t xml:space="preserve"> and contends it is not appropriate to apply the rates used for the </w:t>
      </w:r>
      <w:r w:rsidR="00687DAA" w:rsidRPr="00EB1712">
        <w:rPr>
          <w:rFonts w:cstheme="minorHAnsi"/>
        </w:rPr>
        <w:t>≥</w:t>
      </w:r>
      <w:r w:rsidR="00687DAA" w:rsidRPr="00EB1712">
        <w:t>12 population</w:t>
      </w:r>
      <w:r w:rsidR="00687DAA" w:rsidRPr="000C48F9">
        <w:rPr>
          <w:i/>
          <w:iCs/>
        </w:rPr>
        <w:t>.</w:t>
      </w:r>
      <w:bookmarkEnd w:id="58"/>
      <w:r w:rsidR="00687DAA" w:rsidRPr="000C48F9">
        <w:t xml:space="preserve">  </w:t>
      </w:r>
    </w:p>
    <w:p w14:paraId="5B83A95B" w14:textId="1C79CBD8" w:rsidR="00BA003C" w:rsidRPr="000C48F9" w:rsidRDefault="00FA6C55" w:rsidP="00677E86">
      <w:pPr>
        <w:pStyle w:val="3-BodyText"/>
      </w:pPr>
      <w:r w:rsidRPr="000C48F9">
        <w:t xml:space="preserve">The </w:t>
      </w:r>
      <w:r w:rsidR="00E77443" w:rsidRPr="000C48F9">
        <w:t xml:space="preserve">proportion of patients switching and uptake rates are summarised in </w:t>
      </w:r>
      <w:r w:rsidR="00E77443" w:rsidRPr="000C48F9">
        <w:fldChar w:fldCharType="begin" w:fldLock="1"/>
      </w:r>
      <w:r w:rsidR="00E77443" w:rsidRPr="000C48F9">
        <w:instrText xml:space="preserve"> REF _Ref113956793 \h </w:instrText>
      </w:r>
      <w:r w:rsidR="00055CCB" w:rsidRPr="000C48F9">
        <w:instrText xml:space="preserve"> \* MERGEFORMAT </w:instrText>
      </w:r>
      <w:r w:rsidR="00E77443" w:rsidRPr="000C48F9">
        <w:fldChar w:fldCharType="separate"/>
      </w:r>
      <w:r w:rsidR="009A1227" w:rsidRPr="000C48F9">
        <w:t xml:space="preserve">Table </w:t>
      </w:r>
      <w:r w:rsidR="009A1227">
        <w:t>21</w:t>
      </w:r>
      <w:r w:rsidR="00E77443" w:rsidRPr="000C48F9">
        <w:fldChar w:fldCharType="end"/>
      </w:r>
      <w:r w:rsidR="00E77443" w:rsidRPr="000C48F9">
        <w:t xml:space="preserve">. The submission </w:t>
      </w:r>
      <w:r w:rsidR="00055CCB" w:rsidRPr="000C48F9">
        <w:t xml:space="preserve">did not assume gradual switch or uptake with all patients initiating treatment with ELX/TEZ/IVA in the first year. </w:t>
      </w:r>
    </w:p>
    <w:p w14:paraId="0386B288" w14:textId="7B4CFBC7" w:rsidR="00B95295" w:rsidRPr="000C48F9" w:rsidRDefault="00B95295" w:rsidP="003E016D">
      <w:pPr>
        <w:pStyle w:val="TableFigureHeading"/>
        <w:keepLines/>
      </w:pPr>
      <w:bookmarkStart w:id="59" w:name="_Ref113956793"/>
      <w:r w:rsidRPr="000C48F9">
        <w:t xml:space="preserve">Table </w:t>
      </w:r>
      <w:r w:rsidR="008E430C">
        <w:fldChar w:fldCharType="begin" w:fldLock="1"/>
      </w:r>
      <w:r w:rsidR="008E430C">
        <w:instrText xml:space="preserve"> SEQ Table \* ARABIC </w:instrText>
      </w:r>
      <w:r w:rsidR="008E430C">
        <w:fldChar w:fldCharType="separate"/>
      </w:r>
      <w:r w:rsidR="009A1227">
        <w:rPr>
          <w:noProof/>
        </w:rPr>
        <w:t>21</w:t>
      </w:r>
      <w:r w:rsidR="008E430C">
        <w:rPr>
          <w:noProof/>
        </w:rPr>
        <w:fldChar w:fldCharType="end"/>
      </w:r>
      <w:bookmarkEnd w:id="59"/>
      <w:r w:rsidRPr="000C48F9">
        <w:t xml:space="preserve">: </w:t>
      </w:r>
      <w:r w:rsidR="00E77443" w:rsidRPr="000C48F9">
        <w:t xml:space="preserve">Proportion of patients switching CFTR treatments and uptake rates </w:t>
      </w:r>
    </w:p>
    <w:tbl>
      <w:tblPr>
        <w:tblStyle w:val="TableGrid"/>
        <w:tblW w:w="0" w:type="auto"/>
        <w:tblLook w:val="04A0" w:firstRow="1" w:lastRow="0" w:firstColumn="1" w:lastColumn="0" w:noHBand="0" w:noVBand="1"/>
      </w:tblPr>
      <w:tblGrid>
        <w:gridCol w:w="2140"/>
        <w:gridCol w:w="1716"/>
        <w:gridCol w:w="1613"/>
        <w:gridCol w:w="3548"/>
      </w:tblGrid>
      <w:tr w:rsidR="00B95295" w:rsidRPr="00703FA9" w14:paraId="092A5774" w14:textId="614E7456" w:rsidTr="00174268">
        <w:tc>
          <w:tcPr>
            <w:tcW w:w="0" w:type="auto"/>
          </w:tcPr>
          <w:p w14:paraId="6416A0FE" w14:textId="77777777" w:rsidR="00B95295" w:rsidRPr="00703FA9" w:rsidRDefault="00B95295" w:rsidP="003E016D">
            <w:pPr>
              <w:pStyle w:val="3-BodyText"/>
              <w:keepNext/>
              <w:keepLines/>
              <w:numPr>
                <w:ilvl w:val="0"/>
                <w:numId w:val="0"/>
              </w:numPr>
              <w:spacing w:after="0"/>
              <w:rPr>
                <w:rFonts w:ascii="Arial Narrow" w:hAnsi="Arial Narrow"/>
                <w:sz w:val="20"/>
                <w:szCs w:val="20"/>
              </w:rPr>
            </w:pPr>
          </w:p>
        </w:tc>
        <w:tc>
          <w:tcPr>
            <w:tcW w:w="0" w:type="auto"/>
          </w:tcPr>
          <w:p w14:paraId="532B1E1E" w14:textId="38B29F15" w:rsidR="00B95295" w:rsidRPr="00703FA9" w:rsidRDefault="00B95295" w:rsidP="003E016D">
            <w:pPr>
              <w:pStyle w:val="3-BodyText"/>
              <w:keepNext/>
              <w:keepLines/>
              <w:numPr>
                <w:ilvl w:val="0"/>
                <w:numId w:val="0"/>
              </w:numPr>
              <w:spacing w:after="0"/>
              <w:rPr>
                <w:rFonts w:ascii="Arial Narrow" w:hAnsi="Arial Narrow"/>
                <w:b/>
                <w:bCs/>
                <w:sz w:val="20"/>
                <w:szCs w:val="20"/>
              </w:rPr>
            </w:pPr>
            <w:r w:rsidRPr="00703FA9">
              <w:rPr>
                <w:rFonts w:ascii="Arial Narrow" w:hAnsi="Arial Narrow"/>
                <w:b/>
                <w:bCs/>
                <w:sz w:val="20"/>
                <w:szCs w:val="20"/>
              </w:rPr>
              <w:t>Accepted for over 12 years</w:t>
            </w:r>
          </w:p>
        </w:tc>
        <w:tc>
          <w:tcPr>
            <w:tcW w:w="0" w:type="auto"/>
          </w:tcPr>
          <w:p w14:paraId="382F49AE" w14:textId="7FEA9336" w:rsidR="00B95295" w:rsidRPr="00703FA9" w:rsidRDefault="00B95295" w:rsidP="003E016D">
            <w:pPr>
              <w:pStyle w:val="3-BodyText"/>
              <w:keepNext/>
              <w:keepLines/>
              <w:numPr>
                <w:ilvl w:val="0"/>
                <w:numId w:val="0"/>
              </w:numPr>
              <w:spacing w:after="0"/>
              <w:rPr>
                <w:rFonts w:ascii="Arial Narrow" w:hAnsi="Arial Narrow"/>
                <w:b/>
                <w:bCs/>
                <w:sz w:val="20"/>
                <w:szCs w:val="20"/>
              </w:rPr>
            </w:pPr>
            <w:r w:rsidRPr="00703FA9">
              <w:rPr>
                <w:rFonts w:ascii="Arial Narrow" w:hAnsi="Arial Narrow"/>
                <w:b/>
                <w:bCs/>
                <w:sz w:val="20"/>
                <w:szCs w:val="20"/>
              </w:rPr>
              <w:t>Proposed for 6 to 11 years</w:t>
            </w:r>
          </w:p>
        </w:tc>
        <w:tc>
          <w:tcPr>
            <w:tcW w:w="0" w:type="auto"/>
          </w:tcPr>
          <w:p w14:paraId="19D1F4B7" w14:textId="30C1D8D7" w:rsidR="00B95295" w:rsidRPr="00703FA9" w:rsidRDefault="00B95295" w:rsidP="003E016D">
            <w:pPr>
              <w:pStyle w:val="3-BodyText"/>
              <w:keepNext/>
              <w:keepLines/>
              <w:numPr>
                <w:ilvl w:val="0"/>
                <w:numId w:val="0"/>
              </w:numPr>
              <w:spacing w:after="0"/>
              <w:rPr>
                <w:rFonts w:ascii="Arial Narrow" w:hAnsi="Arial Narrow"/>
                <w:b/>
                <w:bCs/>
                <w:sz w:val="20"/>
                <w:szCs w:val="20"/>
              </w:rPr>
            </w:pPr>
            <w:r w:rsidRPr="00703FA9">
              <w:rPr>
                <w:rFonts w:ascii="Arial Narrow" w:hAnsi="Arial Narrow"/>
                <w:b/>
                <w:bCs/>
                <w:sz w:val="20"/>
                <w:szCs w:val="20"/>
              </w:rPr>
              <w:t>Comment</w:t>
            </w:r>
          </w:p>
        </w:tc>
      </w:tr>
      <w:tr w:rsidR="00E77443" w:rsidRPr="00703FA9" w14:paraId="38639FB8" w14:textId="26A5D26B" w:rsidTr="00174268">
        <w:tc>
          <w:tcPr>
            <w:tcW w:w="0" w:type="auto"/>
            <w:gridSpan w:val="4"/>
          </w:tcPr>
          <w:p w14:paraId="428626B7" w14:textId="25D3BB89" w:rsidR="00E77443" w:rsidRPr="00703FA9" w:rsidRDefault="00E77443"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 xml:space="preserve">F/F population </w:t>
            </w:r>
          </w:p>
        </w:tc>
      </w:tr>
      <w:tr w:rsidR="00B95295" w:rsidRPr="00703FA9" w14:paraId="3106322E" w14:textId="77777777" w:rsidTr="00174268">
        <w:tc>
          <w:tcPr>
            <w:tcW w:w="0" w:type="auto"/>
          </w:tcPr>
          <w:p w14:paraId="7C0C444F" w14:textId="4FAB2D12"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switch (in patients covered by Deed</w:t>
            </w:r>
            <w:r w:rsidR="00600087" w:rsidRPr="00703FA9">
              <w:rPr>
                <w:rFonts w:ascii="Arial Narrow" w:hAnsi="Arial Narrow"/>
                <w:sz w:val="20"/>
                <w:szCs w:val="20"/>
              </w:rPr>
              <w:t>)</w:t>
            </w:r>
          </w:p>
        </w:tc>
        <w:tc>
          <w:tcPr>
            <w:tcW w:w="0" w:type="auto"/>
          </w:tcPr>
          <w:p w14:paraId="7DA5729F" w14:textId="63AFA554"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90%</w:t>
            </w:r>
          </w:p>
        </w:tc>
        <w:tc>
          <w:tcPr>
            <w:tcW w:w="0" w:type="auto"/>
          </w:tcPr>
          <w:p w14:paraId="4F2B3B91" w14:textId="7ABF0FD3"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100%</w:t>
            </w:r>
          </w:p>
        </w:tc>
        <w:tc>
          <w:tcPr>
            <w:tcW w:w="0" w:type="auto"/>
          </w:tcPr>
          <w:p w14:paraId="76315DAD" w14:textId="77777777" w:rsidR="00B95295" w:rsidRPr="00703FA9" w:rsidRDefault="0049047D"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Over 12 years switching from TEZ/IVA, 6 to 11 years switching from LUM/IVA</w:t>
            </w:r>
            <w:r w:rsidR="00600087" w:rsidRPr="00703FA9">
              <w:rPr>
                <w:rFonts w:ascii="Arial Narrow" w:hAnsi="Arial Narrow"/>
                <w:sz w:val="20"/>
                <w:szCs w:val="20"/>
              </w:rPr>
              <w:t xml:space="preserve">. </w:t>
            </w:r>
          </w:p>
          <w:p w14:paraId="4899029E" w14:textId="2AC6BA3C" w:rsidR="00424E84" w:rsidRPr="00703FA9" w:rsidRDefault="00424E84"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 xml:space="preserve">May be overestimated. </w:t>
            </w:r>
          </w:p>
        </w:tc>
      </w:tr>
      <w:tr w:rsidR="00B95295" w:rsidRPr="00703FA9" w14:paraId="4ACE616F" w14:textId="77777777" w:rsidTr="00174268">
        <w:tc>
          <w:tcPr>
            <w:tcW w:w="0" w:type="auto"/>
          </w:tcPr>
          <w:p w14:paraId="48634679" w14:textId="0E783F42"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uptake (in patients not covered by Deed</w:t>
            </w:r>
            <w:r w:rsidR="0049047D" w:rsidRPr="00703FA9">
              <w:rPr>
                <w:rFonts w:ascii="Arial Narrow" w:hAnsi="Arial Narrow"/>
                <w:sz w:val="20"/>
                <w:szCs w:val="20"/>
              </w:rPr>
              <w:t>)</w:t>
            </w:r>
          </w:p>
        </w:tc>
        <w:tc>
          <w:tcPr>
            <w:tcW w:w="0" w:type="auto"/>
          </w:tcPr>
          <w:p w14:paraId="2393775C" w14:textId="16D6D54D"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70% in Yr 1 to 75% in Yr 6</w:t>
            </w:r>
          </w:p>
        </w:tc>
        <w:tc>
          <w:tcPr>
            <w:tcW w:w="0" w:type="auto"/>
          </w:tcPr>
          <w:p w14:paraId="6B56D15F" w14:textId="0F89478D"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98%</w:t>
            </w:r>
          </w:p>
        </w:tc>
        <w:tc>
          <w:tcPr>
            <w:tcW w:w="0" w:type="auto"/>
          </w:tcPr>
          <w:p w14:paraId="7CAB1841" w14:textId="513DCA7B" w:rsidR="00B95295" w:rsidRPr="00703FA9" w:rsidRDefault="00424E84"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May be overestimated</w:t>
            </w:r>
          </w:p>
        </w:tc>
      </w:tr>
      <w:tr w:rsidR="00E77443" w:rsidRPr="00703FA9" w14:paraId="0B343922" w14:textId="2F881E23" w:rsidTr="00174268">
        <w:tc>
          <w:tcPr>
            <w:tcW w:w="0" w:type="auto"/>
            <w:gridSpan w:val="4"/>
          </w:tcPr>
          <w:p w14:paraId="13F8EE86" w14:textId="06745305" w:rsidR="00E77443" w:rsidRPr="00703FA9" w:rsidRDefault="00E77443"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F/G</w:t>
            </w:r>
          </w:p>
        </w:tc>
      </w:tr>
      <w:tr w:rsidR="00B95295" w:rsidRPr="00703FA9" w14:paraId="2C683306" w14:textId="77777777" w:rsidTr="00174268">
        <w:tc>
          <w:tcPr>
            <w:tcW w:w="0" w:type="auto"/>
          </w:tcPr>
          <w:p w14:paraId="16ADF9EB" w14:textId="622250C5"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switch (in patients covered by Deed)</w:t>
            </w:r>
          </w:p>
        </w:tc>
        <w:tc>
          <w:tcPr>
            <w:tcW w:w="0" w:type="auto"/>
          </w:tcPr>
          <w:p w14:paraId="2B595A01" w14:textId="01E05A68"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60% in Yr 1, 80% Yr 2 to 6</w:t>
            </w:r>
          </w:p>
        </w:tc>
        <w:tc>
          <w:tcPr>
            <w:tcW w:w="0" w:type="auto"/>
          </w:tcPr>
          <w:p w14:paraId="1DDEA398" w14:textId="64B530B4"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 xml:space="preserve">100% </w:t>
            </w:r>
          </w:p>
        </w:tc>
        <w:tc>
          <w:tcPr>
            <w:tcW w:w="0" w:type="auto"/>
          </w:tcPr>
          <w:p w14:paraId="0136BFC9" w14:textId="4A8DA2E1" w:rsidR="00B95295" w:rsidRPr="00703FA9" w:rsidRDefault="00424E84"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May be overestimated</w:t>
            </w:r>
          </w:p>
        </w:tc>
      </w:tr>
      <w:tr w:rsidR="00B95295" w:rsidRPr="00703FA9" w14:paraId="3B43CD70" w14:textId="77777777" w:rsidTr="00174268">
        <w:tc>
          <w:tcPr>
            <w:tcW w:w="0" w:type="auto"/>
          </w:tcPr>
          <w:p w14:paraId="0185A6BB" w14:textId="7E5015A7"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uptake (in patients not covered by Deed)</w:t>
            </w:r>
          </w:p>
        </w:tc>
        <w:tc>
          <w:tcPr>
            <w:tcW w:w="0" w:type="auto"/>
          </w:tcPr>
          <w:p w14:paraId="7F5A04B5" w14:textId="215486E1"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40% in Yr 1 to 60% in Yr 6</w:t>
            </w:r>
          </w:p>
        </w:tc>
        <w:tc>
          <w:tcPr>
            <w:tcW w:w="0" w:type="auto"/>
          </w:tcPr>
          <w:p w14:paraId="3B739D79" w14:textId="6C995164" w:rsidR="00B95295" w:rsidRPr="00703FA9" w:rsidRDefault="0049047D"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w:t>
            </w:r>
          </w:p>
        </w:tc>
        <w:tc>
          <w:tcPr>
            <w:tcW w:w="0" w:type="auto"/>
          </w:tcPr>
          <w:p w14:paraId="5D6D0ACA" w14:textId="77777777" w:rsidR="00B95295" w:rsidRPr="00703FA9" w:rsidRDefault="00B95295" w:rsidP="003E016D">
            <w:pPr>
              <w:pStyle w:val="3-BodyText"/>
              <w:keepNext/>
              <w:keepLines/>
              <w:numPr>
                <w:ilvl w:val="0"/>
                <w:numId w:val="0"/>
              </w:numPr>
              <w:spacing w:after="0"/>
              <w:rPr>
                <w:rFonts w:ascii="Arial Narrow" w:hAnsi="Arial Narrow"/>
                <w:sz w:val="20"/>
                <w:szCs w:val="20"/>
              </w:rPr>
            </w:pPr>
          </w:p>
        </w:tc>
      </w:tr>
      <w:tr w:rsidR="00E77443" w:rsidRPr="00703FA9" w14:paraId="2B38E60D" w14:textId="4FE33AEF" w:rsidTr="00174268">
        <w:tc>
          <w:tcPr>
            <w:tcW w:w="0" w:type="auto"/>
            <w:gridSpan w:val="4"/>
          </w:tcPr>
          <w:p w14:paraId="5B58BBC3" w14:textId="06C6A7AE" w:rsidR="00E77443" w:rsidRPr="00703FA9" w:rsidRDefault="00E77443"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F/MF</w:t>
            </w:r>
          </w:p>
        </w:tc>
      </w:tr>
      <w:tr w:rsidR="00B95295" w:rsidRPr="00703FA9" w14:paraId="388C86BA" w14:textId="762818FB" w:rsidTr="00174268">
        <w:tc>
          <w:tcPr>
            <w:tcW w:w="0" w:type="auto"/>
          </w:tcPr>
          <w:p w14:paraId="7CF59D1F" w14:textId="64D55C1D"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uptake</w:t>
            </w:r>
          </w:p>
        </w:tc>
        <w:tc>
          <w:tcPr>
            <w:tcW w:w="0" w:type="auto"/>
          </w:tcPr>
          <w:p w14:paraId="7599B44E" w14:textId="3FDF97DA"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95%</w:t>
            </w:r>
          </w:p>
        </w:tc>
        <w:tc>
          <w:tcPr>
            <w:tcW w:w="0" w:type="auto"/>
          </w:tcPr>
          <w:p w14:paraId="24A712E4" w14:textId="5C2D6376"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98%</w:t>
            </w:r>
          </w:p>
        </w:tc>
        <w:tc>
          <w:tcPr>
            <w:tcW w:w="0" w:type="auto"/>
          </w:tcPr>
          <w:p w14:paraId="7B5339A9" w14:textId="1A3AA11C" w:rsidR="00B95295" w:rsidRPr="00703FA9" w:rsidRDefault="00424E84"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Uncertain if higher uptake reasonable.</w:t>
            </w:r>
          </w:p>
        </w:tc>
      </w:tr>
      <w:tr w:rsidR="00E77443" w:rsidRPr="00703FA9" w14:paraId="05175D2F" w14:textId="42D7F890" w:rsidTr="00174268">
        <w:tc>
          <w:tcPr>
            <w:tcW w:w="0" w:type="auto"/>
            <w:gridSpan w:val="4"/>
          </w:tcPr>
          <w:p w14:paraId="72678300" w14:textId="491C659C" w:rsidR="00E77443" w:rsidRPr="00703FA9" w:rsidRDefault="00E77443"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F/RF</w:t>
            </w:r>
          </w:p>
        </w:tc>
      </w:tr>
      <w:tr w:rsidR="00B95295" w:rsidRPr="00703FA9" w14:paraId="15F8F1D0" w14:textId="77777777" w:rsidTr="00174268">
        <w:tc>
          <w:tcPr>
            <w:tcW w:w="0" w:type="auto"/>
          </w:tcPr>
          <w:p w14:paraId="7752F172" w14:textId="5BBCCDE7" w:rsidR="00B95295" w:rsidRPr="00703FA9" w:rsidRDefault="00E77443"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S</w:t>
            </w:r>
            <w:r w:rsidR="00B95295" w:rsidRPr="00703FA9">
              <w:rPr>
                <w:rFonts w:ascii="Arial Narrow" w:hAnsi="Arial Narrow"/>
                <w:sz w:val="20"/>
                <w:szCs w:val="20"/>
              </w:rPr>
              <w:t>witch</w:t>
            </w:r>
            <w:r w:rsidRPr="00703FA9">
              <w:rPr>
                <w:rFonts w:ascii="Arial Narrow" w:hAnsi="Arial Narrow"/>
                <w:sz w:val="20"/>
                <w:szCs w:val="20"/>
              </w:rPr>
              <w:t xml:space="preserve"> (in patients covered by Deed)</w:t>
            </w:r>
          </w:p>
        </w:tc>
        <w:tc>
          <w:tcPr>
            <w:tcW w:w="0" w:type="auto"/>
          </w:tcPr>
          <w:p w14:paraId="4405A5FD" w14:textId="7F40F4B1"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90%</w:t>
            </w:r>
          </w:p>
        </w:tc>
        <w:tc>
          <w:tcPr>
            <w:tcW w:w="0" w:type="auto"/>
          </w:tcPr>
          <w:p w14:paraId="27BDB341" w14:textId="79F8301F"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w:t>
            </w:r>
          </w:p>
        </w:tc>
        <w:tc>
          <w:tcPr>
            <w:tcW w:w="0" w:type="auto"/>
          </w:tcPr>
          <w:p w14:paraId="33927E02" w14:textId="4D80A599" w:rsidR="00B95295" w:rsidRPr="00703FA9" w:rsidRDefault="0049047D"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 xml:space="preserve">No </w:t>
            </w:r>
            <w:r w:rsidR="002C420D" w:rsidRPr="00703FA9">
              <w:rPr>
                <w:rFonts w:ascii="Arial Narrow" w:hAnsi="Arial Narrow"/>
                <w:sz w:val="20"/>
                <w:szCs w:val="20"/>
              </w:rPr>
              <w:t xml:space="preserve">current </w:t>
            </w:r>
            <w:r w:rsidRPr="00703FA9">
              <w:rPr>
                <w:rFonts w:ascii="Arial Narrow" w:hAnsi="Arial Narrow"/>
                <w:sz w:val="20"/>
                <w:szCs w:val="20"/>
              </w:rPr>
              <w:t xml:space="preserve">treatment option for </w:t>
            </w:r>
            <w:r w:rsidR="002C420D" w:rsidRPr="00703FA9">
              <w:rPr>
                <w:rFonts w:ascii="Arial Narrow" w:hAnsi="Arial Narrow"/>
                <w:sz w:val="20"/>
                <w:szCs w:val="20"/>
              </w:rPr>
              <w:t xml:space="preserve">population </w:t>
            </w:r>
            <w:r w:rsidRPr="00703FA9">
              <w:rPr>
                <w:rFonts w:ascii="Arial Narrow" w:hAnsi="Arial Narrow"/>
                <w:sz w:val="20"/>
                <w:szCs w:val="20"/>
              </w:rPr>
              <w:t xml:space="preserve">aged 6 to 11 years.  </w:t>
            </w:r>
          </w:p>
        </w:tc>
      </w:tr>
      <w:tr w:rsidR="00B95295" w:rsidRPr="00703FA9" w14:paraId="0A2DC8B6" w14:textId="77777777" w:rsidTr="00174268">
        <w:tc>
          <w:tcPr>
            <w:tcW w:w="0" w:type="auto"/>
          </w:tcPr>
          <w:p w14:paraId="0631EE40" w14:textId="472FD2EB"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uptake</w:t>
            </w:r>
          </w:p>
        </w:tc>
        <w:tc>
          <w:tcPr>
            <w:tcW w:w="0" w:type="auto"/>
          </w:tcPr>
          <w:p w14:paraId="448DB27D" w14:textId="5AF4EEC6"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40% in Year 1 to 60% in Year 6</w:t>
            </w:r>
          </w:p>
        </w:tc>
        <w:tc>
          <w:tcPr>
            <w:tcW w:w="0" w:type="auto"/>
          </w:tcPr>
          <w:p w14:paraId="0B0549D1" w14:textId="17E5EC1A"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 xml:space="preserve">80% </w:t>
            </w:r>
          </w:p>
        </w:tc>
        <w:tc>
          <w:tcPr>
            <w:tcW w:w="0" w:type="auto"/>
          </w:tcPr>
          <w:p w14:paraId="64ED99AF" w14:textId="77777777" w:rsidR="00B95295" w:rsidRPr="00703FA9" w:rsidRDefault="00B95295" w:rsidP="003E016D">
            <w:pPr>
              <w:pStyle w:val="3-BodyText"/>
              <w:keepNext/>
              <w:keepLines/>
              <w:numPr>
                <w:ilvl w:val="0"/>
                <w:numId w:val="0"/>
              </w:numPr>
              <w:spacing w:after="0"/>
              <w:rPr>
                <w:rFonts w:ascii="Arial Narrow" w:hAnsi="Arial Narrow"/>
                <w:sz w:val="20"/>
                <w:szCs w:val="20"/>
              </w:rPr>
            </w:pPr>
          </w:p>
        </w:tc>
      </w:tr>
      <w:tr w:rsidR="00E77443" w:rsidRPr="00703FA9" w14:paraId="2D1831D6" w14:textId="77777777" w:rsidTr="00174268">
        <w:tc>
          <w:tcPr>
            <w:tcW w:w="0" w:type="auto"/>
            <w:gridSpan w:val="4"/>
          </w:tcPr>
          <w:p w14:paraId="60260199" w14:textId="0CCFB415" w:rsidR="00E77443" w:rsidRPr="00703FA9" w:rsidRDefault="00E77443"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F/R117H</w:t>
            </w:r>
          </w:p>
        </w:tc>
      </w:tr>
      <w:tr w:rsidR="00B95295" w:rsidRPr="00174268" w14:paraId="20B592F3" w14:textId="77777777" w:rsidTr="00174268">
        <w:tc>
          <w:tcPr>
            <w:tcW w:w="0" w:type="auto"/>
          </w:tcPr>
          <w:p w14:paraId="2AF62CA1" w14:textId="440D3FA6" w:rsidR="00B95295" w:rsidRPr="00703FA9" w:rsidRDefault="00B95295" w:rsidP="003E016D">
            <w:pPr>
              <w:pStyle w:val="3-BodyText"/>
              <w:keepNext/>
              <w:keepLines/>
              <w:numPr>
                <w:ilvl w:val="0"/>
                <w:numId w:val="0"/>
              </w:numPr>
              <w:spacing w:after="0"/>
              <w:ind w:left="176"/>
              <w:rPr>
                <w:rFonts w:ascii="Arial Narrow" w:hAnsi="Arial Narrow"/>
                <w:sz w:val="20"/>
                <w:szCs w:val="20"/>
              </w:rPr>
            </w:pPr>
            <w:r w:rsidRPr="00703FA9">
              <w:rPr>
                <w:rFonts w:ascii="Arial Narrow" w:hAnsi="Arial Narrow"/>
                <w:sz w:val="20"/>
                <w:szCs w:val="20"/>
              </w:rPr>
              <w:t>uptake</w:t>
            </w:r>
          </w:p>
        </w:tc>
        <w:tc>
          <w:tcPr>
            <w:tcW w:w="0" w:type="auto"/>
          </w:tcPr>
          <w:p w14:paraId="411AF92D" w14:textId="7D26D780"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 xml:space="preserve">60% </w:t>
            </w:r>
          </w:p>
        </w:tc>
        <w:tc>
          <w:tcPr>
            <w:tcW w:w="0" w:type="auto"/>
          </w:tcPr>
          <w:p w14:paraId="42D60146" w14:textId="7E8D7FCD" w:rsidR="00B95295" w:rsidRPr="00703FA9" w:rsidRDefault="00B95295" w:rsidP="003E016D">
            <w:pPr>
              <w:pStyle w:val="3-BodyText"/>
              <w:keepNext/>
              <w:keepLines/>
              <w:numPr>
                <w:ilvl w:val="0"/>
                <w:numId w:val="0"/>
              </w:numPr>
              <w:spacing w:after="0"/>
              <w:rPr>
                <w:rFonts w:ascii="Arial Narrow" w:hAnsi="Arial Narrow"/>
                <w:sz w:val="20"/>
                <w:szCs w:val="20"/>
              </w:rPr>
            </w:pPr>
            <w:r w:rsidRPr="00703FA9">
              <w:rPr>
                <w:rFonts w:ascii="Arial Narrow" w:hAnsi="Arial Narrow" w:cs="Calibri"/>
                <w:sz w:val="20"/>
                <w:szCs w:val="20"/>
              </w:rPr>
              <w:t>80%</w:t>
            </w:r>
          </w:p>
        </w:tc>
        <w:tc>
          <w:tcPr>
            <w:tcW w:w="0" w:type="auto"/>
          </w:tcPr>
          <w:p w14:paraId="26FBB0AD" w14:textId="14442F56" w:rsidR="00B95295" w:rsidRPr="00174268" w:rsidRDefault="002C420D" w:rsidP="003E016D">
            <w:pPr>
              <w:pStyle w:val="3-BodyText"/>
              <w:keepNext/>
              <w:keepLines/>
              <w:numPr>
                <w:ilvl w:val="0"/>
                <w:numId w:val="0"/>
              </w:numPr>
              <w:spacing w:after="0"/>
              <w:rPr>
                <w:rFonts w:ascii="Arial Narrow" w:hAnsi="Arial Narrow"/>
                <w:sz w:val="20"/>
                <w:szCs w:val="20"/>
              </w:rPr>
            </w:pPr>
            <w:r w:rsidRPr="00703FA9">
              <w:rPr>
                <w:rFonts w:ascii="Arial Narrow" w:hAnsi="Arial Narrow"/>
                <w:sz w:val="20"/>
                <w:szCs w:val="20"/>
              </w:rPr>
              <w:t>Uncertain if higher uptake reasonable.</w:t>
            </w:r>
            <w:r w:rsidRPr="00174268">
              <w:rPr>
                <w:rFonts w:ascii="Arial Narrow" w:hAnsi="Arial Narrow"/>
                <w:sz w:val="20"/>
                <w:szCs w:val="20"/>
              </w:rPr>
              <w:t xml:space="preserve"> </w:t>
            </w:r>
          </w:p>
        </w:tc>
      </w:tr>
    </w:tbl>
    <w:p w14:paraId="11EA3C84" w14:textId="39573C35" w:rsidR="003E016D" w:rsidRPr="000C48F9" w:rsidRDefault="003E016D" w:rsidP="003E016D">
      <w:pPr>
        <w:pStyle w:val="FooterTableFigure"/>
      </w:pPr>
      <w:r w:rsidRPr="000C48F9">
        <w:t>CFTR = Cystic fibrosis transmembrane conductance regulator; F/G = CF patient heterozygous for the F508del in the CFTR gene with a gating mutation; F/F = homozygous for F508del-CFTR mutations; F/MF = heterozygous for F508del-CFTR mutation with a second minimal function allele; F/R117H = CF patients who are heterozygous for F508del in the CFTR gene with a R117H mutation; F/RF = heterozygous for F508del-CFTR with a second residual function mutation; LUM/IVA = lumacaftor ivacaftor; TEZ/ IVA = tezacaftor ivacaftor</w:t>
      </w:r>
    </w:p>
    <w:p w14:paraId="6F6F70EB" w14:textId="3307BBB8" w:rsidR="00C9385A" w:rsidRPr="00EB1712" w:rsidRDefault="00C9385A" w:rsidP="00B44292">
      <w:pPr>
        <w:pStyle w:val="3-BodyText"/>
      </w:pPr>
      <w:r w:rsidRPr="00EB1712">
        <w:t>The PSCR stated uptake in younger age groups is expected to be higher and faster (than in the older patients), primarily due to parental management of treatment, whereby the vast majority will elect for treatment that prevents disease progression and lung damage in their child as soon as they are eligible.</w:t>
      </w:r>
      <w:r w:rsidR="007C789C" w:rsidRPr="00EB1712">
        <w:t xml:space="preserve"> In addition to a high uptake in Year 1, the ESC noted it was assumed all patients would receive a full year of treatment which would require everyone to initiate treatment on the first day of listing.  </w:t>
      </w:r>
    </w:p>
    <w:p w14:paraId="6BB66EBA" w14:textId="435A049A" w:rsidR="00B44292" w:rsidRPr="004E4E8B" w:rsidRDefault="00860847" w:rsidP="00B44292">
      <w:pPr>
        <w:pStyle w:val="3-BodyText"/>
      </w:pPr>
      <w:r w:rsidRPr="000C48F9">
        <w:t xml:space="preserve">The submission assumed compliance to </w:t>
      </w:r>
      <w:r w:rsidRPr="004E4E8B">
        <w:t xml:space="preserve">be 95%, informed by internal Australian market data of patients aged 6–11 years on existing CFTR modulators, and of ELX/TEZ/IVA compliance in global markets. The submission further stated that it has been consistently observed that compliance is higher in younger populations due to parental supervision. </w:t>
      </w:r>
      <w:r w:rsidR="00B44292" w:rsidRPr="004E4E8B">
        <w:t xml:space="preserve">The use of a compliance rate of 95% </w:t>
      </w:r>
      <w:r w:rsidR="008F2F6A" w:rsidRPr="004E4E8B">
        <w:t>is inconsistent with the</w:t>
      </w:r>
      <w:r w:rsidR="009F4047" w:rsidRPr="004E4E8B">
        <w:t xml:space="preserve"> 90% used in the economic model and </w:t>
      </w:r>
      <w:r w:rsidR="00B44292" w:rsidRPr="004E4E8B">
        <w:t>high</w:t>
      </w:r>
      <w:r w:rsidR="005F095E" w:rsidRPr="004E4E8B">
        <w:t>er</w:t>
      </w:r>
      <w:r w:rsidR="00B44292" w:rsidRPr="004E4E8B">
        <w:t xml:space="preserve"> </w:t>
      </w:r>
      <w:r w:rsidR="00BA003C" w:rsidRPr="004E4E8B">
        <w:t>than</w:t>
      </w:r>
      <w:r w:rsidR="00DC5FD0" w:rsidRPr="004E4E8B">
        <w:t xml:space="preserve"> the</w:t>
      </w:r>
      <w:r w:rsidR="00B44292" w:rsidRPr="004E4E8B">
        <w:t xml:space="preserve"> 90%</w:t>
      </w:r>
      <w:r w:rsidR="00377924" w:rsidRPr="004E4E8B">
        <w:t xml:space="preserve"> accepted for the </w:t>
      </w:r>
      <w:r w:rsidR="00B44292" w:rsidRPr="004E4E8B">
        <w:t>≥12 years</w:t>
      </w:r>
      <w:r w:rsidR="00377924" w:rsidRPr="004E4E8B">
        <w:t xml:space="preserve"> population</w:t>
      </w:r>
      <w:r w:rsidR="00D83B7D" w:rsidRPr="004E4E8B">
        <w:t xml:space="preserve"> (</w:t>
      </w:r>
      <w:r w:rsidR="00377924" w:rsidRPr="004E4E8B">
        <w:t>paragraph 8.1</w:t>
      </w:r>
      <w:r w:rsidR="00B44292" w:rsidRPr="004E4E8B">
        <w:t xml:space="preserve">, ELX/TEZ/IVA PSD, December 2021). </w:t>
      </w:r>
    </w:p>
    <w:p w14:paraId="5C762B59" w14:textId="35B67BC7" w:rsidR="00B44292" w:rsidRPr="000C48F9" w:rsidRDefault="00B44292" w:rsidP="00B44292">
      <w:pPr>
        <w:pStyle w:val="3-BodyText"/>
      </w:pPr>
      <w:r w:rsidRPr="000C48F9">
        <w:t>A summary of the estimated use and financial implications is presented in</w:t>
      </w:r>
      <w:r w:rsidR="007F4CA0" w:rsidRPr="000C48F9">
        <w:t xml:space="preserve"> </w:t>
      </w:r>
      <w:r w:rsidR="00C3277F" w:rsidRPr="000C48F9">
        <w:fldChar w:fldCharType="begin" w:fldLock="1"/>
      </w:r>
      <w:r w:rsidR="00C3277F" w:rsidRPr="000C48F9">
        <w:instrText xml:space="preserve"> REF _Ref112923614 \h </w:instrText>
      </w:r>
      <w:r w:rsidR="00C3277F" w:rsidRPr="000C48F9">
        <w:fldChar w:fldCharType="separate"/>
      </w:r>
      <w:r w:rsidR="009A1227" w:rsidRPr="000C48F9">
        <w:t xml:space="preserve">Table </w:t>
      </w:r>
      <w:r w:rsidR="009A1227">
        <w:rPr>
          <w:noProof/>
        </w:rPr>
        <w:t>22</w:t>
      </w:r>
      <w:r w:rsidR="00C3277F" w:rsidRPr="000C48F9">
        <w:fldChar w:fldCharType="end"/>
      </w:r>
      <w:r w:rsidR="00B658D7" w:rsidRPr="000C48F9">
        <w:t>.</w:t>
      </w:r>
      <w:r w:rsidRPr="000C48F9">
        <w:t xml:space="preserve"> </w:t>
      </w:r>
    </w:p>
    <w:p w14:paraId="3C69E9EC" w14:textId="120BBF9B" w:rsidR="00B44292" w:rsidRPr="000C48F9" w:rsidRDefault="00B44292" w:rsidP="00B658D7">
      <w:pPr>
        <w:pStyle w:val="TableHeading"/>
      </w:pPr>
      <w:bookmarkStart w:id="60" w:name="_Ref112923614"/>
      <w:r w:rsidRPr="000C48F9">
        <w:t xml:space="preserve">Table </w:t>
      </w:r>
      <w:r w:rsidR="008E430C">
        <w:fldChar w:fldCharType="begin" w:fldLock="1"/>
      </w:r>
      <w:r w:rsidR="008E430C">
        <w:instrText xml:space="preserve"> SEQ Table \* ARABIC </w:instrText>
      </w:r>
      <w:r w:rsidR="008E430C">
        <w:fldChar w:fldCharType="separate"/>
      </w:r>
      <w:r w:rsidR="009A1227">
        <w:rPr>
          <w:noProof/>
        </w:rPr>
        <w:t>22</w:t>
      </w:r>
      <w:r w:rsidR="008E430C">
        <w:rPr>
          <w:noProof/>
        </w:rPr>
        <w:fldChar w:fldCharType="end"/>
      </w:r>
      <w:bookmarkEnd w:id="60"/>
      <w:r w:rsidRPr="000C48F9">
        <w:t>:</w:t>
      </w:r>
      <w:r w:rsidRPr="000C48F9">
        <w:rPr>
          <w:rStyle w:val="CommentReference"/>
          <w:b/>
          <w:szCs w:val="24"/>
        </w:rPr>
        <w:t xml:space="preserve"> Estimated use and financial implications</w:t>
      </w:r>
      <w:r w:rsidR="000A560C">
        <w:rPr>
          <w:rStyle w:val="CommentReference"/>
          <w:b/>
          <w:szCs w:val="24"/>
        </w:rPr>
        <w:t xml:space="preserve"> (using pack price as revised in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33"/>
        <w:gridCol w:w="1068"/>
        <w:gridCol w:w="1102"/>
        <w:gridCol w:w="1102"/>
        <w:gridCol w:w="1102"/>
        <w:gridCol w:w="1105"/>
      </w:tblGrid>
      <w:tr w:rsidR="00B44292" w:rsidRPr="000C48F9" w14:paraId="074164AB" w14:textId="77777777" w:rsidTr="000C4217">
        <w:trPr>
          <w:tblHeader/>
        </w:trPr>
        <w:tc>
          <w:tcPr>
            <w:tcW w:w="1334" w:type="pct"/>
            <w:shd w:val="clear" w:color="auto" w:fill="auto"/>
            <w:vAlign w:val="center"/>
          </w:tcPr>
          <w:p w14:paraId="463FCE7D" w14:textId="77777777" w:rsidR="00B44292" w:rsidRPr="000C48F9" w:rsidRDefault="00B44292" w:rsidP="00606FBA">
            <w:pPr>
              <w:pStyle w:val="In-tableHeading"/>
              <w:jc w:val="center"/>
              <w:rPr>
                <w:lang w:val="en-AU"/>
              </w:rPr>
            </w:pPr>
          </w:p>
        </w:tc>
        <w:tc>
          <w:tcPr>
            <w:tcW w:w="628" w:type="pct"/>
            <w:shd w:val="clear" w:color="auto" w:fill="auto"/>
            <w:vAlign w:val="center"/>
          </w:tcPr>
          <w:p w14:paraId="18E15D64" w14:textId="77777777" w:rsidR="00B44292" w:rsidRPr="000C48F9" w:rsidRDefault="00B44292" w:rsidP="00606FBA">
            <w:pPr>
              <w:pStyle w:val="In-tableHeading"/>
              <w:jc w:val="center"/>
              <w:rPr>
                <w:lang w:val="en-AU"/>
              </w:rPr>
            </w:pPr>
            <w:r w:rsidRPr="000C48F9">
              <w:rPr>
                <w:lang w:val="en-AU"/>
              </w:rPr>
              <w:t>Year 1</w:t>
            </w:r>
          </w:p>
        </w:tc>
        <w:tc>
          <w:tcPr>
            <w:tcW w:w="592" w:type="pct"/>
            <w:shd w:val="clear" w:color="auto" w:fill="auto"/>
            <w:vAlign w:val="center"/>
          </w:tcPr>
          <w:p w14:paraId="18C87FDA" w14:textId="77777777" w:rsidR="00B44292" w:rsidRPr="000C48F9" w:rsidRDefault="00B44292" w:rsidP="00606FBA">
            <w:pPr>
              <w:pStyle w:val="In-tableHeading"/>
              <w:jc w:val="center"/>
              <w:rPr>
                <w:lang w:val="en-AU"/>
              </w:rPr>
            </w:pPr>
            <w:r w:rsidRPr="000C48F9">
              <w:rPr>
                <w:lang w:val="en-AU"/>
              </w:rPr>
              <w:t>Year 2</w:t>
            </w:r>
          </w:p>
        </w:tc>
        <w:tc>
          <w:tcPr>
            <w:tcW w:w="611" w:type="pct"/>
            <w:shd w:val="clear" w:color="auto" w:fill="auto"/>
            <w:vAlign w:val="center"/>
          </w:tcPr>
          <w:p w14:paraId="5EDD7C59" w14:textId="77777777" w:rsidR="00B44292" w:rsidRPr="000C48F9" w:rsidRDefault="00B44292" w:rsidP="00606FBA">
            <w:pPr>
              <w:pStyle w:val="In-tableHeading"/>
              <w:jc w:val="center"/>
              <w:rPr>
                <w:lang w:val="en-AU"/>
              </w:rPr>
            </w:pPr>
            <w:r w:rsidRPr="000C48F9">
              <w:rPr>
                <w:lang w:val="en-AU"/>
              </w:rPr>
              <w:t>Year 3</w:t>
            </w:r>
          </w:p>
        </w:tc>
        <w:tc>
          <w:tcPr>
            <w:tcW w:w="611" w:type="pct"/>
            <w:shd w:val="clear" w:color="auto" w:fill="auto"/>
            <w:vAlign w:val="center"/>
          </w:tcPr>
          <w:p w14:paraId="71F85E56" w14:textId="77777777" w:rsidR="00B44292" w:rsidRPr="000C48F9" w:rsidRDefault="00B44292" w:rsidP="00606FBA">
            <w:pPr>
              <w:pStyle w:val="In-tableHeading"/>
              <w:jc w:val="center"/>
              <w:rPr>
                <w:lang w:val="en-AU"/>
              </w:rPr>
            </w:pPr>
            <w:r w:rsidRPr="000C48F9">
              <w:rPr>
                <w:lang w:val="en-AU"/>
              </w:rPr>
              <w:t>Year 4</w:t>
            </w:r>
          </w:p>
        </w:tc>
        <w:tc>
          <w:tcPr>
            <w:tcW w:w="611" w:type="pct"/>
            <w:shd w:val="clear" w:color="auto" w:fill="auto"/>
            <w:vAlign w:val="center"/>
          </w:tcPr>
          <w:p w14:paraId="6047FAAF" w14:textId="77777777" w:rsidR="00B44292" w:rsidRPr="000C48F9" w:rsidRDefault="00B44292" w:rsidP="00606FBA">
            <w:pPr>
              <w:pStyle w:val="In-tableHeading"/>
              <w:jc w:val="center"/>
              <w:rPr>
                <w:lang w:val="en-AU"/>
              </w:rPr>
            </w:pPr>
            <w:r w:rsidRPr="000C48F9">
              <w:rPr>
                <w:lang w:val="en-AU"/>
              </w:rPr>
              <w:t>Year 5</w:t>
            </w:r>
          </w:p>
        </w:tc>
        <w:tc>
          <w:tcPr>
            <w:tcW w:w="613" w:type="pct"/>
          </w:tcPr>
          <w:p w14:paraId="4468E5B7" w14:textId="77777777" w:rsidR="00B44292" w:rsidRPr="000C48F9" w:rsidRDefault="00B44292" w:rsidP="00606FBA">
            <w:pPr>
              <w:pStyle w:val="In-tableHeading"/>
              <w:jc w:val="center"/>
              <w:rPr>
                <w:lang w:val="en-AU"/>
              </w:rPr>
            </w:pPr>
            <w:r w:rsidRPr="000C48F9">
              <w:rPr>
                <w:lang w:val="en-AU"/>
              </w:rPr>
              <w:t>Year 6</w:t>
            </w:r>
          </w:p>
        </w:tc>
      </w:tr>
      <w:tr w:rsidR="00B44292" w:rsidRPr="000C48F9" w14:paraId="3B03C77B" w14:textId="77777777" w:rsidTr="009C3A3A">
        <w:tc>
          <w:tcPr>
            <w:tcW w:w="5000" w:type="pct"/>
            <w:gridSpan w:val="7"/>
            <w:shd w:val="clear" w:color="auto" w:fill="auto"/>
            <w:vAlign w:val="center"/>
          </w:tcPr>
          <w:p w14:paraId="72BF96A9" w14:textId="77777777" w:rsidR="00B44292" w:rsidRPr="000C48F9" w:rsidRDefault="00B44292" w:rsidP="00606FBA">
            <w:pPr>
              <w:pStyle w:val="In-tableHeading"/>
              <w:rPr>
                <w:bCs/>
                <w:color w:val="000000"/>
                <w:lang w:val="en-AU"/>
              </w:rPr>
            </w:pPr>
            <w:r w:rsidRPr="000C48F9">
              <w:rPr>
                <w:bCs/>
                <w:color w:val="000000"/>
                <w:lang w:val="en-AU"/>
              </w:rPr>
              <w:t>Estimated extent of use</w:t>
            </w:r>
          </w:p>
        </w:tc>
      </w:tr>
      <w:tr w:rsidR="00B44292" w:rsidRPr="000C48F9" w14:paraId="5C7D0D24" w14:textId="77777777" w:rsidTr="00782B9F">
        <w:tc>
          <w:tcPr>
            <w:tcW w:w="1334" w:type="pct"/>
            <w:shd w:val="clear" w:color="auto" w:fill="auto"/>
            <w:vAlign w:val="center"/>
          </w:tcPr>
          <w:p w14:paraId="1348A0D2" w14:textId="77777777" w:rsidR="00B44292" w:rsidRPr="000C48F9" w:rsidRDefault="00B44292" w:rsidP="00B96E22">
            <w:pPr>
              <w:pStyle w:val="TableText0"/>
            </w:pPr>
            <w:r w:rsidRPr="000C48F9">
              <w:t>Total number of F/any patients treated</w:t>
            </w:r>
          </w:p>
        </w:tc>
        <w:tc>
          <w:tcPr>
            <w:tcW w:w="628" w:type="pct"/>
            <w:shd w:val="clear" w:color="auto" w:fill="auto"/>
            <w:vAlign w:val="center"/>
          </w:tcPr>
          <w:p w14:paraId="644E5E6C" w14:textId="62EF6720" w:rsidR="00B44292" w:rsidRPr="00A611CC" w:rsidRDefault="00B44292" w:rsidP="00B96E22">
            <w:pPr>
              <w:pStyle w:val="TableText0"/>
              <w:jc w:val="center"/>
            </w:pPr>
            <w:r w:rsidRPr="00A611CC">
              <w:t>517</w:t>
            </w:r>
          </w:p>
        </w:tc>
        <w:tc>
          <w:tcPr>
            <w:tcW w:w="592" w:type="pct"/>
            <w:shd w:val="clear" w:color="auto" w:fill="auto"/>
            <w:vAlign w:val="center"/>
          </w:tcPr>
          <w:p w14:paraId="2D892FAD" w14:textId="15542DC4" w:rsidR="00B44292" w:rsidRPr="00A611CC" w:rsidRDefault="00B44292" w:rsidP="00B96E22">
            <w:pPr>
              <w:pStyle w:val="TableText0"/>
              <w:jc w:val="center"/>
            </w:pPr>
            <w:r w:rsidRPr="00A611CC">
              <w:t>517</w:t>
            </w:r>
          </w:p>
        </w:tc>
        <w:tc>
          <w:tcPr>
            <w:tcW w:w="611" w:type="pct"/>
            <w:shd w:val="clear" w:color="auto" w:fill="auto"/>
            <w:vAlign w:val="center"/>
          </w:tcPr>
          <w:p w14:paraId="02F6BC8B" w14:textId="596C6456" w:rsidR="00B44292" w:rsidRPr="00A611CC" w:rsidRDefault="00B44292" w:rsidP="00B96E22">
            <w:pPr>
              <w:pStyle w:val="TableText0"/>
              <w:jc w:val="center"/>
            </w:pPr>
            <w:r w:rsidRPr="00A611CC">
              <w:t>519</w:t>
            </w:r>
          </w:p>
        </w:tc>
        <w:tc>
          <w:tcPr>
            <w:tcW w:w="611" w:type="pct"/>
            <w:shd w:val="clear" w:color="auto" w:fill="auto"/>
            <w:vAlign w:val="center"/>
          </w:tcPr>
          <w:p w14:paraId="4EABD8EB" w14:textId="2E52108F" w:rsidR="00B44292" w:rsidRPr="00A611CC" w:rsidRDefault="00B44292" w:rsidP="00B96E22">
            <w:pPr>
              <w:pStyle w:val="TableText0"/>
              <w:jc w:val="center"/>
            </w:pPr>
            <w:r w:rsidRPr="00A611CC">
              <w:t>528</w:t>
            </w:r>
          </w:p>
        </w:tc>
        <w:tc>
          <w:tcPr>
            <w:tcW w:w="611" w:type="pct"/>
            <w:shd w:val="clear" w:color="auto" w:fill="auto"/>
            <w:vAlign w:val="center"/>
          </w:tcPr>
          <w:p w14:paraId="31AD8099" w14:textId="1D520535" w:rsidR="00B44292" w:rsidRPr="00A611CC" w:rsidRDefault="00B44292" w:rsidP="00B96E22">
            <w:pPr>
              <w:pStyle w:val="TableText0"/>
              <w:jc w:val="center"/>
            </w:pPr>
            <w:r w:rsidRPr="00A611CC">
              <w:t>537</w:t>
            </w:r>
          </w:p>
        </w:tc>
        <w:tc>
          <w:tcPr>
            <w:tcW w:w="613" w:type="pct"/>
            <w:vAlign w:val="center"/>
          </w:tcPr>
          <w:p w14:paraId="682B342A" w14:textId="6E9E9220" w:rsidR="00B44292" w:rsidRPr="00A611CC" w:rsidRDefault="00B44292" w:rsidP="00B96E22">
            <w:pPr>
              <w:pStyle w:val="TableText0"/>
              <w:jc w:val="center"/>
            </w:pPr>
            <w:r w:rsidRPr="00A611CC">
              <w:t>545</w:t>
            </w:r>
          </w:p>
        </w:tc>
      </w:tr>
      <w:tr w:rsidR="00B44292" w:rsidRPr="000C48F9" w14:paraId="6CA40E3A" w14:textId="77777777" w:rsidTr="00782B9F">
        <w:tc>
          <w:tcPr>
            <w:tcW w:w="1334" w:type="pct"/>
            <w:shd w:val="clear" w:color="auto" w:fill="auto"/>
            <w:vAlign w:val="center"/>
          </w:tcPr>
          <w:p w14:paraId="446E0EC5" w14:textId="77777777" w:rsidR="00B44292" w:rsidRPr="000C48F9" w:rsidRDefault="00B44292" w:rsidP="00795C98">
            <w:pPr>
              <w:pStyle w:val="TableText0"/>
              <w:rPr>
                <w:rFonts w:ascii="Times" w:hAnsi="Times"/>
              </w:rPr>
            </w:pPr>
            <w:r w:rsidRPr="000C48F9">
              <w:t>Number of scripts dispensed</w:t>
            </w:r>
            <w:r w:rsidRPr="000C48F9">
              <w:rPr>
                <w:vertAlign w:val="superscript"/>
              </w:rPr>
              <w:t>a</w:t>
            </w:r>
          </w:p>
        </w:tc>
        <w:tc>
          <w:tcPr>
            <w:tcW w:w="628" w:type="pct"/>
            <w:shd w:val="clear" w:color="auto" w:fill="auto"/>
          </w:tcPr>
          <w:p w14:paraId="4D397C99" w14:textId="6CEDD055" w:rsidR="00B44292" w:rsidRPr="00A611CC" w:rsidRDefault="00B44292" w:rsidP="00795C98">
            <w:pPr>
              <w:pStyle w:val="TableText0"/>
              <w:jc w:val="center"/>
              <w:rPr>
                <w:color w:val="000000"/>
              </w:rPr>
            </w:pPr>
            <w:r w:rsidRPr="00A611CC">
              <w:t>6,403</w:t>
            </w:r>
          </w:p>
        </w:tc>
        <w:tc>
          <w:tcPr>
            <w:tcW w:w="592" w:type="pct"/>
            <w:shd w:val="clear" w:color="auto" w:fill="auto"/>
          </w:tcPr>
          <w:p w14:paraId="316DDC0A" w14:textId="0C55EC1C" w:rsidR="00B44292" w:rsidRPr="00A611CC" w:rsidRDefault="00B44292" w:rsidP="00795C98">
            <w:pPr>
              <w:pStyle w:val="TableText0"/>
              <w:jc w:val="center"/>
              <w:rPr>
                <w:color w:val="000000"/>
              </w:rPr>
            </w:pPr>
            <w:r w:rsidRPr="00A611CC">
              <w:t>6,408</w:t>
            </w:r>
          </w:p>
        </w:tc>
        <w:tc>
          <w:tcPr>
            <w:tcW w:w="611" w:type="pct"/>
            <w:shd w:val="clear" w:color="auto" w:fill="auto"/>
          </w:tcPr>
          <w:p w14:paraId="5E9F3908" w14:textId="574FA4F2" w:rsidR="00B44292" w:rsidRPr="00A611CC" w:rsidRDefault="00B44292" w:rsidP="00795C98">
            <w:pPr>
              <w:pStyle w:val="TableText0"/>
              <w:jc w:val="center"/>
              <w:rPr>
                <w:color w:val="000000"/>
              </w:rPr>
            </w:pPr>
            <w:r w:rsidRPr="00A611CC">
              <w:t>6,437</w:t>
            </w:r>
            <w:r w:rsidR="00876A5D" w:rsidRPr="00A611CC">
              <w:t xml:space="preserve"> </w:t>
            </w:r>
            <w:r w:rsidRPr="00A611CC">
              <w:t xml:space="preserve"> </w:t>
            </w:r>
          </w:p>
        </w:tc>
        <w:tc>
          <w:tcPr>
            <w:tcW w:w="611" w:type="pct"/>
            <w:shd w:val="clear" w:color="auto" w:fill="auto"/>
          </w:tcPr>
          <w:p w14:paraId="1D5BDA19" w14:textId="2577A94A" w:rsidR="00B44292" w:rsidRPr="00A611CC" w:rsidRDefault="00B44292" w:rsidP="00795C98">
            <w:pPr>
              <w:pStyle w:val="TableText0"/>
              <w:jc w:val="center"/>
              <w:rPr>
                <w:color w:val="000000"/>
              </w:rPr>
            </w:pPr>
            <w:r w:rsidRPr="00A611CC">
              <w:t>6,544</w:t>
            </w:r>
            <w:r w:rsidR="00876A5D" w:rsidRPr="00A611CC">
              <w:t xml:space="preserve"> </w:t>
            </w:r>
          </w:p>
        </w:tc>
        <w:tc>
          <w:tcPr>
            <w:tcW w:w="611" w:type="pct"/>
            <w:shd w:val="clear" w:color="auto" w:fill="auto"/>
          </w:tcPr>
          <w:p w14:paraId="67CAC407" w14:textId="7AA63965" w:rsidR="00B44292" w:rsidRPr="00A611CC" w:rsidRDefault="00B44292" w:rsidP="00795C98">
            <w:pPr>
              <w:pStyle w:val="TableText0"/>
              <w:jc w:val="center"/>
              <w:rPr>
                <w:color w:val="000000"/>
              </w:rPr>
            </w:pPr>
            <w:r w:rsidRPr="00A611CC">
              <w:t>6,651</w:t>
            </w:r>
            <w:r w:rsidR="00876A5D" w:rsidRPr="00A611CC">
              <w:t xml:space="preserve"> </w:t>
            </w:r>
            <w:r w:rsidRPr="00A611CC">
              <w:t xml:space="preserve"> </w:t>
            </w:r>
          </w:p>
        </w:tc>
        <w:tc>
          <w:tcPr>
            <w:tcW w:w="613" w:type="pct"/>
          </w:tcPr>
          <w:p w14:paraId="68CF1D4D" w14:textId="55F4DCC3" w:rsidR="00B44292" w:rsidRPr="00A611CC" w:rsidRDefault="00B44292" w:rsidP="00795C98">
            <w:pPr>
              <w:pStyle w:val="TableText0"/>
              <w:jc w:val="center"/>
              <w:rPr>
                <w:color w:val="000000"/>
              </w:rPr>
            </w:pPr>
            <w:r w:rsidRPr="00A611CC">
              <w:t>6,760</w:t>
            </w:r>
            <w:r w:rsidR="00876A5D" w:rsidRPr="00A611CC">
              <w:t xml:space="preserve"> </w:t>
            </w:r>
          </w:p>
        </w:tc>
      </w:tr>
      <w:tr w:rsidR="00B44292" w:rsidRPr="000C48F9" w14:paraId="063B876D" w14:textId="77777777" w:rsidTr="009C3A3A">
        <w:tc>
          <w:tcPr>
            <w:tcW w:w="5000" w:type="pct"/>
            <w:gridSpan w:val="7"/>
            <w:shd w:val="clear" w:color="auto" w:fill="auto"/>
            <w:vAlign w:val="center"/>
          </w:tcPr>
          <w:p w14:paraId="6CC2BF8D" w14:textId="77777777" w:rsidR="00B44292" w:rsidRPr="000C48F9" w:rsidRDefault="00B44292" w:rsidP="00795C98">
            <w:pPr>
              <w:pStyle w:val="In-tableHeading"/>
              <w:rPr>
                <w:lang w:val="en-AU"/>
              </w:rPr>
            </w:pPr>
            <w:r w:rsidRPr="000C48F9">
              <w:rPr>
                <w:lang w:val="en-AU"/>
              </w:rPr>
              <w:t>Estimated financial implications of ELX/TEZ/IVA</w:t>
            </w:r>
          </w:p>
        </w:tc>
      </w:tr>
      <w:tr w:rsidR="000A560C" w:rsidRPr="000C48F9" w14:paraId="67AD99CF" w14:textId="77777777" w:rsidTr="000A560C">
        <w:tc>
          <w:tcPr>
            <w:tcW w:w="1334" w:type="pct"/>
            <w:shd w:val="clear" w:color="auto" w:fill="auto"/>
            <w:vAlign w:val="center"/>
          </w:tcPr>
          <w:p w14:paraId="34C7162C" w14:textId="77777777" w:rsidR="000A560C" w:rsidRPr="000C48F9" w:rsidRDefault="000A560C" w:rsidP="000A560C">
            <w:pPr>
              <w:pStyle w:val="TableText0"/>
              <w:rPr>
                <w:sz w:val="19"/>
                <w:szCs w:val="19"/>
              </w:rPr>
            </w:pPr>
            <w:r w:rsidRPr="000C48F9">
              <w:rPr>
                <w:sz w:val="19"/>
                <w:szCs w:val="19"/>
              </w:rPr>
              <w:t>Cost to PBS/RPBS less co-payments</w:t>
            </w:r>
          </w:p>
        </w:tc>
        <w:tc>
          <w:tcPr>
            <w:tcW w:w="628" w:type="pct"/>
            <w:shd w:val="clear" w:color="auto" w:fill="auto"/>
          </w:tcPr>
          <w:p w14:paraId="54AA6AF4" w14:textId="3FE623CD" w:rsidR="000A560C" w:rsidRPr="000C48F9" w:rsidRDefault="000A560C" w:rsidP="000A560C">
            <w:pPr>
              <w:pStyle w:val="TableText0"/>
              <w:jc w:val="center"/>
            </w:pPr>
            <w:r w:rsidRPr="00D434FD">
              <w:t>$</w:t>
            </w:r>
            <w:r w:rsidR="00987958" w:rsidRPr="00987958">
              <w:rPr>
                <w:color w:val="000000"/>
                <w:shd w:val="solid" w:color="000000" w:fill="000000"/>
                <w14:textFill>
                  <w14:solidFill>
                    <w14:srgbClr w14:val="000000">
                      <w14:alpha w14:val="100000"/>
                    </w14:srgbClr>
                  </w14:solidFill>
                </w14:textFill>
              </w:rPr>
              <w:t>|</w:t>
            </w:r>
            <w:r w:rsidR="00A611CC">
              <w:rPr>
                <w:iCs/>
                <w:szCs w:val="20"/>
                <w:vertAlign w:val="superscript"/>
              </w:rPr>
              <w:t>1</w:t>
            </w:r>
          </w:p>
        </w:tc>
        <w:tc>
          <w:tcPr>
            <w:tcW w:w="592" w:type="pct"/>
            <w:shd w:val="clear" w:color="auto" w:fill="auto"/>
          </w:tcPr>
          <w:p w14:paraId="28D5EBBB" w14:textId="5805C342" w:rsidR="000A560C" w:rsidRPr="000C48F9" w:rsidRDefault="000A560C" w:rsidP="000A560C">
            <w:pPr>
              <w:pStyle w:val="TableText0"/>
              <w:jc w:val="center"/>
            </w:pPr>
            <w:r w:rsidRPr="00D434FD">
              <w:t>$</w:t>
            </w:r>
            <w:r w:rsidR="00987958" w:rsidRPr="00987958">
              <w:rPr>
                <w:rFonts w:hint="eastAsia"/>
                <w:color w:val="000000"/>
                <w:w w:val="15"/>
                <w:shd w:val="solid" w:color="000000" w:fill="000000"/>
                <w:fitText w:val="27" w:id="-1300528379"/>
                <w14:textFill>
                  <w14:solidFill>
                    <w14:srgbClr w14:val="000000">
                      <w14:alpha w14:val="100000"/>
                    </w14:srgbClr>
                  </w14:solidFill>
                </w14:textFill>
              </w:rPr>
              <w:t xml:space="preserve">　</w:t>
            </w:r>
            <w:r w:rsidR="00987958" w:rsidRPr="00987958">
              <w:rPr>
                <w:color w:val="000000"/>
                <w:w w:val="15"/>
                <w:shd w:val="solid" w:color="000000" w:fill="000000"/>
                <w:fitText w:val="27" w:id="-1300528379"/>
                <w14:textFill>
                  <w14:solidFill>
                    <w14:srgbClr w14:val="000000">
                      <w14:alpha w14:val="100000"/>
                    </w14:srgbClr>
                  </w14:solidFill>
                </w14:textFill>
              </w:rPr>
              <w:t>|</w:t>
            </w:r>
            <w:r w:rsidR="00987958" w:rsidRPr="00987958">
              <w:rPr>
                <w:rFonts w:hint="eastAsia"/>
                <w:color w:val="000000"/>
                <w:spacing w:val="-38"/>
                <w:w w:val="15"/>
                <w:shd w:val="solid" w:color="000000" w:fill="000000"/>
                <w:fitText w:val="27" w:id="-1300528379"/>
                <w14:textFill>
                  <w14:solidFill>
                    <w14:srgbClr w14:val="000000">
                      <w14:alpha w14:val="100000"/>
                    </w14:srgbClr>
                  </w14:solidFill>
                </w14:textFill>
              </w:rPr>
              <w:t xml:space="preserve">　</w:t>
            </w:r>
            <w:r w:rsidR="00A611CC">
              <w:rPr>
                <w:iCs/>
                <w:szCs w:val="20"/>
                <w:vertAlign w:val="superscript"/>
              </w:rPr>
              <w:t>1</w:t>
            </w:r>
          </w:p>
        </w:tc>
        <w:tc>
          <w:tcPr>
            <w:tcW w:w="611" w:type="pct"/>
            <w:shd w:val="clear" w:color="auto" w:fill="auto"/>
          </w:tcPr>
          <w:p w14:paraId="31C13DA6" w14:textId="2C5864E9" w:rsidR="000A560C" w:rsidRPr="000C48F9" w:rsidRDefault="000A560C" w:rsidP="000A560C">
            <w:pPr>
              <w:pStyle w:val="TableText0"/>
              <w:jc w:val="center"/>
            </w:pPr>
            <w:r w:rsidRPr="00D434FD">
              <w:t>$</w:t>
            </w:r>
            <w:r w:rsidR="00987958" w:rsidRPr="008E430C">
              <w:rPr>
                <w:rFonts w:hint="eastAsia"/>
                <w:color w:val="000000"/>
                <w:w w:val="15"/>
                <w:shd w:val="solid" w:color="000000" w:fill="000000"/>
                <w:fitText w:val="9" w:id="-1300528378"/>
                <w14:textFill>
                  <w14:solidFill>
                    <w14:srgbClr w14:val="000000">
                      <w14:alpha w14:val="100000"/>
                    </w14:srgbClr>
                  </w14:solidFill>
                </w14:textFill>
              </w:rPr>
              <w:t xml:space="preserve">　</w:t>
            </w:r>
            <w:r w:rsidR="00987958" w:rsidRPr="008E430C">
              <w:rPr>
                <w:color w:val="000000"/>
                <w:w w:val="15"/>
                <w:shd w:val="solid" w:color="000000" w:fill="000000"/>
                <w:fitText w:val="9" w:id="-1300528378"/>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78"/>
                <w14:textFill>
                  <w14:solidFill>
                    <w14:srgbClr w14:val="000000">
                      <w14:alpha w14:val="100000"/>
                    </w14:srgbClr>
                  </w14:solidFill>
                </w14:textFill>
              </w:rPr>
              <w:t xml:space="preserve">　</w:t>
            </w:r>
            <w:r w:rsidR="00A611CC">
              <w:rPr>
                <w:iCs/>
                <w:szCs w:val="20"/>
                <w:vertAlign w:val="superscript"/>
              </w:rPr>
              <w:t>1</w:t>
            </w:r>
          </w:p>
        </w:tc>
        <w:tc>
          <w:tcPr>
            <w:tcW w:w="611" w:type="pct"/>
            <w:shd w:val="clear" w:color="auto" w:fill="auto"/>
          </w:tcPr>
          <w:p w14:paraId="5D66E58A" w14:textId="3E13C9D9" w:rsidR="000A560C" w:rsidRPr="000C48F9" w:rsidRDefault="000A560C" w:rsidP="000A560C">
            <w:pPr>
              <w:pStyle w:val="TableText0"/>
              <w:jc w:val="center"/>
            </w:pPr>
            <w:r w:rsidRPr="00D434FD">
              <w:t>$</w:t>
            </w:r>
            <w:r w:rsidR="00987958" w:rsidRPr="008E430C">
              <w:rPr>
                <w:rFonts w:hint="eastAsia"/>
                <w:color w:val="000000"/>
                <w:w w:val="15"/>
                <w:shd w:val="solid" w:color="000000" w:fill="000000"/>
                <w:fitText w:val="9" w:id="-1300528377"/>
                <w14:textFill>
                  <w14:solidFill>
                    <w14:srgbClr w14:val="000000">
                      <w14:alpha w14:val="100000"/>
                    </w14:srgbClr>
                  </w14:solidFill>
                </w14:textFill>
              </w:rPr>
              <w:t xml:space="preserve">　</w:t>
            </w:r>
            <w:r w:rsidR="00987958" w:rsidRPr="008E430C">
              <w:rPr>
                <w:color w:val="000000"/>
                <w:w w:val="15"/>
                <w:shd w:val="solid" w:color="000000" w:fill="000000"/>
                <w:fitText w:val="9" w:id="-1300528377"/>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77"/>
                <w14:textFill>
                  <w14:solidFill>
                    <w14:srgbClr w14:val="000000">
                      <w14:alpha w14:val="100000"/>
                    </w14:srgbClr>
                  </w14:solidFill>
                </w14:textFill>
              </w:rPr>
              <w:t xml:space="preserve">　</w:t>
            </w:r>
            <w:r w:rsidR="00455830">
              <w:rPr>
                <w:iCs/>
                <w:szCs w:val="20"/>
                <w:vertAlign w:val="superscript"/>
              </w:rPr>
              <w:t>5</w:t>
            </w:r>
          </w:p>
        </w:tc>
        <w:tc>
          <w:tcPr>
            <w:tcW w:w="611" w:type="pct"/>
            <w:shd w:val="clear" w:color="auto" w:fill="auto"/>
          </w:tcPr>
          <w:p w14:paraId="4F80CFF9" w14:textId="2EDECBAE" w:rsidR="000A560C" w:rsidRPr="000C48F9" w:rsidRDefault="000A560C" w:rsidP="000A560C">
            <w:pPr>
              <w:pStyle w:val="TableText0"/>
              <w:jc w:val="center"/>
            </w:pPr>
            <w:r w:rsidRPr="00D434FD">
              <w:t>$</w:t>
            </w:r>
            <w:r w:rsidR="00987958" w:rsidRPr="008E430C">
              <w:rPr>
                <w:rFonts w:hint="eastAsia"/>
                <w:color w:val="000000"/>
                <w:w w:val="15"/>
                <w:shd w:val="solid" w:color="000000" w:fill="000000"/>
                <w:fitText w:val="9" w:id="-1300528376"/>
                <w14:textFill>
                  <w14:solidFill>
                    <w14:srgbClr w14:val="000000">
                      <w14:alpha w14:val="100000"/>
                    </w14:srgbClr>
                  </w14:solidFill>
                </w14:textFill>
              </w:rPr>
              <w:t xml:space="preserve">　</w:t>
            </w:r>
            <w:r w:rsidR="00987958" w:rsidRPr="008E430C">
              <w:rPr>
                <w:color w:val="000000"/>
                <w:w w:val="15"/>
                <w:shd w:val="solid" w:color="000000" w:fill="000000"/>
                <w:fitText w:val="9" w:id="-1300528376"/>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76"/>
                <w14:textFill>
                  <w14:solidFill>
                    <w14:srgbClr w14:val="000000">
                      <w14:alpha w14:val="100000"/>
                    </w14:srgbClr>
                  </w14:solidFill>
                </w14:textFill>
              </w:rPr>
              <w:t xml:space="preserve">　</w:t>
            </w:r>
            <w:r w:rsidR="00455830">
              <w:rPr>
                <w:iCs/>
                <w:szCs w:val="20"/>
                <w:vertAlign w:val="superscript"/>
              </w:rPr>
              <w:t>5</w:t>
            </w:r>
          </w:p>
        </w:tc>
        <w:tc>
          <w:tcPr>
            <w:tcW w:w="613" w:type="pct"/>
          </w:tcPr>
          <w:p w14:paraId="1BB7726E" w14:textId="0CB067EE" w:rsidR="000A560C" w:rsidRPr="000C48F9" w:rsidRDefault="000A560C" w:rsidP="000A560C">
            <w:pPr>
              <w:pStyle w:val="TableText0"/>
              <w:jc w:val="center"/>
            </w:pPr>
            <w:r w:rsidRPr="00D434FD">
              <w:t>$</w:t>
            </w:r>
            <w:r w:rsidR="00987958" w:rsidRPr="008E430C">
              <w:rPr>
                <w:rFonts w:hint="eastAsia"/>
                <w:color w:val="000000"/>
                <w:w w:val="15"/>
                <w:shd w:val="solid" w:color="000000" w:fill="000000"/>
                <w:fitText w:val="9" w:id="-1300528375"/>
                <w14:textFill>
                  <w14:solidFill>
                    <w14:srgbClr w14:val="000000">
                      <w14:alpha w14:val="100000"/>
                    </w14:srgbClr>
                  </w14:solidFill>
                </w14:textFill>
              </w:rPr>
              <w:t xml:space="preserve">　</w:t>
            </w:r>
            <w:r w:rsidR="00987958" w:rsidRPr="008E430C">
              <w:rPr>
                <w:color w:val="000000"/>
                <w:w w:val="15"/>
                <w:shd w:val="solid" w:color="000000" w:fill="000000"/>
                <w:fitText w:val="9" w:id="-1300528375"/>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75"/>
                <w14:textFill>
                  <w14:solidFill>
                    <w14:srgbClr w14:val="000000">
                      <w14:alpha w14:val="100000"/>
                    </w14:srgbClr>
                  </w14:solidFill>
                </w14:textFill>
              </w:rPr>
              <w:t xml:space="preserve">　</w:t>
            </w:r>
            <w:r w:rsidR="00455830">
              <w:rPr>
                <w:iCs/>
                <w:szCs w:val="20"/>
                <w:vertAlign w:val="superscript"/>
              </w:rPr>
              <w:t>5</w:t>
            </w:r>
          </w:p>
        </w:tc>
      </w:tr>
      <w:tr w:rsidR="00B44292" w:rsidRPr="000C48F9" w14:paraId="3959C744" w14:textId="77777777" w:rsidTr="009C3A3A">
        <w:tc>
          <w:tcPr>
            <w:tcW w:w="5000" w:type="pct"/>
            <w:gridSpan w:val="7"/>
            <w:shd w:val="clear" w:color="auto" w:fill="auto"/>
            <w:vAlign w:val="center"/>
          </w:tcPr>
          <w:p w14:paraId="09F28EB7" w14:textId="1E826680" w:rsidR="00B44292" w:rsidRPr="000C48F9" w:rsidRDefault="00B44292" w:rsidP="00795C98">
            <w:pPr>
              <w:pStyle w:val="TableText0"/>
              <w:rPr>
                <w:b/>
                <w:bCs w:val="0"/>
              </w:rPr>
            </w:pPr>
            <w:r w:rsidRPr="000C48F9">
              <w:rPr>
                <w:b/>
                <w:bCs w:val="0"/>
              </w:rPr>
              <w:t>Estimated financial implications for LUM/IVA</w:t>
            </w:r>
            <w:r w:rsidR="002004A9" w:rsidRPr="000C48F9">
              <w:rPr>
                <w:b/>
                <w:bCs w:val="0"/>
              </w:rPr>
              <w:t xml:space="preserve"> and</w:t>
            </w:r>
            <w:r w:rsidRPr="000C48F9">
              <w:rPr>
                <w:b/>
                <w:bCs w:val="0"/>
              </w:rPr>
              <w:t xml:space="preserve"> IVA</w:t>
            </w:r>
            <w:r w:rsidR="002004A9" w:rsidRPr="000C48F9">
              <w:rPr>
                <w:b/>
                <w:bCs w:val="0"/>
              </w:rPr>
              <w:t xml:space="preserve"> monotherapy</w:t>
            </w:r>
          </w:p>
        </w:tc>
      </w:tr>
      <w:tr w:rsidR="00B44292" w:rsidRPr="000C48F9" w14:paraId="2095E74A" w14:textId="77777777" w:rsidTr="00782B9F">
        <w:tc>
          <w:tcPr>
            <w:tcW w:w="1334" w:type="pct"/>
            <w:shd w:val="clear" w:color="auto" w:fill="auto"/>
            <w:vAlign w:val="center"/>
          </w:tcPr>
          <w:p w14:paraId="443E4BCD" w14:textId="77777777" w:rsidR="00B44292" w:rsidRPr="000C48F9" w:rsidRDefault="00B44292" w:rsidP="000C4217">
            <w:pPr>
              <w:pStyle w:val="TableText0"/>
              <w:rPr>
                <w:sz w:val="19"/>
                <w:szCs w:val="19"/>
              </w:rPr>
            </w:pPr>
            <w:r w:rsidRPr="000C48F9">
              <w:rPr>
                <w:sz w:val="19"/>
                <w:szCs w:val="19"/>
              </w:rPr>
              <w:t>Cost to PBS/RPBS less co-payments</w:t>
            </w:r>
          </w:p>
        </w:tc>
        <w:tc>
          <w:tcPr>
            <w:tcW w:w="628" w:type="pct"/>
            <w:shd w:val="clear" w:color="auto" w:fill="auto"/>
          </w:tcPr>
          <w:p w14:paraId="24EED7FB" w14:textId="0FDE2F1A"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A611CC">
              <w:rPr>
                <w:iCs/>
                <w:szCs w:val="20"/>
                <w:vertAlign w:val="superscript"/>
              </w:rPr>
              <w:t>2</w:t>
            </w:r>
          </w:p>
        </w:tc>
        <w:tc>
          <w:tcPr>
            <w:tcW w:w="592" w:type="pct"/>
            <w:shd w:val="clear" w:color="auto" w:fill="auto"/>
          </w:tcPr>
          <w:p w14:paraId="79E09039" w14:textId="2BA1BAA7"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455830">
              <w:rPr>
                <w:iCs/>
                <w:szCs w:val="20"/>
                <w:vertAlign w:val="superscript"/>
              </w:rPr>
              <w:t>2</w:t>
            </w:r>
          </w:p>
        </w:tc>
        <w:tc>
          <w:tcPr>
            <w:tcW w:w="611" w:type="pct"/>
            <w:shd w:val="clear" w:color="auto" w:fill="auto"/>
          </w:tcPr>
          <w:p w14:paraId="3709C4F5" w14:textId="7D7A367B"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455830">
              <w:rPr>
                <w:iCs/>
                <w:szCs w:val="20"/>
                <w:vertAlign w:val="superscript"/>
              </w:rPr>
              <w:t>2</w:t>
            </w:r>
          </w:p>
        </w:tc>
        <w:tc>
          <w:tcPr>
            <w:tcW w:w="611" w:type="pct"/>
            <w:shd w:val="clear" w:color="auto" w:fill="auto"/>
          </w:tcPr>
          <w:p w14:paraId="0CD5B45D" w14:textId="40C6D13B"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455830">
              <w:rPr>
                <w:iCs/>
                <w:szCs w:val="20"/>
                <w:vertAlign w:val="superscript"/>
              </w:rPr>
              <w:t>2</w:t>
            </w:r>
          </w:p>
        </w:tc>
        <w:tc>
          <w:tcPr>
            <w:tcW w:w="611" w:type="pct"/>
            <w:shd w:val="clear" w:color="auto" w:fill="auto"/>
          </w:tcPr>
          <w:p w14:paraId="7D750097" w14:textId="2CFBF8EA"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455830">
              <w:rPr>
                <w:iCs/>
                <w:szCs w:val="20"/>
                <w:vertAlign w:val="superscript"/>
              </w:rPr>
              <w:t>2</w:t>
            </w:r>
          </w:p>
        </w:tc>
        <w:tc>
          <w:tcPr>
            <w:tcW w:w="613" w:type="pct"/>
          </w:tcPr>
          <w:p w14:paraId="0CA49286" w14:textId="45E825F3" w:rsidR="00B44292" w:rsidRPr="000C48F9" w:rsidRDefault="00987958" w:rsidP="000C4217">
            <w:pPr>
              <w:pStyle w:val="TableText0"/>
              <w:jc w:val="center"/>
            </w:pPr>
            <w:r w:rsidRPr="00987958">
              <w:rPr>
                <w:color w:val="000000"/>
                <w:shd w:val="solid" w:color="000000" w:fill="000000"/>
                <w14:textFill>
                  <w14:solidFill>
                    <w14:srgbClr w14:val="000000">
                      <w14:alpha w14:val="100000"/>
                    </w14:srgbClr>
                  </w14:solidFill>
                </w14:textFill>
              </w:rPr>
              <w:t>|</w:t>
            </w:r>
            <w:r w:rsidR="00455830">
              <w:rPr>
                <w:iCs/>
                <w:szCs w:val="20"/>
                <w:vertAlign w:val="superscript"/>
              </w:rPr>
              <w:t>2</w:t>
            </w:r>
          </w:p>
        </w:tc>
      </w:tr>
      <w:tr w:rsidR="00B44292" w:rsidRPr="000C48F9" w14:paraId="1506BB73" w14:textId="77777777" w:rsidTr="009C3A3A">
        <w:tc>
          <w:tcPr>
            <w:tcW w:w="5000" w:type="pct"/>
            <w:gridSpan w:val="7"/>
            <w:shd w:val="clear" w:color="auto" w:fill="auto"/>
            <w:vAlign w:val="center"/>
          </w:tcPr>
          <w:p w14:paraId="31D6B5BC" w14:textId="77777777" w:rsidR="00B44292" w:rsidRPr="000C48F9" w:rsidRDefault="00B44292" w:rsidP="00795C98">
            <w:pPr>
              <w:pStyle w:val="In-tableHeading"/>
              <w:rPr>
                <w:lang w:val="en-AU"/>
              </w:rPr>
            </w:pPr>
            <w:r w:rsidRPr="000C48F9">
              <w:rPr>
                <w:lang w:val="en-AU"/>
              </w:rPr>
              <w:t>Net financial implications</w:t>
            </w:r>
            <w:r w:rsidRPr="000C48F9">
              <w:rPr>
                <w:color w:val="4BACC6" w:themeColor="accent5"/>
                <w:lang w:val="en-AU"/>
              </w:rPr>
              <w:t xml:space="preserve"> </w:t>
            </w:r>
          </w:p>
        </w:tc>
      </w:tr>
      <w:tr w:rsidR="000A560C" w:rsidRPr="000C48F9" w14:paraId="7EE560D8" w14:textId="77777777" w:rsidTr="00F96639">
        <w:tc>
          <w:tcPr>
            <w:tcW w:w="1334" w:type="pct"/>
            <w:shd w:val="clear" w:color="auto" w:fill="auto"/>
            <w:vAlign w:val="center"/>
          </w:tcPr>
          <w:p w14:paraId="3E51EF90" w14:textId="77777777" w:rsidR="000A560C" w:rsidRPr="000C48F9" w:rsidRDefault="000A560C" w:rsidP="000A560C">
            <w:pPr>
              <w:pStyle w:val="TableText0"/>
              <w:rPr>
                <w:sz w:val="19"/>
                <w:szCs w:val="19"/>
              </w:rPr>
            </w:pPr>
            <w:r w:rsidRPr="000C48F9">
              <w:rPr>
                <w:sz w:val="19"/>
                <w:szCs w:val="19"/>
              </w:rPr>
              <w:t>Net cost to PBS/RPBS</w:t>
            </w:r>
          </w:p>
        </w:tc>
        <w:tc>
          <w:tcPr>
            <w:tcW w:w="628" w:type="pct"/>
            <w:shd w:val="clear" w:color="auto" w:fill="auto"/>
            <w:vAlign w:val="center"/>
          </w:tcPr>
          <w:p w14:paraId="68603769" w14:textId="60C25F88" w:rsidR="000A560C" w:rsidRPr="000A560C" w:rsidRDefault="000A560C" w:rsidP="000A560C">
            <w:pPr>
              <w:pStyle w:val="TableText0"/>
              <w:jc w:val="center"/>
            </w:pPr>
            <w:r w:rsidRPr="000A560C">
              <w:rPr>
                <w:rFonts w:cs="Arial"/>
                <w:color w:val="000000"/>
                <w:szCs w:val="20"/>
              </w:rPr>
              <w:t>$</w:t>
            </w:r>
            <w:r w:rsidR="00987958" w:rsidRPr="00987958">
              <w:rPr>
                <w:rFonts w:cs="Arial"/>
                <w:color w:val="000000"/>
                <w:szCs w:val="20"/>
                <w:shd w:val="solid" w:color="000000" w:fill="000000"/>
                <w14:textFill>
                  <w14:solidFill>
                    <w14:srgbClr w14:val="000000">
                      <w14:alpha w14:val="100000"/>
                    </w14:srgbClr>
                  </w14:solidFill>
                </w14:textFill>
              </w:rPr>
              <w:t>|</w:t>
            </w:r>
            <w:r w:rsidR="00A611CC">
              <w:rPr>
                <w:iCs/>
                <w:szCs w:val="20"/>
                <w:vertAlign w:val="superscript"/>
              </w:rPr>
              <w:t>3</w:t>
            </w:r>
          </w:p>
        </w:tc>
        <w:tc>
          <w:tcPr>
            <w:tcW w:w="592" w:type="pct"/>
            <w:shd w:val="clear" w:color="auto" w:fill="auto"/>
            <w:vAlign w:val="center"/>
          </w:tcPr>
          <w:p w14:paraId="4E3A97A7" w14:textId="719454A6" w:rsidR="000A560C" w:rsidRPr="000A560C" w:rsidRDefault="000A560C" w:rsidP="000A560C">
            <w:pPr>
              <w:pStyle w:val="TableText0"/>
              <w:jc w:val="center"/>
            </w:pPr>
            <w:r w:rsidRPr="000A560C">
              <w:rPr>
                <w:rFonts w:cs="Arial"/>
                <w:color w:val="000000"/>
                <w:szCs w:val="20"/>
              </w:rPr>
              <w:t>$</w:t>
            </w:r>
            <w:r w:rsidR="00987958" w:rsidRPr="00987958">
              <w:rPr>
                <w:rFonts w:cs="Arial" w:hint="eastAsia"/>
                <w:color w:val="000000"/>
                <w:w w:val="15"/>
                <w:szCs w:val="20"/>
                <w:shd w:val="solid" w:color="000000" w:fill="000000"/>
                <w:fitText w:val="27" w:id="-1300528374"/>
                <w14:textFill>
                  <w14:solidFill>
                    <w14:srgbClr w14:val="000000">
                      <w14:alpha w14:val="100000"/>
                    </w14:srgbClr>
                  </w14:solidFill>
                </w14:textFill>
              </w:rPr>
              <w:t xml:space="preserve">　</w:t>
            </w:r>
            <w:r w:rsidR="00987958" w:rsidRPr="00987958">
              <w:rPr>
                <w:rFonts w:cs="Arial"/>
                <w:color w:val="000000"/>
                <w:w w:val="15"/>
                <w:szCs w:val="20"/>
                <w:shd w:val="solid" w:color="000000" w:fill="000000"/>
                <w:fitText w:val="27" w:id="-1300528374"/>
                <w14:textFill>
                  <w14:solidFill>
                    <w14:srgbClr w14:val="000000">
                      <w14:alpha w14:val="100000"/>
                    </w14:srgbClr>
                  </w14:solidFill>
                </w14:textFill>
              </w:rPr>
              <w:t>|</w:t>
            </w:r>
            <w:r w:rsidR="00987958" w:rsidRPr="00987958">
              <w:rPr>
                <w:rFonts w:cs="Arial" w:hint="eastAsia"/>
                <w:color w:val="000000"/>
                <w:spacing w:val="-38"/>
                <w:w w:val="15"/>
                <w:szCs w:val="20"/>
                <w:shd w:val="solid" w:color="000000" w:fill="000000"/>
                <w:fitText w:val="27" w:id="-1300528374"/>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38D8B9B6" w14:textId="3A4ACA30" w:rsidR="000A560C" w:rsidRPr="000A560C" w:rsidRDefault="000A560C" w:rsidP="000A560C">
            <w:pPr>
              <w:pStyle w:val="TableText0"/>
              <w:jc w:val="center"/>
            </w:pPr>
            <w:r w:rsidRPr="000A560C">
              <w:rPr>
                <w:rFonts w:cs="Arial"/>
                <w:color w:val="000000"/>
                <w:szCs w:val="20"/>
              </w:rPr>
              <w:t>$</w:t>
            </w:r>
            <w:r w:rsidR="00987958" w:rsidRPr="008E430C">
              <w:rPr>
                <w:rFonts w:cs="Arial" w:hint="eastAsia"/>
                <w:color w:val="000000"/>
                <w:w w:val="15"/>
                <w:szCs w:val="20"/>
                <w:shd w:val="solid" w:color="000000" w:fill="000000"/>
                <w:fitText w:val="9" w:id="-1300528373"/>
                <w14:textFill>
                  <w14:solidFill>
                    <w14:srgbClr w14:val="000000">
                      <w14:alpha w14:val="100000"/>
                    </w14:srgbClr>
                  </w14:solidFill>
                </w14:textFill>
              </w:rPr>
              <w:t xml:space="preserve">　</w:t>
            </w:r>
            <w:r w:rsidR="00987958" w:rsidRPr="008E430C">
              <w:rPr>
                <w:rFonts w:cs="Arial"/>
                <w:color w:val="000000"/>
                <w:w w:val="15"/>
                <w:szCs w:val="20"/>
                <w:shd w:val="solid" w:color="000000" w:fill="000000"/>
                <w:fitText w:val="9" w:id="-1300528373"/>
                <w14:textFill>
                  <w14:solidFill>
                    <w14:srgbClr w14:val="000000">
                      <w14:alpha w14:val="100000"/>
                    </w14:srgbClr>
                  </w14:solidFill>
                </w14:textFill>
              </w:rPr>
              <w:t>|</w:t>
            </w:r>
            <w:r w:rsidR="00987958" w:rsidRPr="008E430C">
              <w:rPr>
                <w:rFonts w:cs="Arial" w:hint="eastAsia"/>
                <w:color w:val="000000"/>
                <w:spacing w:val="-56"/>
                <w:w w:val="15"/>
                <w:szCs w:val="20"/>
                <w:shd w:val="solid" w:color="000000" w:fill="000000"/>
                <w:fitText w:val="9" w:id="-1300528373"/>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6D593F00" w14:textId="038BF18C" w:rsidR="000A560C" w:rsidRPr="000A560C" w:rsidRDefault="000A560C" w:rsidP="000A560C">
            <w:pPr>
              <w:pStyle w:val="TableText0"/>
              <w:jc w:val="center"/>
            </w:pPr>
            <w:r w:rsidRPr="000A560C">
              <w:rPr>
                <w:rFonts w:cs="Arial"/>
                <w:color w:val="000000"/>
                <w:szCs w:val="20"/>
              </w:rPr>
              <w:t>$</w:t>
            </w:r>
            <w:r w:rsidR="00987958" w:rsidRPr="008E430C">
              <w:rPr>
                <w:rFonts w:cs="Arial" w:hint="eastAsia"/>
                <w:color w:val="000000"/>
                <w:w w:val="15"/>
                <w:szCs w:val="20"/>
                <w:shd w:val="solid" w:color="000000" w:fill="000000"/>
                <w:fitText w:val="9" w:id="-1300528372"/>
                <w14:textFill>
                  <w14:solidFill>
                    <w14:srgbClr w14:val="000000">
                      <w14:alpha w14:val="100000"/>
                    </w14:srgbClr>
                  </w14:solidFill>
                </w14:textFill>
              </w:rPr>
              <w:t xml:space="preserve">　</w:t>
            </w:r>
            <w:r w:rsidR="00987958" w:rsidRPr="008E430C">
              <w:rPr>
                <w:rFonts w:cs="Arial"/>
                <w:color w:val="000000"/>
                <w:w w:val="15"/>
                <w:szCs w:val="20"/>
                <w:shd w:val="solid" w:color="000000" w:fill="000000"/>
                <w:fitText w:val="9" w:id="-1300528372"/>
                <w14:textFill>
                  <w14:solidFill>
                    <w14:srgbClr w14:val="000000">
                      <w14:alpha w14:val="100000"/>
                    </w14:srgbClr>
                  </w14:solidFill>
                </w14:textFill>
              </w:rPr>
              <w:t>|</w:t>
            </w:r>
            <w:r w:rsidR="00987958" w:rsidRPr="008E430C">
              <w:rPr>
                <w:rFonts w:cs="Arial" w:hint="eastAsia"/>
                <w:color w:val="000000"/>
                <w:spacing w:val="-56"/>
                <w:w w:val="15"/>
                <w:szCs w:val="20"/>
                <w:shd w:val="solid" w:color="000000" w:fill="000000"/>
                <w:fitText w:val="9" w:id="-1300528372"/>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13D2D292" w14:textId="68996C6D" w:rsidR="000A560C" w:rsidRPr="000A560C" w:rsidRDefault="000A560C" w:rsidP="000A560C">
            <w:pPr>
              <w:pStyle w:val="TableText0"/>
              <w:jc w:val="center"/>
            </w:pPr>
            <w:r w:rsidRPr="000A560C">
              <w:rPr>
                <w:rFonts w:cs="Arial"/>
                <w:color w:val="000000"/>
                <w:szCs w:val="20"/>
              </w:rPr>
              <w:t>$</w:t>
            </w:r>
            <w:r w:rsidR="00987958" w:rsidRPr="008E430C">
              <w:rPr>
                <w:rFonts w:cs="Arial" w:hint="eastAsia"/>
                <w:color w:val="000000"/>
                <w:w w:val="15"/>
                <w:szCs w:val="20"/>
                <w:shd w:val="solid" w:color="000000" w:fill="000000"/>
                <w:fitText w:val="9" w:id="-1300528371"/>
                <w14:textFill>
                  <w14:solidFill>
                    <w14:srgbClr w14:val="000000">
                      <w14:alpha w14:val="100000"/>
                    </w14:srgbClr>
                  </w14:solidFill>
                </w14:textFill>
              </w:rPr>
              <w:t xml:space="preserve">　</w:t>
            </w:r>
            <w:r w:rsidR="00987958" w:rsidRPr="008E430C">
              <w:rPr>
                <w:rFonts w:cs="Arial"/>
                <w:color w:val="000000"/>
                <w:w w:val="15"/>
                <w:szCs w:val="20"/>
                <w:shd w:val="solid" w:color="000000" w:fill="000000"/>
                <w:fitText w:val="9" w:id="-1300528371"/>
                <w14:textFill>
                  <w14:solidFill>
                    <w14:srgbClr w14:val="000000">
                      <w14:alpha w14:val="100000"/>
                    </w14:srgbClr>
                  </w14:solidFill>
                </w14:textFill>
              </w:rPr>
              <w:t>|</w:t>
            </w:r>
            <w:r w:rsidR="00987958" w:rsidRPr="008E430C">
              <w:rPr>
                <w:rFonts w:cs="Arial" w:hint="eastAsia"/>
                <w:color w:val="000000"/>
                <w:spacing w:val="-56"/>
                <w:w w:val="15"/>
                <w:szCs w:val="20"/>
                <w:shd w:val="solid" w:color="000000" w:fill="000000"/>
                <w:fitText w:val="9" w:id="-1300528371"/>
                <w14:textFill>
                  <w14:solidFill>
                    <w14:srgbClr w14:val="000000">
                      <w14:alpha w14:val="100000"/>
                    </w14:srgbClr>
                  </w14:solidFill>
                </w14:textFill>
              </w:rPr>
              <w:t xml:space="preserve">　</w:t>
            </w:r>
            <w:r w:rsidR="00455830">
              <w:rPr>
                <w:iCs/>
                <w:szCs w:val="20"/>
                <w:vertAlign w:val="superscript"/>
              </w:rPr>
              <w:t>3</w:t>
            </w:r>
          </w:p>
        </w:tc>
        <w:tc>
          <w:tcPr>
            <w:tcW w:w="613" w:type="pct"/>
            <w:vAlign w:val="center"/>
          </w:tcPr>
          <w:p w14:paraId="19E4F05A" w14:textId="731DBC5D" w:rsidR="000A560C" w:rsidRPr="000A560C" w:rsidRDefault="000A560C" w:rsidP="000A560C">
            <w:pPr>
              <w:pStyle w:val="TableText0"/>
              <w:jc w:val="center"/>
            </w:pPr>
            <w:r w:rsidRPr="000A560C">
              <w:rPr>
                <w:rFonts w:cs="Arial"/>
                <w:color w:val="000000"/>
                <w:szCs w:val="20"/>
              </w:rPr>
              <w:t>$</w:t>
            </w:r>
            <w:r w:rsidR="00987958" w:rsidRPr="008E430C">
              <w:rPr>
                <w:rFonts w:cs="Arial" w:hint="eastAsia"/>
                <w:color w:val="000000"/>
                <w:w w:val="15"/>
                <w:szCs w:val="20"/>
                <w:shd w:val="solid" w:color="000000" w:fill="000000"/>
                <w:fitText w:val="9" w:id="-1300528370"/>
                <w14:textFill>
                  <w14:solidFill>
                    <w14:srgbClr w14:val="000000">
                      <w14:alpha w14:val="100000"/>
                    </w14:srgbClr>
                  </w14:solidFill>
                </w14:textFill>
              </w:rPr>
              <w:t xml:space="preserve">　</w:t>
            </w:r>
            <w:r w:rsidR="00987958" w:rsidRPr="008E430C">
              <w:rPr>
                <w:rFonts w:cs="Arial"/>
                <w:color w:val="000000"/>
                <w:w w:val="15"/>
                <w:szCs w:val="20"/>
                <w:shd w:val="solid" w:color="000000" w:fill="000000"/>
                <w:fitText w:val="9" w:id="-1300528370"/>
                <w14:textFill>
                  <w14:solidFill>
                    <w14:srgbClr w14:val="000000">
                      <w14:alpha w14:val="100000"/>
                    </w14:srgbClr>
                  </w14:solidFill>
                </w14:textFill>
              </w:rPr>
              <w:t>|</w:t>
            </w:r>
            <w:r w:rsidR="00987958" w:rsidRPr="008E430C">
              <w:rPr>
                <w:rFonts w:cs="Arial" w:hint="eastAsia"/>
                <w:color w:val="000000"/>
                <w:spacing w:val="-56"/>
                <w:w w:val="15"/>
                <w:szCs w:val="20"/>
                <w:shd w:val="solid" w:color="000000" w:fill="000000"/>
                <w:fitText w:val="9" w:id="-1300528370"/>
                <w14:textFill>
                  <w14:solidFill>
                    <w14:srgbClr w14:val="000000">
                      <w14:alpha w14:val="100000"/>
                    </w14:srgbClr>
                  </w14:solidFill>
                </w14:textFill>
              </w:rPr>
              <w:t xml:space="preserve">　</w:t>
            </w:r>
            <w:r w:rsidR="00455830">
              <w:rPr>
                <w:iCs/>
                <w:szCs w:val="20"/>
                <w:vertAlign w:val="superscript"/>
              </w:rPr>
              <w:t>3</w:t>
            </w:r>
          </w:p>
        </w:tc>
      </w:tr>
      <w:tr w:rsidR="00B44292" w:rsidRPr="000C48F9" w14:paraId="626284A2" w14:textId="77777777" w:rsidTr="00782B9F">
        <w:tc>
          <w:tcPr>
            <w:tcW w:w="1334" w:type="pct"/>
            <w:shd w:val="clear" w:color="auto" w:fill="auto"/>
            <w:vAlign w:val="center"/>
          </w:tcPr>
          <w:p w14:paraId="40C1287E" w14:textId="77777777" w:rsidR="00B44292" w:rsidRPr="000C48F9" w:rsidRDefault="00B44292" w:rsidP="00DF6643">
            <w:pPr>
              <w:pStyle w:val="TableText0"/>
              <w:rPr>
                <w:rFonts w:ascii="Times" w:hAnsi="Times"/>
              </w:rPr>
            </w:pPr>
            <w:r w:rsidRPr="000C48F9">
              <w:rPr>
                <w:sz w:val="19"/>
                <w:szCs w:val="19"/>
              </w:rPr>
              <w:t>Net cost to MBS</w:t>
            </w:r>
          </w:p>
        </w:tc>
        <w:tc>
          <w:tcPr>
            <w:tcW w:w="628" w:type="pct"/>
            <w:shd w:val="clear" w:color="auto" w:fill="auto"/>
          </w:tcPr>
          <w:p w14:paraId="4D3B4483" w14:textId="4CFCFEB8" w:rsidR="00B44292" w:rsidRPr="000C48F9" w:rsidRDefault="00B44292" w:rsidP="00DF6643">
            <w:pPr>
              <w:pStyle w:val="TableText0"/>
              <w:jc w:val="center"/>
            </w:pPr>
            <w:r w:rsidRPr="000C48F9">
              <w:t>$</w:t>
            </w:r>
            <w:r w:rsidR="00987958" w:rsidRPr="00987958">
              <w:rPr>
                <w:color w:val="000000"/>
                <w:shd w:val="solid" w:color="000000" w:fill="000000"/>
                <w14:textFill>
                  <w14:solidFill>
                    <w14:srgbClr w14:val="000000">
                      <w14:alpha w14:val="100000"/>
                    </w14:srgbClr>
                  </w14:solidFill>
                </w14:textFill>
              </w:rPr>
              <w:t>|</w:t>
            </w:r>
            <w:r w:rsidR="00A611CC">
              <w:rPr>
                <w:iCs/>
                <w:szCs w:val="20"/>
                <w:vertAlign w:val="superscript"/>
              </w:rPr>
              <w:t>4</w:t>
            </w:r>
          </w:p>
        </w:tc>
        <w:tc>
          <w:tcPr>
            <w:tcW w:w="592" w:type="pct"/>
            <w:shd w:val="clear" w:color="auto" w:fill="auto"/>
          </w:tcPr>
          <w:p w14:paraId="75C02E27" w14:textId="329CC761" w:rsidR="00B44292" w:rsidRPr="000C48F9" w:rsidRDefault="00B44292" w:rsidP="00DF6643">
            <w:pPr>
              <w:pStyle w:val="TableText0"/>
              <w:jc w:val="center"/>
            </w:pPr>
            <w:r w:rsidRPr="000C48F9">
              <w:t>$</w:t>
            </w:r>
            <w:r w:rsidR="00987958" w:rsidRPr="00987958">
              <w:rPr>
                <w:rFonts w:hint="eastAsia"/>
                <w:color w:val="000000"/>
                <w:w w:val="15"/>
                <w:shd w:val="solid" w:color="000000" w:fill="000000"/>
                <w:fitText w:val="27" w:id="-1300528369"/>
                <w14:textFill>
                  <w14:solidFill>
                    <w14:srgbClr w14:val="000000">
                      <w14:alpha w14:val="100000"/>
                    </w14:srgbClr>
                  </w14:solidFill>
                </w14:textFill>
              </w:rPr>
              <w:t xml:space="preserve">　</w:t>
            </w:r>
            <w:r w:rsidR="00987958" w:rsidRPr="00987958">
              <w:rPr>
                <w:color w:val="000000"/>
                <w:w w:val="15"/>
                <w:shd w:val="solid" w:color="000000" w:fill="000000"/>
                <w:fitText w:val="27" w:id="-1300528369"/>
                <w14:textFill>
                  <w14:solidFill>
                    <w14:srgbClr w14:val="000000">
                      <w14:alpha w14:val="100000"/>
                    </w14:srgbClr>
                  </w14:solidFill>
                </w14:textFill>
              </w:rPr>
              <w:t>|</w:t>
            </w:r>
            <w:r w:rsidR="00987958" w:rsidRPr="00987958">
              <w:rPr>
                <w:rFonts w:hint="eastAsia"/>
                <w:color w:val="000000"/>
                <w:spacing w:val="-38"/>
                <w:w w:val="15"/>
                <w:shd w:val="solid" w:color="000000" w:fill="000000"/>
                <w:fitText w:val="27" w:id="-1300528369"/>
                <w14:textFill>
                  <w14:solidFill>
                    <w14:srgbClr w14:val="000000">
                      <w14:alpha w14:val="100000"/>
                    </w14:srgbClr>
                  </w14:solidFill>
                </w14:textFill>
              </w:rPr>
              <w:t xml:space="preserve">　</w:t>
            </w:r>
            <w:r w:rsidR="00455830">
              <w:rPr>
                <w:iCs/>
                <w:szCs w:val="20"/>
                <w:vertAlign w:val="superscript"/>
              </w:rPr>
              <w:t>4</w:t>
            </w:r>
          </w:p>
        </w:tc>
        <w:tc>
          <w:tcPr>
            <w:tcW w:w="611" w:type="pct"/>
            <w:shd w:val="clear" w:color="auto" w:fill="auto"/>
          </w:tcPr>
          <w:p w14:paraId="68B782D4" w14:textId="553BFA79" w:rsidR="00B44292" w:rsidRPr="000C48F9" w:rsidRDefault="00B44292" w:rsidP="00DF6643">
            <w:pPr>
              <w:pStyle w:val="TableText0"/>
              <w:jc w:val="center"/>
            </w:pPr>
            <w:r w:rsidRPr="000C48F9">
              <w:t>$</w:t>
            </w:r>
            <w:r w:rsidR="00987958" w:rsidRPr="008E430C">
              <w:rPr>
                <w:rFonts w:hint="eastAsia"/>
                <w:color w:val="000000"/>
                <w:w w:val="15"/>
                <w:shd w:val="solid" w:color="000000" w:fill="000000"/>
                <w:fitText w:val="9" w:id="-1300528368"/>
                <w14:textFill>
                  <w14:solidFill>
                    <w14:srgbClr w14:val="000000">
                      <w14:alpha w14:val="100000"/>
                    </w14:srgbClr>
                  </w14:solidFill>
                </w14:textFill>
              </w:rPr>
              <w:t xml:space="preserve">　</w:t>
            </w:r>
            <w:r w:rsidR="00987958" w:rsidRPr="008E430C">
              <w:rPr>
                <w:color w:val="000000"/>
                <w:w w:val="15"/>
                <w:shd w:val="solid" w:color="000000" w:fill="000000"/>
                <w:fitText w:val="9" w:id="-1300528368"/>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68"/>
                <w14:textFill>
                  <w14:solidFill>
                    <w14:srgbClr w14:val="000000">
                      <w14:alpha w14:val="100000"/>
                    </w14:srgbClr>
                  </w14:solidFill>
                </w14:textFill>
              </w:rPr>
              <w:t xml:space="preserve">　</w:t>
            </w:r>
            <w:r w:rsidR="00455830">
              <w:rPr>
                <w:iCs/>
                <w:szCs w:val="20"/>
                <w:vertAlign w:val="superscript"/>
              </w:rPr>
              <w:t>4</w:t>
            </w:r>
          </w:p>
        </w:tc>
        <w:tc>
          <w:tcPr>
            <w:tcW w:w="611" w:type="pct"/>
            <w:shd w:val="clear" w:color="auto" w:fill="auto"/>
          </w:tcPr>
          <w:p w14:paraId="6322F82C" w14:textId="393BB059" w:rsidR="00B44292" w:rsidRPr="000C48F9" w:rsidRDefault="00B44292" w:rsidP="00DF6643">
            <w:pPr>
              <w:pStyle w:val="TableText0"/>
              <w:jc w:val="center"/>
            </w:pPr>
            <w:r w:rsidRPr="000C48F9">
              <w:t>$</w:t>
            </w:r>
            <w:r w:rsidR="00987958" w:rsidRPr="008E430C">
              <w:rPr>
                <w:rFonts w:hint="eastAsia"/>
                <w:color w:val="000000"/>
                <w:w w:val="15"/>
                <w:shd w:val="solid" w:color="000000" w:fill="000000"/>
                <w:fitText w:val="9" w:id="-1300528384"/>
                <w14:textFill>
                  <w14:solidFill>
                    <w14:srgbClr w14:val="000000">
                      <w14:alpha w14:val="100000"/>
                    </w14:srgbClr>
                  </w14:solidFill>
                </w14:textFill>
              </w:rPr>
              <w:t xml:space="preserve">　</w:t>
            </w:r>
            <w:r w:rsidR="00987958" w:rsidRPr="008E430C">
              <w:rPr>
                <w:color w:val="000000"/>
                <w:w w:val="15"/>
                <w:shd w:val="solid" w:color="000000" w:fill="000000"/>
                <w:fitText w:val="9" w:id="-1300528384"/>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84"/>
                <w14:textFill>
                  <w14:solidFill>
                    <w14:srgbClr w14:val="000000">
                      <w14:alpha w14:val="100000"/>
                    </w14:srgbClr>
                  </w14:solidFill>
                </w14:textFill>
              </w:rPr>
              <w:t xml:space="preserve">　</w:t>
            </w:r>
            <w:r w:rsidR="00455830">
              <w:rPr>
                <w:iCs/>
                <w:szCs w:val="20"/>
                <w:vertAlign w:val="superscript"/>
              </w:rPr>
              <w:t>4</w:t>
            </w:r>
          </w:p>
        </w:tc>
        <w:tc>
          <w:tcPr>
            <w:tcW w:w="611" w:type="pct"/>
            <w:shd w:val="clear" w:color="auto" w:fill="auto"/>
          </w:tcPr>
          <w:p w14:paraId="4F97A52C" w14:textId="46DDA63E" w:rsidR="00B44292" w:rsidRPr="000C48F9" w:rsidRDefault="00B44292" w:rsidP="00DF6643">
            <w:pPr>
              <w:pStyle w:val="TableText0"/>
              <w:jc w:val="center"/>
            </w:pPr>
            <w:r w:rsidRPr="000C48F9">
              <w:t>$</w:t>
            </w:r>
            <w:r w:rsidR="00987958" w:rsidRPr="008E430C">
              <w:rPr>
                <w:rFonts w:hint="eastAsia"/>
                <w:color w:val="000000"/>
                <w:w w:val="15"/>
                <w:shd w:val="solid" w:color="000000" w:fill="000000"/>
                <w:fitText w:val="9" w:id="-1300528383"/>
                <w14:textFill>
                  <w14:solidFill>
                    <w14:srgbClr w14:val="000000">
                      <w14:alpha w14:val="100000"/>
                    </w14:srgbClr>
                  </w14:solidFill>
                </w14:textFill>
              </w:rPr>
              <w:t xml:space="preserve">　</w:t>
            </w:r>
            <w:r w:rsidR="00987958" w:rsidRPr="008E430C">
              <w:rPr>
                <w:color w:val="000000"/>
                <w:w w:val="15"/>
                <w:shd w:val="solid" w:color="000000" w:fill="000000"/>
                <w:fitText w:val="9" w:id="-1300528383"/>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83"/>
                <w14:textFill>
                  <w14:solidFill>
                    <w14:srgbClr w14:val="000000">
                      <w14:alpha w14:val="100000"/>
                    </w14:srgbClr>
                  </w14:solidFill>
                </w14:textFill>
              </w:rPr>
              <w:t xml:space="preserve">　</w:t>
            </w:r>
            <w:r w:rsidR="00455830">
              <w:rPr>
                <w:iCs/>
                <w:szCs w:val="20"/>
                <w:vertAlign w:val="superscript"/>
              </w:rPr>
              <w:t>4</w:t>
            </w:r>
          </w:p>
        </w:tc>
        <w:tc>
          <w:tcPr>
            <w:tcW w:w="613" w:type="pct"/>
          </w:tcPr>
          <w:p w14:paraId="07A86620" w14:textId="17E58B0E" w:rsidR="00B44292" w:rsidRPr="000C48F9" w:rsidRDefault="00B44292" w:rsidP="00DF6643">
            <w:pPr>
              <w:pStyle w:val="TableText0"/>
              <w:jc w:val="center"/>
            </w:pPr>
            <w:r w:rsidRPr="000C48F9">
              <w:t>$</w:t>
            </w:r>
            <w:r w:rsidR="00987958" w:rsidRPr="008E430C">
              <w:rPr>
                <w:rFonts w:hint="eastAsia"/>
                <w:color w:val="000000"/>
                <w:w w:val="15"/>
                <w:shd w:val="solid" w:color="000000" w:fill="000000"/>
                <w:fitText w:val="9" w:id="-1300528382"/>
                <w14:textFill>
                  <w14:solidFill>
                    <w14:srgbClr w14:val="000000">
                      <w14:alpha w14:val="100000"/>
                    </w14:srgbClr>
                  </w14:solidFill>
                </w14:textFill>
              </w:rPr>
              <w:t xml:space="preserve">　</w:t>
            </w:r>
            <w:r w:rsidR="00987958" w:rsidRPr="008E430C">
              <w:rPr>
                <w:color w:val="000000"/>
                <w:w w:val="15"/>
                <w:shd w:val="solid" w:color="000000" w:fill="000000"/>
                <w:fitText w:val="9" w:id="-1300528382"/>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82"/>
                <w14:textFill>
                  <w14:solidFill>
                    <w14:srgbClr w14:val="000000">
                      <w14:alpha w14:val="100000"/>
                    </w14:srgbClr>
                  </w14:solidFill>
                </w14:textFill>
              </w:rPr>
              <w:t xml:space="preserve">　</w:t>
            </w:r>
            <w:r w:rsidR="00455830">
              <w:rPr>
                <w:iCs/>
                <w:szCs w:val="20"/>
                <w:vertAlign w:val="superscript"/>
              </w:rPr>
              <w:t>4</w:t>
            </w:r>
          </w:p>
        </w:tc>
      </w:tr>
      <w:tr w:rsidR="000A560C" w:rsidRPr="000C48F9" w14:paraId="6EBCD9FD" w14:textId="77777777" w:rsidTr="00F96639">
        <w:tc>
          <w:tcPr>
            <w:tcW w:w="1334" w:type="pct"/>
            <w:shd w:val="clear" w:color="auto" w:fill="auto"/>
            <w:vAlign w:val="center"/>
          </w:tcPr>
          <w:p w14:paraId="78871EBA" w14:textId="77777777" w:rsidR="000A560C" w:rsidRPr="000C48F9" w:rsidRDefault="000A560C" w:rsidP="000A560C">
            <w:pPr>
              <w:pStyle w:val="TableText0"/>
              <w:rPr>
                <w:sz w:val="19"/>
                <w:szCs w:val="19"/>
              </w:rPr>
            </w:pPr>
            <w:r w:rsidRPr="000C48F9">
              <w:rPr>
                <w:sz w:val="19"/>
                <w:szCs w:val="19"/>
              </w:rPr>
              <w:t>Net cost to PBS/RPBS/MBS</w:t>
            </w:r>
          </w:p>
        </w:tc>
        <w:tc>
          <w:tcPr>
            <w:tcW w:w="628" w:type="pct"/>
            <w:shd w:val="clear" w:color="auto" w:fill="auto"/>
            <w:vAlign w:val="center"/>
          </w:tcPr>
          <w:p w14:paraId="72B2CAA4" w14:textId="25B24DC2" w:rsidR="000A560C" w:rsidRPr="000C48F9" w:rsidRDefault="000A560C" w:rsidP="000A560C">
            <w:pPr>
              <w:pStyle w:val="TableText0"/>
              <w:jc w:val="center"/>
            </w:pPr>
            <w:r w:rsidRPr="00F96639">
              <w:t xml:space="preserve"> $</w:t>
            </w:r>
            <w:r w:rsidR="00987958" w:rsidRPr="008E430C">
              <w:rPr>
                <w:rFonts w:hint="eastAsia"/>
                <w:color w:val="000000"/>
                <w:w w:val="15"/>
                <w:shd w:val="solid" w:color="000000" w:fill="000000"/>
                <w:fitText w:val="18" w:id="-1300528381"/>
                <w14:textFill>
                  <w14:solidFill>
                    <w14:srgbClr w14:val="000000">
                      <w14:alpha w14:val="100000"/>
                    </w14:srgbClr>
                  </w14:solidFill>
                </w14:textFill>
              </w:rPr>
              <w:t xml:space="preserve">　</w:t>
            </w:r>
            <w:r w:rsidR="00987958" w:rsidRPr="008E430C">
              <w:rPr>
                <w:color w:val="000000"/>
                <w:w w:val="15"/>
                <w:shd w:val="solid" w:color="000000" w:fill="000000"/>
                <w:fitText w:val="18" w:id="-1300528381"/>
                <w14:textFill>
                  <w14:solidFill>
                    <w14:srgbClr w14:val="000000">
                      <w14:alpha w14:val="100000"/>
                    </w14:srgbClr>
                  </w14:solidFill>
                </w14:textFill>
              </w:rPr>
              <w:t>|</w:t>
            </w:r>
            <w:r w:rsidR="00987958" w:rsidRPr="008E430C">
              <w:rPr>
                <w:rFonts w:hint="eastAsia"/>
                <w:color w:val="000000"/>
                <w:spacing w:val="-47"/>
                <w:w w:val="15"/>
                <w:shd w:val="solid" w:color="000000" w:fill="000000"/>
                <w:fitText w:val="18" w:id="-1300528381"/>
                <w14:textFill>
                  <w14:solidFill>
                    <w14:srgbClr w14:val="000000">
                      <w14:alpha w14:val="100000"/>
                    </w14:srgbClr>
                  </w14:solidFill>
                </w14:textFill>
              </w:rPr>
              <w:t xml:space="preserve">　</w:t>
            </w:r>
            <w:r w:rsidR="00455830">
              <w:rPr>
                <w:iCs/>
                <w:szCs w:val="20"/>
                <w:vertAlign w:val="superscript"/>
              </w:rPr>
              <w:t>3</w:t>
            </w:r>
            <w:r w:rsidR="00987958" w:rsidRPr="00987958">
              <w:t xml:space="preserve"> </w:t>
            </w:r>
          </w:p>
        </w:tc>
        <w:tc>
          <w:tcPr>
            <w:tcW w:w="592" w:type="pct"/>
            <w:shd w:val="clear" w:color="auto" w:fill="auto"/>
            <w:vAlign w:val="center"/>
          </w:tcPr>
          <w:p w14:paraId="5014E632" w14:textId="406A2FBD" w:rsidR="000A560C" w:rsidRPr="000C48F9" w:rsidRDefault="000A560C" w:rsidP="000A560C">
            <w:pPr>
              <w:pStyle w:val="TableText0"/>
              <w:jc w:val="center"/>
            </w:pPr>
            <w:r w:rsidRPr="00F96639">
              <w:t>$</w:t>
            </w:r>
            <w:r w:rsidR="00987958" w:rsidRPr="00987958">
              <w:rPr>
                <w:rFonts w:hint="eastAsia"/>
                <w:color w:val="000000"/>
                <w:w w:val="15"/>
                <w:shd w:val="solid" w:color="000000" w:fill="000000"/>
                <w:fitText w:val="27" w:id="-1300528380"/>
                <w14:textFill>
                  <w14:solidFill>
                    <w14:srgbClr w14:val="000000">
                      <w14:alpha w14:val="100000"/>
                    </w14:srgbClr>
                  </w14:solidFill>
                </w14:textFill>
              </w:rPr>
              <w:t xml:space="preserve">　</w:t>
            </w:r>
            <w:r w:rsidR="00987958" w:rsidRPr="00987958">
              <w:rPr>
                <w:color w:val="000000"/>
                <w:w w:val="15"/>
                <w:shd w:val="solid" w:color="000000" w:fill="000000"/>
                <w:fitText w:val="27" w:id="-1300528380"/>
                <w14:textFill>
                  <w14:solidFill>
                    <w14:srgbClr w14:val="000000">
                      <w14:alpha w14:val="100000"/>
                    </w14:srgbClr>
                  </w14:solidFill>
                </w14:textFill>
              </w:rPr>
              <w:t>|</w:t>
            </w:r>
            <w:r w:rsidR="00987958" w:rsidRPr="00987958">
              <w:rPr>
                <w:rFonts w:hint="eastAsia"/>
                <w:color w:val="000000"/>
                <w:spacing w:val="-38"/>
                <w:w w:val="15"/>
                <w:shd w:val="solid" w:color="000000" w:fill="000000"/>
                <w:fitText w:val="27" w:id="-1300528380"/>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4CCFE64D" w14:textId="4666B90E" w:rsidR="000A560C" w:rsidRPr="000C48F9" w:rsidRDefault="000A560C" w:rsidP="000A560C">
            <w:pPr>
              <w:pStyle w:val="TableText0"/>
              <w:jc w:val="center"/>
            </w:pPr>
            <w:r w:rsidRPr="00F96639">
              <w:t>$</w:t>
            </w:r>
            <w:r w:rsidR="00987958" w:rsidRPr="008E430C">
              <w:rPr>
                <w:rFonts w:hint="eastAsia"/>
                <w:color w:val="000000"/>
                <w:w w:val="15"/>
                <w:shd w:val="solid" w:color="000000" w:fill="000000"/>
                <w:fitText w:val="9" w:id="-1300528379"/>
                <w14:textFill>
                  <w14:solidFill>
                    <w14:srgbClr w14:val="000000">
                      <w14:alpha w14:val="100000"/>
                    </w14:srgbClr>
                  </w14:solidFill>
                </w14:textFill>
              </w:rPr>
              <w:t xml:space="preserve">　</w:t>
            </w:r>
            <w:r w:rsidR="00987958" w:rsidRPr="008E430C">
              <w:rPr>
                <w:color w:val="000000"/>
                <w:w w:val="15"/>
                <w:shd w:val="solid" w:color="000000" w:fill="000000"/>
                <w:fitText w:val="9" w:id="-1300528379"/>
                <w14:textFill>
                  <w14:solidFill>
                    <w14:srgbClr w14:val="000000">
                      <w14:alpha w14:val="100000"/>
                    </w14:srgbClr>
                  </w14:solidFill>
                </w14:textFill>
              </w:rPr>
              <w:t>|</w:t>
            </w:r>
            <w:r w:rsidR="00987958" w:rsidRPr="008E430C">
              <w:rPr>
                <w:rFonts w:hint="eastAsia"/>
                <w:color w:val="000000"/>
                <w:spacing w:val="-56"/>
                <w:w w:val="15"/>
                <w:shd w:val="solid" w:color="000000" w:fill="000000"/>
                <w:fitText w:val="9" w:id="-1300528379"/>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5EC30584" w14:textId="67208196" w:rsidR="000A560C" w:rsidRPr="000C48F9" w:rsidRDefault="000A560C" w:rsidP="000A560C">
            <w:pPr>
              <w:pStyle w:val="TableText0"/>
              <w:jc w:val="center"/>
            </w:pPr>
            <w:r w:rsidRPr="00F96639">
              <w:t xml:space="preserve"> $</w:t>
            </w:r>
            <w:r w:rsidR="00987958" w:rsidRPr="00987958">
              <w:rPr>
                <w:rFonts w:hint="eastAsia"/>
                <w:color w:val="000000"/>
                <w:w w:val="15"/>
                <w:shd w:val="solid" w:color="000000" w:fill="000000"/>
                <w:fitText w:val="27" w:id="-1300528378"/>
                <w14:textFill>
                  <w14:solidFill>
                    <w14:srgbClr w14:val="000000">
                      <w14:alpha w14:val="100000"/>
                    </w14:srgbClr>
                  </w14:solidFill>
                </w14:textFill>
              </w:rPr>
              <w:t xml:space="preserve">　</w:t>
            </w:r>
            <w:r w:rsidR="00987958" w:rsidRPr="00987958">
              <w:rPr>
                <w:color w:val="000000"/>
                <w:w w:val="15"/>
                <w:shd w:val="solid" w:color="000000" w:fill="000000"/>
                <w:fitText w:val="27" w:id="-1300528378"/>
                <w14:textFill>
                  <w14:solidFill>
                    <w14:srgbClr w14:val="000000">
                      <w14:alpha w14:val="100000"/>
                    </w14:srgbClr>
                  </w14:solidFill>
                </w14:textFill>
              </w:rPr>
              <w:t>|</w:t>
            </w:r>
            <w:r w:rsidR="00987958" w:rsidRPr="00987958">
              <w:rPr>
                <w:rFonts w:hint="eastAsia"/>
                <w:color w:val="000000"/>
                <w:spacing w:val="-38"/>
                <w:w w:val="15"/>
                <w:shd w:val="solid" w:color="000000" w:fill="000000"/>
                <w:fitText w:val="27" w:id="-1300528378"/>
                <w14:textFill>
                  <w14:solidFill>
                    <w14:srgbClr w14:val="000000">
                      <w14:alpha w14:val="100000"/>
                    </w14:srgbClr>
                  </w14:solidFill>
                </w14:textFill>
              </w:rPr>
              <w:t xml:space="preserve">　</w:t>
            </w:r>
            <w:r w:rsidR="00455830">
              <w:rPr>
                <w:iCs/>
                <w:szCs w:val="20"/>
                <w:vertAlign w:val="superscript"/>
              </w:rPr>
              <w:t>3</w:t>
            </w:r>
          </w:p>
        </w:tc>
        <w:tc>
          <w:tcPr>
            <w:tcW w:w="611" w:type="pct"/>
            <w:shd w:val="clear" w:color="auto" w:fill="auto"/>
            <w:vAlign w:val="center"/>
          </w:tcPr>
          <w:p w14:paraId="7AB78838" w14:textId="044ECCF3" w:rsidR="000A560C" w:rsidRPr="000C48F9" w:rsidRDefault="000A560C" w:rsidP="000A560C">
            <w:pPr>
              <w:pStyle w:val="TableText0"/>
              <w:jc w:val="center"/>
            </w:pPr>
            <w:r w:rsidRPr="00F96639">
              <w:t xml:space="preserve"> $</w:t>
            </w:r>
            <w:r w:rsidR="00987958" w:rsidRPr="00987958">
              <w:rPr>
                <w:rFonts w:hint="eastAsia"/>
                <w:color w:val="000000"/>
                <w:w w:val="15"/>
                <w:shd w:val="solid" w:color="000000" w:fill="000000"/>
                <w:fitText w:val="28" w:id="-1300528377"/>
                <w14:textFill>
                  <w14:solidFill>
                    <w14:srgbClr w14:val="000000">
                      <w14:alpha w14:val="100000"/>
                    </w14:srgbClr>
                  </w14:solidFill>
                </w14:textFill>
              </w:rPr>
              <w:t xml:space="preserve">　</w:t>
            </w:r>
            <w:r w:rsidR="00987958" w:rsidRPr="00987958">
              <w:rPr>
                <w:color w:val="000000"/>
                <w:w w:val="15"/>
                <w:shd w:val="solid" w:color="000000" w:fill="000000"/>
                <w:fitText w:val="28" w:id="-1300528377"/>
                <w14:textFill>
                  <w14:solidFill>
                    <w14:srgbClr w14:val="000000">
                      <w14:alpha w14:val="100000"/>
                    </w14:srgbClr>
                  </w14:solidFill>
                </w14:textFill>
              </w:rPr>
              <w:t>|</w:t>
            </w:r>
            <w:r w:rsidR="00987958" w:rsidRPr="00987958">
              <w:rPr>
                <w:rFonts w:hint="eastAsia"/>
                <w:color w:val="000000"/>
                <w:spacing w:val="-37"/>
                <w:w w:val="15"/>
                <w:shd w:val="solid" w:color="000000" w:fill="000000"/>
                <w:fitText w:val="28" w:id="-1300528377"/>
                <w14:textFill>
                  <w14:solidFill>
                    <w14:srgbClr w14:val="000000">
                      <w14:alpha w14:val="100000"/>
                    </w14:srgbClr>
                  </w14:solidFill>
                </w14:textFill>
              </w:rPr>
              <w:t xml:space="preserve">　</w:t>
            </w:r>
            <w:r w:rsidR="00455830">
              <w:rPr>
                <w:iCs/>
                <w:szCs w:val="20"/>
                <w:vertAlign w:val="superscript"/>
              </w:rPr>
              <w:t>3</w:t>
            </w:r>
          </w:p>
        </w:tc>
        <w:tc>
          <w:tcPr>
            <w:tcW w:w="613" w:type="pct"/>
            <w:vAlign w:val="center"/>
          </w:tcPr>
          <w:p w14:paraId="6DF1C26E" w14:textId="04A856C9" w:rsidR="000A560C" w:rsidRPr="000C48F9" w:rsidRDefault="000A560C" w:rsidP="000A560C">
            <w:pPr>
              <w:pStyle w:val="TableText0"/>
              <w:jc w:val="center"/>
            </w:pPr>
            <w:r w:rsidRPr="00F96639">
              <w:t xml:space="preserve"> $</w:t>
            </w:r>
            <w:r w:rsidR="00987958" w:rsidRPr="00987958">
              <w:rPr>
                <w:rFonts w:hint="eastAsia"/>
                <w:color w:val="000000"/>
                <w:w w:val="15"/>
                <w:shd w:val="solid" w:color="000000" w:fill="000000"/>
                <w:fitText w:val="28" w:id="-1300528376"/>
                <w14:textFill>
                  <w14:solidFill>
                    <w14:srgbClr w14:val="000000">
                      <w14:alpha w14:val="100000"/>
                    </w14:srgbClr>
                  </w14:solidFill>
                </w14:textFill>
              </w:rPr>
              <w:t xml:space="preserve">　</w:t>
            </w:r>
            <w:r w:rsidR="00987958" w:rsidRPr="00987958">
              <w:rPr>
                <w:color w:val="000000"/>
                <w:w w:val="15"/>
                <w:shd w:val="solid" w:color="000000" w:fill="000000"/>
                <w:fitText w:val="28" w:id="-1300528376"/>
                <w14:textFill>
                  <w14:solidFill>
                    <w14:srgbClr w14:val="000000">
                      <w14:alpha w14:val="100000"/>
                    </w14:srgbClr>
                  </w14:solidFill>
                </w14:textFill>
              </w:rPr>
              <w:t>|</w:t>
            </w:r>
            <w:r w:rsidR="00987958" w:rsidRPr="00987958">
              <w:rPr>
                <w:rFonts w:hint="eastAsia"/>
                <w:color w:val="000000"/>
                <w:spacing w:val="-37"/>
                <w:w w:val="15"/>
                <w:shd w:val="solid" w:color="000000" w:fill="000000"/>
                <w:fitText w:val="28" w:id="-1300528376"/>
                <w14:textFill>
                  <w14:solidFill>
                    <w14:srgbClr w14:val="000000">
                      <w14:alpha w14:val="100000"/>
                    </w14:srgbClr>
                  </w14:solidFill>
                </w14:textFill>
              </w:rPr>
              <w:t xml:space="preserve">　</w:t>
            </w:r>
            <w:r w:rsidR="00455830">
              <w:rPr>
                <w:iCs/>
                <w:szCs w:val="20"/>
                <w:vertAlign w:val="superscript"/>
              </w:rPr>
              <w:t>3</w:t>
            </w:r>
          </w:p>
        </w:tc>
      </w:tr>
    </w:tbl>
    <w:p w14:paraId="562F62FD" w14:textId="77777777" w:rsidR="0025194A" w:rsidRPr="000C48F9" w:rsidRDefault="0025194A" w:rsidP="0025194A">
      <w:pPr>
        <w:pStyle w:val="FooterTableFigure"/>
      </w:pPr>
      <w:r w:rsidRPr="000C48F9">
        <w:t xml:space="preserve">Source: Table 4.3.9, p198; Table 4.3.3, p199; Table 4.7.2, p211, Table 4.9.1, p213 of the submission. </w:t>
      </w:r>
    </w:p>
    <w:p w14:paraId="5E03ABA1" w14:textId="29262B15" w:rsidR="00534628" w:rsidRPr="000C48F9" w:rsidRDefault="002D501E" w:rsidP="00620C25">
      <w:pPr>
        <w:pStyle w:val="FooterTableFigure"/>
      </w:pPr>
      <w:r w:rsidRPr="000C48F9">
        <w:t xml:space="preserve">ELX/TEZ/IVA = elexacaftor/tezacaftor/ivacaftor; </w:t>
      </w:r>
      <w:r w:rsidR="00F13793" w:rsidRPr="000C48F9">
        <w:t>IVA = ivacaftor;</w:t>
      </w:r>
      <w:r w:rsidRPr="000C48F9">
        <w:t xml:space="preserve"> LUM/IVA = lumacaftor/ivacaftor; </w:t>
      </w:r>
      <w:r w:rsidR="00534628" w:rsidRPr="000C48F9">
        <w:t xml:space="preserve">MBS= Medicare Benefit Schedule; PBS=Pharmaceutical Benefit Scheme; </w:t>
      </w:r>
      <w:r w:rsidR="009B421F" w:rsidRPr="000C48F9">
        <w:t>RPBS = Repatriation Schedule of Pharmaceutical Benefits</w:t>
      </w:r>
    </w:p>
    <w:p w14:paraId="71285A2E" w14:textId="0BA2F9A5" w:rsidR="0025194A" w:rsidRPr="000C48F9" w:rsidRDefault="0025194A" w:rsidP="00620C25">
      <w:pPr>
        <w:pStyle w:val="FooterTableFigure"/>
        <w:rPr>
          <w:rStyle w:val="CommentReference"/>
        </w:rPr>
      </w:pPr>
      <w:r w:rsidRPr="000C48F9">
        <w:t>Note</w:t>
      </w:r>
    </w:p>
    <w:p w14:paraId="0F3A9457" w14:textId="120A4986" w:rsidR="00B44292" w:rsidRDefault="00B44292" w:rsidP="00242B64">
      <w:pPr>
        <w:pStyle w:val="FooterTableFigure"/>
        <w:spacing w:after="0"/>
      </w:pPr>
      <w:r w:rsidRPr="000C48F9">
        <w:rPr>
          <w:vertAlign w:val="superscript"/>
        </w:rPr>
        <w:t>a</w:t>
      </w:r>
      <w:r w:rsidRPr="000C48F9">
        <w:t xml:space="preserve"> Assuming </w:t>
      </w:r>
      <w:r w:rsidR="00AD4CAD" w:rsidRPr="000C48F9">
        <w:t>12.84</w:t>
      </w:r>
      <w:r w:rsidR="00673B06" w:rsidRPr="000C48F9">
        <w:t xml:space="preserve"> scripts</w:t>
      </w:r>
      <w:r w:rsidRPr="000C48F9">
        <w:t xml:space="preserve"> per year as estimated by the submission.</w:t>
      </w:r>
    </w:p>
    <w:p w14:paraId="0DF41A13" w14:textId="77777777" w:rsidR="00242B64" w:rsidRPr="009A6D58" w:rsidRDefault="00242B64" w:rsidP="00242B64">
      <w:pPr>
        <w:rPr>
          <w:rFonts w:ascii="Arial Narrow" w:hAnsi="Arial Narrow"/>
          <w:i/>
          <w:sz w:val="18"/>
          <w:szCs w:val="18"/>
        </w:rPr>
      </w:pPr>
      <w:bookmarkStart w:id="61" w:name="_Hlk113978923"/>
      <w:r w:rsidRPr="009A6D58">
        <w:rPr>
          <w:rFonts w:ascii="Arial Narrow" w:hAnsi="Arial Narrow"/>
          <w:i/>
          <w:sz w:val="18"/>
          <w:szCs w:val="18"/>
        </w:rPr>
        <w:t xml:space="preserve">The redacted values correspond to the following ranges: </w:t>
      </w:r>
    </w:p>
    <w:p w14:paraId="68990E7C" w14:textId="4F0393DA" w:rsidR="00242B64" w:rsidRPr="009A6D58" w:rsidRDefault="00242B64" w:rsidP="00242B6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A611CC" w:rsidRPr="00206B8D">
        <w:rPr>
          <w:rFonts w:ascii="Arial Narrow" w:hAnsi="Arial Narrow"/>
          <w:i/>
          <w:sz w:val="18"/>
          <w:szCs w:val="18"/>
        </w:rPr>
        <w:t xml:space="preserve">$50 million to &lt; $60 million </w:t>
      </w:r>
    </w:p>
    <w:p w14:paraId="52CDA51B" w14:textId="3E3C0ACB" w:rsidR="00242B64" w:rsidRPr="00206B8D" w:rsidRDefault="00242B64" w:rsidP="00242B6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A611CC">
        <w:rPr>
          <w:rFonts w:ascii="Arial Narrow" w:hAnsi="Arial Narrow"/>
          <w:i/>
          <w:sz w:val="18"/>
          <w:szCs w:val="18"/>
        </w:rPr>
        <w:t>N</w:t>
      </w:r>
      <w:r w:rsidR="00A611CC" w:rsidRPr="00CF47B7">
        <w:rPr>
          <w:rFonts w:ascii="Arial Narrow" w:hAnsi="Arial Narrow"/>
          <w:i/>
          <w:sz w:val="18"/>
          <w:szCs w:val="18"/>
        </w:rPr>
        <w:t>et cost</w:t>
      </w:r>
      <w:r w:rsidR="00A611CC">
        <w:rPr>
          <w:rFonts w:ascii="Arial Narrow" w:hAnsi="Arial Narrow"/>
          <w:i/>
          <w:sz w:val="18"/>
          <w:szCs w:val="18"/>
        </w:rPr>
        <w:t xml:space="preserve"> saving</w:t>
      </w:r>
      <w:r w:rsidR="00A611CC" w:rsidDel="00A611CC">
        <w:rPr>
          <w:rFonts w:ascii="Arial Narrow" w:hAnsi="Arial Narrow"/>
          <w:i/>
          <w:sz w:val="18"/>
          <w:szCs w:val="18"/>
        </w:rPr>
        <w:t xml:space="preserve"> </w:t>
      </w:r>
    </w:p>
    <w:p w14:paraId="3643D287" w14:textId="515741B9" w:rsidR="00242B64" w:rsidRDefault="00242B64" w:rsidP="00242B6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A611CC" w:rsidRPr="00206B8D">
        <w:rPr>
          <w:rFonts w:ascii="Arial Narrow" w:hAnsi="Arial Narrow"/>
          <w:i/>
          <w:sz w:val="18"/>
          <w:szCs w:val="18"/>
        </w:rPr>
        <w:t>$</w:t>
      </w:r>
      <w:r w:rsidR="00A611CC">
        <w:rPr>
          <w:rFonts w:ascii="Arial Narrow" w:hAnsi="Arial Narrow"/>
          <w:i/>
          <w:sz w:val="18"/>
          <w:szCs w:val="18"/>
        </w:rPr>
        <w:t>3</w:t>
      </w:r>
      <w:r w:rsidR="00A611CC" w:rsidRPr="00206B8D">
        <w:rPr>
          <w:rFonts w:ascii="Arial Narrow" w:hAnsi="Arial Narrow"/>
          <w:i/>
          <w:sz w:val="18"/>
          <w:szCs w:val="18"/>
        </w:rPr>
        <w:t>0 million to &lt; $</w:t>
      </w:r>
      <w:r w:rsidR="00A611CC">
        <w:rPr>
          <w:rFonts w:ascii="Arial Narrow" w:hAnsi="Arial Narrow"/>
          <w:i/>
          <w:sz w:val="18"/>
          <w:szCs w:val="18"/>
        </w:rPr>
        <w:t>4</w:t>
      </w:r>
      <w:r w:rsidR="00A611CC" w:rsidRPr="00206B8D">
        <w:rPr>
          <w:rFonts w:ascii="Arial Narrow" w:hAnsi="Arial Narrow"/>
          <w:i/>
          <w:sz w:val="18"/>
          <w:szCs w:val="18"/>
        </w:rPr>
        <w:t xml:space="preserve">0 million </w:t>
      </w:r>
      <w:r w:rsidR="00A611CC">
        <w:rPr>
          <w:rFonts w:ascii="Arial Narrow" w:hAnsi="Arial Narrow"/>
          <w:i/>
          <w:sz w:val="18"/>
          <w:szCs w:val="18"/>
        </w:rPr>
        <w:t xml:space="preserve"> </w:t>
      </w:r>
    </w:p>
    <w:p w14:paraId="62F05716" w14:textId="4BDBC057" w:rsidR="00242B64" w:rsidRDefault="00242B64" w:rsidP="00242B6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55830" w:rsidRPr="00060989">
        <w:rPr>
          <w:rFonts w:ascii="Arial Narrow" w:hAnsi="Arial Narrow"/>
          <w:i/>
          <w:sz w:val="18"/>
          <w:szCs w:val="18"/>
        </w:rPr>
        <w:t>$0 to &lt; $10 million</w:t>
      </w:r>
      <w:r w:rsidR="00455830" w:rsidDel="00A611CC">
        <w:rPr>
          <w:rFonts w:ascii="Arial Narrow" w:hAnsi="Arial Narrow"/>
          <w:i/>
          <w:sz w:val="18"/>
          <w:szCs w:val="18"/>
        </w:rPr>
        <w:t xml:space="preserve"> </w:t>
      </w:r>
    </w:p>
    <w:p w14:paraId="41E472AF" w14:textId="02C01178" w:rsidR="005F47FA" w:rsidRPr="009A6D58" w:rsidRDefault="00242B64" w:rsidP="0044604E">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455830" w:rsidRPr="00206B8D">
        <w:rPr>
          <w:rFonts w:ascii="Arial Narrow" w:hAnsi="Arial Narrow"/>
          <w:i/>
          <w:sz w:val="18"/>
          <w:szCs w:val="18"/>
        </w:rPr>
        <w:t>$</w:t>
      </w:r>
      <w:r w:rsidR="00455830">
        <w:rPr>
          <w:rFonts w:ascii="Arial Narrow" w:hAnsi="Arial Narrow"/>
          <w:i/>
          <w:sz w:val="18"/>
          <w:szCs w:val="18"/>
        </w:rPr>
        <w:t>6</w:t>
      </w:r>
      <w:r w:rsidR="00455830" w:rsidRPr="00206B8D">
        <w:rPr>
          <w:rFonts w:ascii="Arial Narrow" w:hAnsi="Arial Narrow"/>
          <w:i/>
          <w:sz w:val="18"/>
          <w:szCs w:val="18"/>
        </w:rPr>
        <w:t>0 million to &lt; $</w:t>
      </w:r>
      <w:r w:rsidR="00455830">
        <w:rPr>
          <w:rFonts w:ascii="Arial Narrow" w:hAnsi="Arial Narrow"/>
          <w:i/>
          <w:sz w:val="18"/>
          <w:szCs w:val="18"/>
        </w:rPr>
        <w:t>7</w:t>
      </w:r>
      <w:r w:rsidR="00455830" w:rsidRPr="00206B8D">
        <w:rPr>
          <w:rFonts w:ascii="Arial Narrow" w:hAnsi="Arial Narrow"/>
          <w:i/>
          <w:sz w:val="18"/>
          <w:szCs w:val="18"/>
        </w:rPr>
        <w:t>0 million</w:t>
      </w:r>
      <w:r w:rsidR="00455830" w:rsidRPr="00206B8D" w:rsidDel="00A611CC">
        <w:rPr>
          <w:rFonts w:ascii="Arial Narrow" w:hAnsi="Arial Narrow"/>
          <w:i/>
          <w:sz w:val="18"/>
          <w:szCs w:val="18"/>
        </w:rPr>
        <w:t xml:space="preserve"> </w:t>
      </w:r>
    </w:p>
    <w:bookmarkEnd w:id="61"/>
    <w:p w14:paraId="31A90443" w14:textId="4B52A2C0" w:rsidR="002C4B41" w:rsidRPr="000C48F9" w:rsidRDefault="00B44292" w:rsidP="00B44292">
      <w:pPr>
        <w:pStyle w:val="3-BodyText"/>
      </w:pPr>
      <w:r w:rsidRPr="000C48F9">
        <w:t xml:space="preserve">The total </w:t>
      </w:r>
      <w:r w:rsidR="000A560C">
        <w:t xml:space="preserve">net </w:t>
      </w:r>
      <w:r w:rsidRPr="000C48F9">
        <w:t xml:space="preserve">cost to the PBS/RPBS of listing ELX/TEZ/IVA was estimated to be </w:t>
      </w:r>
      <w:r w:rsidR="00EA1857" w:rsidRPr="00EA1857">
        <w:t>$</w:t>
      </w:r>
      <w:r w:rsidR="00455830" w:rsidRPr="00EA1857">
        <w:t>30</w:t>
      </w:r>
      <w:r w:rsidR="00455830">
        <w:t> </w:t>
      </w:r>
      <w:r w:rsidR="00EA1857" w:rsidRPr="00EA1857">
        <w:t xml:space="preserve">million to </w:t>
      </w:r>
      <w:r w:rsidR="00455830" w:rsidRPr="00EA1857">
        <w:t>&lt;</w:t>
      </w:r>
      <w:r w:rsidR="00455830">
        <w:t> </w:t>
      </w:r>
      <w:r w:rsidR="00EA1857" w:rsidRPr="00EA1857">
        <w:t>$40 million</w:t>
      </w:r>
      <w:r w:rsidR="00172AF3">
        <w:t xml:space="preserve"> </w:t>
      </w:r>
      <w:r w:rsidRPr="000C48F9">
        <w:t xml:space="preserve">in Year 6, and a total of </w:t>
      </w:r>
      <w:r w:rsidR="00EA1857" w:rsidRPr="00EA1857">
        <w:t xml:space="preserve">$200 million to </w:t>
      </w:r>
      <w:r w:rsidR="00455830" w:rsidRPr="00EA1857">
        <w:t>&lt;</w:t>
      </w:r>
      <w:r w:rsidR="00455830">
        <w:t> </w:t>
      </w:r>
      <w:r w:rsidR="00EA1857" w:rsidRPr="00EA1857">
        <w:t>$300</w:t>
      </w:r>
      <w:r w:rsidR="00455830">
        <w:t> </w:t>
      </w:r>
      <w:r w:rsidR="00EA1857" w:rsidRPr="00EA1857">
        <w:t>million</w:t>
      </w:r>
      <w:r w:rsidR="00172AF3">
        <w:t xml:space="preserve"> </w:t>
      </w:r>
      <w:r w:rsidRPr="000C48F9">
        <w:t>in the first 6 years of listing.</w:t>
      </w:r>
      <w:r w:rsidRPr="000C48F9">
        <w:rPr>
          <w:color w:val="3366FF"/>
        </w:rPr>
        <w:t xml:space="preserve"> </w:t>
      </w:r>
      <w:r w:rsidRPr="000C48F9">
        <w:t>The total cost to the PBS/RPBS was likely overestimated due to the likely overestimated number of patients and the overly high compliance rates used.</w:t>
      </w:r>
      <w:r w:rsidR="002C4B41" w:rsidRPr="000C48F9">
        <w:rPr>
          <w:i/>
          <w:iCs/>
        </w:rPr>
        <w:t xml:space="preserve"> </w:t>
      </w:r>
    </w:p>
    <w:p w14:paraId="7DD96974" w14:textId="77777777" w:rsidR="007C789C" w:rsidRPr="00EB1712" w:rsidRDefault="007C789C" w:rsidP="007C789C">
      <w:pPr>
        <w:pStyle w:val="3-BodyText"/>
      </w:pPr>
      <w:r w:rsidRPr="00EB1712">
        <w:t xml:space="preserve">The ESC considered that, overall, the approach to the financial estimates was reasonable but the number of patients likely to be treated was overestimated, particularly in the first year of listing.  </w:t>
      </w:r>
    </w:p>
    <w:p w14:paraId="2AE1EDEF" w14:textId="77777777" w:rsidR="00B44292" w:rsidRPr="000C48F9" w:rsidRDefault="00B44292" w:rsidP="00606FBA">
      <w:pPr>
        <w:pStyle w:val="4-SubsectionHeading"/>
      </w:pPr>
      <w:bookmarkStart w:id="62" w:name="_Toc114047722"/>
      <w:r w:rsidRPr="000C48F9">
        <w:t>Financial Management – Risk Sharing Arrangements</w:t>
      </w:r>
      <w:bookmarkEnd w:id="62"/>
    </w:p>
    <w:p w14:paraId="3871B727" w14:textId="67C0DAD4" w:rsidR="00B44292" w:rsidRPr="000C48F9" w:rsidRDefault="00B44292" w:rsidP="00B44292">
      <w:pPr>
        <w:pStyle w:val="3-BodyText"/>
        <w:rPr>
          <w:i/>
          <w:iCs/>
        </w:rPr>
      </w:pPr>
      <w:r w:rsidRPr="000C48F9">
        <w:t xml:space="preserve">No risk sharing arrangement was proposed in the submission. </w:t>
      </w:r>
    </w:p>
    <w:p w14:paraId="338CBA2E" w14:textId="77777777" w:rsidR="00163B39" w:rsidRPr="00163B39" w:rsidRDefault="00163B39" w:rsidP="00163B39">
      <w:pPr>
        <w:pStyle w:val="2-SectionHeading"/>
      </w:pPr>
      <w:r w:rsidRPr="00163B39">
        <w:t>PBAC Outcome</w:t>
      </w:r>
    </w:p>
    <w:p w14:paraId="2FA075F2" w14:textId="3C3A7671" w:rsidR="00363E1D" w:rsidRPr="00363E1D" w:rsidRDefault="00A2146D" w:rsidP="00A2146D">
      <w:pPr>
        <w:pStyle w:val="3-BodyText"/>
        <w:rPr>
          <w:rFonts w:ascii="Calibri" w:hAnsi="Calibri" w:cs="Calibri"/>
          <w:sz w:val="22"/>
          <w:szCs w:val="22"/>
        </w:rPr>
      </w:pPr>
      <w:r>
        <w:t xml:space="preserve">The PBAC recommended elexacaftor/ tezacaftor/ ivacaftor (ELZ/TEZ/IVA) for the treatment of cystic fibrosis in patients who are aged 6 to 11 years and who have at least one F508del mutation on the cystic fibrosis transmembrane conductance regulator (CFTR) gene. The PBAC noted the evidence presented could not accurately quantify the benefit of treating patients with ELX/TEZ/IVA from a younger age but acknowledged treatment from a young age was likely to be beneficial. The PBAC considered ELX/TEZ/IVA was likely to be cost-effective for this population at </w:t>
      </w:r>
      <w:r w:rsidR="009C3039">
        <w:t xml:space="preserve">a unit price no higher than that of the </w:t>
      </w:r>
      <w:r>
        <w:t>current PBS listing (for patients over 12 years of age) as proposed by the sponsor in its pre-PBAC response. The PBAC considered a number of assumptions applied in the financial estimates were overly optimistic and should be reduced to be consistent with the assumptions applied to the financial estimates agreed for the population of patients over 12 years of age. </w:t>
      </w:r>
    </w:p>
    <w:p w14:paraId="720413EB" w14:textId="4EB66BF5" w:rsidR="008306D3" w:rsidRPr="00683525" w:rsidRDefault="008306D3" w:rsidP="008306D3">
      <w:pPr>
        <w:pStyle w:val="3-BodyText"/>
        <w:rPr>
          <w:rFonts w:ascii="Calibri" w:hAnsi="Calibri" w:cs="Calibri"/>
        </w:rPr>
      </w:pPr>
      <w:r w:rsidRPr="00683525">
        <w:rPr>
          <w:rFonts w:ascii="Calibri" w:hAnsi="Calibri" w:cs="Calibri"/>
        </w:rPr>
        <w:t>The PBAC noted the strong consumer support for</w:t>
      </w:r>
      <w:r w:rsidR="00696CCC">
        <w:rPr>
          <w:rFonts w:ascii="Calibri" w:hAnsi="Calibri" w:cs="Calibri"/>
        </w:rPr>
        <w:t xml:space="preserve"> extending the availability of </w:t>
      </w:r>
      <w:r w:rsidRPr="00683525">
        <w:rPr>
          <w:rFonts w:ascii="Calibri" w:hAnsi="Calibri" w:cs="Calibri"/>
        </w:rPr>
        <w:t xml:space="preserve">ELX/TEZ/IVA </w:t>
      </w:r>
      <w:r w:rsidR="00696CCC">
        <w:rPr>
          <w:rFonts w:ascii="Calibri" w:hAnsi="Calibri" w:cs="Calibri"/>
        </w:rPr>
        <w:t xml:space="preserve">to </w:t>
      </w:r>
      <w:r w:rsidRPr="00683525">
        <w:rPr>
          <w:rFonts w:ascii="Calibri" w:hAnsi="Calibri" w:cs="Calibri"/>
        </w:rPr>
        <w:t>CF patients aged 6 to 11 years.</w:t>
      </w:r>
    </w:p>
    <w:p w14:paraId="5460A64F" w14:textId="20CC2131" w:rsidR="004E1B1B" w:rsidRPr="004E1B1B" w:rsidRDefault="00D2440A" w:rsidP="004E1B1B">
      <w:pPr>
        <w:pStyle w:val="3-BodyText"/>
        <w:rPr>
          <w:snapToGrid/>
          <w:color w:val="0066FF"/>
        </w:rPr>
      </w:pPr>
      <w:r>
        <w:rPr>
          <w:rFonts w:eastAsia="Times New Roman"/>
          <w:bCs/>
          <w:lang w:val="en-GB" w:eastAsia="en-US"/>
        </w:rPr>
        <w:t>The PBAC noted the submission nominated</w:t>
      </w:r>
      <w:r w:rsidRPr="00D2440A">
        <w:rPr>
          <w:rFonts w:eastAsia="Times New Roman"/>
          <w:bCs/>
          <w:lang w:val="en-GB" w:eastAsia="en-US"/>
        </w:rPr>
        <w:t xml:space="preserve"> LUM/IVA </w:t>
      </w:r>
      <w:r>
        <w:rPr>
          <w:rFonts w:eastAsia="Times New Roman"/>
          <w:bCs/>
          <w:lang w:val="en-GB" w:eastAsia="en-US"/>
        </w:rPr>
        <w:t xml:space="preserve">as comparator </w:t>
      </w:r>
      <w:r w:rsidRPr="00D2440A">
        <w:rPr>
          <w:rFonts w:eastAsia="Times New Roman"/>
          <w:bCs/>
          <w:lang w:val="en-GB" w:eastAsia="en-US"/>
        </w:rPr>
        <w:t xml:space="preserve">in the F/F population, IVA monotherapy </w:t>
      </w:r>
      <w:r>
        <w:rPr>
          <w:rFonts w:eastAsia="Times New Roman"/>
          <w:bCs/>
          <w:lang w:val="en-GB" w:eastAsia="en-US"/>
        </w:rPr>
        <w:t xml:space="preserve">as comparator </w:t>
      </w:r>
      <w:r w:rsidRPr="00D2440A">
        <w:rPr>
          <w:rFonts w:eastAsia="Times New Roman"/>
          <w:bCs/>
          <w:lang w:val="en-GB" w:eastAsia="en-US"/>
        </w:rPr>
        <w:t>in the F/G population</w:t>
      </w:r>
      <w:r>
        <w:rPr>
          <w:rFonts w:eastAsia="Times New Roman"/>
          <w:bCs/>
          <w:lang w:val="en-GB" w:eastAsia="en-US"/>
        </w:rPr>
        <w:t xml:space="preserve"> and </w:t>
      </w:r>
      <w:r w:rsidRPr="00D2440A">
        <w:rPr>
          <w:rFonts w:eastAsia="Times New Roman"/>
          <w:bCs/>
          <w:lang w:val="en-GB" w:eastAsia="en-US"/>
        </w:rPr>
        <w:t xml:space="preserve">BSC </w:t>
      </w:r>
      <w:r>
        <w:rPr>
          <w:rFonts w:eastAsia="Times New Roman"/>
          <w:bCs/>
          <w:lang w:val="en-GB" w:eastAsia="en-US"/>
        </w:rPr>
        <w:t xml:space="preserve">as comparator </w:t>
      </w:r>
      <w:r w:rsidRPr="00D2440A">
        <w:rPr>
          <w:rFonts w:eastAsia="Times New Roman"/>
          <w:bCs/>
          <w:lang w:val="en-GB" w:eastAsia="en-US"/>
        </w:rPr>
        <w:t xml:space="preserve">in the </w:t>
      </w:r>
      <w:r w:rsidR="00813815">
        <w:rPr>
          <w:rFonts w:eastAsia="Times New Roman"/>
          <w:bCs/>
          <w:lang w:val="en-GB" w:eastAsia="en-US"/>
        </w:rPr>
        <w:t>F/MF, F/RF and F/R117H populations</w:t>
      </w:r>
      <w:r>
        <w:rPr>
          <w:rFonts w:eastAsia="Times New Roman"/>
          <w:bCs/>
          <w:lang w:val="en-GB" w:eastAsia="en-US"/>
        </w:rPr>
        <w:t>.</w:t>
      </w:r>
      <w:r w:rsidR="004E1B1B">
        <w:rPr>
          <w:rFonts w:eastAsia="Times New Roman"/>
          <w:bCs/>
          <w:lang w:val="en-GB" w:eastAsia="en-US"/>
        </w:rPr>
        <w:t xml:space="preserve"> The PBAC considered the nominated comparators were reasonable; however,</w:t>
      </w:r>
      <w:r w:rsidR="00B20BEE">
        <w:rPr>
          <w:rFonts w:eastAsia="Times New Roman"/>
          <w:bCs/>
          <w:lang w:val="en-GB" w:eastAsia="en-US"/>
        </w:rPr>
        <w:t xml:space="preserve"> it would have been</w:t>
      </w:r>
      <w:r w:rsidR="00BB0723">
        <w:rPr>
          <w:rFonts w:eastAsia="Times New Roman"/>
          <w:bCs/>
          <w:lang w:val="en-GB" w:eastAsia="en-US"/>
        </w:rPr>
        <w:t xml:space="preserve"> informative</w:t>
      </w:r>
      <w:r w:rsidR="00B20BEE">
        <w:rPr>
          <w:rFonts w:eastAsia="Times New Roman"/>
          <w:bCs/>
          <w:lang w:val="en-GB" w:eastAsia="en-US"/>
        </w:rPr>
        <w:t xml:space="preserve"> to </w:t>
      </w:r>
      <w:r w:rsidR="004E1B1B">
        <w:rPr>
          <w:rFonts w:eastAsia="Times New Roman"/>
          <w:bCs/>
          <w:lang w:val="en-GB" w:eastAsia="en-US"/>
        </w:rPr>
        <w:t xml:space="preserve">compare </w:t>
      </w:r>
      <w:r w:rsidR="004E1B1B" w:rsidRPr="008C7554">
        <w:t xml:space="preserve">commencing treatment </w:t>
      </w:r>
      <w:r w:rsidR="004E1B1B">
        <w:t xml:space="preserve">with ELX/TEZ/IVA </w:t>
      </w:r>
      <w:r w:rsidR="004E1B1B" w:rsidRPr="008C7554">
        <w:t>between the ages of 6-11 years</w:t>
      </w:r>
      <w:r w:rsidR="004E1B1B">
        <w:t xml:space="preserve"> </w:t>
      </w:r>
      <w:r w:rsidR="004E1B1B" w:rsidRPr="008C7554">
        <w:t xml:space="preserve">with commencing treatment </w:t>
      </w:r>
      <w:r w:rsidR="00B20BEE">
        <w:t>with</w:t>
      </w:r>
      <w:r w:rsidR="004E1B1B">
        <w:t xml:space="preserve"> ELX/TEZ/IVA </w:t>
      </w:r>
      <w:r w:rsidR="008C51EE">
        <w:t xml:space="preserve">at 12 years of age or older </w:t>
      </w:r>
      <w:r w:rsidR="00B20BEE">
        <w:t>in each of these populations</w:t>
      </w:r>
      <w:r w:rsidR="004E1B1B" w:rsidRPr="008C7554">
        <w:t>.</w:t>
      </w:r>
      <w:r w:rsidR="004E1B1B">
        <w:t xml:space="preserve"> </w:t>
      </w:r>
    </w:p>
    <w:p w14:paraId="106EE10B" w14:textId="161D2AF0" w:rsidR="008306D3" w:rsidRDefault="008306D3" w:rsidP="008306D3">
      <w:pPr>
        <w:pStyle w:val="3-BodyText"/>
      </w:pPr>
      <w:r w:rsidRPr="005728DD">
        <w:t xml:space="preserve">The PBAC was satisfied that ELX/TEZ/IVA provides, for some patients, an improvement in efficacy over </w:t>
      </w:r>
      <w:r>
        <w:t>the nominated comparators</w:t>
      </w:r>
      <w:r w:rsidRPr="005728DD">
        <w:t xml:space="preserve">. </w:t>
      </w:r>
    </w:p>
    <w:p w14:paraId="78050875" w14:textId="776992BD" w:rsidR="00781627" w:rsidRDefault="00781627" w:rsidP="008306D3">
      <w:pPr>
        <w:pStyle w:val="3-BodyText"/>
      </w:pPr>
      <w:r>
        <w:t>The PBAC advised the following with regards to the restriction criteria:</w:t>
      </w:r>
    </w:p>
    <w:p w14:paraId="282F4809" w14:textId="27A7855C" w:rsidR="00781627" w:rsidRDefault="00781627" w:rsidP="00781627">
      <w:pPr>
        <w:pStyle w:val="3-BodyText"/>
        <w:numPr>
          <w:ilvl w:val="0"/>
          <w:numId w:val="27"/>
        </w:numPr>
      </w:pPr>
      <w:r>
        <w:t>The population criteria in the current listing for ELX/TEZ/IVA “</w:t>
      </w:r>
      <w:r w:rsidRPr="00781627">
        <w:t xml:space="preserve">Patient must be 12 years of age or older” should be amended to </w:t>
      </w:r>
      <w:r>
        <w:t>“</w:t>
      </w:r>
      <w:r w:rsidRPr="00781627">
        <w:t>Patient must be at least 6 years of age”</w:t>
      </w:r>
      <w:r>
        <w:t>;</w:t>
      </w:r>
    </w:p>
    <w:p w14:paraId="60B3D2EB" w14:textId="1B299454" w:rsidR="00781627" w:rsidRPr="005728DD" w:rsidRDefault="00781627" w:rsidP="00C8173E">
      <w:pPr>
        <w:pStyle w:val="3-BodyText"/>
        <w:numPr>
          <w:ilvl w:val="0"/>
          <w:numId w:val="27"/>
        </w:numPr>
      </w:pPr>
      <w:r>
        <w:t>A</w:t>
      </w:r>
      <w:r w:rsidR="006566B5">
        <w:t xml:space="preserve">n </w:t>
      </w:r>
      <w:r>
        <w:t>item be added for the new presentation</w:t>
      </w:r>
      <w:r w:rsidR="00C8173E">
        <w:t xml:space="preserve"> (elexacaftor </w:t>
      </w:r>
      <w:r w:rsidR="003A21B2">
        <w:t>50 </w:t>
      </w:r>
      <w:r w:rsidR="00C8173E">
        <w:t xml:space="preserve">mg/ tezacaftor </w:t>
      </w:r>
      <w:r w:rsidR="00172AF3">
        <w:t>25 </w:t>
      </w:r>
      <w:r w:rsidR="00C8173E">
        <w:t>mg/ ivacaftor 37.</w:t>
      </w:r>
      <w:r w:rsidR="003A21B2">
        <w:t>5 </w:t>
      </w:r>
      <w:r w:rsidR="00C8173E">
        <w:t xml:space="preserve">mg film-coated tablets co-packaged with ivacaftor </w:t>
      </w:r>
      <w:r w:rsidR="003A21B2">
        <w:t>75 </w:t>
      </w:r>
      <w:r w:rsidR="00C8173E">
        <w:t>mg film-coated tablets)</w:t>
      </w:r>
      <w:r>
        <w:t xml:space="preserve"> with the same restriction criteria </w:t>
      </w:r>
      <w:r w:rsidR="006566B5">
        <w:t xml:space="preserve">as the current listing </w:t>
      </w:r>
      <w:r>
        <w:t>except for the population criteria “</w:t>
      </w:r>
      <w:r w:rsidRPr="00781627">
        <w:t>Patient must be aged between 6 and 11 years inclusive</w:t>
      </w:r>
      <w:r>
        <w:t>”</w:t>
      </w:r>
      <w:r w:rsidRPr="00781627">
        <w:t>.</w:t>
      </w:r>
    </w:p>
    <w:p w14:paraId="4B6ED163" w14:textId="6FDA91D9" w:rsidR="00801972" w:rsidRPr="008C51EE" w:rsidRDefault="006C43CD" w:rsidP="00801972">
      <w:pPr>
        <w:pStyle w:val="3-BodyText"/>
        <w:rPr>
          <w:snapToGrid/>
        </w:rPr>
      </w:pPr>
      <w:r>
        <w:rPr>
          <w:snapToGrid/>
        </w:rPr>
        <w:t xml:space="preserve">The PBAC noted the submission presented </w:t>
      </w:r>
      <w:r w:rsidR="00892E55">
        <w:rPr>
          <w:snapToGrid/>
        </w:rPr>
        <w:t>one randomised controlled trial of ELX/TEZ/IVA versus placebo (</w:t>
      </w:r>
      <w:r w:rsidR="00801972">
        <w:rPr>
          <w:snapToGrid/>
        </w:rPr>
        <w:t>re</w:t>
      </w:r>
      <w:r w:rsidR="00892E55">
        <w:rPr>
          <w:snapToGrid/>
        </w:rPr>
        <w:t>presenting best supportive care) in the F/MF population (</w:t>
      </w:r>
      <w:r w:rsidR="00801972">
        <w:rPr>
          <w:snapToGrid/>
        </w:rPr>
        <w:t xml:space="preserve">Study 116, </w:t>
      </w:r>
      <w:r w:rsidR="00892E55">
        <w:rPr>
          <w:snapToGrid/>
        </w:rPr>
        <w:t xml:space="preserve">n=121). </w:t>
      </w:r>
      <w:r w:rsidR="00801972">
        <w:rPr>
          <w:snapToGrid/>
        </w:rPr>
        <w:t>The PBAC noted that treatment with ELX/TEZ/IVA provided a significant improvement in outcomes of ppFEV</w:t>
      </w:r>
      <w:r w:rsidR="00801972" w:rsidRPr="00801972">
        <w:rPr>
          <w:snapToGrid/>
          <w:vertAlign w:val="subscript"/>
        </w:rPr>
        <w:t>1</w:t>
      </w:r>
      <w:r w:rsidR="004116CB">
        <w:rPr>
          <w:snapToGrid/>
        </w:rPr>
        <w:t>,</w:t>
      </w:r>
      <w:r w:rsidR="00801972">
        <w:rPr>
          <w:snapToGrid/>
        </w:rPr>
        <w:t xml:space="preserve"> CFQ-R Respiratory Domain, sweat chloride and lung </w:t>
      </w:r>
      <w:r w:rsidR="006358C3" w:rsidRPr="008C51EE">
        <w:rPr>
          <w:snapToGrid/>
        </w:rPr>
        <w:t>clearance</w:t>
      </w:r>
      <w:r w:rsidR="00801972" w:rsidRPr="008C51EE">
        <w:rPr>
          <w:snapToGrid/>
        </w:rPr>
        <w:t xml:space="preserve"> index (LCI). The PBAC noted the improvement in ppFEV</w:t>
      </w:r>
      <w:r w:rsidR="00801972" w:rsidRPr="008C51EE">
        <w:rPr>
          <w:snapToGrid/>
          <w:vertAlign w:val="subscript"/>
        </w:rPr>
        <w:t>1</w:t>
      </w:r>
      <w:r w:rsidR="00801972" w:rsidRPr="008C51EE">
        <w:rPr>
          <w:snapToGrid/>
        </w:rPr>
        <w:t xml:space="preserve"> </w:t>
      </w:r>
      <w:r w:rsidR="00511CF6" w:rsidRPr="008C51EE">
        <w:rPr>
          <w:snapToGrid/>
        </w:rPr>
        <w:t xml:space="preserve">(which the PBAC considered </w:t>
      </w:r>
      <w:r w:rsidR="00590295">
        <w:rPr>
          <w:snapToGrid/>
        </w:rPr>
        <w:t xml:space="preserve">was </w:t>
      </w:r>
      <w:r w:rsidR="00511CF6" w:rsidRPr="008C51EE">
        <w:rPr>
          <w:snapToGrid/>
        </w:rPr>
        <w:t xml:space="preserve">the outcome most likely to be related to long term benefit) </w:t>
      </w:r>
      <w:r w:rsidR="00801972" w:rsidRPr="008C51EE">
        <w:rPr>
          <w:snapToGrid/>
        </w:rPr>
        <w:t>was greater than the MCID of 10% at 24 weeks (11.0%)</w:t>
      </w:r>
      <w:r w:rsidR="002D35F6" w:rsidRPr="008C51EE">
        <w:rPr>
          <w:snapToGrid/>
        </w:rPr>
        <w:t xml:space="preserve">. </w:t>
      </w:r>
    </w:p>
    <w:p w14:paraId="74DF55D1" w14:textId="2176C368" w:rsidR="004030CA" w:rsidRPr="008C51EE" w:rsidRDefault="00696CCC" w:rsidP="00A229E4">
      <w:pPr>
        <w:pStyle w:val="3-BodyText"/>
        <w:rPr>
          <w:snapToGrid/>
        </w:rPr>
      </w:pPr>
      <w:r w:rsidRPr="008C51EE">
        <w:rPr>
          <w:snapToGrid/>
        </w:rPr>
        <w:t xml:space="preserve">The PBAC noted the submission presented </w:t>
      </w:r>
      <w:r w:rsidR="00511CF6" w:rsidRPr="008C51EE">
        <w:rPr>
          <w:snapToGrid/>
        </w:rPr>
        <w:t xml:space="preserve">an </w:t>
      </w:r>
      <w:r w:rsidR="004116CB" w:rsidRPr="008C51EE">
        <w:rPr>
          <w:snapToGrid/>
        </w:rPr>
        <w:t xml:space="preserve">unanchored </w:t>
      </w:r>
      <w:r w:rsidR="00511CF6" w:rsidRPr="008C51EE">
        <w:rPr>
          <w:snapToGrid/>
        </w:rPr>
        <w:t xml:space="preserve">indirect treatment comparison </w:t>
      </w:r>
      <w:r w:rsidRPr="008C51EE">
        <w:rPr>
          <w:snapToGrid/>
        </w:rPr>
        <w:t xml:space="preserve">of ELX/TEZ/IVA </w:t>
      </w:r>
      <w:r w:rsidR="004116CB" w:rsidRPr="008C51EE">
        <w:rPr>
          <w:snapToGrid/>
        </w:rPr>
        <w:t xml:space="preserve">and LUM/IVA </w:t>
      </w:r>
      <w:r w:rsidRPr="008C51EE">
        <w:rPr>
          <w:snapToGrid/>
        </w:rPr>
        <w:t>in the F/F population (</w:t>
      </w:r>
      <w:r w:rsidR="004116CB" w:rsidRPr="008C51EE">
        <w:rPr>
          <w:snapToGrid/>
        </w:rPr>
        <w:t xml:space="preserve">ELX/TEZ/IVA, Study 106, </w:t>
      </w:r>
      <w:r w:rsidRPr="008C51EE">
        <w:rPr>
          <w:snapToGrid/>
        </w:rPr>
        <w:t>n=29</w:t>
      </w:r>
      <w:r w:rsidR="004116CB" w:rsidRPr="008C51EE">
        <w:rPr>
          <w:snapToGrid/>
        </w:rPr>
        <w:t xml:space="preserve"> and LUM/IVA, </w:t>
      </w:r>
      <w:r w:rsidR="00F61FC2">
        <w:rPr>
          <w:snapToGrid/>
        </w:rPr>
        <w:t xml:space="preserve">pooled results from Study 109/ </w:t>
      </w:r>
      <w:r w:rsidR="004116CB" w:rsidRPr="008C51EE">
        <w:rPr>
          <w:snapToGrid/>
        </w:rPr>
        <w:t>Study 011, n=</w:t>
      </w:r>
      <w:r w:rsidR="00F61FC2">
        <w:rPr>
          <w:snapToGrid/>
        </w:rPr>
        <w:t>160</w:t>
      </w:r>
      <w:r w:rsidRPr="008C51EE">
        <w:rPr>
          <w:snapToGrid/>
        </w:rPr>
        <w:t>)</w:t>
      </w:r>
      <w:r w:rsidR="004116CB" w:rsidRPr="008C51EE">
        <w:rPr>
          <w:snapToGrid/>
        </w:rPr>
        <w:t xml:space="preserve">. </w:t>
      </w:r>
      <w:r w:rsidR="004030CA" w:rsidRPr="008C51EE">
        <w:rPr>
          <w:snapToGrid/>
        </w:rPr>
        <w:t>The PBAC noted the improvement in ppFEV</w:t>
      </w:r>
      <w:r w:rsidR="004030CA" w:rsidRPr="008C51EE">
        <w:rPr>
          <w:snapToGrid/>
          <w:vertAlign w:val="subscript"/>
        </w:rPr>
        <w:t>1</w:t>
      </w:r>
      <w:r w:rsidR="004030CA" w:rsidRPr="008C51EE">
        <w:rPr>
          <w:snapToGrid/>
        </w:rPr>
        <w:t xml:space="preserve"> was greater than the MCID at 24 weeks (11.5%). The PBAC noted the benefit of ELX/TEZ/IVA was supported by data </w:t>
      </w:r>
      <w:r w:rsidR="0037476D" w:rsidRPr="008C51EE">
        <w:rPr>
          <w:snapToGrid/>
        </w:rPr>
        <w:t xml:space="preserve">to 120 weeks </w:t>
      </w:r>
      <w:r w:rsidR="004030CA" w:rsidRPr="008C51EE">
        <w:rPr>
          <w:snapToGrid/>
        </w:rPr>
        <w:t>from Study 107</w:t>
      </w:r>
      <w:r w:rsidR="005B3668" w:rsidRPr="008C51EE">
        <w:rPr>
          <w:snapToGrid/>
        </w:rPr>
        <w:t xml:space="preserve">, </w:t>
      </w:r>
      <w:r w:rsidR="004030CA" w:rsidRPr="008C51EE">
        <w:rPr>
          <w:snapToGrid/>
        </w:rPr>
        <w:t>an extension to Study 106</w:t>
      </w:r>
      <w:r w:rsidR="005B3668" w:rsidRPr="008C51EE">
        <w:rPr>
          <w:snapToGrid/>
        </w:rPr>
        <w:t xml:space="preserve"> (</w:t>
      </w:r>
      <w:r w:rsidR="002D35F6" w:rsidRPr="008C51EE">
        <w:rPr>
          <w:snapToGrid/>
        </w:rPr>
        <w:t xml:space="preserve">which </w:t>
      </w:r>
      <w:r w:rsidR="00A229E4" w:rsidRPr="008C51EE">
        <w:rPr>
          <w:snapToGrid/>
        </w:rPr>
        <w:t xml:space="preserve">also </w:t>
      </w:r>
      <w:r w:rsidR="002D35F6" w:rsidRPr="008C51EE">
        <w:rPr>
          <w:snapToGrid/>
        </w:rPr>
        <w:t xml:space="preserve">included </w:t>
      </w:r>
      <w:r w:rsidR="00A229E4" w:rsidRPr="008C51EE">
        <w:rPr>
          <w:snapToGrid/>
        </w:rPr>
        <w:t xml:space="preserve">the </w:t>
      </w:r>
      <w:r w:rsidR="002D35F6" w:rsidRPr="008C51EE">
        <w:rPr>
          <w:snapToGrid/>
        </w:rPr>
        <w:t>F/MF</w:t>
      </w:r>
      <w:r w:rsidR="005548C0" w:rsidRPr="008C51EE">
        <w:rPr>
          <w:snapToGrid/>
        </w:rPr>
        <w:t xml:space="preserve"> population</w:t>
      </w:r>
      <w:r w:rsidR="004030CA" w:rsidRPr="008C51EE">
        <w:rPr>
          <w:snapToGrid/>
        </w:rPr>
        <w:t>)</w:t>
      </w:r>
      <w:r w:rsidR="002D35F6" w:rsidRPr="008C51EE">
        <w:rPr>
          <w:snapToGrid/>
        </w:rPr>
        <w:t>.</w:t>
      </w:r>
    </w:p>
    <w:p w14:paraId="405193C7" w14:textId="4D285AAE" w:rsidR="00483F4D" w:rsidRDefault="005548C0" w:rsidP="00483F4D">
      <w:pPr>
        <w:pStyle w:val="3-BodyText"/>
        <w:rPr>
          <w:snapToGrid/>
          <w:color w:val="0066FF"/>
        </w:rPr>
      </w:pPr>
      <w:r w:rsidRPr="008C51EE">
        <w:rPr>
          <w:snapToGrid/>
        </w:rPr>
        <w:t>The PBAC noted the submission did not present evidence for the F/RF, F/G or F/R117H populations aged 6 to 11 years but</w:t>
      </w:r>
      <w:r w:rsidR="00A229E4" w:rsidRPr="008C51EE">
        <w:rPr>
          <w:snapToGrid/>
        </w:rPr>
        <w:t xml:space="preserve"> considered </w:t>
      </w:r>
      <w:r w:rsidRPr="008C51EE">
        <w:rPr>
          <w:snapToGrid/>
        </w:rPr>
        <w:t xml:space="preserve">the results in studies in patients </w:t>
      </w:r>
      <w:r w:rsidR="00A349F4" w:rsidRPr="008C51EE">
        <w:rPr>
          <w:rFonts w:cstheme="minorHAnsi"/>
          <w:snapToGrid/>
        </w:rPr>
        <w:t>≥</w:t>
      </w:r>
      <w:r w:rsidR="00A349F4" w:rsidRPr="008C51EE">
        <w:rPr>
          <w:snapToGrid/>
        </w:rPr>
        <w:t>12</w:t>
      </w:r>
      <w:r w:rsidR="00A349F4">
        <w:rPr>
          <w:snapToGrid/>
        </w:rPr>
        <w:t> </w:t>
      </w:r>
      <w:r w:rsidRPr="008C51EE">
        <w:rPr>
          <w:snapToGrid/>
        </w:rPr>
        <w:t>years of age</w:t>
      </w:r>
      <w:r w:rsidR="00A229E4" w:rsidRPr="008C51EE">
        <w:rPr>
          <w:snapToGrid/>
        </w:rPr>
        <w:t xml:space="preserve"> supported the likely benefit of ELX/TEZ/IVA</w:t>
      </w:r>
      <w:r w:rsidR="00F2624C">
        <w:rPr>
          <w:snapToGrid/>
        </w:rPr>
        <w:t xml:space="preserve"> in the younger age group</w:t>
      </w:r>
      <w:r w:rsidR="00A229E4">
        <w:rPr>
          <w:snapToGrid/>
          <w:color w:val="0066FF"/>
        </w:rPr>
        <w:t>.</w:t>
      </w:r>
    </w:p>
    <w:p w14:paraId="2A8846B6" w14:textId="647A05A7" w:rsidR="008C51EE" w:rsidRPr="008C51EE" w:rsidRDefault="008C51EE" w:rsidP="008C51EE">
      <w:pPr>
        <w:pStyle w:val="3-BodyText"/>
        <w:rPr>
          <w:snapToGrid/>
        </w:rPr>
      </w:pPr>
      <w:r w:rsidRPr="008C51EE">
        <w:rPr>
          <w:snapToGrid/>
        </w:rPr>
        <w:t xml:space="preserve">The PBAC considered the magnitude of benefit of commencing ELX/TEX/IVA before </w:t>
      </w:r>
      <w:r w:rsidR="003A74DC" w:rsidRPr="008C51EE">
        <w:rPr>
          <w:snapToGrid/>
        </w:rPr>
        <w:t>12</w:t>
      </w:r>
      <w:r w:rsidR="003A74DC">
        <w:rPr>
          <w:snapToGrid/>
        </w:rPr>
        <w:t> </w:t>
      </w:r>
      <w:r w:rsidRPr="008C51EE">
        <w:rPr>
          <w:snapToGrid/>
        </w:rPr>
        <w:t xml:space="preserve">years of age was not able to be quantified with the available data; however, acknowledged that preventing decline in lung function from a younger age was likely to be beneficial.  </w:t>
      </w:r>
    </w:p>
    <w:p w14:paraId="2F0664AF" w14:textId="136AF999" w:rsidR="00972F77" w:rsidRPr="008C51EE" w:rsidRDefault="007A3354" w:rsidP="00972F77">
      <w:pPr>
        <w:pStyle w:val="3-BodyText"/>
        <w:rPr>
          <w:snapToGrid/>
        </w:rPr>
      </w:pPr>
      <w:r w:rsidRPr="008C51EE">
        <w:rPr>
          <w:snapToGrid/>
        </w:rPr>
        <w:t xml:space="preserve">The PBAC considered the claim that ELX/TEZ/IVA </w:t>
      </w:r>
      <w:r w:rsidR="00483F4D" w:rsidRPr="008C51EE">
        <w:rPr>
          <w:snapToGrid/>
        </w:rPr>
        <w:t xml:space="preserve">is of comparable safety to the nominated comparators </w:t>
      </w:r>
      <w:r w:rsidRPr="008C51EE">
        <w:rPr>
          <w:snapToGrid/>
        </w:rPr>
        <w:t>in the 6 to 11 years population was reasonabl</w:t>
      </w:r>
      <w:r w:rsidR="00483F4D" w:rsidRPr="008C51EE">
        <w:rPr>
          <w:snapToGrid/>
        </w:rPr>
        <w:t>e.</w:t>
      </w:r>
      <w:r w:rsidRPr="008C51EE">
        <w:rPr>
          <w:snapToGrid/>
        </w:rPr>
        <w:t xml:space="preserve"> </w:t>
      </w:r>
    </w:p>
    <w:p w14:paraId="4FFCE7B8" w14:textId="7C41E75E" w:rsidR="009C3039" w:rsidRPr="008C51EE" w:rsidRDefault="009C3039" w:rsidP="004E1B1B">
      <w:pPr>
        <w:pStyle w:val="3-BodyText"/>
        <w:rPr>
          <w:snapToGrid/>
        </w:rPr>
      </w:pPr>
      <w:r>
        <w:rPr>
          <w:snapToGrid/>
        </w:rPr>
        <w:t>T</w:t>
      </w:r>
      <w:r w:rsidRPr="009C3039">
        <w:rPr>
          <w:snapToGrid/>
        </w:rPr>
        <w:t xml:space="preserve">he PBAC noted that, with the price and model parameters proposed in the pre-PBAC response (see paragraph 6.61), the incremental cost effectiveness ratio (ICER) for the F/F population was </w:t>
      </w:r>
      <w:r w:rsidR="00EA1857" w:rsidRPr="00EA1857">
        <w:rPr>
          <w:snapToGrid/>
        </w:rPr>
        <w:t>$135,</w:t>
      </w:r>
      <w:r w:rsidR="00455830" w:rsidRPr="00EA1857">
        <w:rPr>
          <w:snapToGrid/>
        </w:rPr>
        <w:t>000</w:t>
      </w:r>
      <w:r w:rsidR="00455830">
        <w:rPr>
          <w:snapToGrid/>
        </w:rPr>
        <w:t> </w:t>
      </w:r>
      <w:r w:rsidR="00455830" w:rsidRPr="00EA1857">
        <w:rPr>
          <w:snapToGrid/>
        </w:rPr>
        <w:t>to</w:t>
      </w:r>
      <w:r w:rsidR="00455830">
        <w:rPr>
          <w:snapToGrid/>
        </w:rPr>
        <w:t> </w:t>
      </w:r>
      <w:r w:rsidR="00455830" w:rsidRPr="00EA1857">
        <w:rPr>
          <w:snapToGrid/>
        </w:rPr>
        <w:t>&lt;</w:t>
      </w:r>
      <w:r w:rsidR="00455830">
        <w:rPr>
          <w:snapToGrid/>
        </w:rPr>
        <w:t> </w:t>
      </w:r>
      <w:r w:rsidR="00EA1857" w:rsidRPr="00EA1857">
        <w:rPr>
          <w:snapToGrid/>
        </w:rPr>
        <w:t>$155,000</w:t>
      </w:r>
      <w:r w:rsidR="00EA1857">
        <w:rPr>
          <w:snapToGrid/>
        </w:rPr>
        <w:t xml:space="preserve"> per</w:t>
      </w:r>
      <w:r w:rsidR="00172AF3">
        <w:rPr>
          <w:snapToGrid/>
        </w:rPr>
        <w:t xml:space="preserve"> </w:t>
      </w:r>
      <w:r w:rsidRPr="009C3039">
        <w:rPr>
          <w:snapToGrid/>
        </w:rPr>
        <w:t xml:space="preserve">QALY gained and for the F/MF population was </w:t>
      </w:r>
      <w:r w:rsidR="00EA1857" w:rsidRPr="00EA1857">
        <w:rPr>
          <w:snapToGrid/>
        </w:rPr>
        <w:t>$135,</w:t>
      </w:r>
      <w:r w:rsidR="00455830" w:rsidRPr="00EA1857">
        <w:rPr>
          <w:snapToGrid/>
        </w:rPr>
        <w:t>000</w:t>
      </w:r>
      <w:r w:rsidR="00455830">
        <w:rPr>
          <w:snapToGrid/>
        </w:rPr>
        <w:t> </w:t>
      </w:r>
      <w:r w:rsidR="00455830" w:rsidRPr="00EA1857">
        <w:rPr>
          <w:snapToGrid/>
        </w:rPr>
        <w:t>to</w:t>
      </w:r>
      <w:r w:rsidR="00455830">
        <w:rPr>
          <w:snapToGrid/>
        </w:rPr>
        <w:t> </w:t>
      </w:r>
      <w:r w:rsidR="00455830" w:rsidRPr="00EA1857">
        <w:rPr>
          <w:snapToGrid/>
        </w:rPr>
        <w:t>&lt;</w:t>
      </w:r>
      <w:r w:rsidR="00455830">
        <w:rPr>
          <w:snapToGrid/>
        </w:rPr>
        <w:t> </w:t>
      </w:r>
      <w:r w:rsidR="00EA1857" w:rsidRPr="00EA1857">
        <w:rPr>
          <w:snapToGrid/>
        </w:rPr>
        <w:t>$155,000</w:t>
      </w:r>
      <w:r w:rsidR="00EA1857">
        <w:rPr>
          <w:snapToGrid/>
        </w:rPr>
        <w:t xml:space="preserve"> per</w:t>
      </w:r>
      <w:r w:rsidR="00172AF3">
        <w:rPr>
          <w:snapToGrid/>
        </w:rPr>
        <w:t xml:space="preserve"> </w:t>
      </w:r>
      <w:r w:rsidRPr="009C3039">
        <w:rPr>
          <w:snapToGrid/>
        </w:rPr>
        <w:t xml:space="preserve">QALY gained. The PBAC noted the economic model resulted in a substantial increase in median life expectancy for patients starting ELX/TEZ/IVA between 6 and 11 years of age compared to commencing ≥12 years of age which was not supported by the clinical data presented. As a </w:t>
      </w:r>
      <w:r w:rsidR="00455830" w:rsidRPr="009C3039">
        <w:rPr>
          <w:snapToGrid/>
        </w:rPr>
        <w:t>result,</w:t>
      </w:r>
      <w:r w:rsidRPr="009C3039">
        <w:rPr>
          <w:snapToGrid/>
        </w:rPr>
        <w:t xml:space="preserve"> the PBAC considered the ICERs to be uncertain, however based on the available evidence, the PBAC considered it plausible that ELZ/TEZ/IVA would be cost-effective in this population at a unit price no higher than that for the ≥12</w:t>
      </w:r>
      <w:r w:rsidR="00455830">
        <w:rPr>
          <w:snapToGrid/>
        </w:rPr>
        <w:t> </w:t>
      </w:r>
      <w:r w:rsidRPr="009C3039">
        <w:rPr>
          <w:snapToGrid/>
        </w:rPr>
        <w:t>years population.</w:t>
      </w:r>
    </w:p>
    <w:p w14:paraId="054700DF" w14:textId="03DA87FB" w:rsidR="00FE46ED" w:rsidRPr="008C51EE" w:rsidRDefault="00FE46ED" w:rsidP="004E1B1B">
      <w:pPr>
        <w:pStyle w:val="3-BodyText"/>
        <w:rPr>
          <w:lang w:val="en-GB"/>
        </w:rPr>
      </w:pPr>
      <w:bookmarkStart w:id="63" w:name="_Ref119923225"/>
      <w:bookmarkStart w:id="64" w:name="_Ref133498462"/>
      <w:r w:rsidRPr="008C51EE">
        <w:rPr>
          <w:lang w:val="en-GB"/>
        </w:rPr>
        <w:t xml:space="preserve">The PBAC considered the methodology for estimating the number of patients likely to be treated with ELX/TEZ/IVA was reasonable; however, </w:t>
      </w:r>
      <w:r w:rsidR="00771B5D" w:rsidRPr="008C51EE">
        <w:rPr>
          <w:lang w:val="en-GB"/>
        </w:rPr>
        <w:t xml:space="preserve">the patient numbers were overestimated due to a number of optimistic assumptions which were not </w:t>
      </w:r>
      <w:r w:rsidR="00967545" w:rsidRPr="008C51EE">
        <w:rPr>
          <w:lang w:val="en-GB"/>
        </w:rPr>
        <w:t xml:space="preserve">well </w:t>
      </w:r>
      <w:r w:rsidR="00771B5D" w:rsidRPr="008C51EE">
        <w:rPr>
          <w:lang w:val="en-GB"/>
        </w:rPr>
        <w:t xml:space="preserve">supported. The PBAC advised </w:t>
      </w:r>
      <w:r w:rsidR="00967545" w:rsidRPr="008C51EE">
        <w:rPr>
          <w:lang w:val="en-GB"/>
        </w:rPr>
        <w:t xml:space="preserve">a number of </w:t>
      </w:r>
      <w:r w:rsidR="00771B5D" w:rsidRPr="008C51EE">
        <w:rPr>
          <w:lang w:val="en-GB"/>
        </w:rPr>
        <w:t>assumptions</w:t>
      </w:r>
      <w:r w:rsidR="00B71E29">
        <w:rPr>
          <w:lang w:val="en-GB"/>
        </w:rPr>
        <w:t xml:space="preserve">, </w:t>
      </w:r>
      <w:r w:rsidR="00230AF4">
        <w:rPr>
          <w:lang w:val="en-GB"/>
        </w:rPr>
        <w:t xml:space="preserve">including the discontinuation rates </w:t>
      </w:r>
      <w:r w:rsidR="00B71E29">
        <w:rPr>
          <w:lang w:val="en-GB"/>
        </w:rPr>
        <w:t xml:space="preserve">(paragraph </w:t>
      </w:r>
      <w:r w:rsidR="00B71E29">
        <w:rPr>
          <w:lang w:val="en-GB"/>
        </w:rPr>
        <w:fldChar w:fldCharType="begin" w:fldLock="1"/>
      </w:r>
      <w:r w:rsidR="00B71E29">
        <w:rPr>
          <w:lang w:val="en-GB"/>
        </w:rPr>
        <w:instrText xml:space="preserve"> REF _Ref119950267 \r \h </w:instrText>
      </w:r>
      <w:r w:rsidR="00B71E29">
        <w:rPr>
          <w:lang w:val="en-GB"/>
        </w:rPr>
      </w:r>
      <w:r w:rsidR="00B71E29">
        <w:rPr>
          <w:lang w:val="en-GB"/>
        </w:rPr>
        <w:fldChar w:fldCharType="separate"/>
      </w:r>
      <w:r w:rsidR="009A1227">
        <w:rPr>
          <w:lang w:val="en-GB"/>
        </w:rPr>
        <w:t>6.67</w:t>
      </w:r>
      <w:r w:rsidR="00B71E29">
        <w:rPr>
          <w:lang w:val="en-GB"/>
        </w:rPr>
        <w:fldChar w:fldCharType="end"/>
      </w:r>
      <w:r w:rsidR="00B71E29">
        <w:rPr>
          <w:lang w:val="en-GB"/>
        </w:rPr>
        <w:t xml:space="preserve">) </w:t>
      </w:r>
      <w:r w:rsidR="00230AF4">
        <w:rPr>
          <w:lang w:val="en-GB"/>
        </w:rPr>
        <w:t>and uptake/switch rates</w:t>
      </w:r>
      <w:r w:rsidR="00B71E29">
        <w:rPr>
          <w:lang w:val="en-GB"/>
        </w:rPr>
        <w:t xml:space="preserve"> (</w:t>
      </w:r>
      <w:r w:rsidR="00B71E29">
        <w:rPr>
          <w:lang w:val="en-GB"/>
        </w:rPr>
        <w:fldChar w:fldCharType="begin" w:fldLock="1"/>
      </w:r>
      <w:r w:rsidR="00B71E29">
        <w:rPr>
          <w:lang w:val="en-GB"/>
        </w:rPr>
        <w:instrText xml:space="preserve"> REF _Ref113956793 \h </w:instrText>
      </w:r>
      <w:r w:rsidR="00B71E29">
        <w:rPr>
          <w:lang w:val="en-GB"/>
        </w:rPr>
      </w:r>
      <w:r w:rsidR="00B71E29">
        <w:rPr>
          <w:lang w:val="en-GB"/>
        </w:rPr>
        <w:fldChar w:fldCharType="separate"/>
      </w:r>
      <w:r w:rsidR="009A1227" w:rsidRPr="000C48F9">
        <w:t xml:space="preserve">Table </w:t>
      </w:r>
      <w:r w:rsidR="009A1227">
        <w:rPr>
          <w:noProof/>
        </w:rPr>
        <w:t>21</w:t>
      </w:r>
      <w:r w:rsidR="00B71E29">
        <w:rPr>
          <w:lang w:val="en-GB"/>
        </w:rPr>
        <w:fldChar w:fldCharType="end"/>
      </w:r>
      <w:r w:rsidR="00B71E29">
        <w:rPr>
          <w:lang w:val="en-GB"/>
        </w:rPr>
        <w:t>),</w:t>
      </w:r>
      <w:r w:rsidR="00230AF4">
        <w:rPr>
          <w:lang w:val="en-GB"/>
        </w:rPr>
        <w:t xml:space="preserve"> </w:t>
      </w:r>
      <w:r w:rsidR="00771B5D" w:rsidRPr="008C51EE">
        <w:rPr>
          <w:lang w:val="en-GB"/>
        </w:rPr>
        <w:t>should be amended to</w:t>
      </w:r>
      <w:r w:rsidRPr="008C51EE">
        <w:rPr>
          <w:lang w:val="en-GB"/>
        </w:rPr>
        <w:t xml:space="preserve"> be consistent with </w:t>
      </w:r>
      <w:r w:rsidR="00771B5D" w:rsidRPr="008C51EE">
        <w:rPr>
          <w:lang w:val="en-GB"/>
        </w:rPr>
        <w:t xml:space="preserve">what </w:t>
      </w:r>
      <w:r w:rsidRPr="008C51EE">
        <w:rPr>
          <w:lang w:val="en-GB"/>
        </w:rPr>
        <w:t>was accepted for the ≥12</w:t>
      </w:r>
      <w:r w:rsidR="00455830">
        <w:rPr>
          <w:lang w:val="en-GB"/>
        </w:rPr>
        <w:t> </w:t>
      </w:r>
      <w:r w:rsidRPr="008C51EE">
        <w:rPr>
          <w:lang w:val="en-GB"/>
        </w:rPr>
        <w:t>year population.</w:t>
      </w:r>
      <w:bookmarkEnd w:id="63"/>
      <w:r w:rsidRPr="008C51EE">
        <w:rPr>
          <w:lang w:val="en-GB"/>
        </w:rPr>
        <w:t xml:space="preserve"> </w:t>
      </w:r>
      <w:r w:rsidR="005A4A35">
        <w:rPr>
          <w:lang w:val="en-GB"/>
        </w:rPr>
        <w:t>The PBAC further advised it would be appropriate to assume 90% compliance consistent with that used in the economic model.</w:t>
      </w:r>
      <w:bookmarkEnd w:id="64"/>
    </w:p>
    <w:p w14:paraId="17C5B35D" w14:textId="1EB341CB" w:rsidR="00CA3CC6" w:rsidRPr="008C51EE" w:rsidRDefault="00AD4E1B" w:rsidP="00CA3CC6">
      <w:pPr>
        <w:pStyle w:val="3-BodyText"/>
        <w:rPr>
          <w:lang w:val="en-GB"/>
        </w:rPr>
      </w:pPr>
      <w:r>
        <w:rPr>
          <w:lang w:val="en-GB"/>
        </w:rPr>
        <w:t xml:space="preserve">The PBAC advised that the extended population should be included </w:t>
      </w:r>
      <w:r w:rsidR="009C3039">
        <w:rPr>
          <w:lang w:val="en-GB"/>
        </w:rPr>
        <w:t xml:space="preserve">in </w:t>
      </w:r>
      <w:r>
        <w:rPr>
          <w:lang w:val="en-GB"/>
        </w:rPr>
        <w:t xml:space="preserve">the existing Risk Sharing Arrangement for ELX/TEZ/IVA, LUM/IVA and TEZ/IVA. </w:t>
      </w:r>
      <w:r w:rsidR="007B7ABB">
        <w:rPr>
          <w:lang w:val="en-GB"/>
        </w:rPr>
        <w:t xml:space="preserve">Based on the revised financial estimates outlined in paragraph </w:t>
      </w:r>
      <w:r w:rsidR="007B7ABB">
        <w:rPr>
          <w:lang w:val="en-GB"/>
        </w:rPr>
        <w:fldChar w:fldCharType="begin" w:fldLock="1"/>
      </w:r>
      <w:r w:rsidR="007B7ABB">
        <w:rPr>
          <w:lang w:val="en-GB"/>
        </w:rPr>
        <w:instrText xml:space="preserve"> REF _Ref119923225 \r \h </w:instrText>
      </w:r>
      <w:r w:rsidR="007B7ABB">
        <w:rPr>
          <w:lang w:val="en-GB"/>
        </w:rPr>
      </w:r>
      <w:r w:rsidR="007B7ABB">
        <w:rPr>
          <w:lang w:val="en-GB"/>
        </w:rPr>
        <w:fldChar w:fldCharType="separate"/>
      </w:r>
      <w:r w:rsidR="009A1227">
        <w:rPr>
          <w:lang w:val="en-GB"/>
        </w:rPr>
        <w:t>7.12</w:t>
      </w:r>
      <w:r w:rsidR="007B7ABB">
        <w:rPr>
          <w:lang w:val="en-GB"/>
        </w:rPr>
        <w:fldChar w:fldCharType="end"/>
      </w:r>
      <w:r w:rsidR="007B7ABB">
        <w:rPr>
          <w:lang w:val="en-GB"/>
        </w:rPr>
        <w:t>, t</w:t>
      </w:r>
      <w:r w:rsidR="00967545" w:rsidRPr="008C51EE">
        <w:rPr>
          <w:lang w:val="en-GB"/>
        </w:rPr>
        <w:t>he PBAC advised the net cost of listing ELX/TEZ/IVA for patient</w:t>
      </w:r>
      <w:r w:rsidR="007B7ABB">
        <w:rPr>
          <w:lang w:val="en-GB"/>
        </w:rPr>
        <w:t>s</w:t>
      </w:r>
      <w:r w:rsidR="00967545" w:rsidRPr="008C51EE">
        <w:rPr>
          <w:lang w:val="en-GB"/>
        </w:rPr>
        <w:t xml:space="preserve"> aged 6 to 11 years</w:t>
      </w:r>
      <w:r w:rsidR="007B7ABB">
        <w:rPr>
          <w:lang w:val="en-GB"/>
        </w:rPr>
        <w:t xml:space="preserve"> could be added to the expenditure caps currently in </w:t>
      </w:r>
      <w:r w:rsidR="007B7ABB" w:rsidRPr="008C51EE">
        <w:rPr>
          <w:lang w:val="en-GB"/>
        </w:rPr>
        <w:t>place</w:t>
      </w:r>
      <w:r w:rsidR="007B7ABB">
        <w:rPr>
          <w:lang w:val="en-GB"/>
        </w:rPr>
        <w:t xml:space="preserve">. The PBAC considered the net cost of listing ELX/TEZ/IVA should take into account the reduced </w:t>
      </w:r>
      <w:r w:rsidR="003D02F0">
        <w:rPr>
          <w:lang w:val="en-GB"/>
        </w:rPr>
        <w:t xml:space="preserve">utilisation </w:t>
      </w:r>
      <w:r w:rsidR="007B7ABB">
        <w:rPr>
          <w:lang w:val="en-GB"/>
        </w:rPr>
        <w:t>of LUM/IVA</w:t>
      </w:r>
      <w:r w:rsidR="00684C06">
        <w:rPr>
          <w:lang w:val="en-GB"/>
        </w:rPr>
        <w:t xml:space="preserve"> and IVA, and that</w:t>
      </w:r>
      <w:r w:rsidR="007B7ABB">
        <w:rPr>
          <w:lang w:val="en-GB"/>
        </w:rPr>
        <w:t xml:space="preserve"> the </w:t>
      </w:r>
      <w:r w:rsidR="00684C06">
        <w:rPr>
          <w:lang w:val="en-GB"/>
        </w:rPr>
        <w:t xml:space="preserve">separate </w:t>
      </w:r>
      <w:r w:rsidR="007B7ABB">
        <w:rPr>
          <w:lang w:val="en-GB"/>
        </w:rPr>
        <w:t xml:space="preserve">expenditure caps currently in place for IVA </w:t>
      </w:r>
      <w:r w:rsidR="007C7F8A">
        <w:rPr>
          <w:lang w:val="en-GB"/>
        </w:rPr>
        <w:t>sh</w:t>
      </w:r>
      <w:r w:rsidR="007B7ABB">
        <w:rPr>
          <w:lang w:val="en-GB"/>
        </w:rPr>
        <w:t xml:space="preserve">ould be adjusted </w:t>
      </w:r>
      <w:r w:rsidR="00684C06">
        <w:rPr>
          <w:lang w:val="en-GB"/>
        </w:rPr>
        <w:t>accordingly</w:t>
      </w:r>
      <w:r w:rsidR="007B7ABB">
        <w:rPr>
          <w:lang w:val="en-GB"/>
        </w:rPr>
        <w:t xml:space="preserve">. </w:t>
      </w:r>
    </w:p>
    <w:p w14:paraId="02BABF5E" w14:textId="24EFBDD0" w:rsidR="00CA3CC6" w:rsidRPr="008C51EE" w:rsidRDefault="00CA3CC6" w:rsidP="00CA3CC6">
      <w:pPr>
        <w:pStyle w:val="3-BodyText"/>
        <w:rPr>
          <w:lang w:val="en-GB"/>
        </w:rPr>
      </w:pPr>
      <w:r w:rsidRPr="008C51EE">
        <w:rPr>
          <w:lang w:val="en-GB"/>
        </w:rPr>
        <w:t xml:space="preserve">The PBAC found that the criteria prescribed by the </w:t>
      </w:r>
      <w:bookmarkStart w:id="65" w:name="_Hlk104208947"/>
      <w:r w:rsidRPr="008C51EE">
        <w:rPr>
          <w:lang w:val="en-GB"/>
        </w:rPr>
        <w:t xml:space="preserve">National Health (Pharmaceuticals and Vaccines – Cost Recovery) Regulations 2022 </w:t>
      </w:r>
      <w:bookmarkEnd w:id="65"/>
      <w:r w:rsidRPr="008C51EE">
        <w:rPr>
          <w:lang w:val="en-GB"/>
        </w:rPr>
        <w:t>for Pricing Pathway A were not met. Specifically</w:t>
      </w:r>
      <w:r w:rsidR="00DD6EA4">
        <w:rPr>
          <w:lang w:val="en-GB"/>
        </w:rPr>
        <w:t>,</w:t>
      </w:r>
      <w:r w:rsidRPr="008C51EE">
        <w:rPr>
          <w:lang w:val="en-GB"/>
        </w:rPr>
        <w:t xml:space="preserve"> the PBAC found that in the circumstances of its recommendation for ELX/TEZ/IVA:</w:t>
      </w:r>
    </w:p>
    <w:p w14:paraId="514C20EF" w14:textId="7913F118" w:rsidR="00CA3CC6" w:rsidRPr="008C51EE" w:rsidRDefault="00590295" w:rsidP="00CA3CC6">
      <w:pPr>
        <w:pStyle w:val="ListParagraph"/>
        <w:widowControl w:val="0"/>
        <w:numPr>
          <w:ilvl w:val="0"/>
          <w:numId w:val="32"/>
        </w:numPr>
        <w:spacing w:after="0"/>
        <w:contextualSpacing/>
        <w:rPr>
          <w:lang w:val="en-GB"/>
        </w:rPr>
      </w:pPr>
      <w:r>
        <w:rPr>
          <w:lang w:val="en-GB"/>
        </w:rPr>
        <w:t>Based on the available evidence</w:t>
      </w:r>
      <w:r w:rsidR="003E75AF">
        <w:rPr>
          <w:lang w:val="en-GB"/>
        </w:rPr>
        <w:t xml:space="preserve"> the </w:t>
      </w:r>
      <w:r w:rsidR="00987802">
        <w:rPr>
          <w:lang w:val="en-GB"/>
        </w:rPr>
        <w:t xml:space="preserve">magnitude of benefit of starting </w:t>
      </w:r>
      <w:r w:rsidR="00CA3CC6" w:rsidRPr="008C51EE">
        <w:rPr>
          <w:lang w:val="en-GB"/>
        </w:rPr>
        <w:t xml:space="preserve">treatment </w:t>
      </w:r>
      <w:r w:rsidR="00987802">
        <w:rPr>
          <w:lang w:val="en-GB"/>
        </w:rPr>
        <w:t xml:space="preserve">from a younger age was not able to </w:t>
      </w:r>
      <w:r w:rsidR="00FE3666">
        <w:rPr>
          <w:lang w:val="en-GB"/>
        </w:rPr>
        <w:t xml:space="preserve">be </w:t>
      </w:r>
      <w:r w:rsidR="00987802">
        <w:rPr>
          <w:lang w:val="en-GB"/>
        </w:rPr>
        <w:t>quantified</w:t>
      </w:r>
      <w:r>
        <w:rPr>
          <w:lang w:val="en-GB"/>
        </w:rPr>
        <w:t xml:space="preserve"> and therefore the criteria of </w:t>
      </w:r>
      <w:r w:rsidR="00FE3666">
        <w:rPr>
          <w:lang w:val="en-GB"/>
        </w:rPr>
        <w:t xml:space="preserve">having a </w:t>
      </w:r>
      <w:r w:rsidR="00FE3666" w:rsidRPr="00FE3666">
        <w:rPr>
          <w:lang w:val="en-GB"/>
        </w:rPr>
        <w:t>substantial and clinically relevant improvement in efficacy</w:t>
      </w:r>
      <w:r w:rsidR="00FE3666">
        <w:rPr>
          <w:lang w:val="en-GB"/>
        </w:rPr>
        <w:t xml:space="preserve"> compared to starting at an older age </w:t>
      </w:r>
      <w:r>
        <w:rPr>
          <w:lang w:val="en-GB"/>
        </w:rPr>
        <w:t>was not met</w:t>
      </w:r>
      <w:r w:rsidR="00781627" w:rsidRPr="008C51EE">
        <w:rPr>
          <w:lang w:val="en-GB"/>
        </w:rPr>
        <w:t>;</w:t>
      </w:r>
      <w:r w:rsidR="00CA3CC6" w:rsidRPr="008C51EE">
        <w:rPr>
          <w:lang w:val="en-GB"/>
        </w:rPr>
        <w:t xml:space="preserve"> </w:t>
      </w:r>
    </w:p>
    <w:p w14:paraId="71011481" w14:textId="145A7D00" w:rsidR="00781627" w:rsidRPr="008C51EE" w:rsidRDefault="00CA3CC6" w:rsidP="00781627">
      <w:pPr>
        <w:pStyle w:val="ListParagraph"/>
        <w:widowControl w:val="0"/>
        <w:numPr>
          <w:ilvl w:val="0"/>
          <w:numId w:val="32"/>
        </w:numPr>
        <w:spacing w:after="0"/>
        <w:contextualSpacing/>
        <w:rPr>
          <w:lang w:val="en-GB"/>
        </w:rPr>
      </w:pPr>
      <w:r w:rsidRPr="008C51EE">
        <w:rPr>
          <w:lang w:val="en-GB"/>
        </w:rPr>
        <w:t xml:space="preserve">The treatment </w:t>
      </w:r>
      <w:r w:rsidR="00781627" w:rsidRPr="008C51EE">
        <w:rPr>
          <w:lang w:val="en-GB"/>
        </w:rPr>
        <w:t>i</w:t>
      </w:r>
      <w:r w:rsidRPr="008C51EE">
        <w:rPr>
          <w:lang w:val="en-GB"/>
        </w:rPr>
        <w:t xml:space="preserve">s expected to address a high and urgent unmet clinical need </w:t>
      </w:r>
      <w:r w:rsidR="00FE0885" w:rsidRPr="008C51EE">
        <w:rPr>
          <w:lang w:val="en-GB"/>
        </w:rPr>
        <w:t xml:space="preserve">for </w:t>
      </w:r>
      <w:r w:rsidR="003E75AF">
        <w:rPr>
          <w:lang w:val="en-GB"/>
        </w:rPr>
        <w:t xml:space="preserve">the F/MF, F/RF and R/R117H </w:t>
      </w:r>
      <w:r w:rsidR="00FE0885" w:rsidRPr="008C51EE">
        <w:rPr>
          <w:lang w:val="en-GB"/>
        </w:rPr>
        <w:t>populations as they</w:t>
      </w:r>
      <w:r w:rsidR="003E75AF">
        <w:rPr>
          <w:lang w:val="en-GB"/>
        </w:rPr>
        <w:t xml:space="preserve"> currently</w:t>
      </w:r>
      <w:r w:rsidR="00FE0885" w:rsidRPr="008C51EE">
        <w:rPr>
          <w:lang w:val="en-GB"/>
        </w:rPr>
        <w:t xml:space="preserve"> have no alternative treatment options</w:t>
      </w:r>
      <w:r w:rsidR="003E75AF">
        <w:rPr>
          <w:lang w:val="en-GB"/>
        </w:rPr>
        <w:t xml:space="preserve"> (until they are at least 12 years of age)</w:t>
      </w:r>
      <w:r w:rsidRPr="008C51EE">
        <w:rPr>
          <w:lang w:val="en-GB"/>
        </w:rPr>
        <w:t>;</w:t>
      </w:r>
    </w:p>
    <w:p w14:paraId="7A59DA86" w14:textId="193BA648" w:rsidR="00771B5D" w:rsidRPr="008C51EE" w:rsidRDefault="00781627" w:rsidP="00781627">
      <w:pPr>
        <w:pStyle w:val="ListParagraph"/>
        <w:widowControl w:val="0"/>
        <w:numPr>
          <w:ilvl w:val="0"/>
          <w:numId w:val="32"/>
        </w:numPr>
        <w:contextualSpacing/>
        <w:rPr>
          <w:lang w:val="en-GB"/>
        </w:rPr>
      </w:pPr>
      <w:r w:rsidRPr="008C51EE">
        <w:rPr>
          <w:lang w:val="en-GB"/>
        </w:rPr>
        <w:t>It was not necessary to make a finding in relation to whether it would be in the public interest for the subsequent pricing application to be progressed under Pricing Pathway A because one or more of the preceding tests had failed</w:t>
      </w:r>
      <w:r w:rsidR="00FE0885" w:rsidRPr="008C51EE">
        <w:rPr>
          <w:lang w:val="en-GB"/>
        </w:rPr>
        <w:t>.</w:t>
      </w:r>
    </w:p>
    <w:p w14:paraId="56232D4A" w14:textId="77777777" w:rsidR="00E10A53" w:rsidRPr="00EB443D" w:rsidRDefault="00E10A53" w:rsidP="00E10A53">
      <w:pPr>
        <w:pStyle w:val="3-BodyText"/>
        <w:rPr>
          <w:bCs/>
          <w:lang w:val="en-GB"/>
        </w:rPr>
      </w:pPr>
      <w:r w:rsidRPr="00525B39">
        <w:rPr>
          <w:lang w:val="en-GB"/>
        </w:rPr>
        <w:t>The PBAC noted that this submission is not eligible for an Independent Review</w:t>
      </w:r>
      <w:r>
        <w:rPr>
          <w:lang w:val="en-GB"/>
        </w:rPr>
        <w:t xml:space="preserve"> </w:t>
      </w:r>
      <w:r w:rsidRPr="001C1D89">
        <w:rPr>
          <w:bCs/>
        </w:rPr>
        <w:t>as it received a positive recommendation</w:t>
      </w:r>
      <w:r w:rsidRPr="00525B39">
        <w:rPr>
          <w:lang w:val="en-GB"/>
        </w:rPr>
        <w:t>.</w:t>
      </w:r>
    </w:p>
    <w:p w14:paraId="69B8E0F3" w14:textId="432DBBD9" w:rsidR="00163B39" w:rsidRPr="00363E1D" w:rsidRDefault="00163B39" w:rsidP="00163B39">
      <w:pPr>
        <w:spacing w:before="240"/>
        <w:rPr>
          <w:rFonts w:asciiTheme="minorHAnsi" w:eastAsia="Times New Roman" w:hAnsiTheme="minorHAnsi"/>
          <w:b/>
          <w:bCs/>
          <w:snapToGrid w:val="0"/>
          <w:lang w:val="en-GB" w:eastAsia="en-US"/>
        </w:rPr>
      </w:pPr>
      <w:r w:rsidRPr="00363E1D">
        <w:rPr>
          <w:rFonts w:asciiTheme="minorHAnsi" w:eastAsia="Times New Roman" w:hAnsiTheme="minorHAnsi"/>
          <w:b/>
          <w:bCs/>
          <w:snapToGrid w:val="0"/>
          <w:lang w:val="en-GB" w:eastAsia="en-US"/>
        </w:rPr>
        <w:t>Outcome:</w:t>
      </w:r>
    </w:p>
    <w:p w14:paraId="0E6A277E" w14:textId="2E40EA9A" w:rsidR="00455830" w:rsidRPr="00455830" w:rsidRDefault="00163B39" w:rsidP="00455830">
      <w:pPr>
        <w:rPr>
          <w:bCs/>
          <w:iCs/>
          <w:lang w:val="en-GB"/>
        </w:rPr>
      </w:pPr>
      <w:r w:rsidRPr="00363E1D">
        <w:rPr>
          <w:rFonts w:asciiTheme="minorHAnsi" w:eastAsia="Times New Roman" w:hAnsiTheme="minorHAnsi"/>
          <w:bCs/>
          <w:snapToGrid w:val="0"/>
          <w:lang w:val="en-GB" w:eastAsia="en-US"/>
        </w:rPr>
        <w:t xml:space="preserve">Recommended </w:t>
      </w:r>
    </w:p>
    <w:p w14:paraId="0CD5F7D8" w14:textId="4E14C8DA" w:rsidR="00163B39" w:rsidRPr="00683525" w:rsidRDefault="00163B39" w:rsidP="00936A7A">
      <w:pPr>
        <w:pStyle w:val="2-SectionHeading"/>
        <w:rPr>
          <w:b w:val="0"/>
          <w:bCs/>
          <w:iCs/>
          <w:lang w:val="en-GB"/>
        </w:rPr>
      </w:pPr>
      <w:r w:rsidRPr="00936A7A">
        <w:t>Recommended listing</w:t>
      </w:r>
    </w:p>
    <w:p w14:paraId="64980CA1" w14:textId="274634C8" w:rsidR="00683525" w:rsidRPr="00455830" w:rsidRDefault="00683525" w:rsidP="00683525">
      <w:pPr>
        <w:pStyle w:val="3-BodyText"/>
        <w:rPr>
          <w:rFonts w:ascii="Arial Narrow" w:hAnsi="Arial Narrow"/>
          <w:sz w:val="20"/>
          <w:szCs w:val="20"/>
        </w:rPr>
      </w:pPr>
      <w:r w:rsidRPr="00DD65E7">
        <w:t>Amend existing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418"/>
        <w:gridCol w:w="992"/>
        <w:gridCol w:w="992"/>
        <w:gridCol w:w="709"/>
        <w:gridCol w:w="1417"/>
      </w:tblGrid>
      <w:tr w:rsidR="00683525" w:rsidRPr="007745AC" w14:paraId="392E1640" w14:textId="77777777" w:rsidTr="005038E5">
        <w:trPr>
          <w:cantSplit/>
          <w:trHeight w:val="471"/>
        </w:trPr>
        <w:tc>
          <w:tcPr>
            <w:tcW w:w="3539" w:type="dxa"/>
          </w:tcPr>
          <w:p w14:paraId="38297054" w14:textId="77777777" w:rsidR="00683525" w:rsidRPr="007745AC" w:rsidRDefault="00683525" w:rsidP="005038E5">
            <w:pPr>
              <w:rPr>
                <w:rFonts w:ascii="Arial Narrow" w:hAnsi="Arial Narrow"/>
                <w:b/>
                <w:bCs/>
                <w:sz w:val="20"/>
                <w:szCs w:val="20"/>
              </w:rPr>
            </w:pPr>
            <w:r w:rsidRPr="007745AC">
              <w:rPr>
                <w:rFonts w:ascii="Arial Narrow" w:hAnsi="Arial Narrow"/>
                <w:b/>
                <w:bCs/>
                <w:sz w:val="20"/>
                <w:szCs w:val="20"/>
              </w:rPr>
              <w:t>MEDICINAL PRODUCT</w:t>
            </w:r>
          </w:p>
          <w:p w14:paraId="28C71950" w14:textId="77777777" w:rsidR="00683525" w:rsidRPr="007745AC" w:rsidRDefault="00683525" w:rsidP="005038E5">
            <w:pPr>
              <w:rPr>
                <w:rFonts w:ascii="Arial Narrow" w:hAnsi="Arial Narrow"/>
                <w:b/>
                <w:sz w:val="20"/>
                <w:szCs w:val="20"/>
              </w:rPr>
            </w:pPr>
            <w:r w:rsidRPr="007745AC">
              <w:rPr>
                <w:rFonts w:ascii="Arial Narrow" w:hAnsi="Arial Narrow"/>
                <w:b/>
                <w:bCs/>
                <w:sz w:val="20"/>
                <w:szCs w:val="20"/>
              </w:rPr>
              <w:t>medicinal product pack</w:t>
            </w:r>
          </w:p>
        </w:tc>
        <w:tc>
          <w:tcPr>
            <w:tcW w:w="1418" w:type="dxa"/>
          </w:tcPr>
          <w:p w14:paraId="7922E0E2"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PBS item code</w:t>
            </w:r>
          </w:p>
        </w:tc>
        <w:tc>
          <w:tcPr>
            <w:tcW w:w="992" w:type="dxa"/>
          </w:tcPr>
          <w:p w14:paraId="4A1A419A"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Max. qty packs</w:t>
            </w:r>
          </w:p>
        </w:tc>
        <w:tc>
          <w:tcPr>
            <w:tcW w:w="992" w:type="dxa"/>
          </w:tcPr>
          <w:p w14:paraId="6C538264"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Max. qty units</w:t>
            </w:r>
          </w:p>
        </w:tc>
        <w:tc>
          <w:tcPr>
            <w:tcW w:w="709" w:type="dxa"/>
          </w:tcPr>
          <w:p w14:paraId="5ABE212D"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№.of</w:t>
            </w:r>
          </w:p>
          <w:p w14:paraId="4B0B9616"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Rpts</w:t>
            </w:r>
          </w:p>
        </w:tc>
        <w:tc>
          <w:tcPr>
            <w:tcW w:w="1417" w:type="dxa"/>
          </w:tcPr>
          <w:p w14:paraId="1689A28F" w14:textId="77777777" w:rsidR="00683525" w:rsidRPr="007745AC" w:rsidRDefault="00683525" w:rsidP="005038E5">
            <w:pPr>
              <w:rPr>
                <w:rFonts w:ascii="Arial Narrow" w:hAnsi="Arial Narrow"/>
                <w:b/>
                <w:sz w:val="20"/>
                <w:szCs w:val="20"/>
                <w:lang w:val="fr-FR"/>
              </w:rPr>
            </w:pPr>
            <w:r w:rsidRPr="007745AC">
              <w:rPr>
                <w:rFonts w:ascii="Arial Narrow" w:hAnsi="Arial Narrow"/>
                <w:b/>
                <w:sz w:val="20"/>
                <w:szCs w:val="20"/>
              </w:rPr>
              <w:t>Available brands</w:t>
            </w:r>
          </w:p>
        </w:tc>
      </w:tr>
      <w:tr w:rsidR="00683525" w:rsidRPr="007745AC" w14:paraId="1B598351" w14:textId="77777777" w:rsidTr="005038E5">
        <w:trPr>
          <w:cantSplit/>
          <w:trHeight w:val="224"/>
        </w:trPr>
        <w:tc>
          <w:tcPr>
            <w:tcW w:w="9067" w:type="dxa"/>
            <w:gridSpan w:val="6"/>
          </w:tcPr>
          <w:p w14:paraId="381867F9" w14:textId="77777777" w:rsidR="00683525" w:rsidRPr="007745AC" w:rsidRDefault="00683525" w:rsidP="005038E5">
            <w:pPr>
              <w:rPr>
                <w:rFonts w:ascii="Arial Narrow" w:hAnsi="Arial Narrow"/>
                <w:sz w:val="20"/>
                <w:szCs w:val="20"/>
              </w:rPr>
            </w:pPr>
            <w:r w:rsidRPr="00724E93">
              <w:rPr>
                <w:rFonts w:ascii="Arial Narrow" w:hAnsi="Arial Narrow" w:cstheme="minorHAnsi"/>
                <w:bCs/>
                <w:sz w:val="20"/>
                <w:szCs w:val="20"/>
              </w:rPr>
              <w:t>ELEXACAFTOR+TEZACAFTOR+IVACAFTOR (&amp;) IVACAFTOR</w:t>
            </w:r>
          </w:p>
        </w:tc>
      </w:tr>
      <w:tr w:rsidR="00683525" w:rsidRPr="007745AC" w14:paraId="0752CEF0" w14:textId="77777777" w:rsidTr="005038E5">
        <w:trPr>
          <w:cantSplit/>
          <w:trHeight w:val="553"/>
        </w:trPr>
        <w:tc>
          <w:tcPr>
            <w:tcW w:w="3539" w:type="dxa"/>
          </w:tcPr>
          <w:p w14:paraId="540F7552" w14:textId="3BE54EAB" w:rsidR="00683525" w:rsidRPr="007745AC" w:rsidRDefault="00683525" w:rsidP="005038E5">
            <w:pPr>
              <w:rPr>
                <w:rFonts w:ascii="Arial Narrow" w:hAnsi="Arial Narrow"/>
                <w:sz w:val="20"/>
                <w:szCs w:val="20"/>
              </w:rPr>
            </w:pPr>
            <w:r w:rsidRPr="007745AC">
              <w:rPr>
                <w:rFonts w:ascii="Arial Narrow" w:hAnsi="Arial Narrow"/>
                <w:sz w:val="20"/>
                <w:szCs w:val="20"/>
              </w:rPr>
              <w:t>elexacaftor 100</w:t>
            </w:r>
            <w:r w:rsidR="003A21B2">
              <w:rPr>
                <w:rFonts w:ascii="Arial Narrow" w:hAnsi="Arial Narrow"/>
                <w:sz w:val="20"/>
                <w:szCs w:val="20"/>
              </w:rPr>
              <w:t> </w:t>
            </w:r>
            <w:r w:rsidRPr="007745AC">
              <w:rPr>
                <w:rFonts w:ascii="Arial Narrow" w:hAnsi="Arial Narrow"/>
                <w:sz w:val="20"/>
                <w:szCs w:val="20"/>
              </w:rPr>
              <w:t xml:space="preserve">mg + tezacaftor </w:t>
            </w:r>
            <w:r w:rsidR="003A21B2" w:rsidRPr="007745AC">
              <w:rPr>
                <w:rFonts w:ascii="Arial Narrow" w:hAnsi="Arial Narrow"/>
                <w:sz w:val="20"/>
                <w:szCs w:val="20"/>
              </w:rPr>
              <w:t>50</w:t>
            </w:r>
            <w:r w:rsidR="003A21B2">
              <w:rPr>
                <w:rFonts w:ascii="Arial Narrow" w:hAnsi="Arial Narrow"/>
                <w:sz w:val="20"/>
                <w:szCs w:val="20"/>
              </w:rPr>
              <w:t> </w:t>
            </w:r>
            <w:r w:rsidRPr="007745AC">
              <w:rPr>
                <w:rFonts w:ascii="Arial Narrow" w:hAnsi="Arial Narrow"/>
                <w:sz w:val="20"/>
                <w:szCs w:val="20"/>
              </w:rPr>
              <w:t>mg + ivacaftor 75</w:t>
            </w:r>
            <w:r w:rsidR="003A21B2">
              <w:rPr>
                <w:rFonts w:ascii="Arial Narrow" w:hAnsi="Arial Narrow"/>
                <w:sz w:val="20"/>
                <w:szCs w:val="20"/>
              </w:rPr>
              <w:t> </w:t>
            </w:r>
            <w:r w:rsidRPr="007745AC">
              <w:rPr>
                <w:rFonts w:ascii="Arial Narrow" w:hAnsi="Arial Narrow"/>
                <w:sz w:val="20"/>
                <w:szCs w:val="20"/>
              </w:rPr>
              <w:t>mg tablet [56] (&amp;) ivacaftor 150</w:t>
            </w:r>
            <w:r w:rsidR="003A21B2">
              <w:rPr>
                <w:rFonts w:ascii="Arial Narrow" w:hAnsi="Arial Narrow"/>
                <w:sz w:val="20"/>
                <w:szCs w:val="20"/>
              </w:rPr>
              <w:t> </w:t>
            </w:r>
            <w:r w:rsidRPr="007745AC">
              <w:rPr>
                <w:rFonts w:ascii="Arial Narrow" w:hAnsi="Arial Narrow"/>
                <w:sz w:val="20"/>
                <w:szCs w:val="20"/>
              </w:rPr>
              <w:t>mg tablet [28], 84</w:t>
            </w:r>
          </w:p>
        </w:tc>
        <w:tc>
          <w:tcPr>
            <w:tcW w:w="1418" w:type="dxa"/>
            <w:vAlign w:val="center"/>
          </w:tcPr>
          <w:p w14:paraId="70149BC9" w14:textId="77777777" w:rsidR="00683525" w:rsidRPr="007745AC" w:rsidRDefault="00683525" w:rsidP="005038E5">
            <w:pPr>
              <w:jc w:val="center"/>
              <w:rPr>
                <w:rFonts w:ascii="Arial Narrow" w:hAnsi="Arial Narrow"/>
                <w:sz w:val="20"/>
                <w:szCs w:val="20"/>
              </w:rPr>
            </w:pPr>
            <w:r w:rsidRPr="0094683A">
              <w:rPr>
                <w:rFonts w:ascii="Arial Narrow" w:hAnsi="Arial Narrow"/>
                <w:sz w:val="20"/>
                <w:szCs w:val="20"/>
              </w:rPr>
              <w:t xml:space="preserve">12936W </w:t>
            </w:r>
            <w:r>
              <w:rPr>
                <w:rFonts w:ascii="Arial Narrow" w:hAnsi="Arial Narrow"/>
                <w:sz w:val="20"/>
                <w:szCs w:val="20"/>
              </w:rPr>
              <w:t>(</w:t>
            </w:r>
            <w:r w:rsidRPr="007745AC">
              <w:rPr>
                <w:rFonts w:ascii="Arial Narrow" w:hAnsi="Arial Narrow"/>
                <w:sz w:val="20"/>
                <w:szCs w:val="20"/>
              </w:rPr>
              <w:t>public</w:t>
            </w:r>
            <w:r>
              <w:rPr>
                <w:rFonts w:ascii="Arial Narrow" w:hAnsi="Arial Narrow"/>
                <w:sz w:val="20"/>
                <w:szCs w:val="20"/>
              </w:rPr>
              <w:t>)</w:t>
            </w:r>
          </w:p>
          <w:p w14:paraId="61A9556B" w14:textId="77777777" w:rsidR="00683525" w:rsidRPr="007745AC" w:rsidRDefault="00683525" w:rsidP="005038E5">
            <w:pPr>
              <w:jc w:val="center"/>
              <w:rPr>
                <w:rFonts w:ascii="Arial Narrow" w:hAnsi="Arial Narrow"/>
                <w:sz w:val="20"/>
                <w:szCs w:val="20"/>
              </w:rPr>
            </w:pPr>
            <w:r w:rsidRPr="0094683A">
              <w:rPr>
                <w:rFonts w:ascii="Arial Narrow" w:hAnsi="Arial Narrow"/>
                <w:sz w:val="20"/>
                <w:szCs w:val="20"/>
              </w:rPr>
              <w:t xml:space="preserve">12938Y </w:t>
            </w:r>
            <w:r w:rsidRPr="007745AC">
              <w:rPr>
                <w:rFonts w:ascii="Arial Narrow" w:hAnsi="Arial Narrow"/>
                <w:sz w:val="20"/>
                <w:szCs w:val="20"/>
              </w:rPr>
              <w:t>private</w:t>
            </w:r>
            <w:r>
              <w:rPr>
                <w:rFonts w:ascii="Arial Narrow" w:hAnsi="Arial Narrow"/>
                <w:sz w:val="20"/>
                <w:szCs w:val="20"/>
              </w:rPr>
              <w:t>)</w:t>
            </w:r>
          </w:p>
        </w:tc>
        <w:tc>
          <w:tcPr>
            <w:tcW w:w="992" w:type="dxa"/>
            <w:vAlign w:val="center"/>
          </w:tcPr>
          <w:p w14:paraId="383EDD30"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p w14:paraId="5EB842D1"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tc>
        <w:tc>
          <w:tcPr>
            <w:tcW w:w="992" w:type="dxa"/>
            <w:vAlign w:val="center"/>
          </w:tcPr>
          <w:p w14:paraId="5DE83799"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p w14:paraId="30A9C319"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tc>
        <w:tc>
          <w:tcPr>
            <w:tcW w:w="709" w:type="dxa"/>
            <w:vAlign w:val="center"/>
          </w:tcPr>
          <w:p w14:paraId="7BAE59BD"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5</w:t>
            </w:r>
          </w:p>
          <w:p w14:paraId="6AB5A8AF"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5</w:t>
            </w:r>
          </w:p>
        </w:tc>
        <w:tc>
          <w:tcPr>
            <w:tcW w:w="1417" w:type="dxa"/>
            <w:vAlign w:val="center"/>
          </w:tcPr>
          <w:p w14:paraId="561539AF" w14:textId="77777777" w:rsidR="00683525" w:rsidRPr="007745AC" w:rsidRDefault="00683525" w:rsidP="005038E5">
            <w:pPr>
              <w:jc w:val="center"/>
              <w:rPr>
                <w:rFonts w:ascii="Arial Narrow" w:hAnsi="Arial Narrow"/>
                <w:sz w:val="20"/>
                <w:szCs w:val="20"/>
              </w:rPr>
            </w:pPr>
            <w:r w:rsidRPr="00724E93">
              <w:rPr>
                <w:rFonts w:ascii="Arial Narrow" w:hAnsi="Arial Narrow" w:cstheme="minorHAnsi"/>
                <w:sz w:val="20"/>
                <w:szCs w:val="20"/>
              </w:rPr>
              <w:t>Trikafta</w:t>
            </w:r>
          </w:p>
        </w:tc>
      </w:tr>
      <w:tr w:rsidR="00683525" w:rsidRPr="007745AC" w14:paraId="46CE2697"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0ED970EE" w14:textId="77777777" w:rsidR="00683525" w:rsidRPr="007745AC" w:rsidRDefault="00683525" w:rsidP="005038E5">
            <w:pPr>
              <w:rPr>
                <w:rFonts w:ascii="Arial Narrow" w:hAnsi="Arial Narrow"/>
                <w:sz w:val="20"/>
                <w:szCs w:val="20"/>
              </w:rPr>
            </w:pPr>
          </w:p>
        </w:tc>
      </w:tr>
      <w:tr w:rsidR="00683525" w:rsidRPr="007745AC" w14:paraId="5C75C457"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DAB374F"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Restriction Summary [new] / Treatment of Concept: [new]</w:t>
            </w:r>
          </w:p>
        </w:tc>
      </w:tr>
      <w:tr w:rsidR="00683525" w:rsidRPr="007745AC" w14:paraId="10E3C7C8" w14:textId="77777777" w:rsidTr="005038E5">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CFA1426" w14:textId="77777777" w:rsidR="00683525" w:rsidRPr="007745AC" w:rsidRDefault="00683525" w:rsidP="005038E5">
            <w:pPr>
              <w:rPr>
                <w:rFonts w:ascii="Arial Narrow" w:hAnsi="Arial Narrow"/>
                <w:sz w:val="20"/>
                <w:szCs w:val="20"/>
              </w:rPr>
            </w:pPr>
            <w:r w:rsidRPr="007745AC">
              <w:rPr>
                <w:rFonts w:ascii="Arial Narrow" w:hAnsi="Arial Narrow"/>
                <w:b/>
                <w:sz w:val="20"/>
                <w:szCs w:val="20"/>
              </w:rPr>
              <w:t xml:space="preserve">Category / Program: </w:t>
            </w:r>
            <w:r w:rsidRPr="007745AC">
              <w:rPr>
                <w:rFonts w:ascii="Arial Narrow" w:hAnsi="Arial Narrow"/>
                <w:sz w:val="20"/>
                <w:szCs w:val="20"/>
              </w:rPr>
              <w:t>Section 100 – Highly Specialised Drugs Program</w:t>
            </w:r>
          </w:p>
        </w:tc>
      </w:tr>
      <w:tr w:rsidR="00683525" w:rsidRPr="007745AC" w14:paraId="3338F7E8" w14:textId="77777777" w:rsidTr="005038E5">
        <w:tblPrEx>
          <w:tblCellMar>
            <w:top w:w="15" w:type="dxa"/>
            <w:left w:w="15" w:type="dxa"/>
            <w:bottom w:w="15" w:type="dxa"/>
            <w:right w:w="15" w:type="dxa"/>
          </w:tblCellMar>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0D73EC32"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 xml:space="preserve">Prescriber type:  </w:t>
            </w:r>
            <w:r w:rsidRPr="007745AC">
              <w:rPr>
                <w:rFonts w:ascii="Arial Narrow" w:hAnsi="Arial Narrow"/>
                <w:sz w:val="20"/>
                <w:szCs w:val="20"/>
              </w:rPr>
              <w:fldChar w:fldCharType="begin" w:fldLock="1">
                <w:ffData>
                  <w:name w:val=""/>
                  <w:enabled/>
                  <w:calcOnExit w:val="0"/>
                  <w:checkBox>
                    <w:sizeAuto/>
                    <w:default w:val="1"/>
                  </w:checkBox>
                </w:ffData>
              </w:fldChar>
            </w:r>
            <w:r w:rsidRPr="007745AC">
              <w:rPr>
                <w:rFonts w:ascii="Arial Narrow" w:hAnsi="Arial Narrow"/>
                <w:sz w:val="20"/>
                <w:szCs w:val="20"/>
              </w:rPr>
              <w:instrText xml:space="preserve"> FORMCHECKBOX </w:instrText>
            </w:r>
            <w:r w:rsidR="008E430C">
              <w:rPr>
                <w:rFonts w:ascii="Arial Narrow" w:hAnsi="Arial Narrow"/>
                <w:sz w:val="20"/>
                <w:szCs w:val="20"/>
              </w:rPr>
            </w:r>
            <w:r w:rsidR="008E430C">
              <w:rPr>
                <w:rFonts w:ascii="Arial Narrow" w:hAnsi="Arial Narrow"/>
                <w:sz w:val="20"/>
                <w:szCs w:val="20"/>
              </w:rPr>
              <w:fldChar w:fldCharType="separate"/>
            </w:r>
            <w:r w:rsidRPr="007745AC">
              <w:rPr>
                <w:rFonts w:ascii="Arial Narrow" w:hAnsi="Arial Narrow"/>
                <w:sz w:val="20"/>
                <w:szCs w:val="20"/>
              </w:rPr>
              <w:fldChar w:fldCharType="end"/>
            </w:r>
            <w:r w:rsidRPr="007745AC">
              <w:rPr>
                <w:rFonts w:ascii="Arial Narrow" w:hAnsi="Arial Narrow"/>
                <w:sz w:val="20"/>
                <w:szCs w:val="20"/>
              </w:rPr>
              <w:t>Medical Practitioners</w:t>
            </w:r>
          </w:p>
        </w:tc>
      </w:tr>
      <w:tr w:rsidR="00683525" w:rsidRPr="007745AC" w14:paraId="1A03E1AA" w14:textId="77777777" w:rsidTr="005038E5">
        <w:tblPrEx>
          <w:tblCellMar>
            <w:top w:w="15" w:type="dxa"/>
            <w:left w:w="15" w:type="dxa"/>
            <w:bottom w:w="15" w:type="dxa"/>
            <w:right w:w="15" w:type="dxa"/>
          </w:tblCellMar>
        </w:tblPrEx>
        <w:trPr>
          <w:trHeight w:val="282"/>
        </w:trPr>
        <w:tc>
          <w:tcPr>
            <w:tcW w:w="9067" w:type="dxa"/>
            <w:gridSpan w:val="6"/>
            <w:tcBorders>
              <w:top w:val="single" w:sz="4" w:space="0" w:color="auto"/>
              <w:left w:val="single" w:sz="4" w:space="0" w:color="auto"/>
              <w:bottom w:val="single" w:sz="4" w:space="0" w:color="auto"/>
              <w:right w:val="single" w:sz="4" w:space="0" w:color="auto"/>
            </w:tcBorders>
          </w:tcPr>
          <w:p w14:paraId="2B8B4C89"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 xml:space="preserve">Restriction type: </w:t>
            </w:r>
            <w:r w:rsidRPr="007745AC">
              <w:rPr>
                <w:rFonts w:ascii="Arial Narrow" w:hAnsi="Arial Narrow"/>
                <w:sz w:val="20"/>
                <w:szCs w:val="20"/>
              </w:rPr>
              <w:fldChar w:fldCharType="begin" w:fldLock="1">
                <w:ffData>
                  <w:name w:val=""/>
                  <w:enabled/>
                  <w:calcOnExit w:val="0"/>
                  <w:checkBox>
                    <w:sizeAuto/>
                    <w:default w:val="1"/>
                  </w:checkBox>
                </w:ffData>
              </w:fldChar>
            </w:r>
            <w:r w:rsidRPr="007745AC">
              <w:rPr>
                <w:rFonts w:ascii="Arial Narrow" w:hAnsi="Arial Narrow"/>
                <w:sz w:val="20"/>
                <w:szCs w:val="20"/>
              </w:rPr>
              <w:instrText xml:space="preserve"> FORMCHECKBOX </w:instrText>
            </w:r>
            <w:r w:rsidR="008E430C">
              <w:rPr>
                <w:rFonts w:ascii="Arial Narrow" w:hAnsi="Arial Narrow"/>
                <w:sz w:val="20"/>
                <w:szCs w:val="20"/>
              </w:rPr>
            </w:r>
            <w:r w:rsidR="008E430C">
              <w:rPr>
                <w:rFonts w:ascii="Arial Narrow" w:hAnsi="Arial Narrow"/>
                <w:sz w:val="20"/>
                <w:szCs w:val="20"/>
              </w:rPr>
              <w:fldChar w:fldCharType="separate"/>
            </w:r>
            <w:r w:rsidRPr="007745AC">
              <w:rPr>
                <w:rFonts w:ascii="Arial Narrow" w:hAnsi="Arial Narrow"/>
                <w:sz w:val="20"/>
                <w:szCs w:val="20"/>
              </w:rPr>
              <w:fldChar w:fldCharType="end"/>
            </w:r>
            <w:r w:rsidRPr="007745AC">
              <w:rPr>
                <w:rFonts w:ascii="Arial Narrow" w:hAnsi="Arial Narrow"/>
                <w:sz w:val="20"/>
                <w:szCs w:val="20"/>
              </w:rPr>
              <w:t xml:space="preserve"> Authority Required (in writing only via post/HPOS upload) </w:t>
            </w:r>
          </w:p>
        </w:tc>
      </w:tr>
      <w:tr w:rsidR="00683525" w:rsidRPr="007745AC" w14:paraId="4BFE8F24" w14:textId="77777777" w:rsidTr="005038E5">
        <w:tblPrEx>
          <w:tblCellMar>
            <w:top w:w="15" w:type="dxa"/>
            <w:left w:w="15" w:type="dxa"/>
            <w:bottom w:w="15" w:type="dxa"/>
            <w:right w:w="15" w:type="dxa"/>
          </w:tblCellMar>
        </w:tblPrEx>
        <w:tc>
          <w:tcPr>
            <w:tcW w:w="9067" w:type="dxa"/>
            <w:gridSpan w:val="6"/>
            <w:tcBorders>
              <w:top w:val="single" w:sz="4" w:space="0" w:color="auto"/>
              <w:left w:val="single" w:sz="4" w:space="0" w:color="auto"/>
              <w:bottom w:val="single" w:sz="4" w:space="0" w:color="auto"/>
              <w:right w:val="single" w:sz="4" w:space="0" w:color="auto"/>
            </w:tcBorders>
          </w:tcPr>
          <w:p w14:paraId="21F4EB96" w14:textId="77777777" w:rsidR="00683525" w:rsidRPr="007745AC" w:rsidRDefault="00683525" w:rsidP="005038E5">
            <w:pPr>
              <w:rPr>
                <w:rFonts w:ascii="Arial Narrow" w:hAnsi="Arial Narrow"/>
                <w:b/>
                <w:sz w:val="20"/>
                <w:szCs w:val="20"/>
              </w:rPr>
            </w:pPr>
          </w:p>
        </w:tc>
      </w:tr>
    </w:tbl>
    <w:tbl>
      <w:tblPr>
        <w:tblStyle w:val="HTATableshaded2"/>
        <w:tblW w:w="9067" w:type="dxa"/>
        <w:tblLayout w:type="fixed"/>
        <w:tblLook w:val="0020" w:firstRow="1" w:lastRow="0" w:firstColumn="0" w:lastColumn="0" w:noHBand="0" w:noVBand="0"/>
      </w:tblPr>
      <w:tblGrid>
        <w:gridCol w:w="1512"/>
        <w:gridCol w:w="7555"/>
      </w:tblGrid>
      <w:tr w:rsidR="00683525" w:rsidRPr="004275A2" w14:paraId="71C6526B" w14:textId="77777777" w:rsidTr="008A0FEF">
        <w:trPr>
          <w:cnfStyle w:val="100000000000" w:firstRow="1" w:lastRow="0" w:firstColumn="0" w:lastColumn="0" w:oddVBand="0" w:evenVBand="0" w:oddHBand="0" w:evenHBand="0" w:firstRowFirstColumn="0" w:firstRowLastColumn="0" w:lastRowFirstColumn="0" w:lastRowLastColumn="0"/>
        </w:trPr>
        <w:tc>
          <w:tcPr>
            <w:tcW w:w="9067" w:type="dxa"/>
            <w:gridSpan w:val="2"/>
            <w:hideMark/>
          </w:tcPr>
          <w:p w14:paraId="7FC63403" w14:textId="77777777" w:rsidR="00683525" w:rsidRPr="004275A2" w:rsidRDefault="00683525" w:rsidP="005038E5">
            <w:pPr>
              <w:ind w:left="57"/>
              <w:rPr>
                <w:rFonts w:ascii="Arial Narrow" w:hAnsi="Arial Narrow" w:cstheme="minorHAnsi"/>
                <w:b/>
                <w:sz w:val="20"/>
                <w:szCs w:val="20"/>
              </w:rPr>
            </w:pPr>
            <w:r>
              <w:rPr>
                <w:rFonts w:ascii="Arial Narrow" w:hAnsi="Arial Narrow" w:cstheme="minorHAnsi"/>
                <w:b/>
                <w:sz w:val="20"/>
                <w:szCs w:val="20"/>
              </w:rPr>
              <w:t xml:space="preserve">Edit </w:t>
            </w:r>
            <w:r w:rsidRPr="0094683A">
              <w:rPr>
                <w:rFonts w:ascii="Arial Narrow" w:hAnsi="Arial Narrow" w:cstheme="minorHAnsi"/>
                <w:b/>
                <w:sz w:val="20"/>
                <w:szCs w:val="20"/>
              </w:rPr>
              <w:t>Restriction Summary 12961 / ToC: 12972: Authority Required</w:t>
            </w:r>
          </w:p>
        </w:tc>
      </w:tr>
      <w:tr w:rsidR="00683525" w:rsidRPr="004275A2" w14:paraId="68A6DB76" w14:textId="77777777" w:rsidTr="008A0FEF">
        <w:tc>
          <w:tcPr>
            <w:tcW w:w="0" w:type="dxa"/>
            <w:vMerge w:val="restart"/>
            <w:vAlign w:val="center"/>
          </w:tcPr>
          <w:p w14:paraId="311B52AF" w14:textId="43B10A2B" w:rsidR="00683525" w:rsidRPr="00374D97" w:rsidRDefault="00683525" w:rsidP="00455830">
            <w:pPr>
              <w:jc w:val="center"/>
              <w:rPr>
                <w:rFonts w:ascii="Arial Narrow" w:hAnsi="Arial Narrow" w:cstheme="minorHAnsi"/>
                <w:sz w:val="20"/>
                <w:szCs w:val="20"/>
              </w:rPr>
            </w:pPr>
            <w:r w:rsidRPr="004275A2">
              <w:rPr>
                <w:rFonts w:ascii="Arial Narrow" w:hAnsi="Arial Narrow" w:cstheme="minorHAnsi"/>
                <w:b/>
                <w:sz w:val="20"/>
                <w:szCs w:val="20"/>
              </w:rPr>
              <w:t>Concept ID</w:t>
            </w:r>
          </w:p>
          <w:p w14:paraId="003FDE8B" w14:textId="77777777" w:rsidR="00683525" w:rsidRPr="004275A2" w:rsidRDefault="00683525" w:rsidP="005038E5">
            <w:pPr>
              <w:jc w:val="center"/>
              <w:rPr>
                <w:rFonts w:ascii="Arial Narrow" w:hAnsi="Arial Narrow" w:cstheme="minorHAnsi"/>
                <w:sz w:val="20"/>
                <w:szCs w:val="20"/>
              </w:rPr>
            </w:pPr>
            <w:r w:rsidRPr="004275A2">
              <w:rPr>
                <w:rFonts w:ascii="Arial Narrow" w:hAnsi="Arial Narrow" w:cstheme="minorHAnsi"/>
                <w:sz w:val="20"/>
                <w:szCs w:val="20"/>
              </w:rPr>
              <w:t>(for internal Dept. use)</w:t>
            </w:r>
          </w:p>
        </w:tc>
        <w:tc>
          <w:tcPr>
            <w:tcW w:w="0" w:type="dxa"/>
          </w:tcPr>
          <w:p w14:paraId="2D491B3E" w14:textId="48CA73CF" w:rsidR="00683525" w:rsidRPr="004275A2" w:rsidRDefault="00683525" w:rsidP="005038E5">
            <w:pPr>
              <w:rPr>
                <w:rFonts w:ascii="Arial Narrow" w:hAnsi="Arial Narrow" w:cstheme="minorHAnsi"/>
                <w:sz w:val="20"/>
                <w:szCs w:val="20"/>
              </w:rPr>
            </w:pPr>
          </w:p>
        </w:tc>
      </w:tr>
      <w:tr w:rsidR="00683525" w:rsidRPr="004275A2" w14:paraId="59EF1EBD" w14:textId="77777777" w:rsidTr="008A0FEF">
        <w:trPr>
          <w:trHeight w:val="240"/>
        </w:trPr>
        <w:tc>
          <w:tcPr>
            <w:tcW w:w="0" w:type="dxa"/>
            <w:vMerge/>
            <w:vAlign w:val="center"/>
            <w:hideMark/>
          </w:tcPr>
          <w:p w14:paraId="643E2019" w14:textId="77777777" w:rsidR="00683525" w:rsidRPr="004275A2" w:rsidRDefault="00683525" w:rsidP="005038E5">
            <w:pPr>
              <w:jc w:val="center"/>
              <w:rPr>
                <w:rFonts w:ascii="Arial Narrow" w:hAnsi="Arial Narrow" w:cstheme="minorHAnsi"/>
                <w:sz w:val="20"/>
                <w:szCs w:val="20"/>
              </w:rPr>
            </w:pPr>
          </w:p>
        </w:tc>
        <w:tc>
          <w:tcPr>
            <w:tcW w:w="0" w:type="dxa"/>
          </w:tcPr>
          <w:p w14:paraId="3E623DF1" w14:textId="23EBCB95" w:rsidR="00683525" w:rsidRPr="004275A2" w:rsidRDefault="00683525" w:rsidP="005038E5">
            <w:pPr>
              <w:rPr>
                <w:rFonts w:ascii="Arial Narrow" w:hAnsi="Arial Narrow" w:cstheme="minorHAnsi"/>
                <w:b/>
                <w:sz w:val="20"/>
                <w:szCs w:val="20"/>
              </w:rPr>
            </w:pPr>
          </w:p>
        </w:tc>
      </w:tr>
      <w:tr w:rsidR="00683525" w:rsidRPr="004275A2" w14:paraId="03041919" w14:textId="77777777" w:rsidTr="008A0FEF">
        <w:trPr>
          <w:trHeight w:val="242"/>
        </w:trPr>
        <w:tc>
          <w:tcPr>
            <w:tcW w:w="0" w:type="dxa"/>
            <w:vMerge/>
            <w:vAlign w:val="center"/>
            <w:hideMark/>
          </w:tcPr>
          <w:p w14:paraId="457B30D8" w14:textId="77777777" w:rsidR="00683525" w:rsidRPr="004275A2" w:rsidRDefault="00683525" w:rsidP="005038E5">
            <w:pPr>
              <w:jc w:val="center"/>
              <w:rPr>
                <w:rFonts w:ascii="Arial Narrow" w:hAnsi="Arial Narrow" w:cstheme="minorHAnsi"/>
                <w:sz w:val="20"/>
                <w:szCs w:val="20"/>
              </w:rPr>
            </w:pPr>
          </w:p>
        </w:tc>
        <w:tc>
          <w:tcPr>
            <w:tcW w:w="0" w:type="dxa"/>
          </w:tcPr>
          <w:p w14:paraId="220DB5CC" w14:textId="4F6AD8D7" w:rsidR="00683525" w:rsidRPr="004275A2" w:rsidRDefault="00683525" w:rsidP="005038E5">
            <w:pPr>
              <w:rPr>
                <w:rFonts w:ascii="Arial Narrow" w:eastAsia="Calibri" w:hAnsi="Arial Narrow" w:cstheme="minorHAnsi"/>
                <w:sz w:val="20"/>
                <w:szCs w:val="20"/>
              </w:rPr>
            </w:pPr>
          </w:p>
        </w:tc>
      </w:tr>
      <w:tr w:rsidR="00683525" w:rsidRPr="004275A2" w14:paraId="2EAA059E" w14:textId="77777777" w:rsidTr="008A0FEF">
        <w:trPr>
          <w:trHeight w:val="166"/>
        </w:trPr>
        <w:tc>
          <w:tcPr>
            <w:tcW w:w="0" w:type="dxa"/>
            <w:vAlign w:val="center"/>
            <w:hideMark/>
          </w:tcPr>
          <w:p w14:paraId="4F437A38" w14:textId="77777777" w:rsidR="00683525" w:rsidRPr="004275A2" w:rsidRDefault="00683525" w:rsidP="005038E5">
            <w:pPr>
              <w:jc w:val="center"/>
              <w:rPr>
                <w:rFonts w:ascii="Arial Narrow" w:hAnsi="Arial Narrow" w:cstheme="minorHAnsi"/>
                <w:sz w:val="20"/>
                <w:szCs w:val="20"/>
              </w:rPr>
            </w:pPr>
          </w:p>
        </w:tc>
        <w:tc>
          <w:tcPr>
            <w:tcW w:w="0" w:type="dxa"/>
          </w:tcPr>
          <w:p w14:paraId="6AB4A1A4" w14:textId="77777777" w:rsidR="00683525" w:rsidRPr="004275A2" w:rsidRDefault="00683525" w:rsidP="005038E5">
            <w:pPr>
              <w:rPr>
                <w:rFonts w:ascii="Arial Narrow" w:hAnsi="Arial Narrow" w:cstheme="minorHAnsi"/>
                <w:bCs/>
                <w:sz w:val="20"/>
                <w:szCs w:val="20"/>
              </w:rPr>
            </w:pPr>
            <w:r w:rsidRPr="004275A2">
              <w:rPr>
                <w:rFonts w:ascii="Arial Narrow" w:hAnsi="Arial Narrow" w:cstheme="minorHAnsi"/>
                <w:b/>
                <w:bCs/>
                <w:sz w:val="20"/>
                <w:szCs w:val="20"/>
              </w:rPr>
              <w:t xml:space="preserve">Condition: </w:t>
            </w:r>
            <w:r w:rsidRPr="004275A2">
              <w:rPr>
                <w:rFonts w:ascii="Arial Narrow" w:hAnsi="Arial Narrow" w:cstheme="minorHAnsi"/>
                <w:bCs/>
                <w:sz w:val="20"/>
                <w:szCs w:val="20"/>
              </w:rPr>
              <w:t>Cystic fibrosis</w:t>
            </w:r>
          </w:p>
        </w:tc>
      </w:tr>
      <w:tr w:rsidR="00683525" w:rsidRPr="004275A2" w14:paraId="6609214B" w14:textId="77777777" w:rsidTr="008A0FEF">
        <w:tc>
          <w:tcPr>
            <w:tcW w:w="0" w:type="dxa"/>
            <w:vAlign w:val="center"/>
          </w:tcPr>
          <w:p w14:paraId="4BA64D99" w14:textId="7512DFE6" w:rsidR="00683525" w:rsidRPr="004275A2" w:rsidRDefault="00683525" w:rsidP="005038E5">
            <w:pPr>
              <w:jc w:val="center"/>
              <w:rPr>
                <w:rFonts w:ascii="Arial Narrow" w:hAnsi="Arial Narrow" w:cstheme="minorHAnsi"/>
                <w:sz w:val="20"/>
                <w:szCs w:val="20"/>
              </w:rPr>
            </w:pPr>
          </w:p>
        </w:tc>
        <w:tc>
          <w:tcPr>
            <w:tcW w:w="0" w:type="dxa"/>
            <w:hideMark/>
          </w:tcPr>
          <w:p w14:paraId="45FBC032"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b/>
                <w:bCs/>
                <w:sz w:val="20"/>
                <w:szCs w:val="20"/>
              </w:rPr>
              <w:t xml:space="preserve">Indication: </w:t>
            </w:r>
            <w:r w:rsidRPr="004275A2">
              <w:rPr>
                <w:rFonts w:ascii="Arial Narrow" w:hAnsi="Arial Narrow" w:cstheme="minorHAnsi"/>
                <w:bCs/>
                <w:sz w:val="20"/>
                <w:szCs w:val="20"/>
              </w:rPr>
              <w:t>Cystic fibrosis</w:t>
            </w:r>
          </w:p>
        </w:tc>
      </w:tr>
      <w:tr w:rsidR="00683525" w:rsidRPr="004275A2" w14:paraId="5CE554C3" w14:textId="77777777" w:rsidTr="008A0FEF">
        <w:tc>
          <w:tcPr>
            <w:tcW w:w="1512" w:type="dxa"/>
            <w:vAlign w:val="center"/>
          </w:tcPr>
          <w:p w14:paraId="074F2001" w14:textId="77777777" w:rsidR="00683525" w:rsidRPr="004275A2" w:rsidRDefault="00683525" w:rsidP="005038E5">
            <w:pPr>
              <w:jc w:val="center"/>
              <w:rPr>
                <w:rFonts w:ascii="Arial Narrow" w:hAnsi="Arial Narrow" w:cstheme="minorHAnsi"/>
                <w:sz w:val="20"/>
                <w:szCs w:val="20"/>
              </w:rPr>
            </w:pPr>
          </w:p>
        </w:tc>
        <w:tc>
          <w:tcPr>
            <w:tcW w:w="7555" w:type="dxa"/>
          </w:tcPr>
          <w:p w14:paraId="018B6D1B" w14:textId="77777777" w:rsidR="00683525" w:rsidRPr="004275A2" w:rsidRDefault="00683525" w:rsidP="005038E5">
            <w:pPr>
              <w:rPr>
                <w:rFonts w:ascii="Arial Narrow" w:hAnsi="Arial Narrow" w:cstheme="minorHAnsi"/>
                <w:b/>
                <w:bCs/>
                <w:sz w:val="20"/>
                <w:szCs w:val="20"/>
              </w:rPr>
            </w:pPr>
          </w:p>
        </w:tc>
      </w:tr>
      <w:tr w:rsidR="00683525" w:rsidRPr="004275A2" w14:paraId="6A810FB5" w14:textId="77777777" w:rsidTr="008A0FEF">
        <w:tc>
          <w:tcPr>
            <w:tcW w:w="0" w:type="dxa"/>
            <w:vAlign w:val="center"/>
          </w:tcPr>
          <w:p w14:paraId="64F1A045" w14:textId="77777777" w:rsidR="00683525" w:rsidRPr="004275A2" w:rsidRDefault="00683525" w:rsidP="005038E5">
            <w:pPr>
              <w:jc w:val="center"/>
              <w:rPr>
                <w:rFonts w:ascii="Arial Narrow" w:hAnsi="Arial Narrow" w:cstheme="minorHAnsi"/>
                <w:sz w:val="20"/>
                <w:szCs w:val="20"/>
              </w:rPr>
            </w:pPr>
          </w:p>
        </w:tc>
        <w:tc>
          <w:tcPr>
            <w:tcW w:w="0" w:type="dxa"/>
            <w:hideMark/>
          </w:tcPr>
          <w:p w14:paraId="249E5DCC"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b/>
                <w:bCs/>
                <w:sz w:val="20"/>
                <w:szCs w:val="20"/>
              </w:rPr>
              <w:t>Treatment Phase:</w:t>
            </w:r>
            <w:r w:rsidRPr="004275A2">
              <w:rPr>
                <w:rFonts w:ascii="Arial Narrow" w:hAnsi="Arial Narrow" w:cstheme="minorHAnsi"/>
                <w:bCs/>
                <w:sz w:val="20"/>
                <w:szCs w:val="20"/>
              </w:rPr>
              <w:t xml:space="preserve"> Initial treatment</w:t>
            </w:r>
          </w:p>
        </w:tc>
      </w:tr>
      <w:tr w:rsidR="00683525" w:rsidRPr="004275A2" w14:paraId="7D326791" w14:textId="77777777" w:rsidTr="008A0FEF">
        <w:tc>
          <w:tcPr>
            <w:tcW w:w="1512" w:type="dxa"/>
            <w:vAlign w:val="center"/>
          </w:tcPr>
          <w:p w14:paraId="74448039" w14:textId="77777777" w:rsidR="00683525" w:rsidRPr="004275A2" w:rsidRDefault="00683525" w:rsidP="005038E5">
            <w:pPr>
              <w:jc w:val="center"/>
              <w:rPr>
                <w:rFonts w:ascii="Arial Narrow" w:hAnsi="Arial Narrow" w:cstheme="minorHAnsi"/>
                <w:sz w:val="20"/>
                <w:szCs w:val="20"/>
              </w:rPr>
            </w:pPr>
          </w:p>
        </w:tc>
        <w:tc>
          <w:tcPr>
            <w:tcW w:w="7555" w:type="dxa"/>
          </w:tcPr>
          <w:p w14:paraId="02F7F303" w14:textId="77777777" w:rsidR="00683525" w:rsidRPr="004275A2" w:rsidRDefault="00683525" w:rsidP="005038E5">
            <w:pPr>
              <w:rPr>
                <w:rFonts w:ascii="Arial Narrow" w:hAnsi="Arial Narrow" w:cstheme="minorHAnsi"/>
                <w:b/>
                <w:bCs/>
                <w:sz w:val="20"/>
                <w:szCs w:val="20"/>
              </w:rPr>
            </w:pPr>
          </w:p>
        </w:tc>
      </w:tr>
      <w:tr w:rsidR="00683525" w:rsidRPr="004275A2" w14:paraId="43E1EF61" w14:textId="77777777" w:rsidTr="008A0FEF">
        <w:tc>
          <w:tcPr>
            <w:tcW w:w="1512" w:type="dxa"/>
            <w:vAlign w:val="center"/>
          </w:tcPr>
          <w:p w14:paraId="11BC2FB3" w14:textId="77777777" w:rsidR="00683525" w:rsidRPr="004275A2" w:rsidRDefault="00683525" w:rsidP="005038E5">
            <w:pPr>
              <w:jc w:val="center"/>
              <w:rPr>
                <w:rFonts w:ascii="Arial Narrow" w:hAnsi="Arial Narrow" w:cstheme="minorHAnsi"/>
                <w:sz w:val="20"/>
                <w:szCs w:val="20"/>
              </w:rPr>
            </w:pPr>
          </w:p>
        </w:tc>
        <w:tc>
          <w:tcPr>
            <w:tcW w:w="7555" w:type="dxa"/>
          </w:tcPr>
          <w:p w14:paraId="7B7EA08B" w14:textId="77777777" w:rsidR="00683525" w:rsidRPr="004275A2" w:rsidRDefault="00683525" w:rsidP="005038E5">
            <w:pPr>
              <w:rPr>
                <w:rFonts w:ascii="Arial Narrow" w:hAnsi="Arial Narrow" w:cstheme="minorHAnsi"/>
                <w:b/>
                <w:bCs/>
                <w:sz w:val="20"/>
                <w:szCs w:val="20"/>
              </w:rPr>
            </w:pPr>
            <w:r>
              <w:rPr>
                <w:rFonts w:ascii="Arial Narrow" w:hAnsi="Arial Narrow" w:cstheme="minorHAnsi"/>
                <w:b/>
                <w:bCs/>
                <w:sz w:val="20"/>
                <w:szCs w:val="20"/>
              </w:rPr>
              <w:t>PR level administrative advice</w:t>
            </w:r>
          </w:p>
        </w:tc>
      </w:tr>
      <w:tr w:rsidR="00683525" w:rsidRPr="004275A2" w14:paraId="56855EB6" w14:textId="77777777" w:rsidTr="008A0FEF">
        <w:tc>
          <w:tcPr>
            <w:tcW w:w="1512" w:type="dxa"/>
            <w:vAlign w:val="center"/>
          </w:tcPr>
          <w:p w14:paraId="4DA931E1" w14:textId="70246553" w:rsidR="00683525" w:rsidRPr="004275A2" w:rsidRDefault="00683525" w:rsidP="005038E5">
            <w:pPr>
              <w:jc w:val="center"/>
              <w:rPr>
                <w:rFonts w:ascii="Arial Narrow" w:hAnsi="Arial Narrow" w:cstheme="minorHAnsi"/>
                <w:sz w:val="20"/>
                <w:szCs w:val="20"/>
              </w:rPr>
            </w:pPr>
          </w:p>
        </w:tc>
        <w:tc>
          <w:tcPr>
            <w:tcW w:w="7555" w:type="dxa"/>
          </w:tcPr>
          <w:p w14:paraId="6EEB762D" w14:textId="77777777" w:rsidR="00683525" w:rsidRDefault="00683525" w:rsidP="005038E5">
            <w:pPr>
              <w:rPr>
                <w:rFonts w:ascii="Arial Narrow" w:hAnsi="Arial Narrow"/>
                <w:sz w:val="20"/>
                <w:szCs w:val="20"/>
              </w:rPr>
            </w:pPr>
            <w:r w:rsidRPr="00724E93">
              <w:rPr>
                <w:rFonts w:ascii="Arial Narrow" w:hAnsi="Arial Narrow"/>
                <w:b/>
                <w:sz w:val="20"/>
                <w:szCs w:val="20"/>
              </w:rPr>
              <w:t xml:space="preserve">Administration </w:t>
            </w:r>
            <w:r>
              <w:rPr>
                <w:rFonts w:ascii="Arial Narrow" w:hAnsi="Arial Narrow"/>
                <w:b/>
                <w:sz w:val="20"/>
                <w:szCs w:val="20"/>
              </w:rPr>
              <w:t>a</w:t>
            </w:r>
            <w:r w:rsidRPr="00724E93">
              <w:rPr>
                <w:rFonts w:ascii="Arial Narrow" w:hAnsi="Arial Narrow"/>
                <w:b/>
                <w:sz w:val="20"/>
                <w:szCs w:val="20"/>
              </w:rPr>
              <w:t>dvice</w:t>
            </w:r>
            <w:r>
              <w:rPr>
                <w:rFonts w:ascii="Arial Narrow" w:hAnsi="Arial Narrow"/>
                <w:b/>
                <w:sz w:val="20"/>
                <w:szCs w:val="20"/>
              </w:rPr>
              <w:t>:</w:t>
            </w:r>
          </w:p>
          <w:p w14:paraId="5A219CB3" w14:textId="77777777" w:rsidR="00683525" w:rsidRPr="004275A2" w:rsidRDefault="00683525" w:rsidP="005038E5">
            <w:pPr>
              <w:rPr>
                <w:rFonts w:ascii="Arial Narrow" w:hAnsi="Arial Narrow" w:cstheme="minorHAnsi"/>
                <w:b/>
                <w:bCs/>
                <w:sz w:val="20"/>
                <w:szCs w:val="20"/>
              </w:rPr>
            </w:pPr>
            <w:r w:rsidRPr="00724E93">
              <w:rPr>
                <w:rFonts w:ascii="Arial Narrow" w:hAnsi="Arial Narrow"/>
                <w:sz w:val="20"/>
                <w:szCs w:val="20"/>
              </w:rPr>
              <w:t>No increase in the maximum quantity or number of units may be authorised.</w:t>
            </w:r>
          </w:p>
        </w:tc>
      </w:tr>
      <w:tr w:rsidR="00683525" w:rsidRPr="004275A2" w14:paraId="49B4CCDF" w14:textId="77777777" w:rsidTr="008A0FEF">
        <w:tc>
          <w:tcPr>
            <w:tcW w:w="1512" w:type="dxa"/>
            <w:vAlign w:val="center"/>
          </w:tcPr>
          <w:p w14:paraId="558F443B" w14:textId="3F501B36" w:rsidR="00683525" w:rsidRPr="004275A2" w:rsidRDefault="00683525" w:rsidP="005038E5">
            <w:pPr>
              <w:jc w:val="center"/>
              <w:rPr>
                <w:rFonts w:ascii="Arial Narrow" w:hAnsi="Arial Narrow" w:cstheme="minorHAnsi"/>
                <w:sz w:val="20"/>
                <w:szCs w:val="20"/>
              </w:rPr>
            </w:pPr>
          </w:p>
        </w:tc>
        <w:tc>
          <w:tcPr>
            <w:tcW w:w="7555" w:type="dxa"/>
          </w:tcPr>
          <w:p w14:paraId="74397CA6" w14:textId="77777777" w:rsidR="00683525" w:rsidRDefault="00683525" w:rsidP="005038E5">
            <w:pPr>
              <w:rPr>
                <w:rFonts w:ascii="Arial Narrow" w:hAnsi="Arial Narrow"/>
                <w:sz w:val="20"/>
                <w:szCs w:val="20"/>
              </w:rPr>
            </w:pPr>
            <w:r w:rsidRPr="00724E93">
              <w:rPr>
                <w:rFonts w:ascii="Arial Narrow" w:hAnsi="Arial Narrow"/>
                <w:b/>
                <w:sz w:val="20"/>
                <w:szCs w:val="20"/>
              </w:rPr>
              <w:t xml:space="preserve">Administration </w:t>
            </w:r>
            <w:r>
              <w:rPr>
                <w:rFonts w:ascii="Arial Narrow" w:hAnsi="Arial Narrow"/>
                <w:b/>
                <w:sz w:val="20"/>
                <w:szCs w:val="20"/>
              </w:rPr>
              <w:t>a</w:t>
            </w:r>
            <w:r w:rsidRPr="00724E93">
              <w:rPr>
                <w:rFonts w:ascii="Arial Narrow" w:hAnsi="Arial Narrow"/>
                <w:b/>
                <w:sz w:val="20"/>
                <w:szCs w:val="20"/>
              </w:rPr>
              <w:t>dvice</w:t>
            </w:r>
            <w:r>
              <w:rPr>
                <w:rFonts w:ascii="Arial Narrow" w:hAnsi="Arial Narrow"/>
                <w:b/>
                <w:sz w:val="20"/>
                <w:szCs w:val="20"/>
              </w:rPr>
              <w:t>:</w:t>
            </w:r>
          </w:p>
          <w:p w14:paraId="5C6FD7C0" w14:textId="77777777" w:rsidR="00683525" w:rsidRPr="004275A2" w:rsidRDefault="00683525" w:rsidP="005038E5">
            <w:pPr>
              <w:rPr>
                <w:rFonts w:ascii="Arial Narrow" w:hAnsi="Arial Narrow" w:cstheme="minorHAnsi"/>
                <w:b/>
                <w:bCs/>
                <w:sz w:val="20"/>
                <w:szCs w:val="20"/>
              </w:rPr>
            </w:pPr>
            <w:r w:rsidRPr="00724E93">
              <w:rPr>
                <w:rFonts w:ascii="Arial Narrow" w:hAnsi="Arial Narrow"/>
                <w:sz w:val="20"/>
                <w:szCs w:val="20"/>
              </w:rPr>
              <w:t>No increase in the maximum number of repeats may be authorised</w:t>
            </w:r>
          </w:p>
        </w:tc>
      </w:tr>
      <w:tr w:rsidR="00683525" w:rsidRPr="004275A2" w14:paraId="1BA0AB03" w14:textId="77777777" w:rsidTr="008A0FEF">
        <w:tc>
          <w:tcPr>
            <w:tcW w:w="1512" w:type="dxa"/>
            <w:vAlign w:val="center"/>
          </w:tcPr>
          <w:p w14:paraId="382464F9" w14:textId="7F30BC68" w:rsidR="00683525" w:rsidRPr="004275A2" w:rsidRDefault="00683525" w:rsidP="005038E5">
            <w:pPr>
              <w:jc w:val="center"/>
              <w:rPr>
                <w:rFonts w:ascii="Arial Narrow" w:hAnsi="Arial Narrow" w:cstheme="minorHAnsi"/>
                <w:sz w:val="20"/>
                <w:szCs w:val="20"/>
              </w:rPr>
            </w:pPr>
          </w:p>
        </w:tc>
        <w:tc>
          <w:tcPr>
            <w:tcW w:w="7555" w:type="dxa"/>
          </w:tcPr>
          <w:p w14:paraId="674275C1" w14:textId="77777777" w:rsidR="00683525" w:rsidRPr="004275A2" w:rsidRDefault="00683525" w:rsidP="005038E5">
            <w:pPr>
              <w:rPr>
                <w:rFonts w:ascii="Arial Narrow" w:hAnsi="Arial Narrow"/>
                <w:b/>
                <w:sz w:val="20"/>
                <w:szCs w:val="20"/>
              </w:rPr>
            </w:pPr>
            <w:r w:rsidRPr="004275A2">
              <w:rPr>
                <w:rFonts w:ascii="Arial Narrow" w:hAnsi="Arial Narrow"/>
                <w:b/>
                <w:sz w:val="20"/>
                <w:szCs w:val="20"/>
              </w:rPr>
              <w:t>Administration advice:</w:t>
            </w:r>
          </w:p>
          <w:p w14:paraId="7BAC4A05"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Special Pricing Arrangements apply.</w:t>
            </w:r>
          </w:p>
        </w:tc>
      </w:tr>
      <w:tr w:rsidR="00683525" w:rsidRPr="004275A2" w14:paraId="297F9C01" w14:textId="77777777" w:rsidTr="008A0FEF">
        <w:tc>
          <w:tcPr>
            <w:tcW w:w="0" w:type="dxa"/>
            <w:vAlign w:val="center"/>
          </w:tcPr>
          <w:p w14:paraId="7DCD5C0A" w14:textId="0BB8E12A" w:rsidR="00683525" w:rsidRPr="00374D97" w:rsidRDefault="00683525" w:rsidP="005038E5">
            <w:pPr>
              <w:jc w:val="center"/>
              <w:textAlignment w:val="baseline"/>
              <w:rPr>
                <w:rFonts w:ascii="Arial Narrow" w:eastAsia="Times New Roman" w:hAnsi="Arial Narrow" w:cs="Open Sans"/>
                <w:color w:val="333333"/>
                <w:sz w:val="20"/>
                <w:szCs w:val="20"/>
              </w:rPr>
            </w:pPr>
          </w:p>
        </w:tc>
        <w:tc>
          <w:tcPr>
            <w:tcW w:w="0" w:type="dxa"/>
            <w:hideMark/>
          </w:tcPr>
          <w:p w14:paraId="4A50F68D" w14:textId="77777777" w:rsidR="00683525" w:rsidRPr="00374D97" w:rsidRDefault="00683525" w:rsidP="005038E5">
            <w:pPr>
              <w:jc w:val="left"/>
              <w:textAlignment w:val="baseline"/>
              <w:rPr>
                <w:rFonts w:ascii="Arial Narrow" w:eastAsia="Times New Roman" w:hAnsi="Arial Narrow" w:cs="Open Sans"/>
                <w:color w:val="333333"/>
                <w:sz w:val="20"/>
                <w:szCs w:val="20"/>
              </w:rPr>
            </w:pPr>
            <w:r w:rsidRPr="00374D97">
              <w:rPr>
                <w:rFonts w:ascii="Arial Narrow" w:eastAsia="Times New Roman" w:hAnsi="Arial Narrow" w:cs="Open Sans"/>
                <w:b/>
                <w:bCs/>
                <w:color w:val="333333"/>
                <w:sz w:val="20"/>
                <w:szCs w:val="20"/>
                <w:bdr w:val="none" w:sz="0" w:space="0" w:color="auto" w:frame="1"/>
              </w:rPr>
              <w:t>Administrative Advice:</w:t>
            </w:r>
          </w:p>
          <w:p w14:paraId="1F0F5013" w14:textId="77777777" w:rsidR="00683525" w:rsidRPr="00374D97" w:rsidRDefault="00683525" w:rsidP="005038E5">
            <w:pPr>
              <w:jc w:val="left"/>
              <w:textAlignment w:val="baseline"/>
              <w:rPr>
                <w:rFonts w:ascii="Arial Narrow" w:eastAsia="Times New Roman" w:hAnsi="Arial Narrow" w:cs="Open Sans"/>
                <w:color w:val="333333"/>
                <w:sz w:val="20"/>
                <w:szCs w:val="20"/>
              </w:rPr>
            </w:pPr>
            <w:r w:rsidRPr="00374D97">
              <w:rPr>
                <w:rFonts w:ascii="Arial Narrow" w:eastAsia="Times New Roman" w:hAnsi="Arial Narrow" w:cs="Open Sans"/>
                <w:color w:val="333333"/>
                <w:sz w:val="20"/>
                <w:szCs w:val="20"/>
              </w:rPr>
              <w:t>For the purposes of this restriction, PBS-subsidised 'CFTR modulator' means ivacaftor, lumacaftor/ivacaftor, tezacaftor/ivacaftor and elexacaftor/ tezacaftor/ ivacaftor.</w:t>
            </w:r>
          </w:p>
        </w:tc>
      </w:tr>
      <w:tr w:rsidR="00683525" w:rsidRPr="004275A2" w14:paraId="5E77EF0B" w14:textId="77777777" w:rsidTr="008A0FEF">
        <w:tc>
          <w:tcPr>
            <w:tcW w:w="1512" w:type="dxa"/>
            <w:vAlign w:val="center"/>
          </w:tcPr>
          <w:p w14:paraId="0B78E096" w14:textId="4EA2B3A4" w:rsidR="00683525" w:rsidRPr="004275A2" w:rsidRDefault="00683525" w:rsidP="005038E5">
            <w:pPr>
              <w:jc w:val="center"/>
              <w:rPr>
                <w:rFonts w:ascii="Arial Narrow" w:hAnsi="Arial Narrow" w:cstheme="minorHAnsi"/>
                <w:sz w:val="20"/>
                <w:szCs w:val="20"/>
              </w:rPr>
            </w:pPr>
          </w:p>
        </w:tc>
        <w:tc>
          <w:tcPr>
            <w:tcW w:w="7555" w:type="dxa"/>
          </w:tcPr>
          <w:p w14:paraId="374C807B" w14:textId="77777777" w:rsidR="00683525" w:rsidRPr="00374D97" w:rsidRDefault="00683525" w:rsidP="005038E5">
            <w:pPr>
              <w:jc w:val="left"/>
              <w:textAlignment w:val="baseline"/>
              <w:rPr>
                <w:rFonts w:ascii="Arial Narrow" w:eastAsia="Times New Roman" w:hAnsi="Arial Narrow" w:cs="Open Sans"/>
                <w:b/>
                <w:bCs/>
                <w:color w:val="333333"/>
                <w:sz w:val="20"/>
                <w:szCs w:val="20"/>
              </w:rPr>
            </w:pPr>
            <w:r w:rsidRPr="004275A2">
              <w:rPr>
                <w:rFonts w:ascii="Arial Narrow" w:eastAsia="Times New Roman" w:hAnsi="Arial Narrow" w:cs="Open Sans"/>
                <w:b/>
                <w:bCs/>
                <w:color w:val="333333"/>
                <w:sz w:val="20"/>
                <w:szCs w:val="20"/>
                <w:bdr w:val="none" w:sz="0" w:space="0" w:color="auto" w:frame="1"/>
              </w:rPr>
              <w:t>Administrative Advice:</w:t>
            </w:r>
          </w:p>
          <w:p w14:paraId="0CE9CC0C"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Any queries concerning the arrangements to prescribe may be directed to Services Australia on 1800 700 270 (hours of operation 8 a.m. to 5 p.m. Monday to Friday).</w:t>
            </w:r>
          </w:p>
          <w:p w14:paraId="0045A847"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Prescribing information (including Authority Application forms and other relevant documentation as applicable) is available on the Services Australia website at www.servicesaustralia.gov.au</w:t>
            </w:r>
          </w:p>
          <w:p w14:paraId="0B555CF3"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Applications for authority to prescribe should be submitted online using the form upload facility in Health Professional Online Services (HPOS) at www.servicesaustralia.gov.au/hpos</w:t>
            </w:r>
          </w:p>
          <w:p w14:paraId="64DB8FBF"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Or mailed to:</w:t>
            </w:r>
          </w:p>
          <w:p w14:paraId="562686D1"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Services Australia</w:t>
            </w:r>
          </w:p>
          <w:p w14:paraId="1F0ED4D2"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Complex Drugs</w:t>
            </w:r>
          </w:p>
          <w:p w14:paraId="17074E6A"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Reply Paid 9826</w:t>
            </w:r>
          </w:p>
          <w:p w14:paraId="0E57EEFC" w14:textId="77777777" w:rsidR="00683525" w:rsidRPr="00374D97" w:rsidRDefault="00683525" w:rsidP="005038E5">
            <w:pPr>
              <w:rPr>
                <w:rFonts w:ascii="Arial Narrow" w:hAnsi="Arial Narrow" w:cstheme="minorHAnsi"/>
                <w:sz w:val="20"/>
                <w:szCs w:val="20"/>
              </w:rPr>
            </w:pPr>
            <w:r w:rsidRPr="00374D97">
              <w:rPr>
                <w:rFonts w:ascii="Arial Narrow" w:hAnsi="Arial Narrow" w:cstheme="minorHAnsi"/>
                <w:sz w:val="20"/>
                <w:szCs w:val="20"/>
              </w:rPr>
              <w:t>HOBART TAS 7001</w:t>
            </w:r>
          </w:p>
        </w:tc>
      </w:tr>
      <w:tr w:rsidR="00683525" w:rsidRPr="004275A2" w14:paraId="5CB00231" w14:textId="77777777" w:rsidTr="008A0FEF">
        <w:tc>
          <w:tcPr>
            <w:tcW w:w="1512" w:type="dxa"/>
            <w:vAlign w:val="center"/>
          </w:tcPr>
          <w:p w14:paraId="3A1A6D5C" w14:textId="77777777" w:rsidR="00683525" w:rsidRPr="004275A2" w:rsidRDefault="00683525" w:rsidP="005038E5">
            <w:pPr>
              <w:jc w:val="center"/>
              <w:rPr>
                <w:rFonts w:ascii="Arial Narrow" w:hAnsi="Arial Narrow" w:cstheme="minorHAnsi"/>
                <w:sz w:val="20"/>
                <w:szCs w:val="20"/>
              </w:rPr>
            </w:pPr>
          </w:p>
        </w:tc>
        <w:tc>
          <w:tcPr>
            <w:tcW w:w="7555" w:type="dxa"/>
          </w:tcPr>
          <w:p w14:paraId="22E23FA3" w14:textId="77777777" w:rsidR="00683525" w:rsidRPr="004275A2" w:rsidRDefault="00683525" w:rsidP="005038E5">
            <w:pPr>
              <w:rPr>
                <w:rFonts w:ascii="Arial Narrow" w:hAnsi="Arial Narrow" w:cstheme="minorHAnsi"/>
                <w:b/>
                <w:bCs/>
                <w:sz w:val="20"/>
                <w:szCs w:val="20"/>
              </w:rPr>
            </w:pPr>
          </w:p>
        </w:tc>
      </w:tr>
      <w:tr w:rsidR="00683525" w:rsidRPr="004275A2" w14:paraId="3D6C5201" w14:textId="77777777" w:rsidTr="008A0FEF">
        <w:tc>
          <w:tcPr>
            <w:tcW w:w="0" w:type="dxa"/>
            <w:vAlign w:val="center"/>
          </w:tcPr>
          <w:p w14:paraId="6750F18F" w14:textId="52D27AEF" w:rsidR="00683525" w:rsidRPr="004275A2" w:rsidRDefault="00683525" w:rsidP="005038E5">
            <w:pPr>
              <w:jc w:val="center"/>
              <w:rPr>
                <w:rFonts w:ascii="Arial Narrow" w:hAnsi="Arial Narrow" w:cstheme="minorHAnsi"/>
                <w:sz w:val="20"/>
                <w:szCs w:val="20"/>
              </w:rPr>
            </w:pPr>
          </w:p>
        </w:tc>
        <w:tc>
          <w:tcPr>
            <w:tcW w:w="0" w:type="dxa"/>
            <w:hideMark/>
          </w:tcPr>
          <w:p w14:paraId="274FDA09" w14:textId="77777777" w:rsidR="00683525" w:rsidRPr="004275A2" w:rsidRDefault="00683525" w:rsidP="005038E5">
            <w:pPr>
              <w:rPr>
                <w:rFonts w:ascii="Arial Narrow" w:hAnsi="Arial Narrow" w:cstheme="minorHAnsi"/>
                <w:b/>
                <w:bCs/>
                <w:sz w:val="20"/>
                <w:szCs w:val="20"/>
              </w:rPr>
            </w:pPr>
            <w:r w:rsidRPr="004275A2">
              <w:rPr>
                <w:rFonts w:ascii="Arial Narrow" w:hAnsi="Arial Narrow" w:cstheme="minorHAnsi"/>
                <w:b/>
                <w:bCs/>
                <w:sz w:val="20"/>
                <w:szCs w:val="20"/>
              </w:rPr>
              <w:t>Treatment criteria:</w:t>
            </w:r>
          </w:p>
        </w:tc>
      </w:tr>
      <w:tr w:rsidR="00683525" w:rsidRPr="004275A2" w14:paraId="15593198" w14:textId="77777777" w:rsidTr="008A0FEF">
        <w:tc>
          <w:tcPr>
            <w:tcW w:w="0" w:type="dxa"/>
            <w:vAlign w:val="center"/>
          </w:tcPr>
          <w:p w14:paraId="7F92B5D1" w14:textId="6FC3134A" w:rsidR="00683525" w:rsidRPr="004275A2" w:rsidRDefault="00683525" w:rsidP="005038E5">
            <w:pPr>
              <w:jc w:val="center"/>
              <w:rPr>
                <w:rFonts w:ascii="Arial Narrow" w:hAnsi="Arial Narrow" w:cstheme="minorHAnsi"/>
                <w:sz w:val="20"/>
                <w:szCs w:val="20"/>
              </w:rPr>
            </w:pPr>
          </w:p>
        </w:tc>
        <w:tc>
          <w:tcPr>
            <w:tcW w:w="0" w:type="dxa"/>
            <w:hideMark/>
          </w:tcPr>
          <w:p w14:paraId="3A5621BD" w14:textId="77777777" w:rsidR="00683525" w:rsidRPr="00374D97" w:rsidRDefault="00683525" w:rsidP="005038E5">
            <w:pPr>
              <w:rPr>
                <w:rFonts w:ascii="Arial Narrow" w:hAnsi="Arial Narrow" w:cstheme="minorHAnsi"/>
                <w:sz w:val="20"/>
                <w:szCs w:val="20"/>
              </w:rPr>
            </w:pPr>
            <w:r w:rsidRPr="004275A2">
              <w:rPr>
                <w:rFonts w:ascii="Arial Narrow" w:hAnsi="Arial Narrow" w:cstheme="minorHAnsi"/>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83525" w:rsidRPr="004275A2" w14:paraId="0208E101" w14:textId="77777777" w:rsidTr="008A0FEF">
        <w:tc>
          <w:tcPr>
            <w:tcW w:w="0" w:type="dxa"/>
            <w:vAlign w:val="center"/>
          </w:tcPr>
          <w:p w14:paraId="19D05735" w14:textId="77777777" w:rsidR="00683525" w:rsidRPr="004275A2" w:rsidRDefault="00683525" w:rsidP="005038E5">
            <w:pPr>
              <w:jc w:val="center"/>
              <w:rPr>
                <w:rFonts w:ascii="Arial Narrow" w:hAnsi="Arial Narrow" w:cstheme="minorHAnsi"/>
                <w:sz w:val="20"/>
                <w:szCs w:val="20"/>
              </w:rPr>
            </w:pPr>
          </w:p>
        </w:tc>
        <w:tc>
          <w:tcPr>
            <w:tcW w:w="0" w:type="dxa"/>
            <w:hideMark/>
          </w:tcPr>
          <w:p w14:paraId="68AE4E90" w14:textId="77777777" w:rsidR="00683525" w:rsidRPr="004275A2" w:rsidRDefault="00683525" w:rsidP="005038E5">
            <w:pPr>
              <w:rPr>
                <w:rFonts w:ascii="Arial Narrow" w:hAnsi="Arial Narrow" w:cstheme="minorHAnsi"/>
                <w:b/>
                <w:bCs/>
                <w:sz w:val="20"/>
                <w:szCs w:val="20"/>
              </w:rPr>
            </w:pPr>
            <w:r w:rsidRPr="004275A2">
              <w:rPr>
                <w:rFonts w:ascii="Arial Narrow" w:hAnsi="Arial Narrow" w:cstheme="minorHAnsi"/>
                <w:b/>
                <w:bCs/>
                <w:sz w:val="20"/>
                <w:szCs w:val="20"/>
              </w:rPr>
              <w:t>AND</w:t>
            </w:r>
          </w:p>
        </w:tc>
      </w:tr>
      <w:tr w:rsidR="00683525" w:rsidRPr="004275A2" w14:paraId="2F813D6E" w14:textId="77777777" w:rsidTr="008A0FEF">
        <w:tc>
          <w:tcPr>
            <w:tcW w:w="0" w:type="dxa"/>
            <w:vAlign w:val="center"/>
          </w:tcPr>
          <w:p w14:paraId="29AC8C0D" w14:textId="29C7F060" w:rsidR="00683525" w:rsidRPr="004275A2" w:rsidRDefault="00683525" w:rsidP="005038E5">
            <w:pPr>
              <w:jc w:val="center"/>
              <w:rPr>
                <w:rFonts w:ascii="Arial Narrow" w:hAnsi="Arial Narrow" w:cstheme="minorHAnsi"/>
                <w:sz w:val="20"/>
                <w:szCs w:val="20"/>
              </w:rPr>
            </w:pPr>
          </w:p>
        </w:tc>
        <w:tc>
          <w:tcPr>
            <w:tcW w:w="0" w:type="dxa"/>
          </w:tcPr>
          <w:p w14:paraId="5B859A67" w14:textId="77777777" w:rsidR="00683525" w:rsidRPr="004275A2" w:rsidRDefault="00683525" w:rsidP="005038E5">
            <w:pPr>
              <w:rPr>
                <w:rFonts w:ascii="Arial Narrow" w:hAnsi="Arial Narrow" w:cstheme="minorHAnsi"/>
                <w:bCs/>
                <w:sz w:val="20"/>
                <w:szCs w:val="20"/>
              </w:rPr>
            </w:pPr>
            <w:r w:rsidRPr="004275A2">
              <w:rPr>
                <w:rFonts w:ascii="Arial Narrow" w:hAnsi="Arial Narrow" w:cstheme="minorHAnsi"/>
                <w:b/>
                <w:bCs/>
                <w:sz w:val="20"/>
                <w:szCs w:val="20"/>
              </w:rPr>
              <w:t>Treatment criteria:</w:t>
            </w:r>
          </w:p>
        </w:tc>
      </w:tr>
      <w:tr w:rsidR="00683525" w:rsidRPr="004275A2" w14:paraId="090A09C6" w14:textId="77777777" w:rsidTr="008A0FEF">
        <w:tc>
          <w:tcPr>
            <w:tcW w:w="0" w:type="dxa"/>
            <w:vAlign w:val="center"/>
          </w:tcPr>
          <w:p w14:paraId="0C1E80E7" w14:textId="765D5B54" w:rsidR="00683525" w:rsidRPr="004275A2" w:rsidRDefault="00683525" w:rsidP="005038E5">
            <w:pPr>
              <w:jc w:val="center"/>
              <w:rPr>
                <w:rFonts w:ascii="Arial Narrow" w:hAnsi="Arial Narrow" w:cstheme="minorHAnsi"/>
                <w:sz w:val="20"/>
                <w:szCs w:val="20"/>
              </w:rPr>
            </w:pPr>
          </w:p>
        </w:tc>
        <w:tc>
          <w:tcPr>
            <w:tcW w:w="0" w:type="dxa"/>
            <w:hideMark/>
          </w:tcPr>
          <w:p w14:paraId="0943CC87" w14:textId="77777777" w:rsidR="00683525" w:rsidRPr="00374D97" w:rsidRDefault="00683525" w:rsidP="005038E5">
            <w:pPr>
              <w:rPr>
                <w:rFonts w:ascii="Arial Narrow" w:hAnsi="Arial Narrow" w:cstheme="minorHAnsi"/>
                <w:bCs/>
                <w:sz w:val="20"/>
                <w:szCs w:val="20"/>
              </w:rPr>
            </w:pPr>
            <w:r w:rsidRPr="004275A2">
              <w:rPr>
                <w:rFonts w:ascii="Arial Narrow" w:hAnsi="Arial Narrow" w:cstheme="minorHAnsi"/>
                <w:bCs/>
                <w:sz w:val="20"/>
                <w:szCs w:val="20"/>
              </w:rPr>
              <w:t>Must be treated in a centre with expertise in cystic fibrosis or in consultation with a centre with expertise in cystic fibrosis if attendance is not possible due to geographic isolation</w:t>
            </w:r>
          </w:p>
        </w:tc>
      </w:tr>
      <w:tr w:rsidR="00683525" w:rsidRPr="004275A2" w14:paraId="223B362C" w14:textId="77777777" w:rsidTr="008A0FEF">
        <w:tc>
          <w:tcPr>
            <w:tcW w:w="1512" w:type="dxa"/>
            <w:vAlign w:val="center"/>
          </w:tcPr>
          <w:p w14:paraId="6125A348" w14:textId="77777777" w:rsidR="00683525" w:rsidRPr="004275A2" w:rsidRDefault="00683525" w:rsidP="005038E5">
            <w:pPr>
              <w:rPr>
                <w:rFonts w:ascii="Arial Narrow" w:hAnsi="Arial Narrow" w:cstheme="minorHAnsi"/>
                <w:sz w:val="20"/>
                <w:szCs w:val="20"/>
              </w:rPr>
            </w:pPr>
          </w:p>
        </w:tc>
        <w:tc>
          <w:tcPr>
            <w:tcW w:w="7555" w:type="dxa"/>
            <w:hideMark/>
          </w:tcPr>
          <w:p w14:paraId="7BF5DD64"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b/>
                <w:bCs/>
                <w:sz w:val="20"/>
                <w:szCs w:val="20"/>
              </w:rPr>
              <w:t>AND</w:t>
            </w:r>
          </w:p>
        </w:tc>
      </w:tr>
      <w:tr w:rsidR="00683525" w:rsidRPr="004275A2" w14:paraId="37307179" w14:textId="77777777" w:rsidTr="008A0FEF">
        <w:tc>
          <w:tcPr>
            <w:tcW w:w="1512" w:type="dxa"/>
            <w:vAlign w:val="center"/>
          </w:tcPr>
          <w:p w14:paraId="5499FEBD" w14:textId="76859827" w:rsidR="00683525" w:rsidRPr="004275A2" w:rsidRDefault="00683525" w:rsidP="005038E5">
            <w:pPr>
              <w:jc w:val="center"/>
              <w:rPr>
                <w:rFonts w:ascii="Arial Narrow" w:hAnsi="Arial Narrow" w:cstheme="minorHAnsi"/>
                <w:sz w:val="20"/>
                <w:szCs w:val="20"/>
              </w:rPr>
            </w:pPr>
          </w:p>
        </w:tc>
        <w:tc>
          <w:tcPr>
            <w:tcW w:w="7555" w:type="dxa"/>
            <w:hideMark/>
          </w:tcPr>
          <w:p w14:paraId="32CE80D0"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b/>
                <w:bCs/>
                <w:sz w:val="20"/>
                <w:szCs w:val="20"/>
              </w:rPr>
              <w:t>Clinical criteria:</w:t>
            </w:r>
          </w:p>
        </w:tc>
      </w:tr>
      <w:tr w:rsidR="00683525" w:rsidRPr="004275A2" w14:paraId="2CF1F8AD" w14:textId="77777777" w:rsidTr="008A0FEF">
        <w:tc>
          <w:tcPr>
            <w:tcW w:w="1512" w:type="dxa"/>
            <w:vAlign w:val="center"/>
          </w:tcPr>
          <w:p w14:paraId="587DF47D" w14:textId="7E2B0D12" w:rsidR="00683525" w:rsidRPr="004275A2" w:rsidRDefault="00683525" w:rsidP="005038E5">
            <w:pPr>
              <w:jc w:val="center"/>
              <w:rPr>
                <w:rFonts w:ascii="Arial Narrow" w:hAnsi="Arial Narrow" w:cstheme="minorHAnsi"/>
                <w:sz w:val="20"/>
                <w:szCs w:val="20"/>
              </w:rPr>
            </w:pPr>
          </w:p>
        </w:tc>
        <w:tc>
          <w:tcPr>
            <w:tcW w:w="7555" w:type="dxa"/>
          </w:tcPr>
          <w:p w14:paraId="73194ED3" w14:textId="77777777" w:rsidR="00683525" w:rsidRPr="004275A2" w:rsidRDefault="00683525" w:rsidP="005038E5">
            <w:pPr>
              <w:keepNext/>
              <w:rPr>
                <w:rFonts w:ascii="Arial Narrow" w:hAnsi="Arial Narrow" w:cstheme="minorHAnsi"/>
                <w:sz w:val="20"/>
                <w:szCs w:val="20"/>
              </w:rPr>
            </w:pPr>
            <w:r w:rsidRPr="004275A2">
              <w:rPr>
                <w:rFonts w:ascii="Arial Narrow" w:hAnsi="Arial Narrow" w:cstheme="minorHAnsi"/>
                <w:sz w:val="20"/>
                <w:szCs w:val="20"/>
              </w:rPr>
              <w:t xml:space="preserve">Patient must have at least one </w:t>
            </w:r>
            <w:r w:rsidRPr="00374D97">
              <w:rPr>
                <w:rFonts w:ascii="Arial Narrow" w:hAnsi="Arial Narrow" w:cstheme="minorHAnsi"/>
                <w:sz w:val="20"/>
                <w:szCs w:val="20"/>
              </w:rPr>
              <w:t>F508del</w:t>
            </w:r>
            <w:r w:rsidRPr="004275A2">
              <w:rPr>
                <w:rFonts w:ascii="Arial Narrow" w:hAnsi="Arial Narrow" w:cstheme="minorHAnsi"/>
                <w:sz w:val="20"/>
                <w:szCs w:val="20"/>
              </w:rPr>
              <w:t xml:space="preserve"> mutation in the cystic fibrosis transmembrane conductance (CFTR) gene</w:t>
            </w:r>
          </w:p>
        </w:tc>
      </w:tr>
      <w:tr w:rsidR="00683525" w:rsidRPr="004275A2" w14:paraId="5773EA00" w14:textId="77777777" w:rsidTr="008A0FEF">
        <w:tc>
          <w:tcPr>
            <w:tcW w:w="1512" w:type="dxa"/>
            <w:vAlign w:val="center"/>
          </w:tcPr>
          <w:p w14:paraId="59DDE0C9" w14:textId="77777777" w:rsidR="00683525" w:rsidRPr="004275A2" w:rsidRDefault="00683525" w:rsidP="005038E5">
            <w:pPr>
              <w:jc w:val="center"/>
              <w:rPr>
                <w:rFonts w:ascii="Arial Narrow" w:hAnsi="Arial Narrow" w:cstheme="minorHAnsi"/>
                <w:sz w:val="20"/>
                <w:szCs w:val="20"/>
              </w:rPr>
            </w:pPr>
          </w:p>
        </w:tc>
        <w:tc>
          <w:tcPr>
            <w:tcW w:w="7555" w:type="dxa"/>
            <w:hideMark/>
          </w:tcPr>
          <w:p w14:paraId="300553FD"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b/>
                <w:bCs/>
                <w:sz w:val="20"/>
                <w:szCs w:val="20"/>
              </w:rPr>
              <w:t>AND</w:t>
            </w:r>
          </w:p>
        </w:tc>
      </w:tr>
      <w:tr w:rsidR="00683525" w:rsidRPr="004275A2" w14:paraId="761BAF52" w14:textId="77777777" w:rsidTr="008A0FEF">
        <w:tc>
          <w:tcPr>
            <w:tcW w:w="0" w:type="dxa"/>
            <w:vAlign w:val="center"/>
          </w:tcPr>
          <w:p w14:paraId="14E4DAB8" w14:textId="54A163F3" w:rsidR="00683525" w:rsidRPr="004275A2" w:rsidRDefault="00683525" w:rsidP="005038E5">
            <w:pPr>
              <w:jc w:val="center"/>
              <w:rPr>
                <w:rFonts w:ascii="Arial Narrow" w:hAnsi="Arial Narrow" w:cstheme="minorHAnsi"/>
                <w:sz w:val="20"/>
                <w:szCs w:val="20"/>
              </w:rPr>
            </w:pPr>
          </w:p>
        </w:tc>
        <w:tc>
          <w:tcPr>
            <w:tcW w:w="0" w:type="dxa"/>
          </w:tcPr>
          <w:p w14:paraId="2AA77AB8" w14:textId="77777777" w:rsidR="00683525" w:rsidRPr="004275A2" w:rsidRDefault="00683525" w:rsidP="005038E5">
            <w:pPr>
              <w:rPr>
                <w:rFonts w:ascii="Arial Narrow" w:hAnsi="Arial Narrow" w:cstheme="minorHAnsi"/>
                <w:b/>
                <w:bCs/>
                <w:sz w:val="20"/>
                <w:szCs w:val="20"/>
              </w:rPr>
            </w:pPr>
            <w:r w:rsidRPr="004275A2">
              <w:rPr>
                <w:rFonts w:ascii="Arial Narrow" w:hAnsi="Arial Narrow" w:cstheme="minorHAnsi"/>
                <w:b/>
                <w:bCs/>
                <w:sz w:val="20"/>
                <w:szCs w:val="20"/>
              </w:rPr>
              <w:t>Clinical criteria:</w:t>
            </w:r>
          </w:p>
        </w:tc>
      </w:tr>
      <w:tr w:rsidR="00683525" w:rsidRPr="004275A2" w14:paraId="0BD45353" w14:textId="77777777" w:rsidTr="008A0FEF">
        <w:tc>
          <w:tcPr>
            <w:tcW w:w="0" w:type="dxa"/>
            <w:vAlign w:val="center"/>
          </w:tcPr>
          <w:p w14:paraId="1F21CBC3" w14:textId="4E843738" w:rsidR="00683525" w:rsidRPr="004275A2" w:rsidRDefault="00683525" w:rsidP="005038E5">
            <w:pPr>
              <w:jc w:val="center"/>
              <w:rPr>
                <w:rFonts w:ascii="Arial Narrow" w:hAnsi="Arial Narrow" w:cstheme="minorHAnsi"/>
                <w:sz w:val="20"/>
                <w:szCs w:val="20"/>
              </w:rPr>
            </w:pPr>
          </w:p>
        </w:tc>
        <w:tc>
          <w:tcPr>
            <w:tcW w:w="0" w:type="dxa"/>
          </w:tcPr>
          <w:p w14:paraId="6E92ABC3" w14:textId="77777777" w:rsidR="00683525" w:rsidRPr="004275A2" w:rsidRDefault="00683525" w:rsidP="005038E5">
            <w:pPr>
              <w:keepNext/>
              <w:rPr>
                <w:rFonts w:ascii="Arial Narrow" w:hAnsi="Arial Narrow" w:cstheme="minorHAnsi"/>
                <w:bCs/>
                <w:sz w:val="20"/>
                <w:szCs w:val="20"/>
              </w:rPr>
            </w:pPr>
            <w:r w:rsidRPr="004275A2">
              <w:rPr>
                <w:rFonts w:ascii="Arial Narrow" w:hAnsi="Arial Narrow" w:cstheme="minorHAnsi"/>
                <w:sz w:val="20"/>
                <w:szCs w:val="20"/>
              </w:rPr>
              <w:t>The treatment must be given concomitantly with standard therapy for this condition</w:t>
            </w:r>
          </w:p>
        </w:tc>
      </w:tr>
      <w:tr w:rsidR="00683525" w:rsidRPr="004275A2" w14:paraId="3B64CF31" w14:textId="77777777" w:rsidTr="008A0FEF">
        <w:tc>
          <w:tcPr>
            <w:tcW w:w="0" w:type="dxa"/>
            <w:vAlign w:val="center"/>
          </w:tcPr>
          <w:p w14:paraId="6B8D57D0" w14:textId="77777777" w:rsidR="00683525" w:rsidRPr="004275A2" w:rsidRDefault="00683525" w:rsidP="005038E5">
            <w:pPr>
              <w:jc w:val="center"/>
              <w:rPr>
                <w:rFonts w:ascii="Arial Narrow" w:hAnsi="Arial Narrow" w:cstheme="minorHAnsi"/>
                <w:sz w:val="20"/>
                <w:szCs w:val="20"/>
              </w:rPr>
            </w:pPr>
          </w:p>
        </w:tc>
        <w:tc>
          <w:tcPr>
            <w:tcW w:w="0" w:type="dxa"/>
          </w:tcPr>
          <w:p w14:paraId="286EBD67" w14:textId="77777777" w:rsidR="00683525" w:rsidRPr="004275A2" w:rsidRDefault="00683525" w:rsidP="005038E5">
            <w:pPr>
              <w:rPr>
                <w:rFonts w:ascii="Arial Narrow" w:hAnsi="Arial Narrow" w:cstheme="minorHAnsi"/>
                <w:b/>
                <w:bCs/>
                <w:sz w:val="20"/>
                <w:szCs w:val="20"/>
              </w:rPr>
            </w:pPr>
            <w:r w:rsidRPr="004275A2">
              <w:rPr>
                <w:rFonts w:ascii="Arial Narrow" w:hAnsi="Arial Narrow" w:cstheme="minorHAnsi"/>
                <w:b/>
                <w:bCs/>
                <w:sz w:val="20"/>
                <w:szCs w:val="20"/>
              </w:rPr>
              <w:t>AND</w:t>
            </w:r>
          </w:p>
        </w:tc>
      </w:tr>
      <w:tr w:rsidR="00683525" w:rsidRPr="004275A2" w14:paraId="194CE7FF" w14:textId="77777777" w:rsidTr="008A0FEF">
        <w:tc>
          <w:tcPr>
            <w:tcW w:w="0" w:type="dxa"/>
            <w:vAlign w:val="center"/>
          </w:tcPr>
          <w:p w14:paraId="256D5C2D" w14:textId="4147464C" w:rsidR="00683525" w:rsidRPr="004275A2" w:rsidRDefault="00683525" w:rsidP="005038E5">
            <w:pPr>
              <w:jc w:val="center"/>
              <w:rPr>
                <w:rFonts w:ascii="Arial Narrow" w:hAnsi="Arial Narrow" w:cstheme="minorHAnsi"/>
                <w:sz w:val="20"/>
                <w:szCs w:val="20"/>
              </w:rPr>
            </w:pPr>
          </w:p>
        </w:tc>
        <w:tc>
          <w:tcPr>
            <w:tcW w:w="0" w:type="dxa"/>
          </w:tcPr>
          <w:p w14:paraId="6F75E7DC" w14:textId="77777777" w:rsidR="00683525" w:rsidRPr="004275A2" w:rsidRDefault="00683525" w:rsidP="005038E5">
            <w:pPr>
              <w:rPr>
                <w:rFonts w:ascii="Arial Narrow" w:hAnsi="Arial Narrow" w:cstheme="minorHAnsi"/>
                <w:b/>
                <w:bCs/>
                <w:sz w:val="20"/>
                <w:szCs w:val="20"/>
              </w:rPr>
            </w:pPr>
            <w:r w:rsidRPr="004275A2">
              <w:rPr>
                <w:rFonts w:ascii="Arial Narrow" w:hAnsi="Arial Narrow" w:cstheme="minorHAnsi"/>
                <w:b/>
                <w:bCs/>
                <w:sz w:val="20"/>
                <w:szCs w:val="20"/>
              </w:rPr>
              <w:t>Clinical Criteria:</w:t>
            </w:r>
          </w:p>
        </w:tc>
      </w:tr>
      <w:tr w:rsidR="00683525" w:rsidRPr="004275A2" w14:paraId="6FDF0867" w14:textId="77777777" w:rsidTr="008A0FEF">
        <w:tc>
          <w:tcPr>
            <w:tcW w:w="0" w:type="dxa"/>
            <w:vAlign w:val="center"/>
          </w:tcPr>
          <w:p w14:paraId="366CEBE4" w14:textId="66609B1D" w:rsidR="00683525" w:rsidRPr="004275A2" w:rsidRDefault="00683525" w:rsidP="005038E5">
            <w:pPr>
              <w:jc w:val="center"/>
              <w:rPr>
                <w:rFonts w:ascii="Arial Narrow" w:hAnsi="Arial Narrow" w:cstheme="minorHAnsi"/>
                <w:bCs/>
                <w:sz w:val="20"/>
                <w:szCs w:val="20"/>
              </w:rPr>
            </w:pPr>
          </w:p>
        </w:tc>
        <w:tc>
          <w:tcPr>
            <w:tcW w:w="0" w:type="dxa"/>
          </w:tcPr>
          <w:p w14:paraId="0BA263E5" w14:textId="77777777" w:rsidR="00683525" w:rsidRPr="004275A2" w:rsidRDefault="00683525" w:rsidP="005038E5">
            <w:pPr>
              <w:rPr>
                <w:rFonts w:ascii="Arial Narrow" w:hAnsi="Arial Narrow" w:cstheme="minorHAnsi"/>
                <w:sz w:val="20"/>
                <w:szCs w:val="20"/>
              </w:rPr>
            </w:pPr>
            <w:r w:rsidRPr="004275A2">
              <w:rPr>
                <w:rFonts w:ascii="Arial Narrow" w:hAnsi="Arial Narrow" w:cstheme="minorHAnsi"/>
                <w:sz w:val="20"/>
                <w:szCs w:val="20"/>
              </w:rPr>
              <w:t>Patient must have either chronic sinopulmonary disease or gastrointestinal and nutritional abnormalities, prior to initiating treatment with this drug</w:t>
            </w:r>
          </w:p>
        </w:tc>
      </w:tr>
      <w:tr w:rsidR="00683525" w:rsidRPr="004275A2" w14:paraId="5CC40069" w14:textId="77777777" w:rsidTr="008A0FEF">
        <w:tc>
          <w:tcPr>
            <w:tcW w:w="0" w:type="dxa"/>
            <w:vAlign w:val="center"/>
          </w:tcPr>
          <w:p w14:paraId="5A524ACE" w14:textId="77777777" w:rsidR="00683525" w:rsidRPr="004275A2" w:rsidRDefault="00683525" w:rsidP="005038E5">
            <w:pPr>
              <w:jc w:val="center"/>
              <w:rPr>
                <w:rFonts w:ascii="Arial Narrow" w:hAnsi="Arial Narrow" w:cstheme="minorHAnsi"/>
                <w:sz w:val="20"/>
                <w:szCs w:val="20"/>
              </w:rPr>
            </w:pPr>
          </w:p>
        </w:tc>
        <w:tc>
          <w:tcPr>
            <w:tcW w:w="0" w:type="dxa"/>
          </w:tcPr>
          <w:p w14:paraId="220CB68D" w14:textId="77777777" w:rsidR="00683525" w:rsidRPr="004275A2" w:rsidRDefault="00683525" w:rsidP="005038E5">
            <w:pPr>
              <w:rPr>
                <w:rFonts w:ascii="Arial Narrow" w:hAnsi="Arial Narrow" w:cstheme="minorHAnsi"/>
                <w:bCs/>
                <w:sz w:val="20"/>
                <w:szCs w:val="20"/>
              </w:rPr>
            </w:pPr>
            <w:r w:rsidRPr="004275A2">
              <w:rPr>
                <w:rFonts w:ascii="Arial Narrow" w:hAnsi="Arial Narrow" w:cstheme="minorHAnsi"/>
                <w:b/>
                <w:bCs/>
                <w:sz w:val="20"/>
                <w:szCs w:val="20"/>
              </w:rPr>
              <w:t>Population criteria:</w:t>
            </w:r>
          </w:p>
        </w:tc>
      </w:tr>
      <w:tr w:rsidR="00683525" w:rsidRPr="004275A2" w14:paraId="04B32635" w14:textId="77777777" w:rsidTr="008A0FEF">
        <w:tc>
          <w:tcPr>
            <w:tcW w:w="1512" w:type="dxa"/>
            <w:vAlign w:val="center"/>
          </w:tcPr>
          <w:p w14:paraId="66509708" w14:textId="232B88A5" w:rsidR="00683525" w:rsidRPr="004275A2" w:rsidRDefault="00683525" w:rsidP="005038E5">
            <w:pPr>
              <w:jc w:val="center"/>
              <w:rPr>
                <w:rFonts w:ascii="Arial Narrow" w:hAnsi="Arial Narrow" w:cstheme="minorHAnsi"/>
                <w:sz w:val="20"/>
                <w:szCs w:val="20"/>
              </w:rPr>
            </w:pPr>
          </w:p>
        </w:tc>
        <w:tc>
          <w:tcPr>
            <w:tcW w:w="7555" w:type="dxa"/>
          </w:tcPr>
          <w:p w14:paraId="3CBEF469" w14:textId="215DC805" w:rsidR="00683525" w:rsidRPr="004275A2" w:rsidRDefault="00683525" w:rsidP="005038E5">
            <w:pPr>
              <w:keepNext/>
              <w:rPr>
                <w:rFonts w:ascii="Arial Narrow" w:hAnsi="Arial Narrow" w:cstheme="minorHAnsi"/>
                <w:sz w:val="20"/>
                <w:szCs w:val="20"/>
              </w:rPr>
            </w:pPr>
            <w:r w:rsidRPr="00683525">
              <w:rPr>
                <w:rFonts w:ascii="Arial Narrow" w:hAnsi="Arial Narrow" w:cstheme="minorHAnsi"/>
                <w:sz w:val="20"/>
                <w:szCs w:val="20"/>
              </w:rPr>
              <w:t xml:space="preserve">Patient must be </w:t>
            </w:r>
            <w:r w:rsidRPr="00683525">
              <w:rPr>
                <w:rFonts w:ascii="Arial Narrow" w:hAnsi="Arial Narrow" w:cstheme="minorHAnsi"/>
                <w:strike/>
                <w:sz w:val="20"/>
                <w:szCs w:val="20"/>
              </w:rPr>
              <w:t>12 years of age or older</w:t>
            </w:r>
            <w:r w:rsidRPr="00683525">
              <w:rPr>
                <w:rFonts w:ascii="Arial Narrow" w:hAnsi="Arial Narrow" w:cstheme="minorHAnsi"/>
                <w:sz w:val="20"/>
                <w:szCs w:val="20"/>
              </w:rPr>
              <w:t xml:space="preserve"> </w:t>
            </w:r>
            <w:r w:rsidRPr="00683525">
              <w:rPr>
                <w:rFonts w:ascii="Arial Narrow" w:hAnsi="Arial Narrow" w:cstheme="minorHAnsi"/>
                <w:i/>
                <w:iCs/>
                <w:sz w:val="20"/>
                <w:szCs w:val="20"/>
              </w:rPr>
              <w:t>at least 6 years of age</w:t>
            </w:r>
          </w:p>
        </w:tc>
      </w:tr>
      <w:tr w:rsidR="00683525" w:rsidRPr="004275A2" w14:paraId="26FB87FE" w14:textId="77777777" w:rsidTr="008A0FEF">
        <w:tc>
          <w:tcPr>
            <w:tcW w:w="0" w:type="dxa"/>
            <w:vAlign w:val="center"/>
          </w:tcPr>
          <w:p w14:paraId="67CD6C5C" w14:textId="77777777" w:rsidR="00683525" w:rsidRPr="004275A2" w:rsidRDefault="00683525" w:rsidP="005038E5">
            <w:pPr>
              <w:jc w:val="center"/>
              <w:rPr>
                <w:rFonts w:ascii="Arial Narrow" w:hAnsi="Arial Narrow" w:cstheme="minorHAnsi"/>
                <w:sz w:val="20"/>
                <w:szCs w:val="20"/>
              </w:rPr>
            </w:pPr>
          </w:p>
        </w:tc>
        <w:tc>
          <w:tcPr>
            <w:tcW w:w="0" w:type="dxa"/>
          </w:tcPr>
          <w:p w14:paraId="4EC2EC99" w14:textId="77777777" w:rsidR="00683525" w:rsidRPr="004275A2" w:rsidRDefault="00683525" w:rsidP="005038E5">
            <w:pPr>
              <w:rPr>
                <w:rFonts w:ascii="Arial Narrow" w:hAnsi="Arial Narrow" w:cstheme="minorHAnsi"/>
                <w:b/>
                <w:bCs/>
                <w:sz w:val="20"/>
                <w:szCs w:val="20"/>
              </w:rPr>
            </w:pPr>
          </w:p>
        </w:tc>
      </w:tr>
      <w:tr w:rsidR="00683525" w:rsidRPr="004275A2" w14:paraId="7D5E5F60" w14:textId="77777777" w:rsidTr="008A0FEF">
        <w:tc>
          <w:tcPr>
            <w:tcW w:w="0" w:type="dxa"/>
            <w:vAlign w:val="center"/>
          </w:tcPr>
          <w:p w14:paraId="1A9CF005" w14:textId="5825E500" w:rsidR="00683525" w:rsidRPr="004275A2" w:rsidRDefault="00683525" w:rsidP="005038E5">
            <w:pPr>
              <w:jc w:val="center"/>
              <w:rPr>
                <w:rFonts w:ascii="Arial Narrow" w:hAnsi="Arial Narrow" w:cstheme="minorHAnsi"/>
                <w:sz w:val="20"/>
                <w:szCs w:val="20"/>
              </w:rPr>
            </w:pPr>
          </w:p>
        </w:tc>
        <w:tc>
          <w:tcPr>
            <w:tcW w:w="0" w:type="dxa"/>
          </w:tcPr>
          <w:p w14:paraId="11B0B401"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42F64914" w14:textId="77777777" w:rsidR="00683525" w:rsidRPr="004275A2" w:rsidRDefault="00683525" w:rsidP="005038E5">
            <w:pPr>
              <w:rPr>
                <w:rFonts w:ascii="Arial Narrow" w:hAnsi="Arial Narrow" w:cstheme="minorHAnsi"/>
                <w:sz w:val="20"/>
                <w:szCs w:val="20"/>
              </w:rPr>
            </w:pPr>
            <w:r w:rsidRPr="004275A2">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83525" w:rsidRPr="004275A2" w14:paraId="13EFF613" w14:textId="77777777" w:rsidTr="008A0FEF">
        <w:tc>
          <w:tcPr>
            <w:tcW w:w="0" w:type="dxa"/>
            <w:vAlign w:val="center"/>
          </w:tcPr>
          <w:p w14:paraId="0038674B" w14:textId="40CF20A5" w:rsidR="00683525" w:rsidRPr="004275A2" w:rsidRDefault="00683525" w:rsidP="005038E5">
            <w:pPr>
              <w:keepNext/>
              <w:jc w:val="center"/>
              <w:rPr>
                <w:rFonts w:ascii="Arial Narrow" w:hAnsi="Arial Narrow"/>
                <w:sz w:val="20"/>
                <w:szCs w:val="20"/>
              </w:rPr>
            </w:pPr>
          </w:p>
        </w:tc>
        <w:tc>
          <w:tcPr>
            <w:tcW w:w="0" w:type="dxa"/>
          </w:tcPr>
          <w:p w14:paraId="0EDF5D73"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2A10B6E8"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The authority application must be in writing and must include:</w:t>
            </w:r>
          </w:p>
          <w:p w14:paraId="5E45B7FB"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(1) a completed authority prescription; and</w:t>
            </w:r>
          </w:p>
          <w:p w14:paraId="33AFF219"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(2) a completed Cystic Fibrosis Authority Application Supporting Information Form; and</w:t>
            </w:r>
          </w:p>
          <w:p w14:paraId="7FE781B8" w14:textId="77777777" w:rsidR="00683525" w:rsidRPr="00724E93" w:rsidRDefault="00683525" w:rsidP="005038E5">
            <w:pPr>
              <w:rPr>
                <w:rFonts w:ascii="Arial Narrow" w:hAnsi="Arial Narrow" w:cstheme="minorBidi"/>
                <w:sz w:val="20"/>
                <w:szCs w:val="20"/>
              </w:rPr>
            </w:pPr>
            <w:r w:rsidRPr="00724E93">
              <w:rPr>
                <w:rFonts w:ascii="Arial Narrow" w:hAnsi="Arial Narrow" w:cstheme="minorBidi"/>
                <w:sz w:val="20"/>
                <w:szCs w:val="20"/>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6F686B79" w14:textId="77777777" w:rsidR="00683525" w:rsidRPr="004275A2" w:rsidRDefault="00683525" w:rsidP="005038E5">
            <w:pPr>
              <w:keepNext/>
              <w:rPr>
                <w:rFonts w:ascii="Arial Narrow" w:hAnsi="Arial Narrow"/>
                <w:sz w:val="20"/>
                <w:szCs w:val="20"/>
              </w:rPr>
            </w:pPr>
            <w:r w:rsidRPr="00724E93">
              <w:rPr>
                <w:rFonts w:ascii="Arial Narrow" w:hAnsi="Arial Narrow" w:cstheme="minorHAnsi"/>
                <w:sz w:val="20"/>
                <w:szCs w:val="20"/>
              </w:rPr>
              <w:t>(4) current CYP3A4 inhibitors, CYP3A4 inducers and IV antibiotics</w:t>
            </w:r>
          </w:p>
        </w:tc>
      </w:tr>
      <w:tr w:rsidR="00683525" w:rsidRPr="004275A2" w14:paraId="37B24D81" w14:textId="77777777" w:rsidTr="008A0FEF">
        <w:tc>
          <w:tcPr>
            <w:tcW w:w="9067" w:type="dxa"/>
            <w:gridSpan w:val="2"/>
            <w:vAlign w:val="center"/>
          </w:tcPr>
          <w:p w14:paraId="21B8556F" w14:textId="77777777" w:rsidR="00683525" w:rsidRPr="004275A2" w:rsidRDefault="00683525" w:rsidP="005038E5">
            <w:pPr>
              <w:keepNext/>
              <w:rPr>
                <w:rFonts w:ascii="Arial Narrow" w:hAnsi="Arial Narrow"/>
                <w:sz w:val="20"/>
                <w:szCs w:val="20"/>
              </w:rPr>
            </w:pPr>
          </w:p>
        </w:tc>
      </w:tr>
      <w:tr w:rsidR="00683525" w:rsidRPr="004275A2" w14:paraId="0C8141B5" w14:textId="77777777" w:rsidTr="008A0FEF">
        <w:tc>
          <w:tcPr>
            <w:tcW w:w="0" w:type="dxa"/>
            <w:gridSpan w:val="2"/>
            <w:vAlign w:val="center"/>
          </w:tcPr>
          <w:p w14:paraId="4E5420F5" w14:textId="77777777" w:rsidR="00683525" w:rsidRPr="004275A2" w:rsidDel="004275A2" w:rsidRDefault="00683525" w:rsidP="005038E5">
            <w:pPr>
              <w:keepNext/>
              <w:jc w:val="left"/>
              <w:rPr>
                <w:rFonts w:ascii="Arial Narrow" w:hAnsi="Arial Narrow"/>
                <w:sz w:val="20"/>
                <w:szCs w:val="20"/>
              </w:rPr>
            </w:pPr>
            <w:r>
              <w:rPr>
                <w:rFonts w:ascii="Arial Narrow" w:hAnsi="Arial Narrow" w:cstheme="minorHAnsi"/>
                <w:b/>
                <w:sz w:val="20"/>
                <w:szCs w:val="20"/>
              </w:rPr>
              <w:t xml:space="preserve">Edit </w:t>
            </w:r>
            <w:r w:rsidRPr="0094683A">
              <w:rPr>
                <w:rFonts w:ascii="Arial Narrow" w:hAnsi="Arial Narrow" w:cstheme="minorHAnsi"/>
                <w:b/>
                <w:sz w:val="20"/>
                <w:szCs w:val="20"/>
              </w:rPr>
              <w:t>Restriction Summary 12942 / ToC: 12962: Authority Required</w:t>
            </w:r>
          </w:p>
        </w:tc>
      </w:tr>
      <w:tr w:rsidR="00683525" w:rsidRPr="004275A2" w14:paraId="4AF66D71" w14:textId="77777777" w:rsidTr="008A0FEF">
        <w:tc>
          <w:tcPr>
            <w:tcW w:w="1512" w:type="dxa"/>
            <w:vAlign w:val="center"/>
          </w:tcPr>
          <w:p w14:paraId="55C2630B" w14:textId="77777777" w:rsidR="00683525" w:rsidRPr="004275A2" w:rsidRDefault="00683525" w:rsidP="005038E5">
            <w:pPr>
              <w:jc w:val="center"/>
              <w:rPr>
                <w:rFonts w:ascii="Arial Narrow" w:hAnsi="Arial Narrow"/>
                <w:sz w:val="20"/>
                <w:szCs w:val="20"/>
              </w:rPr>
            </w:pPr>
          </w:p>
        </w:tc>
        <w:tc>
          <w:tcPr>
            <w:tcW w:w="7555" w:type="dxa"/>
          </w:tcPr>
          <w:p w14:paraId="1D5E6FDF" w14:textId="77777777" w:rsidR="00683525" w:rsidRPr="004275A2" w:rsidRDefault="00683525" w:rsidP="005038E5">
            <w:pPr>
              <w:rPr>
                <w:rFonts w:ascii="Arial Narrow" w:hAnsi="Arial Narrow"/>
                <w:b/>
                <w:bCs/>
                <w:sz w:val="20"/>
                <w:szCs w:val="20"/>
              </w:rPr>
            </w:pPr>
          </w:p>
        </w:tc>
      </w:tr>
      <w:tr w:rsidR="00683525" w:rsidRPr="004275A2" w14:paraId="0995302C" w14:textId="77777777" w:rsidTr="008A0FEF">
        <w:tc>
          <w:tcPr>
            <w:tcW w:w="0" w:type="dxa"/>
            <w:vAlign w:val="center"/>
            <w:hideMark/>
          </w:tcPr>
          <w:p w14:paraId="6AD16110" w14:textId="77777777" w:rsidR="00683525" w:rsidRPr="004275A2" w:rsidRDefault="00683525" w:rsidP="005038E5">
            <w:pPr>
              <w:jc w:val="center"/>
              <w:rPr>
                <w:rFonts w:ascii="Arial Narrow" w:hAnsi="Arial Narrow"/>
                <w:sz w:val="20"/>
                <w:szCs w:val="20"/>
              </w:rPr>
            </w:pPr>
          </w:p>
        </w:tc>
        <w:tc>
          <w:tcPr>
            <w:tcW w:w="0" w:type="dxa"/>
            <w:hideMark/>
          </w:tcPr>
          <w:p w14:paraId="7D859AEB" w14:textId="77777777" w:rsidR="00683525" w:rsidRPr="004275A2" w:rsidRDefault="00683525" w:rsidP="005038E5">
            <w:pPr>
              <w:rPr>
                <w:rFonts w:ascii="Arial Narrow" w:hAnsi="Arial Narrow"/>
                <w:sz w:val="20"/>
                <w:szCs w:val="20"/>
              </w:rPr>
            </w:pPr>
            <w:r w:rsidRPr="004275A2">
              <w:rPr>
                <w:rFonts w:ascii="Arial Narrow" w:hAnsi="Arial Narrow"/>
                <w:b/>
                <w:bCs/>
                <w:sz w:val="20"/>
                <w:szCs w:val="20"/>
              </w:rPr>
              <w:t xml:space="preserve">Treatment Phase: </w:t>
            </w:r>
            <w:r w:rsidRPr="004275A2">
              <w:rPr>
                <w:rFonts w:ascii="Arial Narrow" w:hAnsi="Arial Narrow"/>
                <w:bCs/>
                <w:sz w:val="20"/>
                <w:szCs w:val="20"/>
              </w:rPr>
              <w:t xml:space="preserve">Continuing treatment </w:t>
            </w:r>
          </w:p>
        </w:tc>
      </w:tr>
      <w:tr w:rsidR="00683525" w:rsidRPr="004275A2" w14:paraId="473CDF35" w14:textId="77777777" w:rsidTr="008A0FEF">
        <w:tc>
          <w:tcPr>
            <w:tcW w:w="1512" w:type="dxa"/>
            <w:vAlign w:val="center"/>
          </w:tcPr>
          <w:p w14:paraId="3B65B2C5" w14:textId="77777777" w:rsidR="00683525" w:rsidRPr="004275A2" w:rsidRDefault="00683525" w:rsidP="005038E5">
            <w:pPr>
              <w:jc w:val="center"/>
              <w:rPr>
                <w:rFonts w:ascii="Arial Narrow" w:hAnsi="Arial Narrow"/>
                <w:sz w:val="20"/>
                <w:szCs w:val="20"/>
              </w:rPr>
            </w:pPr>
          </w:p>
        </w:tc>
        <w:tc>
          <w:tcPr>
            <w:tcW w:w="7555" w:type="dxa"/>
          </w:tcPr>
          <w:p w14:paraId="4787FE8A" w14:textId="77777777" w:rsidR="00683525" w:rsidRPr="004275A2" w:rsidRDefault="00683525" w:rsidP="005038E5">
            <w:pPr>
              <w:rPr>
                <w:rFonts w:ascii="Arial Narrow" w:hAnsi="Arial Narrow"/>
                <w:b/>
                <w:bCs/>
                <w:sz w:val="20"/>
                <w:szCs w:val="20"/>
              </w:rPr>
            </w:pPr>
          </w:p>
        </w:tc>
      </w:tr>
      <w:tr w:rsidR="00683525" w:rsidRPr="004275A2" w14:paraId="2212D81A" w14:textId="77777777" w:rsidTr="008A0FEF">
        <w:tc>
          <w:tcPr>
            <w:tcW w:w="0" w:type="dxa"/>
            <w:vAlign w:val="center"/>
          </w:tcPr>
          <w:p w14:paraId="054BBD63" w14:textId="65242624" w:rsidR="00683525" w:rsidRPr="004275A2" w:rsidRDefault="00683525" w:rsidP="005038E5">
            <w:pPr>
              <w:jc w:val="center"/>
              <w:rPr>
                <w:rFonts w:ascii="Arial Narrow" w:hAnsi="Arial Narrow"/>
                <w:sz w:val="20"/>
                <w:szCs w:val="20"/>
              </w:rPr>
            </w:pPr>
          </w:p>
        </w:tc>
        <w:tc>
          <w:tcPr>
            <w:tcW w:w="0" w:type="dxa"/>
            <w:hideMark/>
          </w:tcPr>
          <w:p w14:paraId="45AD3D3B" w14:textId="77777777" w:rsidR="00683525" w:rsidRPr="004275A2" w:rsidRDefault="00683525" w:rsidP="005038E5">
            <w:pPr>
              <w:rPr>
                <w:rFonts w:ascii="Arial Narrow" w:hAnsi="Arial Narrow"/>
                <w:b/>
                <w:bCs/>
                <w:sz w:val="20"/>
                <w:szCs w:val="20"/>
              </w:rPr>
            </w:pPr>
            <w:r w:rsidRPr="004275A2">
              <w:rPr>
                <w:rFonts w:ascii="Arial Narrow" w:hAnsi="Arial Narrow"/>
                <w:b/>
                <w:bCs/>
                <w:sz w:val="20"/>
                <w:szCs w:val="20"/>
              </w:rPr>
              <w:t>Treatment criteria:</w:t>
            </w:r>
          </w:p>
        </w:tc>
      </w:tr>
      <w:tr w:rsidR="00683525" w:rsidRPr="004275A2" w14:paraId="0B1F1917" w14:textId="77777777" w:rsidTr="008A0FEF">
        <w:tc>
          <w:tcPr>
            <w:tcW w:w="0" w:type="dxa"/>
            <w:vAlign w:val="center"/>
          </w:tcPr>
          <w:p w14:paraId="47F924DA" w14:textId="36D828DE" w:rsidR="00683525" w:rsidRPr="004275A2" w:rsidRDefault="00683525" w:rsidP="005038E5">
            <w:pPr>
              <w:jc w:val="center"/>
              <w:rPr>
                <w:rFonts w:ascii="Arial Narrow" w:hAnsi="Arial Narrow"/>
                <w:sz w:val="20"/>
                <w:szCs w:val="20"/>
              </w:rPr>
            </w:pPr>
          </w:p>
        </w:tc>
        <w:tc>
          <w:tcPr>
            <w:tcW w:w="0" w:type="dxa"/>
            <w:hideMark/>
          </w:tcPr>
          <w:p w14:paraId="3C079D02" w14:textId="77777777" w:rsidR="00683525" w:rsidRPr="00374D97" w:rsidRDefault="00683525" w:rsidP="005038E5">
            <w:pPr>
              <w:rPr>
                <w:rFonts w:ascii="Arial Narrow" w:hAnsi="Arial Narrow"/>
                <w:sz w:val="20"/>
                <w:szCs w:val="20"/>
              </w:rPr>
            </w:pPr>
            <w:r w:rsidRPr="004275A2">
              <w:rPr>
                <w:rFonts w:ascii="Arial Narrow" w:hAnsi="Arial Narrow"/>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83525" w:rsidRPr="004275A2" w14:paraId="0E07749B" w14:textId="77777777" w:rsidTr="008A0FEF">
        <w:tc>
          <w:tcPr>
            <w:tcW w:w="0" w:type="dxa"/>
            <w:vAlign w:val="center"/>
          </w:tcPr>
          <w:p w14:paraId="43124625" w14:textId="77777777" w:rsidR="00683525" w:rsidRPr="004275A2" w:rsidRDefault="00683525" w:rsidP="005038E5">
            <w:pPr>
              <w:jc w:val="center"/>
              <w:rPr>
                <w:rFonts w:ascii="Arial Narrow" w:hAnsi="Arial Narrow"/>
                <w:sz w:val="20"/>
                <w:szCs w:val="20"/>
              </w:rPr>
            </w:pPr>
          </w:p>
        </w:tc>
        <w:tc>
          <w:tcPr>
            <w:tcW w:w="0" w:type="dxa"/>
            <w:hideMark/>
          </w:tcPr>
          <w:p w14:paraId="2F19DB86" w14:textId="77777777" w:rsidR="00683525" w:rsidRPr="004275A2" w:rsidRDefault="00683525" w:rsidP="005038E5">
            <w:pPr>
              <w:rPr>
                <w:rFonts w:ascii="Arial Narrow" w:hAnsi="Arial Narrow"/>
                <w:b/>
                <w:bCs/>
                <w:sz w:val="20"/>
                <w:szCs w:val="20"/>
              </w:rPr>
            </w:pPr>
            <w:r w:rsidRPr="004275A2">
              <w:rPr>
                <w:rFonts w:ascii="Arial Narrow" w:hAnsi="Arial Narrow"/>
                <w:b/>
                <w:bCs/>
                <w:sz w:val="20"/>
                <w:szCs w:val="20"/>
              </w:rPr>
              <w:t>AND</w:t>
            </w:r>
          </w:p>
        </w:tc>
      </w:tr>
      <w:tr w:rsidR="00683525" w:rsidRPr="004275A2" w14:paraId="1E884F12" w14:textId="77777777" w:rsidTr="008A0FEF">
        <w:tc>
          <w:tcPr>
            <w:tcW w:w="0" w:type="dxa"/>
            <w:vAlign w:val="center"/>
          </w:tcPr>
          <w:p w14:paraId="4F111861" w14:textId="77777777" w:rsidR="00683525" w:rsidRPr="004275A2" w:rsidRDefault="00683525" w:rsidP="005038E5">
            <w:pPr>
              <w:jc w:val="center"/>
              <w:rPr>
                <w:rFonts w:ascii="Arial Narrow" w:hAnsi="Arial Narrow"/>
                <w:sz w:val="20"/>
                <w:szCs w:val="20"/>
              </w:rPr>
            </w:pPr>
          </w:p>
        </w:tc>
        <w:tc>
          <w:tcPr>
            <w:tcW w:w="0" w:type="dxa"/>
          </w:tcPr>
          <w:p w14:paraId="5DE1124F" w14:textId="77777777" w:rsidR="00683525" w:rsidRPr="004275A2" w:rsidRDefault="00683525" w:rsidP="005038E5">
            <w:pPr>
              <w:rPr>
                <w:rFonts w:ascii="Arial Narrow" w:hAnsi="Arial Narrow"/>
                <w:bCs/>
                <w:sz w:val="20"/>
                <w:szCs w:val="20"/>
              </w:rPr>
            </w:pPr>
            <w:r w:rsidRPr="004275A2">
              <w:rPr>
                <w:rFonts w:ascii="Arial Narrow" w:hAnsi="Arial Narrow"/>
                <w:b/>
                <w:bCs/>
                <w:sz w:val="20"/>
                <w:szCs w:val="20"/>
              </w:rPr>
              <w:t>Treatment criteria:</w:t>
            </w:r>
          </w:p>
        </w:tc>
      </w:tr>
      <w:tr w:rsidR="00683525" w:rsidRPr="004275A2" w14:paraId="1BFE07EE" w14:textId="77777777" w:rsidTr="008A0FEF">
        <w:tc>
          <w:tcPr>
            <w:tcW w:w="0" w:type="dxa"/>
            <w:vAlign w:val="center"/>
          </w:tcPr>
          <w:p w14:paraId="6E4E2E5E" w14:textId="1DA494CF" w:rsidR="00683525" w:rsidRPr="004275A2" w:rsidRDefault="00683525" w:rsidP="005038E5">
            <w:pPr>
              <w:jc w:val="center"/>
              <w:rPr>
                <w:rFonts w:ascii="Arial Narrow" w:hAnsi="Arial Narrow"/>
                <w:sz w:val="20"/>
                <w:szCs w:val="20"/>
              </w:rPr>
            </w:pPr>
          </w:p>
        </w:tc>
        <w:tc>
          <w:tcPr>
            <w:tcW w:w="0" w:type="dxa"/>
            <w:hideMark/>
          </w:tcPr>
          <w:p w14:paraId="4855BB44" w14:textId="77777777" w:rsidR="00683525" w:rsidRPr="00374D97" w:rsidRDefault="00683525" w:rsidP="005038E5">
            <w:pPr>
              <w:rPr>
                <w:rFonts w:ascii="Arial Narrow" w:hAnsi="Arial Narrow"/>
                <w:bCs/>
                <w:sz w:val="20"/>
                <w:szCs w:val="20"/>
              </w:rPr>
            </w:pPr>
            <w:r w:rsidRPr="004275A2">
              <w:rPr>
                <w:rFonts w:ascii="Arial Narrow" w:hAnsi="Arial Narrow"/>
                <w:bCs/>
                <w:sz w:val="20"/>
                <w:szCs w:val="20"/>
              </w:rPr>
              <w:t>Must be treated in a centre with expertise in cystic fibrosis or in consultation with a centre with expertise in cystic fibrosis if attendance is not possible due to geographic isolation</w:t>
            </w:r>
          </w:p>
        </w:tc>
      </w:tr>
      <w:tr w:rsidR="00683525" w:rsidRPr="004275A2" w14:paraId="77E4DA51" w14:textId="77777777" w:rsidTr="008A0FEF">
        <w:tc>
          <w:tcPr>
            <w:tcW w:w="0" w:type="dxa"/>
            <w:vAlign w:val="center"/>
          </w:tcPr>
          <w:p w14:paraId="7B830256" w14:textId="77777777" w:rsidR="00683525" w:rsidRPr="004275A2" w:rsidRDefault="00683525" w:rsidP="005038E5">
            <w:pPr>
              <w:jc w:val="center"/>
              <w:rPr>
                <w:rFonts w:ascii="Arial Narrow" w:hAnsi="Arial Narrow"/>
                <w:sz w:val="20"/>
                <w:szCs w:val="20"/>
              </w:rPr>
            </w:pPr>
          </w:p>
        </w:tc>
        <w:tc>
          <w:tcPr>
            <w:tcW w:w="0" w:type="dxa"/>
            <w:hideMark/>
          </w:tcPr>
          <w:p w14:paraId="6BFD8504" w14:textId="77777777" w:rsidR="00683525" w:rsidRPr="004275A2" w:rsidRDefault="00683525" w:rsidP="005038E5">
            <w:pPr>
              <w:rPr>
                <w:rFonts w:ascii="Arial Narrow" w:hAnsi="Arial Narrow"/>
                <w:b/>
                <w:sz w:val="20"/>
                <w:szCs w:val="20"/>
              </w:rPr>
            </w:pPr>
            <w:r w:rsidRPr="004275A2">
              <w:rPr>
                <w:rFonts w:ascii="Arial Narrow" w:hAnsi="Arial Narrow"/>
                <w:b/>
                <w:bCs/>
                <w:sz w:val="20"/>
                <w:szCs w:val="20"/>
              </w:rPr>
              <w:t>AND</w:t>
            </w:r>
          </w:p>
        </w:tc>
      </w:tr>
      <w:tr w:rsidR="00683525" w:rsidRPr="004275A2" w14:paraId="6CBE0E70" w14:textId="77777777" w:rsidTr="008A0FEF">
        <w:tc>
          <w:tcPr>
            <w:tcW w:w="0" w:type="dxa"/>
            <w:vAlign w:val="center"/>
          </w:tcPr>
          <w:p w14:paraId="21985CF9" w14:textId="4DED799A" w:rsidR="00683525" w:rsidRPr="004275A2" w:rsidRDefault="00683525" w:rsidP="005038E5">
            <w:pPr>
              <w:jc w:val="center"/>
              <w:rPr>
                <w:rFonts w:ascii="Arial Narrow" w:hAnsi="Arial Narrow"/>
                <w:sz w:val="20"/>
                <w:szCs w:val="20"/>
              </w:rPr>
            </w:pPr>
          </w:p>
        </w:tc>
        <w:tc>
          <w:tcPr>
            <w:tcW w:w="0" w:type="dxa"/>
            <w:hideMark/>
          </w:tcPr>
          <w:p w14:paraId="6D33868F" w14:textId="77777777" w:rsidR="00683525" w:rsidRPr="004275A2" w:rsidRDefault="00683525" w:rsidP="005038E5">
            <w:pPr>
              <w:rPr>
                <w:rFonts w:ascii="Arial Narrow" w:hAnsi="Arial Narrow"/>
                <w:sz w:val="20"/>
                <w:szCs w:val="20"/>
              </w:rPr>
            </w:pPr>
            <w:r w:rsidRPr="004275A2">
              <w:rPr>
                <w:rFonts w:ascii="Arial Narrow" w:hAnsi="Arial Narrow"/>
                <w:b/>
                <w:bCs/>
                <w:sz w:val="20"/>
                <w:szCs w:val="20"/>
              </w:rPr>
              <w:t>Clinical criteria:</w:t>
            </w:r>
          </w:p>
        </w:tc>
      </w:tr>
      <w:tr w:rsidR="00683525" w:rsidRPr="004275A2" w14:paraId="287CCB21" w14:textId="77777777" w:rsidTr="008A0FEF">
        <w:tc>
          <w:tcPr>
            <w:tcW w:w="0" w:type="dxa"/>
            <w:vAlign w:val="center"/>
          </w:tcPr>
          <w:p w14:paraId="523CCD81" w14:textId="2A5EEFD3" w:rsidR="00683525" w:rsidRPr="004275A2" w:rsidRDefault="00683525" w:rsidP="005038E5">
            <w:pPr>
              <w:jc w:val="center"/>
              <w:rPr>
                <w:rFonts w:ascii="Arial Narrow" w:hAnsi="Arial Narrow"/>
                <w:sz w:val="20"/>
                <w:szCs w:val="20"/>
              </w:rPr>
            </w:pPr>
          </w:p>
        </w:tc>
        <w:tc>
          <w:tcPr>
            <w:tcW w:w="0" w:type="dxa"/>
            <w:hideMark/>
          </w:tcPr>
          <w:p w14:paraId="01A4C095" w14:textId="77777777" w:rsidR="00683525" w:rsidRPr="004275A2" w:rsidRDefault="00683525" w:rsidP="005038E5">
            <w:pPr>
              <w:keepNext/>
              <w:rPr>
                <w:rFonts w:ascii="Arial Narrow" w:hAnsi="Arial Narrow"/>
                <w:sz w:val="20"/>
                <w:szCs w:val="20"/>
              </w:rPr>
            </w:pPr>
            <w:r w:rsidRPr="004275A2">
              <w:rPr>
                <w:rFonts w:ascii="Arial Narrow" w:hAnsi="Arial Narrow"/>
                <w:sz w:val="20"/>
                <w:szCs w:val="20"/>
              </w:rPr>
              <w:t xml:space="preserve">Patient must have previously received PBS-subsidised treatment with this drug for this condition </w:t>
            </w:r>
          </w:p>
        </w:tc>
      </w:tr>
      <w:tr w:rsidR="00683525" w:rsidRPr="004275A2" w14:paraId="020B2F46" w14:textId="77777777" w:rsidTr="008A0FEF">
        <w:tc>
          <w:tcPr>
            <w:tcW w:w="0" w:type="dxa"/>
            <w:vAlign w:val="center"/>
          </w:tcPr>
          <w:p w14:paraId="568970E7" w14:textId="77777777" w:rsidR="00683525" w:rsidRPr="004275A2" w:rsidRDefault="00683525" w:rsidP="005038E5">
            <w:pPr>
              <w:jc w:val="center"/>
              <w:rPr>
                <w:rFonts w:ascii="Arial Narrow" w:hAnsi="Arial Narrow"/>
                <w:sz w:val="20"/>
                <w:szCs w:val="20"/>
              </w:rPr>
            </w:pPr>
          </w:p>
        </w:tc>
        <w:tc>
          <w:tcPr>
            <w:tcW w:w="0" w:type="dxa"/>
            <w:hideMark/>
          </w:tcPr>
          <w:p w14:paraId="71BD30EF" w14:textId="77777777" w:rsidR="00683525" w:rsidRPr="004275A2" w:rsidRDefault="00683525" w:rsidP="005038E5">
            <w:pPr>
              <w:rPr>
                <w:rFonts w:ascii="Arial Narrow" w:hAnsi="Arial Narrow"/>
                <w:sz w:val="20"/>
                <w:szCs w:val="20"/>
              </w:rPr>
            </w:pPr>
            <w:r w:rsidRPr="004275A2">
              <w:rPr>
                <w:rFonts w:ascii="Arial Narrow" w:hAnsi="Arial Narrow"/>
                <w:b/>
                <w:bCs/>
                <w:sz w:val="20"/>
                <w:szCs w:val="20"/>
              </w:rPr>
              <w:t>AND</w:t>
            </w:r>
          </w:p>
        </w:tc>
      </w:tr>
      <w:tr w:rsidR="00683525" w:rsidRPr="004275A2" w14:paraId="66DEA375" w14:textId="77777777" w:rsidTr="008A0FEF">
        <w:tc>
          <w:tcPr>
            <w:tcW w:w="0" w:type="dxa"/>
            <w:vAlign w:val="center"/>
          </w:tcPr>
          <w:p w14:paraId="02213A05" w14:textId="17233431" w:rsidR="00683525" w:rsidRPr="004275A2" w:rsidRDefault="00683525" w:rsidP="005038E5">
            <w:pPr>
              <w:jc w:val="center"/>
              <w:rPr>
                <w:rFonts w:ascii="Arial Narrow" w:hAnsi="Arial Narrow"/>
                <w:sz w:val="20"/>
                <w:szCs w:val="20"/>
              </w:rPr>
            </w:pPr>
          </w:p>
        </w:tc>
        <w:tc>
          <w:tcPr>
            <w:tcW w:w="0" w:type="dxa"/>
          </w:tcPr>
          <w:p w14:paraId="4FBB7E07" w14:textId="77777777" w:rsidR="00683525" w:rsidRPr="004275A2" w:rsidRDefault="00683525" w:rsidP="005038E5">
            <w:pPr>
              <w:rPr>
                <w:rFonts w:ascii="Arial Narrow" w:hAnsi="Arial Narrow"/>
                <w:b/>
                <w:bCs/>
                <w:sz w:val="20"/>
                <w:szCs w:val="20"/>
              </w:rPr>
            </w:pPr>
            <w:r w:rsidRPr="004275A2">
              <w:rPr>
                <w:rFonts w:ascii="Arial Narrow" w:hAnsi="Arial Narrow"/>
                <w:b/>
                <w:bCs/>
                <w:sz w:val="20"/>
                <w:szCs w:val="20"/>
              </w:rPr>
              <w:t>Clinical criteria:</w:t>
            </w:r>
          </w:p>
        </w:tc>
      </w:tr>
      <w:tr w:rsidR="00683525" w:rsidRPr="004275A2" w14:paraId="769DE884" w14:textId="77777777" w:rsidTr="008A0FEF">
        <w:tc>
          <w:tcPr>
            <w:tcW w:w="0" w:type="dxa"/>
            <w:vAlign w:val="center"/>
          </w:tcPr>
          <w:p w14:paraId="0631BEA9" w14:textId="3C95FAAB" w:rsidR="00683525" w:rsidRPr="004275A2" w:rsidRDefault="00683525" w:rsidP="005038E5">
            <w:pPr>
              <w:jc w:val="center"/>
              <w:rPr>
                <w:rFonts w:ascii="Arial Narrow" w:hAnsi="Arial Narrow"/>
                <w:sz w:val="20"/>
                <w:szCs w:val="20"/>
              </w:rPr>
            </w:pPr>
          </w:p>
        </w:tc>
        <w:tc>
          <w:tcPr>
            <w:tcW w:w="0" w:type="dxa"/>
          </w:tcPr>
          <w:p w14:paraId="3D6C163D" w14:textId="77777777" w:rsidR="00683525" w:rsidRPr="004275A2" w:rsidRDefault="00683525" w:rsidP="005038E5">
            <w:pPr>
              <w:keepNext/>
              <w:rPr>
                <w:rFonts w:ascii="Arial Narrow" w:hAnsi="Arial Narrow"/>
                <w:sz w:val="20"/>
                <w:szCs w:val="20"/>
              </w:rPr>
            </w:pPr>
            <w:r w:rsidRPr="004275A2">
              <w:rPr>
                <w:rFonts w:ascii="Arial Narrow" w:hAnsi="Arial Narrow"/>
                <w:sz w:val="20"/>
                <w:szCs w:val="20"/>
              </w:rPr>
              <w:t>The treatment must be given concomitantly with standard therapy for this condition.</w:t>
            </w:r>
          </w:p>
        </w:tc>
      </w:tr>
      <w:tr w:rsidR="00683525" w:rsidRPr="004275A2" w14:paraId="6EA7729F" w14:textId="77777777" w:rsidTr="008A0FEF">
        <w:tc>
          <w:tcPr>
            <w:tcW w:w="0" w:type="dxa"/>
            <w:vAlign w:val="center"/>
          </w:tcPr>
          <w:p w14:paraId="22EDFF4C" w14:textId="77777777" w:rsidR="00683525" w:rsidRPr="004275A2" w:rsidRDefault="00683525" w:rsidP="005038E5">
            <w:pPr>
              <w:jc w:val="center"/>
              <w:rPr>
                <w:rFonts w:ascii="Arial Narrow" w:hAnsi="Arial Narrow"/>
                <w:sz w:val="20"/>
                <w:szCs w:val="20"/>
              </w:rPr>
            </w:pPr>
          </w:p>
        </w:tc>
        <w:tc>
          <w:tcPr>
            <w:tcW w:w="0" w:type="dxa"/>
          </w:tcPr>
          <w:p w14:paraId="1F67DD74" w14:textId="77777777" w:rsidR="00683525" w:rsidRPr="004275A2" w:rsidRDefault="00683525" w:rsidP="005038E5">
            <w:pPr>
              <w:rPr>
                <w:rFonts w:ascii="Arial Narrow" w:hAnsi="Arial Narrow"/>
                <w:b/>
                <w:bCs/>
                <w:sz w:val="20"/>
                <w:szCs w:val="20"/>
              </w:rPr>
            </w:pPr>
            <w:r w:rsidRPr="004275A2">
              <w:rPr>
                <w:rFonts w:ascii="Arial Narrow" w:hAnsi="Arial Narrow"/>
                <w:b/>
                <w:bCs/>
                <w:sz w:val="20"/>
                <w:szCs w:val="20"/>
              </w:rPr>
              <w:t>AND</w:t>
            </w:r>
          </w:p>
        </w:tc>
      </w:tr>
      <w:tr w:rsidR="00683525" w:rsidRPr="004275A2" w14:paraId="16320AB3" w14:textId="77777777" w:rsidTr="008A0FEF">
        <w:tc>
          <w:tcPr>
            <w:tcW w:w="0" w:type="dxa"/>
            <w:vAlign w:val="center"/>
          </w:tcPr>
          <w:p w14:paraId="28E5228B" w14:textId="77777777" w:rsidR="00683525" w:rsidRPr="004275A2" w:rsidRDefault="00683525" w:rsidP="005038E5">
            <w:pPr>
              <w:jc w:val="center"/>
              <w:rPr>
                <w:rFonts w:ascii="Arial Narrow" w:hAnsi="Arial Narrow"/>
                <w:sz w:val="20"/>
                <w:szCs w:val="20"/>
              </w:rPr>
            </w:pPr>
          </w:p>
        </w:tc>
        <w:tc>
          <w:tcPr>
            <w:tcW w:w="0" w:type="dxa"/>
          </w:tcPr>
          <w:p w14:paraId="796AEDCF" w14:textId="77777777" w:rsidR="00683525" w:rsidRPr="004275A2" w:rsidRDefault="00683525" w:rsidP="005038E5">
            <w:pPr>
              <w:rPr>
                <w:rFonts w:ascii="Arial Narrow" w:hAnsi="Arial Narrow"/>
                <w:bCs/>
                <w:sz w:val="20"/>
                <w:szCs w:val="20"/>
              </w:rPr>
            </w:pPr>
            <w:r w:rsidRPr="004275A2">
              <w:rPr>
                <w:rFonts w:ascii="Arial Narrow" w:hAnsi="Arial Narrow" w:cstheme="minorHAnsi"/>
                <w:b/>
                <w:bCs/>
                <w:sz w:val="20"/>
                <w:szCs w:val="20"/>
              </w:rPr>
              <w:t>Population criteria:</w:t>
            </w:r>
          </w:p>
        </w:tc>
      </w:tr>
      <w:tr w:rsidR="00683525" w:rsidRPr="004275A2" w14:paraId="6C66E648" w14:textId="77777777" w:rsidTr="008A0FEF">
        <w:tc>
          <w:tcPr>
            <w:tcW w:w="0" w:type="dxa"/>
            <w:vAlign w:val="center"/>
          </w:tcPr>
          <w:p w14:paraId="18D1291B" w14:textId="60BE34CE" w:rsidR="00683525" w:rsidRPr="004275A2" w:rsidRDefault="00683525" w:rsidP="005038E5">
            <w:pPr>
              <w:jc w:val="center"/>
              <w:rPr>
                <w:rFonts w:ascii="Arial Narrow" w:hAnsi="Arial Narrow"/>
                <w:sz w:val="20"/>
                <w:szCs w:val="20"/>
              </w:rPr>
            </w:pPr>
          </w:p>
        </w:tc>
        <w:tc>
          <w:tcPr>
            <w:tcW w:w="0" w:type="dxa"/>
          </w:tcPr>
          <w:p w14:paraId="2B22AD81" w14:textId="6E32A79D" w:rsidR="00683525" w:rsidRPr="004275A2" w:rsidRDefault="00683525" w:rsidP="005038E5">
            <w:pPr>
              <w:keepNext/>
              <w:rPr>
                <w:rFonts w:ascii="Arial Narrow" w:hAnsi="Arial Narrow"/>
                <w:bCs/>
                <w:sz w:val="20"/>
                <w:szCs w:val="20"/>
              </w:rPr>
            </w:pPr>
            <w:r w:rsidRPr="00683525">
              <w:rPr>
                <w:rFonts w:ascii="Arial Narrow" w:hAnsi="Arial Narrow" w:cstheme="minorHAnsi"/>
                <w:sz w:val="20"/>
                <w:szCs w:val="20"/>
              </w:rPr>
              <w:t xml:space="preserve">Patient must be </w:t>
            </w:r>
            <w:r w:rsidRPr="00683525">
              <w:rPr>
                <w:rFonts w:ascii="Arial Narrow" w:hAnsi="Arial Narrow" w:cstheme="minorHAnsi"/>
                <w:strike/>
                <w:sz w:val="20"/>
                <w:szCs w:val="20"/>
              </w:rPr>
              <w:t>12 years of age or older</w:t>
            </w:r>
            <w:r w:rsidRPr="00683525">
              <w:rPr>
                <w:rFonts w:ascii="Arial Narrow" w:hAnsi="Arial Narrow" w:cstheme="minorHAnsi"/>
                <w:sz w:val="20"/>
                <w:szCs w:val="20"/>
              </w:rPr>
              <w:t xml:space="preserve"> </w:t>
            </w:r>
            <w:r w:rsidRPr="00683525">
              <w:rPr>
                <w:rFonts w:ascii="Arial Narrow" w:hAnsi="Arial Narrow" w:cstheme="minorHAnsi"/>
                <w:i/>
                <w:iCs/>
                <w:sz w:val="20"/>
                <w:szCs w:val="20"/>
              </w:rPr>
              <w:t>at least 6 years of age</w:t>
            </w:r>
          </w:p>
        </w:tc>
      </w:tr>
      <w:tr w:rsidR="00683525" w:rsidRPr="004275A2" w14:paraId="7C9D47AE" w14:textId="77777777" w:rsidTr="008A0FEF">
        <w:tc>
          <w:tcPr>
            <w:tcW w:w="0" w:type="dxa"/>
            <w:vAlign w:val="center"/>
          </w:tcPr>
          <w:p w14:paraId="429D4FBE" w14:textId="77777777" w:rsidR="00683525" w:rsidRPr="004275A2" w:rsidRDefault="00683525" w:rsidP="005038E5">
            <w:pPr>
              <w:jc w:val="center"/>
              <w:rPr>
                <w:rFonts w:ascii="Arial Narrow" w:hAnsi="Arial Narrow"/>
                <w:sz w:val="20"/>
                <w:szCs w:val="20"/>
              </w:rPr>
            </w:pPr>
          </w:p>
        </w:tc>
        <w:tc>
          <w:tcPr>
            <w:tcW w:w="0" w:type="dxa"/>
          </w:tcPr>
          <w:p w14:paraId="280901F8" w14:textId="77777777" w:rsidR="00683525" w:rsidRPr="004275A2" w:rsidRDefault="00683525" w:rsidP="005038E5">
            <w:pPr>
              <w:rPr>
                <w:rFonts w:ascii="Arial Narrow" w:hAnsi="Arial Narrow"/>
                <w:b/>
                <w:bCs/>
                <w:sz w:val="20"/>
                <w:szCs w:val="20"/>
              </w:rPr>
            </w:pPr>
          </w:p>
        </w:tc>
      </w:tr>
      <w:tr w:rsidR="00683525" w:rsidRPr="004275A2" w14:paraId="60BB815B" w14:textId="77777777" w:rsidTr="008A0FEF">
        <w:tc>
          <w:tcPr>
            <w:tcW w:w="0" w:type="dxa"/>
            <w:vAlign w:val="center"/>
          </w:tcPr>
          <w:p w14:paraId="38D3CE14" w14:textId="7BFCB5FF" w:rsidR="00683525" w:rsidRPr="004275A2" w:rsidRDefault="00683525" w:rsidP="005038E5">
            <w:pPr>
              <w:jc w:val="center"/>
              <w:rPr>
                <w:rFonts w:ascii="Arial Narrow" w:hAnsi="Arial Narrow" w:cstheme="minorHAnsi"/>
                <w:sz w:val="20"/>
                <w:szCs w:val="20"/>
              </w:rPr>
            </w:pPr>
          </w:p>
        </w:tc>
        <w:tc>
          <w:tcPr>
            <w:tcW w:w="0" w:type="dxa"/>
          </w:tcPr>
          <w:p w14:paraId="3095B673"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7A8523CE" w14:textId="77777777" w:rsidR="00683525" w:rsidRPr="004275A2" w:rsidRDefault="00683525" w:rsidP="005038E5">
            <w:pPr>
              <w:rPr>
                <w:rFonts w:ascii="Arial Narrow" w:hAnsi="Arial Narrow" w:cstheme="minorHAnsi"/>
                <w:sz w:val="20"/>
                <w:szCs w:val="20"/>
              </w:rPr>
            </w:pPr>
            <w:r w:rsidRPr="00724E93">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83525" w:rsidRPr="004275A2" w14:paraId="70FE7D6F" w14:textId="77777777" w:rsidTr="008A0FEF">
        <w:tc>
          <w:tcPr>
            <w:tcW w:w="0" w:type="dxa"/>
            <w:vAlign w:val="center"/>
          </w:tcPr>
          <w:p w14:paraId="067172C7" w14:textId="28DEFECF" w:rsidR="00683525" w:rsidRPr="004275A2" w:rsidRDefault="00683525" w:rsidP="005038E5">
            <w:pPr>
              <w:jc w:val="center"/>
              <w:rPr>
                <w:rFonts w:ascii="Arial Narrow" w:hAnsi="Arial Narrow"/>
                <w:sz w:val="20"/>
                <w:szCs w:val="20"/>
              </w:rPr>
            </w:pPr>
          </w:p>
        </w:tc>
        <w:tc>
          <w:tcPr>
            <w:tcW w:w="0" w:type="dxa"/>
          </w:tcPr>
          <w:p w14:paraId="494CEBB9" w14:textId="77777777" w:rsidR="00683525" w:rsidRPr="004275A2" w:rsidRDefault="00683525" w:rsidP="005038E5">
            <w:pPr>
              <w:keepNext/>
              <w:rPr>
                <w:rFonts w:ascii="Arial Narrow" w:hAnsi="Arial Narrow"/>
                <w:sz w:val="20"/>
                <w:szCs w:val="20"/>
              </w:rPr>
            </w:pPr>
            <w:r w:rsidRPr="004275A2">
              <w:rPr>
                <w:rFonts w:ascii="Arial Narrow" w:hAnsi="Arial Narrow"/>
                <w:sz w:val="20"/>
                <w:szCs w:val="20"/>
              </w:rPr>
              <w:t>The authority application must be in writing and must include:</w:t>
            </w:r>
          </w:p>
          <w:p w14:paraId="26FBF139" w14:textId="77777777" w:rsidR="00683525" w:rsidRPr="004275A2" w:rsidRDefault="00683525" w:rsidP="005038E5">
            <w:pPr>
              <w:keepNext/>
              <w:rPr>
                <w:rFonts w:ascii="Arial Narrow" w:hAnsi="Arial Narrow"/>
                <w:sz w:val="20"/>
                <w:szCs w:val="20"/>
              </w:rPr>
            </w:pPr>
            <w:r w:rsidRPr="004275A2">
              <w:rPr>
                <w:rFonts w:ascii="Arial Narrow" w:hAnsi="Arial Narrow"/>
                <w:sz w:val="20"/>
                <w:szCs w:val="20"/>
              </w:rPr>
              <w:t>(1) a completed authority prescription form; and</w:t>
            </w:r>
          </w:p>
          <w:p w14:paraId="2A61E975" w14:textId="77777777" w:rsidR="00683525" w:rsidRPr="004275A2" w:rsidRDefault="00683525" w:rsidP="005038E5">
            <w:pPr>
              <w:keepNext/>
              <w:rPr>
                <w:rFonts w:ascii="Arial Narrow" w:hAnsi="Arial Narrow"/>
                <w:sz w:val="20"/>
                <w:szCs w:val="20"/>
              </w:rPr>
            </w:pPr>
            <w:r w:rsidRPr="004275A2">
              <w:rPr>
                <w:rFonts w:ascii="Arial Narrow" w:hAnsi="Arial Narrow"/>
                <w:sz w:val="20"/>
                <w:szCs w:val="20"/>
              </w:rPr>
              <w:t>(2) a completed Cystic Fibrosis elexacaftor, tezacaftor with ivacaftor Authority Application Supporting Information Form; and</w:t>
            </w:r>
          </w:p>
          <w:p w14:paraId="59CEE39A" w14:textId="79DFE909" w:rsidR="00683525" w:rsidRPr="004275A2" w:rsidRDefault="00683525" w:rsidP="005038E5">
            <w:pPr>
              <w:keepNext/>
              <w:rPr>
                <w:rFonts w:ascii="Arial Narrow" w:hAnsi="Arial Narrow"/>
                <w:sz w:val="20"/>
                <w:szCs w:val="20"/>
              </w:rPr>
            </w:pPr>
            <w:r w:rsidRPr="004275A2">
              <w:rPr>
                <w:rFonts w:ascii="Arial Narrow" w:hAnsi="Arial Narrow"/>
                <w:sz w:val="20"/>
                <w:szCs w:val="20"/>
              </w:rPr>
              <w:t>(3) current CYP3A4 inhibitors, CYP3A4 inducers and IV antibiotics.</w:t>
            </w:r>
          </w:p>
        </w:tc>
      </w:tr>
    </w:tbl>
    <w:p w14:paraId="6E1EFA24" w14:textId="77777777" w:rsidR="00683525" w:rsidRDefault="00683525" w:rsidP="003A21B2">
      <w:pPr>
        <w:pStyle w:val="3-BodyText"/>
        <w:numPr>
          <w:ilvl w:val="0"/>
          <w:numId w:val="0"/>
        </w:numPr>
        <w:spacing w:after="0"/>
        <w:ind w:left="720"/>
      </w:pPr>
    </w:p>
    <w:p w14:paraId="04A32E30" w14:textId="1DFC012C" w:rsidR="00683525" w:rsidRPr="003A21B2" w:rsidRDefault="00683525" w:rsidP="003A21B2">
      <w:pPr>
        <w:pStyle w:val="3-BodyText"/>
        <w:rPr>
          <w:rFonts w:ascii="Arial Narrow" w:hAnsi="Arial Narrow"/>
          <w:sz w:val="20"/>
          <w:szCs w:val="20"/>
        </w:rPr>
      </w:pPr>
      <w:r w:rsidRPr="00374D97">
        <w:rPr>
          <w:rFonts w:cstheme="minorHAnsi"/>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418"/>
        <w:gridCol w:w="992"/>
        <w:gridCol w:w="992"/>
        <w:gridCol w:w="709"/>
        <w:gridCol w:w="1417"/>
      </w:tblGrid>
      <w:tr w:rsidR="00683525" w:rsidRPr="007745AC" w14:paraId="0D2A134C" w14:textId="77777777" w:rsidTr="005038E5">
        <w:trPr>
          <w:cantSplit/>
          <w:trHeight w:val="471"/>
        </w:trPr>
        <w:tc>
          <w:tcPr>
            <w:tcW w:w="3539" w:type="dxa"/>
          </w:tcPr>
          <w:p w14:paraId="032F87F6" w14:textId="77777777" w:rsidR="00683525" w:rsidRPr="007745AC" w:rsidRDefault="00683525" w:rsidP="005038E5">
            <w:pPr>
              <w:rPr>
                <w:rFonts w:ascii="Arial Narrow" w:hAnsi="Arial Narrow"/>
                <w:b/>
                <w:bCs/>
                <w:sz w:val="20"/>
                <w:szCs w:val="20"/>
              </w:rPr>
            </w:pPr>
            <w:r w:rsidRPr="007745AC">
              <w:rPr>
                <w:rFonts w:ascii="Arial Narrow" w:hAnsi="Arial Narrow"/>
                <w:b/>
                <w:bCs/>
                <w:sz w:val="20"/>
                <w:szCs w:val="20"/>
              </w:rPr>
              <w:t>MEDICINAL PRODUCT</w:t>
            </w:r>
          </w:p>
          <w:p w14:paraId="517F9566" w14:textId="77777777" w:rsidR="00683525" w:rsidRPr="007745AC" w:rsidRDefault="00683525" w:rsidP="005038E5">
            <w:pPr>
              <w:rPr>
                <w:rFonts w:ascii="Arial Narrow" w:hAnsi="Arial Narrow"/>
                <w:b/>
                <w:sz w:val="20"/>
                <w:szCs w:val="20"/>
              </w:rPr>
            </w:pPr>
            <w:r w:rsidRPr="007745AC">
              <w:rPr>
                <w:rFonts w:ascii="Arial Narrow" w:hAnsi="Arial Narrow"/>
                <w:b/>
                <w:bCs/>
                <w:sz w:val="20"/>
                <w:szCs w:val="20"/>
              </w:rPr>
              <w:t>medicinal product pack</w:t>
            </w:r>
          </w:p>
        </w:tc>
        <w:tc>
          <w:tcPr>
            <w:tcW w:w="1418" w:type="dxa"/>
          </w:tcPr>
          <w:p w14:paraId="26934A44"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PBS item code</w:t>
            </w:r>
          </w:p>
        </w:tc>
        <w:tc>
          <w:tcPr>
            <w:tcW w:w="992" w:type="dxa"/>
          </w:tcPr>
          <w:p w14:paraId="7B94E5DF"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Max. qty packs</w:t>
            </w:r>
          </w:p>
        </w:tc>
        <w:tc>
          <w:tcPr>
            <w:tcW w:w="992" w:type="dxa"/>
          </w:tcPr>
          <w:p w14:paraId="1A438DAE"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Max. qty units</w:t>
            </w:r>
          </w:p>
        </w:tc>
        <w:tc>
          <w:tcPr>
            <w:tcW w:w="709" w:type="dxa"/>
          </w:tcPr>
          <w:p w14:paraId="2C9F14D1"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№.of</w:t>
            </w:r>
          </w:p>
          <w:p w14:paraId="6DEE7023"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Rpts</w:t>
            </w:r>
          </w:p>
        </w:tc>
        <w:tc>
          <w:tcPr>
            <w:tcW w:w="1417" w:type="dxa"/>
          </w:tcPr>
          <w:p w14:paraId="6F50E33A" w14:textId="77777777" w:rsidR="00683525" w:rsidRPr="007745AC" w:rsidRDefault="00683525" w:rsidP="005038E5">
            <w:pPr>
              <w:rPr>
                <w:rFonts w:ascii="Arial Narrow" w:hAnsi="Arial Narrow"/>
                <w:b/>
                <w:sz w:val="20"/>
                <w:szCs w:val="20"/>
                <w:lang w:val="fr-FR"/>
              </w:rPr>
            </w:pPr>
            <w:r w:rsidRPr="007745AC">
              <w:rPr>
                <w:rFonts w:ascii="Arial Narrow" w:hAnsi="Arial Narrow"/>
                <w:b/>
                <w:sz w:val="20"/>
                <w:szCs w:val="20"/>
              </w:rPr>
              <w:t>Available brands</w:t>
            </w:r>
          </w:p>
        </w:tc>
      </w:tr>
      <w:tr w:rsidR="00683525" w:rsidRPr="007745AC" w14:paraId="18E2E853" w14:textId="77777777" w:rsidTr="005038E5">
        <w:trPr>
          <w:cantSplit/>
          <w:trHeight w:val="224"/>
        </w:trPr>
        <w:tc>
          <w:tcPr>
            <w:tcW w:w="9067" w:type="dxa"/>
            <w:gridSpan w:val="6"/>
          </w:tcPr>
          <w:p w14:paraId="2232FB64" w14:textId="77777777" w:rsidR="00683525" w:rsidRPr="007745AC" w:rsidRDefault="00683525" w:rsidP="005038E5">
            <w:pPr>
              <w:rPr>
                <w:rFonts w:ascii="Arial Narrow" w:hAnsi="Arial Narrow"/>
                <w:sz w:val="20"/>
                <w:szCs w:val="20"/>
              </w:rPr>
            </w:pPr>
            <w:r w:rsidRPr="00724E93">
              <w:rPr>
                <w:rFonts w:ascii="Arial Narrow" w:hAnsi="Arial Narrow" w:cstheme="minorHAnsi"/>
                <w:bCs/>
                <w:sz w:val="20"/>
                <w:szCs w:val="20"/>
              </w:rPr>
              <w:t>ELEXACAFTOR+TEZACAFTOR+IVACAFTOR (&amp;) IVACAFTOR</w:t>
            </w:r>
          </w:p>
        </w:tc>
      </w:tr>
      <w:tr w:rsidR="00683525" w:rsidRPr="007745AC" w14:paraId="483208E0" w14:textId="77777777" w:rsidTr="005038E5">
        <w:trPr>
          <w:cantSplit/>
          <w:trHeight w:val="553"/>
        </w:trPr>
        <w:tc>
          <w:tcPr>
            <w:tcW w:w="3539" w:type="dxa"/>
          </w:tcPr>
          <w:p w14:paraId="53F76615" w14:textId="74ABEBF8" w:rsidR="00683525" w:rsidRPr="007745AC" w:rsidRDefault="00683525" w:rsidP="005038E5">
            <w:pPr>
              <w:rPr>
                <w:rFonts w:ascii="Arial Narrow" w:hAnsi="Arial Narrow"/>
                <w:sz w:val="20"/>
                <w:szCs w:val="20"/>
              </w:rPr>
            </w:pPr>
            <w:r w:rsidRPr="007745AC">
              <w:rPr>
                <w:rFonts w:ascii="Arial Narrow" w:hAnsi="Arial Narrow"/>
                <w:sz w:val="20"/>
                <w:szCs w:val="20"/>
              </w:rPr>
              <w:t>Elexacaftor 50</w:t>
            </w:r>
            <w:r w:rsidR="003A21B2">
              <w:rPr>
                <w:rFonts w:ascii="Arial Narrow" w:hAnsi="Arial Narrow"/>
                <w:sz w:val="20"/>
                <w:szCs w:val="20"/>
              </w:rPr>
              <w:t> </w:t>
            </w:r>
            <w:r w:rsidRPr="007745AC">
              <w:rPr>
                <w:rFonts w:ascii="Arial Narrow" w:hAnsi="Arial Narrow"/>
                <w:sz w:val="20"/>
                <w:szCs w:val="20"/>
              </w:rPr>
              <w:t>mg + tezacaftor 25</w:t>
            </w:r>
            <w:r w:rsidR="003A21B2">
              <w:rPr>
                <w:rFonts w:ascii="Arial Narrow" w:hAnsi="Arial Narrow"/>
                <w:sz w:val="20"/>
                <w:szCs w:val="20"/>
              </w:rPr>
              <w:t> </w:t>
            </w:r>
            <w:r w:rsidRPr="007745AC">
              <w:rPr>
                <w:rFonts w:ascii="Arial Narrow" w:hAnsi="Arial Narrow"/>
                <w:sz w:val="20"/>
                <w:szCs w:val="20"/>
              </w:rPr>
              <w:t>mg + ivacaftor 37.5</w:t>
            </w:r>
            <w:r w:rsidR="003A21B2">
              <w:rPr>
                <w:rFonts w:ascii="Arial Narrow" w:hAnsi="Arial Narrow"/>
                <w:sz w:val="20"/>
                <w:szCs w:val="20"/>
              </w:rPr>
              <w:t> </w:t>
            </w:r>
            <w:r w:rsidRPr="007745AC">
              <w:rPr>
                <w:rFonts w:ascii="Arial Narrow" w:hAnsi="Arial Narrow"/>
                <w:sz w:val="20"/>
                <w:szCs w:val="20"/>
              </w:rPr>
              <w:t>mg [56] (&amp;) ivacaftor 75</w:t>
            </w:r>
            <w:r w:rsidR="003A21B2">
              <w:rPr>
                <w:rFonts w:ascii="Arial Narrow" w:hAnsi="Arial Narrow"/>
                <w:sz w:val="20"/>
                <w:szCs w:val="20"/>
              </w:rPr>
              <w:t> </w:t>
            </w:r>
            <w:r w:rsidRPr="007745AC">
              <w:rPr>
                <w:rFonts w:ascii="Arial Narrow" w:hAnsi="Arial Narrow"/>
                <w:sz w:val="20"/>
                <w:szCs w:val="20"/>
              </w:rPr>
              <w:t>mg [28], 84</w:t>
            </w:r>
          </w:p>
        </w:tc>
        <w:tc>
          <w:tcPr>
            <w:tcW w:w="1418" w:type="dxa"/>
            <w:vAlign w:val="center"/>
          </w:tcPr>
          <w:p w14:paraId="55141ABB"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 xml:space="preserve">NEW </w:t>
            </w:r>
            <w:r>
              <w:rPr>
                <w:rFonts w:ascii="Arial Narrow" w:hAnsi="Arial Narrow"/>
                <w:sz w:val="20"/>
                <w:szCs w:val="20"/>
              </w:rPr>
              <w:t>(</w:t>
            </w:r>
            <w:r w:rsidRPr="007745AC">
              <w:rPr>
                <w:rFonts w:ascii="Arial Narrow" w:hAnsi="Arial Narrow"/>
                <w:sz w:val="20"/>
                <w:szCs w:val="20"/>
              </w:rPr>
              <w:t>public</w:t>
            </w:r>
            <w:r>
              <w:rPr>
                <w:rFonts w:ascii="Arial Narrow" w:hAnsi="Arial Narrow"/>
                <w:sz w:val="20"/>
                <w:szCs w:val="20"/>
              </w:rPr>
              <w:t>)</w:t>
            </w:r>
          </w:p>
          <w:p w14:paraId="7F524F5F"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NEW private</w:t>
            </w:r>
            <w:r>
              <w:rPr>
                <w:rFonts w:ascii="Arial Narrow" w:hAnsi="Arial Narrow"/>
                <w:sz w:val="20"/>
                <w:szCs w:val="20"/>
              </w:rPr>
              <w:t>)</w:t>
            </w:r>
          </w:p>
        </w:tc>
        <w:tc>
          <w:tcPr>
            <w:tcW w:w="992" w:type="dxa"/>
            <w:vAlign w:val="center"/>
          </w:tcPr>
          <w:p w14:paraId="13BBEEBE"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p w14:paraId="2BC2B2FC"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tc>
        <w:tc>
          <w:tcPr>
            <w:tcW w:w="992" w:type="dxa"/>
            <w:vAlign w:val="center"/>
          </w:tcPr>
          <w:p w14:paraId="67593DB8"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p w14:paraId="65A1A351"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1</w:t>
            </w:r>
          </w:p>
        </w:tc>
        <w:tc>
          <w:tcPr>
            <w:tcW w:w="709" w:type="dxa"/>
            <w:vAlign w:val="center"/>
          </w:tcPr>
          <w:p w14:paraId="050354B6"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5</w:t>
            </w:r>
          </w:p>
          <w:p w14:paraId="6BD58E60" w14:textId="77777777" w:rsidR="00683525" w:rsidRPr="007745AC" w:rsidRDefault="00683525" w:rsidP="005038E5">
            <w:pPr>
              <w:jc w:val="center"/>
              <w:rPr>
                <w:rFonts w:ascii="Arial Narrow" w:hAnsi="Arial Narrow"/>
                <w:sz w:val="20"/>
                <w:szCs w:val="20"/>
              </w:rPr>
            </w:pPr>
            <w:r w:rsidRPr="007745AC">
              <w:rPr>
                <w:rFonts w:ascii="Arial Narrow" w:hAnsi="Arial Narrow"/>
                <w:sz w:val="20"/>
                <w:szCs w:val="20"/>
              </w:rPr>
              <w:t>5</w:t>
            </w:r>
          </w:p>
        </w:tc>
        <w:tc>
          <w:tcPr>
            <w:tcW w:w="1417" w:type="dxa"/>
            <w:vAlign w:val="center"/>
          </w:tcPr>
          <w:p w14:paraId="7AC3E4EB" w14:textId="77777777" w:rsidR="00683525" w:rsidRPr="007745AC" w:rsidRDefault="00683525" w:rsidP="005038E5">
            <w:pPr>
              <w:jc w:val="center"/>
              <w:rPr>
                <w:rFonts w:ascii="Arial Narrow" w:hAnsi="Arial Narrow"/>
                <w:sz w:val="20"/>
                <w:szCs w:val="20"/>
              </w:rPr>
            </w:pPr>
            <w:r w:rsidRPr="00724E93">
              <w:rPr>
                <w:rFonts w:ascii="Arial Narrow" w:hAnsi="Arial Narrow" w:cstheme="minorHAnsi"/>
                <w:sz w:val="20"/>
                <w:szCs w:val="20"/>
              </w:rPr>
              <w:t>Trikafta</w:t>
            </w:r>
          </w:p>
        </w:tc>
      </w:tr>
      <w:tr w:rsidR="00683525" w:rsidRPr="007745AC" w14:paraId="77742618"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428B5CCE" w14:textId="77777777" w:rsidR="00683525" w:rsidRPr="007745AC" w:rsidRDefault="00683525" w:rsidP="005038E5">
            <w:pPr>
              <w:rPr>
                <w:rFonts w:ascii="Arial Narrow" w:hAnsi="Arial Narrow"/>
                <w:sz w:val="20"/>
                <w:szCs w:val="20"/>
              </w:rPr>
            </w:pPr>
          </w:p>
        </w:tc>
      </w:tr>
      <w:tr w:rsidR="00683525" w:rsidRPr="007745AC" w14:paraId="4C65EDB4"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3DE67010"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Restriction Summary [new] / Treatment of Concept: [new]</w:t>
            </w:r>
          </w:p>
        </w:tc>
      </w:tr>
      <w:tr w:rsidR="00683525" w:rsidRPr="007745AC" w14:paraId="713E40D6"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D5CEEB3" w14:textId="77777777" w:rsidR="00683525" w:rsidRPr="007745AC" w:rsidRDefault="00683525" w:rsidP="005038E5">
            <w:pPr>
              <w:rPr>
                <w:rFonts w:ascii="Arial Narrow" w:hAnsi="Arial Narrow"/>
                <w:sz w:val="20"/>
                <w:szCs w:val="20"/>
              </w:rPr>
            </w:pPr>
            <w:r w:rsidRPr="007745AC">
              <w:rPr>
                <w:rFonts w:ascii="Arial Narrow" w:hAnsi="Arial Narrow"/>
                <w:b/>
                <w:sz w:val="20"/>
                <w:szCs w:val="20"/>
              </w:rPr>
              <w:t xml:space="preserve">Category / Program: </w:t>
            </w:r>
            <w:r w:rsidRPr="007745AC">
              <w:rPr>
                <w:rFonts w:ascii="Arial Narrow" w:hAnsi="Arial Narrow"/>
                <w:sz w:val="20"/>
                <w:szCs w:val="20"/>
              </w:rPr>
              <w:t>Section 100 – Highly Specialised Drugs Program</w:t>
            </w:r>
          </w:p>
        </w:tc>
      </w:tr>
      <w:tr w:rsidR="00683525" w:rsidRPr="007745AC" w14:paraId="47062764" w14:textId="77777777" w:rsidTr="005038E5">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7C4A3CA9"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 xml:space="preserve">Prescriber type:  </w:t>
            </w:r>
            <w:r w:rsidRPr="007745AC">
              <w:rPr>
                <w:rFonts w:ascii="Arial Narrow" w:hAnsi="Arial Narrow"/>
                <w:sz w:val="20"/>
                <w:szCs w:val="20"/>
              </w:rPr>
              <w:fldChar w:fldCharType="begin" w:fldLock="1">
                <w:ffData>
                  <w:name w:val=""/>
                  <w:enabled/>
                  <w:calcOnExit w:val="0"/>
                  <w:checkBox>
                    <w:sizeAuto/>
                    <w:default w:val="1"/>
                  </w:checkBox>
                </w:ffData>
              </w:fldChar>
            </w:r>
            <w:r w:rsidRPr="007745AC">
              <w:rPr>
                <w:rFonts w:ascii="Arial Narrow" w:hAnsi="Arial Narrow"/>
                <w:sz w:val="20"/>
                <w:szCs w:val="20"/>
              </w:rPr>
              <w:instrText xml:space="preserve"> FORMCHECKBOX </w:instrText>
            </w:r>
            <w:r w:rsidR="008E430C">
              <w:rPr>
                <w:rFonts w:ascii="Arial Narrow" w:hAnsi="Arial Narrow"/>
                <w:sz w:val="20"/>
                <w:szCs w:val="20"/>
              </w:rPr>
            </w:r>
            <w:r w:rsidR="008E430C">
              <w:rPr>
                <w:rFonts w:ascii="Arial Narrow" w:hAnsi="Arial Narrow"/>
                <w:sz w:val="20"/>
                <w:szCs w:val="20"/>
              </w:rPr>
              <w:fldChar w:fldCharType="separate"/>
            </w:r>
            <w:r w:rsidRPr="007745AC">
              <w:rPr>
                <w:rFonts w:ascii="Arial Narrow" w:hAnsi="Arial Narrow"/>
                <w:sz w:val="20"/>
                <w:szCs w:val="20"/>
              </w:rPr>
              <w:fldChar w:fldCharType="end"/>
            </w:r>
            <w:r w:rsidRPr="007745AC">
              <w:rPr>
                <w:rFonts w:ascii="Arial Narrow" w:hAnsi="Arial Narrow"/>
                <w:sz w:val="20"/>
                <w:szCs w:val="20"/>
              </w:rPr>
              <w:t>Medical Practitioners</w:t>
            </w:r>
          </w:p>
        </w:tc>
      </w:tr>
      <w:tr w:rsidR="00683525" w:rsidRPr="007745AC" w14:paraId="7BBC3580" w14:textId="77777777" w:rsidTr="005038E5">
        <w:tblPrEx>
          <w:tblCellMar>
            <w:top w:w="15" w:type="dxa"/>
            <w:left w:w="15" w:type="dxa"/>
            <w:bottom w:w="15" w:type="dxa"/>
            <w:right w:w="15" w:type="dxa"/>
          </w:tblCellMar>
          <w:tblLook w:val="04A0" w:firstRow="1" w:lastRow="0" w:firstColumn="1" w:lastColumn="0" w:noHBand="0" w:noVBand="1"/>
        </w:tblPrEx>
        <w:trPr>
          <w:trHeight w:val="282"/>
        </w:trPr>
        <w:tc>
          <w:tcPr>
            <w:tcW w:w="9067" w:type="dxa"/>
            <w:gridSpan w:val="6"/>
            <w:tcBorders>
              <w:top w:val="single" w:sz="4" w:space="0" w:color="auto"/>
              <w:left w:val="single" w:sz="4" w:space="0" w:color="auto"/>
              <w:bottom w:val="single" w:sz="4" w:space="0" w:color="auto"/>
              <w:right w:val="single" w:sz="4" w:space="0" w:color="auto"/>
            </w:tcBorders>
          </w:tcPr>
          <w:p w14:paraId="5221F4E1" w14:textId="77777777" w:rsidR="00683525" w:rsidRPr="007745AC" w:rsidRDefault="00683525" w:rsidP="005038E5">
            <w:pPr>
              <w:rPr>
                <w:rFonts w:ascii="Arial Narrow" w:hAnsi="Arial Narrow"/>
                <w:b/>
                <w:sz w:val="20"/>
                <w:szCs w:val="20"/>
              </w:rPr>
            </w:pPr>
            <w:r w:rsidRPr="007745AC">
              <w:rPr>
                <w:rFonts w:ascii="Arial Narrow" w:hAnsi="Arial Narrow"/>
                <w:b/>
                <w:sz w:val="20"/>
                <w:szCs w:val="20"/>
              </w:rPr>
              <w:t xml:space="preserve">Restriction type: </w:t>
            </w:r>
            <w:r w:rsidRPr="007745AC">
              <w:rPr>
                <w:rFonts w:ascii="Arial Narrow" w:hAnsi="Arial Narrow"/>
                <w:sz w:val="20"/>
                <w:szCs w:val="20"/>
              </w:rPr>
              <w:fldChar w:fldCharType="begin" w:fldLock="1">
                <w:ffData>
                  <w:name w:val=""/>
                  <w:enabled/>
                  <w:calcOnExit w:val="0"/>
                  <w:checkBox>
                    <w:sizeAuto/>
                    <w:default w:val="1"/>
                  </w:checkBox>
                </w:ffData>
              </w:fldChar>
            </w:r>
            <w:r w:rsidRPr="007745AC">
              <w:rPr>
                <w:rFonts w:ascii="Arial Narrow" w:hAnsi="Arial Narrow"/>
                <w:sz w:val="20"/>
                <w:szCs w:val="20"/>
              </w:rPr>
              <w:instrText xml:space="preserve"> FORMCHECKBOX </w:instrText>
            </w:r>
            <w:r w:rsidR="008E430C">
              <w:rPr>
                <w:rFonts w:ascii="Arial Narrow" w:hAnsi="Arial Narrow"/>
                <w:sz w:val="20"/>
                <w:szCs w:val="20"/>
              </w:rPr>
            </w:r>
            <w:r w:rsidR="008E430C">
              <w:rPr>
                <w:rFonts w:ascii="Arial Narrow" w:hAnsi="Arial Narrow"/>
                <w:sz w:val="20"/>
                <w:szCs w:val="20"/>
              </w:rPr>
              <w:fldChar w:fldCharType="separate"/>
            </w:r>
            <w:r w:rsidRPr="007745AC">
              <w:rPr>
                <w:rFonts w:ascii="Arial Narrow" w:hAnsi="Arial Narrow"/>
                <w:sz w:val="20"/>
                <w:szCs w:val="20"/>
              </w:rPr>
              <w:fldChar w:fldCharType="end"/>
            </w:r>
            <w:r w:rsidRPr="007745AC">
              <w:rPr>
                <w:rFonts w:ascii="Arial Narrow" w:hAnsi="Arial Narrow"/>
                <w:sz w:val="20"/>
                <w:szCs w:val="20"/>
              </w:rPr>
              <w:t xml:space="preserve"> Authority Required (in writing only via post/HPOS upload) </w:t>
            </w:r>
          </w:p>
        </w:tc>
      </w:tr>
      <w:tr w:rsidR="00683525" w:rsidRPr="007745AC" w14:paraId="5F4E7842" w14:textId="77777777" w:rsidTr="005038E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E5D6090" w14:textId="77777777" w:rsidR="00683525" w:rsidRPr="007745AC" w:rsidRDefault="00683525" w:rsidP="005038E5">
            <w:pPr>
              <w:rPr>
                <w:rFonts w:ascii="Arial Narrow" w:hAnsi="Arial Narrow"/>
                <w:b/>
                <w:sz w:val="20"/>
                <w:szCs w:val="20"/>
              </w:rPr>
            </w:pPr>
          </w:p>
        </w:tc>
      </w:tr>
    </w:tbl>
    <w:tbl>
      <w:tblPr>
        <w:tblStyle w:val="HTATableshaded2"/>
        <w:tblW w:w="9067" w:type="dxa"/>
        <w:tblLayout w:type="fixed"/>
        <w:tblLook w:val="0020" w:firstRow="1" w:lastRow="0" w:firstColumn="0" w:lastColumn="0" w:noHBand="0" w:noVBand="0"/>
      </w:tblPr>
      <w:tblGrid>
        <w:gridCol w:w="1512"/>
        <w:gridCol w:w="7555"/>
      </w:tblGrid>
      <w:tr w:rsidR="00683525" w:rsidRPr="00724E93" w14:paraId="22B30AEC" w14:textId="77777777" w:rsidTr="008A0FEF">
        <w:trPr>
          <w:cnfStyle w:val="100000000000" w:firstRow="1" w:lastRow="0" w:firstColumn="0" w:lastColumn="0" w:oddVBand="0" w:evenVBand="0" w:oddHBand="0" w:evenHBand="0" w:firstRowFirstColumn="0" w:firstRowLastColumn="0" w:lastRowFirstColumn="0" w:lastRowLastColumn="0"/>
        </w:trPr>
        <w:tc>
          <w:tcPr>
            <w:tcW w:w="9067" w:type="dxa"/>
            <w:gridSpan w:val="2"/>
            <w:hideMark/>
          </w:tcPr>
          <w:p w14:paraId="6068773B" w14:textId="77777777" w:rsidR="00683525" w:rsidRPr="00724E93" w:rsidRDefault="00683525" w:rsidP="005038E5">
            <w:pPr>
              <w:ind w:left="57"/>
              <w:rPr>
                <w:rFonts w:ascii="Arial Narrow" w:hAnsi="Arial Narrow" w:cstheme="minorHAnsi"/>
                <w:b/>
                <w:sz w:val="20"/>
                <w:szCs w:val="20"/>
              </w:rPr>
            </w:pPr>
            <w:r w:rsidRPr="007745AC">
              <w:rPr>
                <w:rFonts w:ascii="Arial Narrow" w:hAnsi="Arial Narrow" w:cstheme="minorHAnsi"/>
                <w:b/>
                <w:sz w:val="20"/>
                <w:szCs w:val="20"/>
              </w:rPr>
              <w:t xml:space="preserve">Restriction Summary </w:t>
            </w:r>
            <w:r>
              <w:rPr>
                <w:rFonts w:ascii="Arial Narrow" w:hAnsi="Arial Narrow" w:cstheme="minorHAnsi"/>
                <w:b/>
                <w:sz w:val="20"/>
                <w:szCs w:val="20"/>
              </w:rPr>
              <w:t>[new]</w:t>
            </w:r>
            <w:r w:rsidRPr="007745AC">
              <w:rPr>
                <w:rFonts w:ascii="Arial Narrow" w:hAnsi="Arial Narrow" w:cstheme="minorHAnsi"/>
                <w:b/>
                <w:sz w:val="20"/>
                <w:szCs w:val="20"/>
              </w:rPr>
              <w:t xml:space="preserve"> / ToC: </w:t>
            </w:r>
            <w:r>
              <w:rPr>
                <w:rFonts w:ascii="Arial Narrow" w:hAnsi="Arial Narrow" w:cstheme="minorHAnsi"/>
                <w:b/>
                <w:sz w:val="20"/>
                <w:szCs w:val="20"/>
              </w:rPr>
              <w:t>[new]</w:t>
            </w:r>
            <w:r w:rsidRPr="007745AC">
              <w:rPr>
                <w:rFonts w:ascii="Arial Narrow" w:hAnsi="Arial Narrow" w:cstheme="minorHAnsi"/>
                <w:b/>
                <w:sz w:val="20"/>
                <w:szCs w:val="20"/>
              </w:rPr>
              <w:t>: Authority Required</w:t>
            </w:r>
          </w:p>
        </w:tc>
      </w:tr>
      <w:tr w:rsidR="00683525" w:rsidRPr="00724E93" w14:paraId="6B790A0B" w14:textId="77777777" w:rsidTr="008A0FEF">
        <w:tc>
          <w:tcPr>
            <w:tcW w:w="1512" w:type="dxa"/>
            <w:vMerge w:val="restart"/>
            <w:vAlign w:val="center"/>
          </w:tcPr>
          <w:p w14:paraId="49B6B635" w14:textId="77777777" w:rsidR="00683525" w:rsidRPr="00724E93" w:rsidRDefault="00683525" w:rsidP="005038E5">
            <w:pPr>
              <w:jc w:val="center"/>
              <w:rPr>
                <w:rFonts w:ascii="Arial Narrow" w:hAnsi="Arial Narrow" w:cstheme="minorHAnsi"/>
                <w:b/>
                <w:sz w:val="20"/>
                <w:szCs w:val="20"/>
              </w:rPr>
            </w:pPr>
            <w:r w:rsidRPr="00724E93">
              <w:rPr>
                <w:rFonts w:ascii="Arial Narrow" w:hAnsi="Arial Narrow" w:cstheme="minorHAnsi"/>
                <w:b/>
                <w:sz w:val="20"/>
                <w:szCs w:val="20"/>
              </w:rPr>
              <w:t>Concept ID</w:t>
            </w:r>
          </w:p>
          <w:p w14:paraId="16E0ABE7" w14:textId="77777777" w:rsidR="00683525" w:rsidRPr="00724E93" w:rsidRDefault="00683525" w:rsidP="005038E5">
            <w:pPr>
              <w:jc w:val="center"/>
              <w:rPr>
                <w:rFonts w:ascii="Arial Narrow" w:hAnsi="Arial Narrow" w:cstheme="minorHAnsi"/>
                <w:sz w:val="20"/>
                <w:szCs w:val="20"/>
              </w:rPr>
            </w:pPr>
            <w:r w:rsidRPr="00724E93">
              <w:rPr>
                <w:rFonts w:ascii="Arial Narrow" w:hAnsi="Arial Narrow" w:cstheme="minorHAnsi"/>
                <w:sz w:val="20"/>
                <w:szCs w:val="20"/>
              </w:rPr>
              <w:t>(for internal Dept. use)</w:t>
            </w:r>
          </w:p>
        </w:tc>
        <w:tc>
          <w:tcPr>
            <w:tcW w:w="7555" w:type="dxa"/>
            <w:hideMark/>
          </w:tcPr>
          <w:p w14:paraId="442F73C4"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sz w:val="20"/>
                <w:szCs w:val="20"/>
              </w:rPr>
              <w:t xml:space="preserve">Category / Program: </w:t>
            </w:r>
            <w:r w:rsidRPr="00724E93">
              <w:rPr>
                <w:rFonts w:ascii="Arial Narrow" w:hAnsi="Arial Narrow" w:cstheme="minorHAnsi"/>
                <w:sz w:val="20"/>
                <w:szCs w:val="20"/>
              </w:rPr>
              <w:t>Section 100 – Highly Specialised Drugs Program [Public and Private Hospitals]</w:t>
            </w:r>
          </w:p>
        </w:tc>
      </w:tr>
      <w:tr w:rsidR="00683525" w:rsidRPr="00724E93" w14:paraId="34189B92" w14:textId="77777777" w:rsidTr="008A0FEF">
        <w:trPr>
          <w:trHeight w:val="240"/>
        </w:trPr>
        <w:tc>
          <w:tcPr>
            <w:tcW w:w="1512" w:type="dxa"/>
            <w:vMerge/>
            <w:vAlign w:val="center"/>
            <w:hideMark/>
          </w:tcPr>
          <w:p w14:paraId="1D833671" w14:textId="77777777" w:rsidR="00683525" w:rsidRPr="00724E93" w:rsidRDefault="00683525" w:rsidP="005038E5">
            <w:pPr>
              <w:jc w:val="center"/>
              <w:rPr>
                <w:rFonts w:ascii="Arial Narrow" w:hAnsi="Arial Narrow" w:cstheme="minorHAnsi"/>
                <w:sz w:val="20"/>
                <w:szCs w:val="20"/>
              </w:rPr>
            </w:pPr>
          </w:p>
        </w:tc>
        <w:tc>
          <w:tcPr>
            <w:tcW w:w="7555" w:type="dxa"/>
            <w:hideMark/>
          </w:tcPr>
          <w:p w14:paraId="4DCC5D00" w14:textId="77777777" w:rsidR="00683525" w:rsidRPr="00724E93" w:rsidRDefault="00683525" w:rsidP="005038E5">
            <w:pPr>
              <w:rPr>
                <w:rFonts w:ascii="Arial Narrow" w:hAnsi="Arial Narrow" w:cstheme="minorHAnsi"/>
                <w:b/>
                <w:sz w:val="20"/>
                <w:szCs w:val="20"/>
              </w:rPr>
            </w:pPr>
            <w:r w:rsidRPr="00724E93">
              <w:rPr>
                <w:rFonts w:ascii="Arial Narrow" w:hAnsi="Arial Narrow" w:cstheme="minorHAnsi"/>
                <w:b/>
                <w:sz w:val="20"/>
                <w:szCs w:val="20"/>
              </w:rPr>
              <w:t xml:space="preserve">Prescriber type: </w:t>
            </w:r>
            <w:r w:rsidRPr="00724E93">
              <w:rPr>
                <w:rFonts w:ascii="Arial Narrow" w:hAnsi="Arial Narrow" w:cstheme="minorHAnsi"/>
                <w:sz w:val="20"/>
                <w:szCs w:val="20"/>
              </w:rPr>
              <w:fldChar w:fldCharType="begin" w:fldLock="1">
                <w:ffData>
                  <w:name w:val=""/>
                  <w:enabled/>
                  <w:calcOnExit w:val="0"/>
                  <w:checkBox>
                    <w:sizeAuto/>
                    <w:default w:val="1"/>
                  </w:checkBox>
                </w:ffData>
              </w:fldChar>
            </w:r>
            <w:r w:rsidRPr="00724E93">
              <w:rPr>
                <w:rFonts w:ascii="Arial Narrow" w:hAnsi="Arial Narrow" w:cstheme="minorHAnsi"/>
                <w:sz w:val="20"/>
                <w:szCs w:val="20"/>
              </w:rPr>
              <w:instrText xml:space="preserve"> FORMCHECKBOX </w:instrText>
            </w:r>
            <w:r w:rsidR="008E430C">
              <w:rPr>
                <w:rFonts w:ascii="Arial Narrow" w:hAnsi="Arial Narrow" w:cstheme="minorHAnsi"/>
                <w:sz w:val="20"/>
                <w:szCs w:val="20"/>
              </w:rPr>
            </w:r>
            <w:r w:rsidR="008E430C">
              <w:rPr>
                <w:rFonts w:ascii="Arial Narrow" w:hAnsi="Arial Narrow" w:cstheme="minorHAnsi"/>
                <w:sz w:val="20"/>
                <w:szCs w:val="20"/>
              </w:rPr>
              <w:fldChar w:fldCharType="separate"/>
            </w:r>
            <w:r w:rsidRPr="00724E93">
              <w:rPr>
                <w:rFonts w:ascii="Arial Narrow" w:hAnsi="Arial Narrow" w:cstheme="minorHAnsi"/>
                <w:sz w:val="20"/>
                <w:szCs w:val="20"/>
              </w:rPr>
              <w:fldChar w:fldCharType="end"/>
            </w:r>
            <w:r w:rsidRPr="00724E93">
              <w:rPr>
                <w:rFonts w:ascii="Arial Narrow" w:hAnsi="Arial Narrow" w:cstheme="minorHAnsi"/>
                <w:sz w:val="20"/>
                <w:szCs w:val="20"/>
              </w:rPr>
              <w:t>Medical Practitioners</w:t>
            </w:r>
          </w:p>
        </w:tc>
      </w:tr>
      <w:tr w:rsidR="00683525" w:rsidRPr="00724E93" w14:paraId="252AFE22" w14:textId="77777777" w:rsidTr="008A0FEF">
        <w:trPr>
          <w:trHeight w:val="242"/>
        </w:trPr>
        <w:tc>
          <w:tcPr>
            <w:tcW w:w="1512" w:type="dxa"/>
            <w:vMerge/>
            <w:vAlign w:val="center"/>
            <w:hideMark/>
          </w:tcPr>
          <w:p w14:paraId="2F151053" w14:textId="77777777" w:rsidR="00683525" w:rsidRPr="00724E93" w:rsidRDefault="00683525" w:rsidP="005038E5">
            <w:pPr>
              <w:jc w:val="center"/>
              <w:rPr>
                <w:rFonts w:ascii="Arial Narrow" w:hAnsi="Arial Narrow" w:cstheme="minorHAnsi"/>
                <w:sz w:val="20"/>
                <w:szCs w:val="20"/>
              </w:rPr>
            </w:pPr>
          </w:p>
        </w:tc>
        <w:tc>
          <w:tcPr>
            <w:tcW w:w="7555" w:type="dxa"/>
            <w:hideMark/>
          </w:tcPr>
          <w:p w14:paraId="56200349" w14:textId="77777777" w:rsidR="00683525" w:rsidRPr="00724E93" w:rsidRDefault="00683525" w:rsidP="005038E5">
            <w:pPr>
              <w:rPr>
                <w:rFonts w:ascii="Arial Narrow" w:eastAsia="Calibri" w:hAnsi="Arial Narrow" w:cstheme="minorHAnsi"/>
                <w:sz w:val="20"/>
                <w:szCs w:val="20"/>
              </w:rPr>
            </w:pPr>
            <w:r w:rsidRPr="00724E93">
              <w:rPr>
                <w:rFonts w:ascii="Arial Narrow" w:hAnsi="Arial Narrow" w:cstheme="minorHAnsi"/>
                <w:b/>
                <w:sz w:val="20"/>
                <w:szCs w:val="20"/>
              </w:rPr>
              <w:t xml:space="preserve">Restriction type: </w:t>
            </w:r>
            <w:r w:rsidRPr="00724E93">
              <w:rPr>
                <w:rFonts w:ascii="Arial Narrow" w:eastAsia="Calibri" w:hAnsi="Arial Narrow" w:cstheme="minorHAnsi"/>
                <w:sz w:val="20"/>
                <w:szCs w:val="20"/>
              </w:rPr>
              <w:fldChar w:fldCharType="begin" w:fldLock="1">
                <w:ffData>
                  <w:name w:val="Check3"/>
                  <w:enabled/>
                  <w:calcOnExit w:val="0"/>
                  <w:checkBox>
                    <w:sizeAuto/>
                    <w:default w:val="1"/>
                  </w:checkBox>
                </w:ffData>
              </w:fldChar>
            </w:r>
            <w:r w:rsidRPr="00724E93">
              <w:rPr>
                <w:rFonts w:ascii="Arial Narrow" w:eastAsia="Calibri" w:hAnsi="Arial Narrow" w:cstheme="minorHAnsi"/>
                <w:sz w:val="20"/>
                <w:szCs w:val="20"/>
              </w:rPr>
              <w:instrText xml:space="preserve"> FORMCHECKBOX </w:instrText>
            </w:r>
            <w:r w:rsidR="008E430C">
              <w:rPr>
                <w:rFonts w:ascii="Arial Narrow" w:eastAsia="Calibri" w:hAnsi="Arial Narrow" w:cstheme="minorHAnsi"/>
                <w:sz w:val="20"/>
                <w:szCs w:val="20"/>
              </w:rPr>
            </w:r>
            <w:r w:rsidR="008E430C">
              <w:rPr>
                <w:rFonts w:ascii="Arial Narrow" w:eastAsia="Calibri" w:hAnsi="Arial Narrow" w:cstheme="minorHAnsi"/>
                <w:sz w:val="20"/>
                <w:szCs w:val="20"/>
              </w:rPr>
              <w:fldChar w:fldCharType="separate"/>
            </w:r>
            <w:r w:rsidRPr="00724E93">
              <w:rPr>
                <w:rFonts w:ascii="Arial Narrow" w:hAnsi="Arial Narrow" w:cstheme="minorHAnsi"/>
                <w:sz w:val="20"/>
                <w:szCs w:val="20"/>
              </w:rPr>
              <w:fldChar w:fldCharType="end"/>
            </w:r>
            <w:r w:rsidRPr="00724E93">
              <w:rPr>
                <w:rFonts w:ascii="Arial Narrow" w:eastAsia="Calibri" w:hAnsi="Arial Narrow" w:cstheme="minorHAnsi"/>
                <w:sz w:val="20"/>
                <w:szCs w:val="20"/>
              </w:rPr>
              <w:t>Authority Required – non-immediate/delayed assessment by Services Australia</w:t>
            </w:r>
          </w:p>
        </w:tc>
      </w:tr>
      <w:tr w:rsidR="00683525" w:rsidRPr="00724E93" w14:paraId="115FD056" w14:textId="77777777" w:rsidTr="008A0FEF">
        <w:trPr>
          <w:trHeight w:val="166"/>
        </w:trPr>
        <w:tc>
          <w:tcPr>
            <w:tcW w:w="1512" w:type="dxa"/>
            <w:vAlign w:val="center"/>
            <w:hideMark/>
          </w:tcPr>
          <w:p w14:paraId="7D64266E" w14:textId="77777777" w:rsidR="00683525" w:rsidRPr="00724E93" w:rsidRDefault="00683525" w:rsidP="005038E5">
            <w:pPr>
              <w:jc w:val="center"/>
              <w:rPr>
                <w:rFonts w:ascii="Arial Narrow" w:hAnsi="Arial Narrow" w:cstheme="minorHAnsi"/>
                <w:sz w:val="20"/>
                <w:szCs w:val="20"/>
              </w:rPr>
            </w:pPr>
          </w:p>
        </w:tc>
        <w:tc>
          <w:tcPr>
            <w:tcW w:w="7555" w:type="dxa"/>
          </w:tcPr>
          <w:p w14:paraId="06234020" w14:textId="77777777" w:rsidR="00683525" w:rsidRPr="00724E93" w:rsidRDefault="00683525" w:rsidP="005038E5">
            <w:pPr>
              <w:rPr>
                <w:rFonts w:ascii="Arial Narrow" w:hAnsi="Arial Narrow" w:cstheme="minorHAnsi"/>
                <w:bCs/>
                <w:sz w:val="20"/>
                <w:szCs w:val="20"/>
              </w:rPr>
            </w:pPr>
            <w:r w:rsidRPr="00724E93">
              <w:rPr>
                <w:rFonts w:ascii="Arial Narrow" w:hAnsi="Arial Narrow" w:cstheme="minorHAnsi"/>
                <w:b/>
                <w:bCs/>
                <w:sz w:val="20"/>
                <w:szCs w:val="20"/>
              </w:rPr>
              <w:t xml:space="preserve">Condition: </w:t>
            </w:r>
            <w:r w:rsidRPr="00724E93">
              <w:rPr>
                <w:rFonts w:ascii="Arial Narrow" w:hAnsi="Arial Narrow" w:cstheme="minorHAnsi"/>
                <w:bCs/>
                <w:sz w:val="20"/>
                <w:szCs w:val="20"/>
              </w:rPr>
              <w:t>Cystic fibrosis</w:t>
            </w:r>
          </w:p>
        </w:tc>
      </w:tr>
      <w:tr w:rsidR="00683525" w:rsidRPr="00724E93" w14:paraId="2B5655BF" w14:textId="77777777" w:rsidTr="008A0FEF">
        <w:tc>
          <w:tcPr>
            <w:tcW w:w="1512" w:type="dxa"/>
            <w:vAlign w:val="center"/>
          </w:tcPr>
          <w:p w14:paraId="23C83C60" w14:textId="0DE218C1" w:rsidR="00683525" w:rsidRPr="00724E93" w:rsidRDefault="00683525" w:rsidP="005038E5">
            <w:pPr>
              <w:jc w:val="center"/>
              <w:rPr>
                <w:rFonts w:ascii="Arial Narrow" w:hAnsi="Arial Narrow" w:cstheme="minorHAnsi"/>
                <w:sz w:val="20"/>
                <w:szCs w:val="20"/>
              </w:rPr>
            </w:pPr>
          </w:p>
        </w:tc>
        <w:tc>
          <w:tcPr>
            <w:tcW w:w="7555" w:type="dxa"/>
            <w:hideMark/>
          </w:tcPr>
          <w:p w14:paraId="53C0ED24"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bCs/>
                <w:sz w:val="20"/>
                <w:szCs w:val="20"/>
              </w:rPr>
              <w:t xml:space="preserve">Indication: </w:t>
            </w:r>
            <w:r w:rsidRPr="00724E93">
              <w:rPr>
                <w:rFonts w:ascii="Arial Narrow" w:hAnsi="Arial Narrow" w:cstheme="minorHAnsi"/>
                <w:bCs/>
                <w:sz w:val="20"/>
                <w:szCs w:val="20"/>
              </w:rPr>
              <w:t>Cystic fibrosis</w:t>
            </w:r>
          </w:p>
        </w:tc>
      </w:tr>
      <w:tr w:rsidR="00683525" w:rsidRPr="00724E93" w14:paraId="3E98754F" w14:textId="77777777" w:rsidTr="008A0FEF">
        <w:tc>
          <w:tcPr>
            <w:tcW w:w="1512" w:type="dxa"/>
            <w:vAlign w:val="center"/>
          </w:tcPr>
          <w:p w14:paraId="2A2447CC" w14:textId="77777777" w:rsidR="00683525" w:rsidRPr="00724E93" w:rsidRDefault="00683525" w:rsidP="005038E5">
            <w:pPr>
              <w:jc w:val="center"/>
              <w:rPr>
                <w:rFonts w:ascii="Arial Narrow" w:hAnsi="Arial Narrow" w:cstheme="minorHAnsi"/>
                <w:sz w:val="20"/>
                <w:szCs w:val="20"/>
              </w:rPr>
            </w:pPr>
          </w:p>
        </w:tc>
        <w:tc>
          <w:tcPr>
            <w:tcW w:w="7555" w:type="dxa"/>
          </w:tcPr>
          <w:p w14:paraId="4CE3148E" w14:textId="77777777" w:rsidR="00683525" w:rsidRPr="00724E93" w:rsidRDefault="00683525" w:rsidP="005038E5">
            <w:pPr>
              <w:rPr>
                <w:rFonts w:ascii="Arial Narrow" w:hAnsi="Arial Narrow" w:cstheme="minorHAnsi"/>
                <w:b/>
                <w:bCs/>
                <w:sz w:val="20"/>
                <w:szCs w:val="20"/>
              </w:rPr>
            </w:pPr>
          </w:p>
        </w:tc>
      </w:tr>
      <w:tr w:rsidR="00683525" w:rsidRPr="00724E93" w14:paraId="0E6DC9CB" w14:textId="77777777" w:rsidTr="008A0FEF">
        <w:tc>
          <w:tcPr>
            <w:tcW w:w="1512" w:type="dxa"/>
            <w:vAlign w:val="center"/>
          </w:tcPr>
          <w:p w14:paraId="79D93CD9" w14:textId="77777777" w:rsidR="00683525" w:rsidRPr="00724E93" w:rsidRDefault="00683525" w:rsidP="005038E5">
            <w:pPr>
              <w:jc w:val="center"/>
              <w:rPr>
                <w:rFonts w:ascii="Arial Narrow" w:hAnsi="Arial Narrow" w:cstheme="minorHAnsi"/>
                <w:sz w:val="20"/>
                <w:szCs w:val="20"/>
              </w:rPr>
            </w:pPr>
          </w:p>
        </w:tc>
        <w:tc>
          <w:tcPr>
            <w:tcW w:w="7555" w:type="dxa"/>
            <w:hideMark/>
          </w:tcPr>
          <w:p w14:paraId="1E005947"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bCs/>
                <w:sz w:val="20"/>
                <w:szCs w:val="20"/>
              </w:rPr>
              <w:t>Treatment Phase:</w:t>
            </w:r>
            <w:r w:rsidRPr="00724E93">
              <w:rPr>
                <w:rFonts w:ascii="Arial Narrow" w:hAnsi="Arial Narrow" w:cstheme="minorHAnsi"/>
                <w:bCs/>
                <w:sz w:val="20"/>
                <w:szCs w:val="20"/>
              </w:rPr>
              <w:t xml:space="preserve"> Initial treatment</w:t>
            </w:r>
          </w:p>
        </w:tc>
      </w:tr>
      <w:tr w:rsidR="00683525" w:rsidRPr="00724E93" w14:paraId="1939F0D7" w14:textId="77777777" w:rsidTr="008A0FEF">
        <w:tc>
          <w:tcPr>
            <w:tcW w:w="1512" w:type="dxa"/>
            <w:vAlign w:val="center"/>
          </w:tcPr>
          <w:p w14:paraId="24E331C9" w14:textId="77777777" w:rsidR="00683525" w:rsidRPr="00724E93" w:rsidRDefault="00683525" w:rsidP="005038E5">
            <w:pPr>
              <w:jc w:val="center"/>
              <w:rPr>
                <w:rFonts w:ascii="Arial Narrow" w:hAnsi="Arial Narrow" w:cstheme="minorHAnsi"/>
                <w:sz w:val="20"/>
                <w:szCs w:val="20"/>
              </w:rPr>
            </w:pPr>
          </w:p>
        </w:tc>
        <w:tc>
          <w:tcPr>
            <w:tcW w:w="7555" w:type="dxa"/>
          </w:tcPr>
          <w:p w14:paraId="3AF9B8F9" w14:textId="77777777" w:rsidR="00683525" w:rsidRPr="00724E93" w:rsidRDefault="00683525" w:rsidP="005038E5">
            <w:pPr>
              <w:rPr>
                <w:rFonts w:ascii="Arial Narrow" w:hAnsi="Arial Narrow" w:cstheme="minorHAnsi"/>
                <w:b/>
                <w:bCs/>
                <w:sz w:val="20"/>
                <w:szCs w:val="20"/>
              </w:rPr>
            </w:pPr>
          </w:p>
        </w:tc>
      </w:tr>
      <w:tr w:rsidR="00683525" w:rsidRPr="00724E93" w14:paraId="1A49A7D8" w14:textId="77777777" w:rsidTr="008A0FEF">
        <w:tc>
          <w:tcPr>
            <w:tcW w:w="1512" w:type="dxa"/>
            <w:vAlign w:val="center"/>
          </w:tcPr>
          <w:p w14:paraId="5ED92D6A" w14:textId="77777777" w:rsidR="00683525" w:rsidRPr="00724E93" w:rsidRDefault="00683525" w:rsidP="005038E5">
            <w:pPr>
              <w:jc w:val="center"/>
              <w:rPr>
                <w:rFonts w:ascii="Arial Narrow" w:hAnsi="Arial Narrow" w:cstheme="minorHAnsi"/>
                <w:sz w:val="20"/>
                <w:szCs w:val="20"/>
              </w:rPr>
            </w:pPr>
          </w:p>
        </w:tc>
        <w:tc>
          <w:tcPr>
            <w:tcW w:w="7555" w:type="dxa"/>
          </w:tcPr>
          <w:p w14:paraId="4CB01605" w14:textId="77777777" w:rsidR="00683525" w:rsidRPr="00724E93" w:rsidRDefault="00683525" w:rsidP="005038E5">
            <w:pPr>
              <w:rPr>
                <w:rFonts w:ascii="Arial Narrow" w:hAnsi="Arial Narrow" w:cstheme="minorHAnsi"/>
                <w:b/>
                <w:bCs/>
                <w:sz w:val="20"/>
                <w:szCs w:val="20"/>
              </w:rPr>
            </w:pPr>
            <w:r>
              <w:rPr>
                <w:rFonts w:ascii="Arial Narrow" w:hAnsi="Arial Narrow" w:cstheme="minorHAnsi"/>
                <w:b/>
                <w:bCs/>
                <w:sz w:val="20"/>
                <w:szCs w:val="20"/>
              </w:rPr>
              <w:t>PR level administrative advice</w:t>
            </w:r>
          </w:p>
        </w:tc>
      </w:tr>
      <w:tr w:rsidR="00683525" w:rsidRPr="00724E93" w14:paraId="53236E8E" w14:textId="77777777" w:rsidTr="008A0FEF">
        <w:tc>
          <w:tcPr>
            <w:tcW w:w="1512" w:type="dxa"/>
            <w:vAlign w:val="center"/>
          </w:tcPr>
          <w:p w14:paraId="16B8BDC6" w14:textId="35DC5784" w:rsidR="00683525" w:rsidRPr="00724E93" w:rsidRDefault="00683525" w:rsidP="005038E5">
            <w:pPr>
              <w:jc w:val="center"/>
              <w:rPr>
                <w:rFonts w:ascii="Arial Narrow" w:hAnsi="Arial Narrow" w:cstheme="minorHAnsi"/>
                <w:sz w:val="20"/>
                <w:szCs w:val="20"/>
              </w:rPr>
            </w:pPr>
          </w:p>
        </w:tc>
        <w:tc>
          <w:tcPr>
            <w:tcW w:w="7555" w:type="dxa"/>
          </w:tcPr>
          <w:p w14:paraId="4855002A" w14:textId="77777777" w:rsidR="00683525" w:rsidRDefault="00683525" w:rsidP="005038E5">
            <w:pPr>
              <w:rPr>
                <w:rFonts w:ascii="Arial Narrow" w:hAnsi="Arial Narrow"/>
                <w:sz w:val="20"/>
                <w:szCs w:val="20"/>
              </w:rPr>
            </w:pPr>
            <w:r w:rsidRPr="00724E93">
              <w:rPr>
                <w:rFonts w:ascii="Arial Narrow" w:hAnsi="Arial Narrow"/>
                <w:b/>
                <w:sz w:val="20"/>
                <w:szCs w:val="20"/>
              </w:rPr>
              <w:t xml:space="preserve">Administration </w:t>
            </w:r>
            <w:r>
              <w:rPr>
                <w:rFonts w:ascii="Arial Narrow" w:hAnsi="Arial Narrow"/>
                <w:b/>
                <w:sz w:val="20"/>
                <w:szCs w:val="20"/>
              </w:rPr>
              <w:t>a</w:t>
            </w:r>
            <w:r w:rsidRPr="00724E93">
              <w:rPr>
                <w:rFonts w:ascii="Arial Narrow" w:hAnsi="Arial Narrow"/>
                <w:b/>
                <w:sz w:val="20"/>
                <w:szCs w:val="20"/>
              </w:rPr>
              <w:t>dvice</w:t>
            </w:r>
            <w:r>
              <w:rPr>
                <w:rFonts w:ascii="Arial Narrow" w:hAnsi="Arial Narrow"/>
                <w:b/>
                <w:sz w:val="20"/>
                <w:szCs w:val="20"/>
              </w:rPr>
              <w:t>:</w:t>
            </w:r>
          </w:p>
          <w:p w14:paraId="7FF41DAD" w14:textId="77777777" w:rsidR="00683525" w:rsidRPr="00724E93" w:rsidRDefault="00683525" w:rsidP="005038E5">
            <w:pPr>
              <w:rPr>
                <w:rFonts w:ascii="Arial Narrow" w:hAnsi="Arial Narrow" w:cstheme="minorHAnsi"/>
                <w:b/>
                <w:bCs/>
                <w:sz w:val="20"/>
                <w:szCs w:val="20"/>
              </w:rPr>
            </w:pPr>
            <w:r w:rsidRPr="00724E93">
              <w:rPr>
                <w:rFonts w:ascii="Arial Narrow" w:hAnsi="Arial Narrow"/>
                <w:sz w:val="20"/>
                <w:szCs w:val="20"/>
              </w:rPr>
              <w:t>No increase in the maximum quantity or number of units may be authorised.</w:t>
            </w:r>
          </w:p>
        </w:tc>
      </w:tr>
      <w:tr w:rsidR="00683525" w:rsidRPr="00724E93" w14:paraId="315F199E" w14:textId="77777777" w:rsidTr="008A0FEF">
        <w:tc>
          <w:tcPr>
            <w:tcW w:w="1512" w:type="dxa"/>
            <w:vAlign w:val="center"/>
          </w:tcPr>
          <w:p w14:paraId="11552F68" w14:textId="61162DA8" w:rsidR="00683525" w:rsidRPr="00724E93" w:rsidRDefault="00683525" w:rsidP="005038E5">
            <w:pPr>
              <w:jc w:val="center"/>
              <w:rPr>
                <w:rFonts w:ascii="Arial Narrow" w:hAnsi="Arial Narrow" w:cstheme="minorHAnsi"/>
                <w:sz w:val="20"/>
                <w:szCs w:val="20"/>
              </w:rPr>
            </w:pPr>
          </w:p>
        </w:tc>
        <w:tc>
          <w:tcPr>
            <w:tcW w:w="7555" w:type="dxa"/>
          </w:tcPr>
          <w:p w14:paraId="0C0858E4" w14:textId="77777777" w:rsidR="00683525" w:rsidRDefault="00683525" w:rsidP="005038E5">
            <w:pPr>
              <w:rPr>
                <w:rFonts w:ascii="Arial Narrow" w:hAnsi="Arial Narrow"/>
                <w:sz w:val="20"/>
                <w:szCs w:val="20"/>
              </w:rPr>
            </w:pPr>
            <w:r w:rsidRPr="00724E93">
              <w:rPr>
                <w:rFonts w:ascii="Arial Narrow" w:hAnsi="Arial Narrow"/>
                <w:b/>
                <w:sz w:val="20"/>
                <w:szCs w:val="20"/>
              </w:rPr>
              <w:t xml:space="preserve">Administration </w:t>
            </w:r>
            <w:r>
              <w:rPr>
                <w:rFonts w:ascii="Arial Narrow" w:hAnsi="Arial Narrow"/>
                <w:b/>
                <w:sz w:val="20"/>
                <w:szCs w:val="20"/>
              </w:rPr>
              <w:t>a</w:t>
            </w:r>
            <w:r w:rsidRPr="00724E93">
              <w:rPr>
                <w:rFonts w:ascii="Arial Narrow" w:hAnsi="Arial Narrow"/>
                <w:b/>
                <w:sz w:val="20"/>
                <w:szCs w:val="20"/>
              </w:rPr>
              <w:t>dvice</w:t>
            </w:r>
            <w:r>
              <w:rPr>
                <w:rFonts w:ascii="Arial Narrow" w:hAnsi="Arial Narrow"/>
                <w:b/>
                <w:sz w:val="20"/>
                <w:szCs w:val="20"/>
              </w:rPr>
              <w:t>:</w:t>
            </w:r>
          </w:p>
          <w:p w14:paraId="3746C778" w14:textId="77777777" w:rsidR="00683525" w:rsidRPr="00724E93" w:rsidRDefault="00683525" w:rsidP="005038E5">
            <w:pPr>
              <w:rPr>
                <w:rFonts w:ascii="Arial Narrow" w:hAnsi="Arial Narrow" w:cstheme="minorHAnsi"/>
                <w:b/>
                <w:bCs/>
                <w:sz w:val="20"/>
                <w:szCs w:val="20"/>
              </w:rPr>
            </w:pPr>
            <w:r w:rsidRPr="00724E93">
              <w:rPr>
                <w:rFonts w:ascii="Arial Narrow" w:hAnsi="Arial Narrow"/>
                <w:sz w:val="20"/>
                <w:szCs w:val="20"/>
              </w:rPr>
              <w:t>No increase in the maximum number of repeats may be authorised</w:t>
            </w:r>
          </w:p>
        </w:tc>
      </w:tr>
      <w:tr w:rsidR="00683525" w:rsidRPr="00724E93" w14:paraId="073DE3D2" w14:textId="77777777" w:rsidTr="008A0FEF">
        <w:tc>
          <w:tcPr>
            <w:tcW w:w="1512" w:type="dxa"/>
            <w:vAlign w:val="center"/>
          </w:tcPr>
          <w:p w14:paraId="28667FC4" w14:textId="2AE2638B" w:rsidR="00683525" w:rsidRPr="00724E93" w:rsidRDefault="00683525" w:rsidP="005038E5">
            <w:pPr>
              <w:jc w:val="center"/>
              <w:rPr>
                <w:rFonts w:ascii="Arial Narrow" w:hAnsi="Arial Narrow" w:cstheme="minorHAnsi"/>
                <w:sz w:val="20"/>
                <w:szCs w:val="20"/>
              </w:rPr>
            </w:pPr>
          </w:p>
        </w:tc>
        <w:tc>
          <w:tcPr>
            <w:tcW w:w="7555" w:type="dxa"/>
          </w:tcPr>
          <w:p w14:paraId="7F4052F9" w14:textId="77777777" w:rsidR="00683525" w:rsidRPr="00724E93" w:rsidRDefault="00683525" w:rsidP="005038E5">
            <w:pPr>
              <w:rPr>
                <w:rFonts w:ascii="Arial Narrow" w:hAnsi="Arial Narrow"/>
                <w:b/>
                <w:sz w:val="20"/>
                <w:szCs w:val="20"/>
              </w:rPr>
            </w:pPr>
            <w:r w:rsidRPr="00724E93">
              <w:rPr>
                <w:rFonts w:ascii="Arial Narrow" w:hAnsi="Arial Narrow"/>
                <w:b/>
                <w:sz w:val="20"/>
                <w:szCs w:val="20"/>
              </w:rPr>
              <w:t>Administration advice:</w:t>
            </w:r>
          </w:p>
          <w:p w14:paraId="61BC1351"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Special Pricing Arrangements apply.</w:t>
            </w:r>
          </w:p>
        </w:tc>
      </w:tr>
      <w:tr w:rsidR="00683525" w:rsidRPr="00724E93" w14:paraId="5370D9DF" w14:textId="77777777" w:rsidTr="008A0FEF">
        <w:tc>
          <w:tcPr>
            <w:tcW w:w="1512" w:type="dxa"/>
            <w:vAlign w:val="center"/>
          </w:tcPr>
          <w:p w14:paraId="6C599726" w14:textId="4A119959" w:rsidR="00683525" w:rsidRPr="00724E93" w:rsidRDefault="00683525" w:rsidP="005038E5">
            <w:pPr>
              <w:jc w:val="center"/>
              <w:textAlignment w:val="baseline"/>
              <w:rPr>
                <w:rFonts w:ascii="Arial Narrow" w:eastAsia="Times New Roman" w:hAnsi="Arial Narrow" w:cs="Open Sans"/>
                <w:color w:val="333333"/>
                <w:sz w:val="20"/>
                <w:szCs w:val="20"/>
              </w:rPr>
            </w:pPr>
          </w:p>
        </w:tc>
        <w:tc>
          <w:tcPr>
            <w:tcW w:w="7555" w:type="dxa"/>
            <w:hideMark/>
          </w:tcPr>
          <w:p w14:paraId="44087EEC" w14:textId="77777777" w:rsidR="00683525" w:rsidRPr="00724E93" w:rsidRDefault="00683525" w:rsidP="005038E5">
            <w:pPr>
              <w:jc w:val="left"/>
              <w:textAlignment w:val="baseline"/>
              <w:rPr>
                <w:rFonts w:ascii="Arial Narrow" w:eastAsia="Times New Roman" w:hAnsi="Arial Narrow" w:cs="Open Sans"/>
                <w:color w:val="333333"/>
                <w:sz w:val="20"/>
                <w:szCs w:val="20"/>
              </w:rPr>
            </w:pPr>
            <w:r w:rsidRPr="00724E93">
              <w:rPr>
                <w:rFonts w:ascii="Arial Narrow" w:eastAsia="Times New Roman" w:hAnsi="Arial Narrow" w:cs="Open Sans"/>
                <w:b/>
                <w:bCs/>
                <w:color w:val="333333"/>
                <w:sz w:val="20"/>
                <w:szCs w:val="20"/>
                <w:bdr w:val="none" w:sz="0" w:space="0" w:color="auto" w:frame="1"/>
              </w:rPr>
              <w:t>Administrative Advice:</w:t>
            </w:r>
          </w:p>
          <w:p w14:paraId="14F9EFCA" w14:textId="77777777" w:rsidR="00683525" w:rsidRPr="00724E93" w:rsidRDefault="00683525" w:rsidP="005038E5">
            <w:pPr>
              <w:jc w:val="left"/>
              <w:textAlignment w:val="baseline"/>
              <w:rPr>
                <w:rFonts w:ascii="Arial Narrow" w:eastAsia="Times New Roman" w:hAnsi="Arial Narrow" w:cs="Open Sans"/>
                <w:color w:val="333333"/>
                <w:sz w:val="20"/>
                <w:szCs w:val="20"/>
              </w:rPr>
            </w:pPr>
            <w:r w:rsidRPr="00724E93">
              <w:rPr>
                <w:rFonts w:ascii="Arial Narrow" w:eastAsia="Times New Roman" w:hAnsi="Arial Narrow" w:cs="Open Sans"/>
                <w:color w:val="333333"/>
                <w:sz w:val="20"/>
                <w:szCs w:val="20"/>
              </w:rPr>
              <w:t>For the purposes of this restriction, PBS-subsidised 'CFTR modulator' means ivacaftor, lumacaftor/ivacaftor, tezacaftor/ivacaftor and elexacaftor/ tezacaftor/ ivacaftor.</w:t>
            </w:r>
          </w:p>
        </w:tc>
      </w:tr>
      <w:tr w:rsidR="00683525" w:rsidRPr="00724E93" w14:paraId="6490245C" w14:textId="77777777" w:rsidTr="008A0FEF">
        <w:tc>
          <w:tcPr>
            <w:tcW w:w="1512" w:type="dxa"/>
            <w:vAlign w:val="center"/>
          </w:tcPr>
          <w:p w14:paraId="1279622A" w14:textId="2034BA9C" w:rsidR="00683525" w:rsidRPr="00724E93" w:rsidRDefault="00683525" w:rsidP="005038E5">
            <w:pPr>
              <w:jc w:val="center"/>
              <w:rPr>
                <w:rFonts w:ascii="Arial Narrow" w:hAnsi="Arial Narrow" w:cstheme="minorHAnsi"/>
                <w:sz w:val="20"/>
                <w:szCs w:val="20"/>
              </w:rPr>
            </w:pPr>
          </w:p>
        </w:tc>
        <w:tc>
          <w:tcPr>
            <w:tcW w:w="7555" w:type="dxa"/>
          </w:tcPr>
          <w:p w14:paraId="55B7ACD0" w14:textId="77777777" w:rsidR="00683525" w:rsidRPr="00724E93" w:rsidRDefault="00683525" w:rsidP="005038E5">
            <w:pPr>
              <w:jc w:val="left"/>
              <w:textAlignment w:val="baseline"/>
              <w:rPr>
                <w:rFonts w:ascii="Arial Narrow" w:eastAsia="Times New Roman" w:hAnsi="Arial Narrow" w:cs="Open Sans"/>
                <w:b/>
                <w:bCs/>
                <w:color w:val="333333"/>
                <w:sz w:val="20"/>
                <w:szCs w:val="20"/>
              </w:rPr>
            </w:pPr>
            <w:r w:rsidRPr="00724E93">
              <w:rPr>
                <w:rFonts w:ascii="Arial Narrow" w:eastAsia="Times New Roman" w:hAnsi="Arial Narrow" w:cs="Open Sans"/>
                <w:b/>
                <w:bCs/>
                <w:color w:val="333333"/>
                <w:sz w:val="20"/>
                <w:szCs w:val="20"/>
                <w:bdr w:val="none" w:sz="0" w:space="0" w:color="auto" w:frame="1"/>
              </w:rPr>
              <w:t>Administrative Advice:</w:t>
            </w:r>
          </w:p>
          <w:p w14:paraId="026D9350"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Any queries concerning the arrangements to prescribe may be directed to Services Australia on 1800 700 270 (hours of operation 8 a.m. to 5 p.m. Monday to Friday).</w:t>
            </w:r>
          </w:p>
          <w:p w14:paraId="40B91F2E"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Prescribing information (including Authority Application forms and other relevant documentation as applicable) is available on the Services Australia website at www.servicesaustralia.gov.au</w:t>
            </w:r>
          </w:p>
          <w:p w14:paraId="18EE0D9E"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Applications for authority to prescribe should be submitted online using the form upload facility in Health Professional Online Services (HPOS) at www.servicesaustralia.gov.au/hpos</w:t>
            </w:r>
          </w:p>
          <w:p w14:paraId="7F8D3213"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Or mailed to:</w:t>
            </w:r>
          </w:p>
          <w:p w14:paraId="66C6EE46"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Services Australia</w:t>
            </w:r>
          </w:p>
          <w:p w14:paraId="78AFD881"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Complex Drugs</w:t>
            </w:r>
          </w:p>
          <w:p w14:paraId="0D11CE58"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Reply Paid 9826</w:t>
            </w:r>
          </w:p>
          <w:p w14:paraId="7F25B4A5"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HOBART TAS 7001</w:t>
            </w:r>
          </w:p>
        </w:tc>
      </w:tr>
      <w:tr w:rsidR="00683525" w:rsidRPr="00724E93" w14:paraId="67548EEF" w14:textId="77777777" w:rsidTr="008A0FEF">
        <w:tc>
          <w:tcPr>
            <w:tcW w:w="1512" w:type="dxa"/>
            <w:vAlign w:val="center"/>
          </w:tcPr>
          <w:p w14:paraId="08CFD888" w14:textId="77777777" w:rsidR="00683525" w:rsidRPr="00724E93" w:rsidRDefault="00683525" w:rsidP="005038E5">
            <w:pPr>
              <w:jc w:val="center"/>
              <w:rPr>
                <w:rFonts w:ascii="Arial Narrow" w:hAnsi="Arial Narrow" w:cstheme="minorHAnsi"/>
                <w:sz w:val="20"/>
                <w:szCs w:val="20"/>
              </w:rPr>
            </w:pPr>
          </w:p>
        </w:tc>
        <w:tc>
          <w:tcPr>
            <w:tcW w:w="7555" w:type="dxa"/>
          </w:tcPr>
          <w:p w14:paraId="28B29D98" w14:textId="77777777" w:rsidR="00683525" w:rsidRPr="00724E93" w:rsidRDefault="00683525" w:rsidP="005038E5">
            <w:pPr>
              <w:rPr>
                <w:rFonts w:ascii="Arial Narrow" w:hAnsi="Arial Narrow" w:cstheme="minorHAnsi"/>
                <w:b/>
                <w:bCs/>
                <w:sz w:val="20"/>
                <w:szCs w:val="20"/>
              </w:rPr>
            </w:pPr>
          </w:p>
        </w:tc>
      </w:tr>
      <w:tr w:rsidR="00683525" w:rsidRPr="00724E93" w14:paraId="3423DC7E" w14:textId="77777777" w:rsidTr="008A0FEF">
        <w:tc>
          <w:tcPr>
            <w:tcW w:w="1512" w:type="dxa"/>
            <w:vAlign w:val="center"/>
          </w:tcPr>
          <w:p w14:paraId="31FC41F0" w14:textId="21E7ACE5" w:rsidR="00683525" w:rsidRPr="00724E93" w:rsidRDefault="00683525" w:rsidP="005038E5">
            <w:pPr>
              <w:jc w:val="center"/>
              <w:rPr>
                <w:rFonts w:ascii="Arial Narrow" w:hAnsi="Arial Narrow" w:cstheme="minorHAnsi"/>
                <w:sz w:val="20"/>
                <w:szCs w:val="20"/>
              </w:rPr>
            </w:pPr>
          </w:p>
        </w:tc>
        <w:tc>
          <w:tcPr>
            <w:tcW w:w="7555" w:type="dxa"/>
            <w:hideMark/>
          </w:tcPr>
          <w:p w14:paraId="357A693B" w14:textId="77777777" w:rsidR="00683525" w:rsidRPr="00724E93" w:rsidRDefault="00683525" w:rsidP="005038E5">
            <w:pPr>
              <w:rPr>
                <w:rFonts w:ascii="Arial Narrow" w:hAnsi="Arial Narrow" w:cstheme="minorHAnsi"/>
                <w:b/>
                <w:bCs/>
                <w:sz w:val="20"/>
                <w:szCs w:val="20"/>
              </w:rPr>
            </w:pPr>
            <w:r w:rsidRPr="00724E93">
              <w:rPr>
                <w:rFonts w:ascii="Arial Narrow" w:hAnsi="Arial Narrow" w:cstheme="minorHAnsi"/>
                <w:b/>
                <w:bCs/>
                <w:sz w:val="20"/>
                <w:szCs w:val="20"/>
              </w:rPr>
              <w:t>Treatment criteria:</w:t>
            </w:r>
          </w:p>
        </w:tc>
      </w:tr>
      <w:tr w:rsidR="00683525" w:rsidRPr="00724E93" w14:paraId="4FB71BCC" w14:textId="77777777" w:rsidTr="008A0FEF">
        <w:tc>
          <w:tcPr>
            <w:tcW w:w="1512" w:type="dxa"/>
            <w:vAlign w:val="center"/>
          </w:tcPr>
          <w:p w14:paraId="5ECEA25E" w14:textId="4FE085D6" w:rsidR="00683525" w:rsidRPr="00724E93" w:rsidRDefault="00683525" w:rsidP="005038E5">
            <w:pPr>
              <w:jc w:val="center"/>
              <w:rPr>
                <w:rFonts w:ascii="Arial Narrow" w:hAnsi="Arial Narrow" w:cstheme="minorHAnsi"/>
                <w:sz w:val="20"/>
                <w:szCs w:val="20"/>
              </w:rPr>
            </w:pPr>
          </w:p>
        </w:tc>
        <w:tc>
          <w:tcPr>
            <w:tcW w:w="7555" w:type="dxa"/>
            <w:hideMark/>
          </w:tcPr>
          <w:p w14:paraId="3837CCC3"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83525" w:rsidRPr="00724E93" w14:paraId="638421E6" w14:textId="77777777" w:rsidTr="008A0FEF">
        <w:tc>
          <w:tcPr>
            <w:tcW w:w="1512" w:type="dxa"/>
            <w:vAlign w:val="center"/>
          </w:tcPr>
          <w:p w14:paraId="3EB23B79" w14:textId="77777777" w:rsidR="00683525" w:rsidRPr="00724E93" w:rsidRDefault="00683525" w:rsidP="005038E5">
            <w:pPr>
              <w:jc w:val="center"/>
              <w:rPr>
                <w:rFonts w:ascii="Arial Narrow" w:hAnsi="Arial Narrow" w:cstheme="minorHAnsi"/>
                <w:sz w:val="20"/>
                <w:szCs w:val="20"/>
              </w:rPr>
            </w:pPr>
          </w:p>
        </w:tc>
        <w:tc>
          <w:tcPr>
            <w:tcW w:w="7555" w:type="dxa"/>
            <w:hideMark/>
          </w:tcPr>
          <w:p w14:paraId="56A06D0B" w14:textId="77777777" w:rsidR="00683525" w:rsidRPr="00724E93" w:rsidRDefault="00683525" w:rsidP="005038E5">
            <w:pPr>
              <w:rPr>
                <w:rFonts w:ascii="Arial Narrow" w:hAnsi="Arial Narrow" w:cstheme="minorHAnsi"/>
                <w:b/>
                <w:bCs/>
                <w:sz w:val="20"/>
                <w:szCs w:val="20"/>
              </w:rPr>
            </w:pPr>
            <w:r w:rsidRPr="00724E93">
              <w:rPr>
                <w:rFonts w:ascii="Arial Narrow" w:hAnsi="Arial Narrow" w:cstheme="minorHAnsi"/>
                <w:b/>
                <w:bCs/>
                <w:sz w:val="20"/>
                <w:szCs w:val="20"/>
              </w:rPr>
              <w:t>AND</w:t>
            </w:r>
          </w:p>
        </w:tc>
      </w:tr>
      <w:tr w:rsidR="00683525" w:rsidRPr="00724E93" w14:paraId="0A9CD051" w14:textId="77777777" w:rsidTr="008A0FEF">
        <w:tc>
          <w:tcPr>
            <w:tcW w:w="1512" w:type="dxa"/>
            <w:vAlign w:val="center"/>
          </w:tcPr>
          <w:p w14:paraId="5F156BC4" w14:textId="737B48DE" w:rsidR="00683525" w:rsidRPr="00724E93" w:rsidRDefault="00683525" w:rsidP="005038E5">
            <w:pPr>
              <w:jc w:val="center"/>
              <w:rPr>
                <w:rFonts w:ascii="Arial Narrow" w:hAnsi="Arial Narrow" w:cstheme="minorHAnsi"/>
                <w:sz w:val="20"/>
                <w:szCs w:val="20"/>
              </w:rPr>
            </w:pPr>
          </w:p>
        </w:tc>
        <w:tc>
          <w:tcPr>
            <w:tcW w:w="7555" w:type="dxa"/>
          </w:tcPr>
          <w:p w14:paraId="53D417AB" w14:textId="77777777" w:rsidR="00683525" w:rsidRPr="00724E93" w:rsidRDefault="00683525" w:rsidP="005038E5">
            <w:pPr>
              <w:rPr>
                <w:rFonts w:ascii="Arial Narrow" w:hAnsi="Arial Narrow" w:cstheme="minorHAnsi"/>
                <w:bCs/>
                <w:sz w:val="20"/>
                <w:szCs w:val="20"/>
              </w:rPr>
            </w:pPr>
            <w:r w:rsidRPr="00724E93">
              <w:rPr>
                <w:rFonts w:ascii="Arial Narrow" w:hAnsi="Arial Narrow" w:cstheme="minorHAnsi"/>
                <w:b/>
                <w:bCs/>
                <w:sz w:val="20"/>
                <w:szCs w:val="20"/>
              </w:rPr>
              <w:t>Treatment criteria:</w:t>
            </w:r>
          </w:p>
        </w:tc>
      </w:tr>
      <w:tr w:rsidR="00683525" w:rsidRPr="00724E93" w14:paraId="53E427D5" w14:textId="77777777" w:rsidTr="008A0FEF">
        <w:tc>
          <w:tcPr>
            <w:tcW w:w="1512" w:type="dxa"/>
            <w:vAlign w:val="center"/>
          </w:tcPr>
          <w:p w14:paraId="3CF07B0F" w14:textId="5BA75C97" w:rsidR="00683525" w:rsidRPr="00724E93" w:rsidRDefault="00683525" w:rsidP="005038E5">
            <w:pPr>
              <w:jc w:val="center"/>
              <w:rPr>
                <w:rFonts w:ascii="Arial Narrow" w:hAnsi="Arial Narrow" w:cstheme="minorHAnsi"/>
                <w:sz w:val="20"/>
                <w:szCs w:val="20"/>
              </w:rPr>
            </w:pPr>
          </w:p>
        </w:tc>
        <w:tc>
          <w:tcPr>
            <w:tcW w:w="7555" w:type="dxa"/>
            <w:hideMark/>
          </w:tcPr>
          <w:p w14:paraId="70ADBACC" w14:textId="77777777" w:rsidR="00683525" w:rsidRPr="00724E93" w:rsidRDefault="00683525" w:rsidP="005038E5">
            <w:pPr>
              <w:rPr>
                <w:rFonts w:ascii="Arial Narrow" w:hAnsi="Arial Narrow" w:cstheme="minorHAnsi"/>
                <w:bCs/>
                <w:sz w:val="20"/>
                <w:szCs w:val="20"/>
              </w:rPr>
            </w:pPr>
            <w:r w:rsidRPr="00724E93">
              <w:rPr>
                <w:rFonts w:ascii="Arial Narrow" w:hAnsi="Arial Narrow" w:cstheme="minorHAnsi"/>
                <w:bCs/>
                <w:sz w:val="20"/>
                <w:szCs w:val="20"/>
              </w:rPr>
              <w:t>Must be treated in a centre with expertise in cystic fibrosis or in consultation with a centre with expertise in cystic fibrosis if attendance is not possible due to geographic isolation</w:t>
            </w:r>
          </w:p>
        </w:tc>
      </w:tr>
      <w:tr w:rsidR="00683525" w:rsidRPr="00724E93" w14:paraId="5B7FFE9F" w14:textId="77777777" w:rsidTr="008A0FEF">
        <w:tc>
          <w:tcPr>
            <w:tcW w:w="1512" w:type="dxa"/>
            <w:vAlign w:val="center"/>
          </w:tcPr>
          <w:p w14:paraId="72D8FCCE" w14:textId="77777777" w:rsidR="00683525" w:rsidRPr="00724E93" w:rsidRDefault="00683525" w:rsidP="005038E5">
            <w:pPr>
              <w:rPr>
                <w:rFonts w:ascii="Arial Narrow" w:hAnsi="Arial Narrow" w:cstheme="minorHAnsi"/>
                <w:sz w:val="20"/>
                <w:szCs w:val="20"/>
              </w:rPr>
            </w:pPr>
          </w:p>
        </w:tc>
        <w:tc>
          <w:tcPr>
            <w:tcW w:w="7555" w:type="dxa"/>
            <w:hideMark/>
          </w:tcPr>
          <w:p w14:paraId="0967504B"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bCs/>
                <w:sz w:val="20"/>
                <w:szCs w:val="20"/>
              </w:rPr>
              <w:t>AND</w:t>
            </w:r>
          </w:p>
        </w:tc>
      </w:tr>
      <w:tr w:rsidR="00683525" w:rsidRPr="00724E93" w14:paraId="0860018A" w14:textId="77777777" w:rsidTr="008A0FEF">
        <w:tc>
          <w:tcPr>
            <w:tcW w:w="1512" w:type="dxa"/>
            <w:vAlign w:val="center"/>
          </w:tcPr>
          <w:p w14:paraId="58580E80" w14:textId="3E97F515" w:rsidR="00683525" w:rsidRPr="00724E93" w:rsidRDefault="00683525" w:rsidP="005038E5">
            <w:pPr>
              <w:jc w:val="center"/>
              <w:rPr>
                <w:rFonts w:ascii="Arial Narrow" w:hAnsi="Arial Narrow" w:cstheme="minorHAnsi"/>
                <w:sz w:val="20"/>
                <w:szCs w:val="20"/>
              </w:rPr>
            </w:pPr>
          </w:p>
        </w:tc>
        <w:tc>
          <w:tcPr>
            <w:tcW w:w="7555" w:type="dxa"/>
            <w:hideMark/>
          </w:tcPr>
          <w:p w14:paraId="45311E30"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bCs/>
                <w:sz w:val="20"/>
                <w:szCs w:val="20"/>
              </w:rPr>
              <w:t>Clinical criteria:</w:t>
            </w:r>
          </w:p>
        </w:tc>
      </w:tr>
      <w:tr w:rsidR="00683525" w:rsidRPr="00724E93" w14:paraId="71C165FC" w14:textId="77777777" w:rsidTr="008A0FEF">
        <w:tc>
          <w:tcPr>
            <w:tcW w:w="1512" w:type="dxa"/>
            <w:vAlign w:val="center"/>
          </w:tcPr>
          <w:p w14:paraId="6627C666" w14:textId="66A1F381" w:rsidR="00683525" w:rsidRPr="00724E93" w:rsidRDefault="00683525" w:rsidP="005038E5">
            <w:pPr>
              <w:jc w:val="center"/>
              <w:rPr>
                <w:rFonts w:ascii="Arial Narrow" w:hAnsi="Arial Narrow" w:cstheme="minorHAnsi"/>
                <w:sz w:val="20"/>
                <w:szCs w:val="20"/>
              </w:rPr>
            </w:pPr>
          </w:p>
        </w:tc>
        <w:tc>
          <w:tcPr>
            <w:tcW w:w="7555" w:type="dxa"/>
          </w:tcPr>
          <w:p w14:paraId="1EF32AE5" w14:textId="77777777" w:rsidR="00683525" w:rsidRPr="00724E93" w:rsidRDefault="00683525" w:rsidP="005038E5">
            <w:pPr>
              <w:keepNext/>
              <w:rPr>
                <w:rFonts w:ascii="Arial Narrow" w:hAnsi="Arial Narrow" w:cstheme="minorHAnsi"/>
                <w:sz w:val="20"/>
                <w:szCs w:val="20"/>
              </w:rPr>
            </w:pPr>
            <w:r w:rsidRPr="00724E93">
              <w:rPr>
                <w:rFonts w:ascii="Arial Narrow" w:hAnsi="Arial Narrow" w:cstheme="minorHAnsi"/>
                <w:sz w:val="20"/>
                <w:szCs w:val="20"/>
              </w:rPr>
              <w:t>Patient must have at least one F508del mutation in the cystic fibrosis transmembrane conductance (CFTR) gene</w:t>
            </w:r>
          </w:p>
        </w:tc>
      </w:tr>
      <w:tr w:rsidR="00683525" w:rsidRPr="00724E93" w14:paraId="33B529B3" w14:textId="77777777" w:rsidTr="008A0FEF">
        <w:tc>
          <w:tcPr>
            <w:tcW w:w="1512" w:type="dxa"/>
            <w:vAlign w:val="center"/>
          </w:tcPr>
          <w:p w14:paraId="237269BD" w14:textId="77777777" w:rsidR="00683525" w:rsidRPr="00724E93" w:rsidRDefault="00683525" w:rsidP="005038E5">
            <w:pPr>
              <w:jc w:val="center"/>
              <w:rPr>
                <w:rFonts w:ascii="Arial Narrow" w:hAnsi="Arial Narrow" w:cstheme="minorHAnsi"/>
                <w:sz w:val="20"/>
                <w:szCs w:val="20"/>
              </w:rPr>
            </w:pPr>
          </w:p>
        </w:tc>
        <w:tc>
          <w:tcPr>
            <w:tcW w:w="7555" w:type="dxa"/>
            <w:hideMark/>
          </w:tcPr>
          <w:p w14:paraId="774F2E6E"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b/>
                <w:bCs/>
                <w:sz w:val="20"/>
                <w:szCs w:val="20"/>
              </w:rPr>
              <w:t>AND</w:t>
            </w:r>
          </w:p>
        </w:tc>
      </w:tr>
      <w:tr w:rsidR="00683525" w:rsidRPr="00724E93" w14:paraId="2063734B" w14:textId="77777777" w:rsidTr="008A0FEF">
        <w:tc>
          <w:tcPr>
            <w:tcW w:w="1512" w:type="dxa"/>
            <w:vAlign w:val="center"/>
          </w:tcPr>
          <w:p w14:paraId="480D75B1" w14:textId="6E0783A3" w:rsidR="00683525" w:rsidRPr="00724E93" w:rsidRDefault="00683525" w:rsidP="005038E5">
            <w:pPr>
              <w:jc w:val="center"/>
              <w:rPr>
                <w:rFonts w:ascii="Arial Narrow" w:hAnsi="Arial Narrow" w:cstheme="minorHAnsi"/>
                <w:sz w:val="20"/>
                <w:szCs w:val="20"/>
              </w:rPr>
            </w:pPr>
          </w:p>
        </w:tc>
        <w:tc>
          <w:tcPr>
            <w:tcW w:w="7555" w:type="dxa"/>
          </w:tcPr>
          <w:p w14:paraId="4768F3F2" w14:textId="77777777" w:rsidR="00683525" w:rsidRPr="00724E93" w:rsidRDefault="00683525" w:rsidP="005038E5">
            <w:pPr>
              <w:rPr>
                <w:rFonts w:ascii="Arial Narrow" w:hAnsi="Arial Narrow" w:cstheme="minorHAnsi"/>
                <w:b/>
                <w:bCs/>
                <w:sz w:val="20"/>
                <w:szCs w:val="20"/>
              </w:rPr>
            </w:pPr>
            <w:r w:rsidRPr="00724E93">
              <w:rPr>
                <w:rFonts w:ascii="Arial Narrow" w:hAnsi="Arial Narrow" w:cstheme="minorHAnsi"/>
                <w:b/>
                <w:bCs/>
                <w:sz w:val="20"/>
                <w:szCs w:val="20"/>
              </w:rPr>
              <w:t>Clinical criteria:</w:t>
            </w:r>
          </w:p>
        </w:tc>
      </w:tr>
      <w:tr w:rsidR="00683525" w:rsidRPr="00724E93" w14:paraId="35BCC2B5" w14:textId="77777777" w:rsidTr="008A0FEF">
        <w:tc>
          <w:tcPr>
            <w:tcW w:w="1512" w:type="dxa"/>
            <w:vAlign w:val="center"/>
          </w:tcPr>
          <w:p w14:paraId="224AB8B3" w14:textId="3151F402" w:rsidR="00683525" w:rsidRPr="00724E93" w:rsidRDefault="00683525" w:rsidP="005038E5">
            <w:pPr>
              <w:jc w:val="center"/>
              <w:rPr>
                <w:rFonts w:ascii="Arial Narrow" w:hAnsi="Arial Narrow" w:cstheme="minorHAnsi"/>
                <w:sz w:val="20"/>
                <w:szCs w:val="20"/>
              </w:rPr>
            </w:pPr>
          </w:p>
        </w:tc>
        <w:tc>
          <w:tcPr>
            <w:tcW w:w="7555" w:type="dxa"/>
          </w:tcPr>
          <w:p w14:paraId="279C6433" w14:textId="77777777" w:rsidR="00683525" w:rsidRPr="00724E93" w:rsidRDefault="00683525" w:rsidP="005038E5">
            <w:pPr>
              <w:keepNext/>
              <w:rPr>
                <w:rFonts w:ascii="Arial Narrow" w:hAnsi="Arial Narrow" w:cstheme="minorHAnsi"/>
                <w:bCs/>
                <w:sz w:val="20"/>
                <w:szCs w:val="20"/>
              </w:rPr>
            </w:pPr>
            <w:r w:rsidRPr="00724E93">
              <w:rPr>
                <w:rFonts w:ascii="Arial Narrow" w:hAnsi="Arial Narrow" w:cstheme="minorHAnsi"/>
                <w:sz w:val="20"/>
                <w:szCs w:val="20"/>
              </w:rPr>
              <w:t>The treatment must be given concomitantly with standard therapy for this condition.</w:t>
            </w:r>
          </w:p>
        </w:tc>
      </w:tr>
      <w:tr w:rsidR="00683525" w:rsidRPr="00724E93" w14:paraId="01634D10" w14:textId="77777777" w:rsidTr="008A0FEF">
        <w:tc>
          <w:tcPr>
            <w:tcW w:w="1512" w:type="dxa"/>
            <w:vAlign w:val="center"/>
          </w:tcPr>
          <w:p w14:paraId="25866CDA" w14:textId="77777777" w:rsidR="00683525" w:rsidRPr="00724E93" w:rsidRDefault="00683525" w:rsidP="005038E5">
            <w:pPr>
              <w:jc w:val="center"/>
              <w:rPr>
                <w:rFonts w:ascii="Arial Narrow" w:hAnsi="Arial Narrow" w:cstheme="minorHAnsi"/>
                <w:sz w:val="20"/>
                <w:szCs w:val="20"/>
              </w:rPr>
            </w:pPr>
          </w:p>
        </w:tc>
        <w:tc>
          <w:tcPr>
            <w:tcW w:w="7555" w:type="dxa"/>
          </w:tcPr>
          <w:p w14:paraId="310AAB88" w14:textId="77777777" w:rsidR="00683525" w:rsidRPr="00724E93" w:rsidRDefault="00683525" w:rsidP="005038E5">
            <w:pPr>
              <w:rPr>
                <w:rFonts w:ascii="Arial Narrow" w:hAnsi="Arial Narrow" w:cstheme="minorHAnsi"/>
                <w:b/>
                <w:bCs/>
                <w:sz w:val="20"/>
                <w:szCs w:val="20"/>
              </w:rPr>
            </w:pPr>
            <w:r w:rsidRPr="00724E93">
              <w:rPr>
                <w:rFonts w:ascii="Arial Narrow" w:hAnsi="Arial Narrow" w:cstheme="minorHAnsi"/>
                <w:b/>
                <w:bCs/>
                <w:sz w:val="20"/>
                <w:szCs w:val="20"/>
              </w:rPr>
              <w:t>AND</w:t>
            </w:r>
          </w:p>
        </w:tc>
      </w:tr>
      <w:tr w:rsidR="00683525" w:rsidRPr="00724E93" w14:paraId="0D151E9C" w14:textId="77777777" w:rsidTr="008A0FEF">
        <w:tc>
          <w:tcPr>
            <w:tcW w:w="1512" w:type="dxa"/>
            <w:vAlign w:val="center"/>
          </w:tcPr>
          <w:p w14:paraId="59900B52" w14:textId="300ACADE" w:rsidR="00683525" w:rsidRPr="00724E93" w:rsidRDefault="00683525" w:rsidP="005038E5">
            <w:pPr>
              <w:jc w:val="center"/>
              <w:rPr>
                <w:rFonts w:ascii="Arial Narrow" w:hAnsi="Arial Narrow" w:cstheme="minorHAnsi"/>
                <w:sz w:val="20"/>
                <w:szCs w:val="20"/>
              </w:rPr>
            </w:pPr>
          </w:p>
        </w:tc>
        <w:tc>
          <w:tcPr>
            <w:tcW w:w="7555" w:type="dxa"/>
          </w:tcPr>
          <w:p w14:paraId="060F1E96" w14:textId="77777777" w:rsidR="00683525" w:rsidRPr="00724E93" w:rsidRDefault="00683525" w:rsidP="005038E5">
            <w:pPr>
              <w:rPr>
                <w:rFonts w:ascii="Arial Narrow" w:hAnsi="Arial Narrow" w:cstheme="minorHAnsi"/>
                <w:b/>
                <w:bCs/>
                <w:sz w:val="20"/>
                <w:szCs w:val="20"/>
              </w:rPr>
            </w:pPr>
            <w:r w:rsidRPr="00724E93">
              <w:rPr>
                <w:rFonts w:ascii="Arial Narrow" w:hAnsi="Arial Narrow" w:cstheme="minorHAnsi"/>
                <w:b/>
                <w:bCs/>
                <w:sz w:val="20"/>
                <w:szCs w:val="20"/>
              </w:rPr>
              <w:t>Clinical Criteria:</w:t>
            </w:r>
          </w:p>
        </w:tc>
      </w:tr>
      <w:tr w:rsidR="00683525" w:rsidRPr="00724E93" w14:paraId="78ECDC4F" w14:textId="77777777" w:rsidTr="008A0FEF">
        <w:tc>
          <w:tcPr>
            <w:tcW w:w="1512" w:type="dxa"/>
            <w:vAlign w:val="center"/>
          </w:tcPr>
          <w:p w14:paraId="7E441066" w14:textId="29156DD5" w:rsidR="00683525" w:rsidRPr="00724E93" w:rsidRDefault="00683525" w:rsidP="005038E5">
            <w:pPr>
              <w:jc w:val="center"/>
              <w:rPr>
                <w:rFonts w:ascii="Arial Narrow" w:hAnsi="Arial Narrow" w:cstheme="minorHAnsi"/>
                <w:bCs/>
                <w:sz w:val="20"/>
                <w:szCs w:val="20"/>
              </w:rPr>
            </w:pPr>
          </w:p>
        </w:tc>
        <w:tc>
          <w:tcPr>
            <w:tcW w:w="7555" w:type="dxa"/>
          </w:tcPr>
          <w:p w14:paraId="14360F12"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Patient must have either chronic sinopulmonary disease or gastrointestinal and nutritional abnormalities, prior to initiating treatment with this drug</w:t>
            </w:r>
          </w:p>
        </w:tc>
      </w:tr>
      <w:tr w:rsidR="00683525" w:rsidRPr="00724E93" w14:paraId="5BC82157" w14:textId="77777777" w:rsidTr="008A0FEF">
        <w:tc>
          <w:tcPr>
            <w:tcW w:w="1512" w:type="dxa"/>
            <w:vAlign w:val="center"/>
          </w:tcPr>
          <w:p w14:paraId="31CCBA70" w14:textId="77777777" w:rsidR="00683525" w:rsidRPr="00724E93" w:rsidRDefault="00683525" w:rsidP="005038E5">
            <w:pPr>
              <w:jc w:val="center"/>
              <w:rPr>
                <w:rFonts w:ascii="Arial Narrow" w:hAnsi="Arial Narrow" w:cstheme="minorHAnsi"/>
                <w:sz w:val="20"/>
                <w:szCs w:val="20"/>
              </w:rPr>
            </w:pPr>
          </w:p>
        </w:tc>
        <w:tc>
          <w:tcPr>
            <w:tcW w:w="7555" w:type="dxa"/>
          </w:tcPr>
          <w:p w14:paraId="1619185B" w14:textId="77777777" w:rsidR="00683525" w:rsidRPr="00724E93" w:rsidRDefault="00683525" w:rsidP="005038E5">
            <w:pPr>
              <w:rPr>
                <w:rFonts w:ascii="Arial Narrow" w:hAnsi="Arial Narrow" w:cstheme="minorHAnsi"/>
                <w:bCs/>
                <w:sz w:val="20"/>
                <w:szCs w:val="20"/>
              </w:rPr>
            </w:pPr>
            <w:r w:rsidRPr="00724E93">
              <w:rPr>
                <w:rFonts w:ascii="Arial Narrow" w:hAnsi="Arial Narrow" w:cstheme="minorHAnsi"/>
                <w:b/>
                <w:bCs/>
                <w:sz w:val="20"/>
                <w:szCs w:val="20"/>
              </w:rPr>
              <w:t>Population criteria:</w:t>
            </w:r>
          </w:p>
        </w:tc>
      </w:tr>
      <w:tr w:rsidR="00683525" w:rsidRPr="00724E93" w14:paraId="0F2E2F2C" w14:textId="77777777" w:rsidTr="008A0FEF">
        <w:tc>
          <w:tcPr>
            <w:tcW w:w="1512" w:type="dxa"/>
            <w:vAlign w:val="center"/>
          </w:tcPr>
          <w:p w14:paraId="27B3EEFB" w14:textId="36234D49" w:rsidR="00683525" w:rsidRPr="00724E93" w:rsidRDefault="00683525" w:rsidP="005038E5">
            <w:pPr>
              <w:jc w:val="center"/>
              <w:rPr>
                <w:rFonts w:ascii="Arial Narrow" w:hAnsi="Arial Narrow" w:cstheme="minorHAnsi"/>
                <w:sz w:val="20"/>
                <w:szCs w:val="20"/>
              </w:rPr>
            </w:pPr>
          </w:p>
        </w:tc>
        <w:tc>
          <w:tcPr>
            <w:tcW w:w="7555" w:type="dxa"/>
          </w:tcPr>
          <w:p w14:paraId="3CE3EDFF" w14:textId="77777777" w:rsidR="00683525" w:rsidRPr="00724E93" w:rsidRDefault="00683525" w:rsidP="005038E5">
            <w:pPr>
              <w:keepNext/>
              <w:rPr>
                <w:rFonts w:ascii="Arial Narrow" w:hAnsi="Arial Narrow" w:cstheme="minorHAnsi"/>
                <w:bCs/>
                <w:sz w:val="20"/>
                <w:szCs w:val="20"/>
              </w:rPr>
            </w:pPr>
            <w:r w:rsidRPr="003B5273">
              <w:rPr>
                <w:rFonts w:ascii="Arial Narrow" w:hAnsi="Arial Narrow" w:cstheme="minorHAnsi"/>
                <w:sz w:val="20"/>
                <w:szCs w:val="20"/>
              </w:rPr>
              <w:t>Patient must be aged between 6 and 11 years inclusive.</w:t>
            </w:r>
          </w:p>
        </w:tc>
      </w:tr>
      <w:tr w:rsidR="00683525" w:rsidRPr="00724E93" w14:paraId="14B12A79" w14:textId="77777777" w:rsidTr="008A0FEF">
        <w:tc>
          <w:tcPr>
            <w:tcW w:w="1512" w:type="dxa"/>
            <w:vAlign w:val="center"/>
          </w:tcPr>
          <w:p w14:paraId="79D47529" w14:textId="77777777" w:rsidR="00683525" w:rsidRPr="00724E93" w:rsidRDefault="00683525" w:rsidP="005038E5">
            <w:pPr>
              <w:jc w:val="center"/>
              <w:rPr>
                <w:rFonts w:ascii="Arial Narrow" w:hAnsi="Arial Narrow" w:cstheme="minorHAnsi"/>
                <w:sz w:val="20"/>
                <w:szCs w:val="20"/>
              </w:rPr>
            </w:pPr>
          </w:p>
        </w:tc>
        <w:tc>
          <w:tcPr>
            <w:tcW w:w="7555" w:type="dxa"/>
          </w:tcPr>
          <w:p w14:paraId="669F9F5A" w14:textId="77777777" w:rsidR="00683525" w:rsidRPr="00724E93" w:rsidRDefault="00683525" w:rsidP="005038E5">
            <w:pPr>
              <w:rPr>
                <w:rFonts w:ascii="Arial Narrow" w:hAnsi="Arial Narrow" w:cstheme="minorHAnsi"/>
                <w:b/>
                <w:bCs/>
                <w:sz w:val="20"/>
                <w:szCs w:val="20"/>
              </w:rPr>
            </w:pPr>
          </w:p>
        </w:tc>
      </w:tr>
      <w:tr w:rsidR="00683525" w:rsidRPr="00724E93" w14:paraId="6DD147CF" w14:textId="77777777" w:rsidTr="008A0FEF">
        <w:tc>
          <w:tcPr>
            <w:tcW w:w="1512" w:type="dxa"/>
            <w:vAlign w:val="center"/>
          </w:tcPr>
          <w:p w14:paraId="6BB71136" w14:textId="0358B93F" w:rsidR="00683525" w:rsidRPr="00724E93" w:rsidRDefault="00683525" w:rsidP="005038E5">
            <w:pPr>
              <w:jc w:val="center"/>
              <w:rPr>
                <w:rFonts w:ascii="Arial Narrow" w:hAnsi="Arial Narrow" w:cstheme="minorHAnsi"/>
                <w:sz w:val="20"/>
                <w:szCs w:val="20"/>
              </w:rPr>
            </w:pPr>
          </w:p>
        </w:tc>
        <w:tc>
          <w:tcPr>
            <w:tcW w:w="7555" w:type="dxa"/>
          </w:tcPr>
          <w:p w14:paraId="691C39BA"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7ADF912C" w14:textId="77777777" w:rsidR="00683525" w:rsidRPr="00724E93" w:rsidRDefault="00683525" w:rsidP="005038E5">
            <w:pPr>
              <w:rPr>
                <w:rFonts w:ascii="Arial Narrow" w:hAnsi="Arial Narrow" w:cstheme="minorHAnsi"/>
                <w:sz w:val="20"/>
                <w:szCs w:val="20"/>
              </w:rPr>
            </w:pPr>
            <w:r w:rsidRPr="00724E93">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83525" w:rsidRPr="00724E93" w14:paraId="7E480A45" w14:textId="77777777" w:rsidTr="008A0FEF">
        <w:tc>
          <w:tcPr>
            <w:tcW w:w="1512" w:type="dxa"/>
            <w:vAlign w:val="center"/>
          </w:tcPr>
          <w:p w14:paraId="31AE898D" w14:textId="7DC7638D" w:rsidR="00683525" w:rsidRPr="00724E93" w:rsidRDefault="00683525" w:rsidP="005038E5">
            <w:pPr>
              <w:keepNext/>
              <w:jc w:val="center"/>
              <w:rPr>
                <w:rFonts w:ascii="Arial Narrow" w:hAnsi="Arial Narrow"/>
                <w:sz w:val="20"/>
                <w:szCs w:val="20"/>
              </w:rPr>
            </w:pPr>
          </w:p>
        </w:tc>
        <w:tc>
          <w:tcPr>
            <w:tcW w:w="7555" w:type="dxa"/>
          </w:tcPr>
          <w:p w14:paraId="0FDFC04A"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15E09719"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The authority application must be in writing and must include:</w:t>
            </w:r>
          </w:p>
          <w:p w14:paraId="6411671B"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(1) a completed authority prescription; and</w:t>
            </w:r>
          </w:p>
          <w:p w14:paraId="0AAD6C86" w14:textId="77777777" w:rsidR="00683525" w:rsidRPr="00724E93" w:rsidRDefault="00683525" w:rsidP="005038E5">
            <w:pPr>
              <w:rPr>
                <w:rFonts w:ascii="Arial Narrow" w:hAnsi="Arial Narrow" w:cstheme="minorHAnsi"/>
                <w:sz w:val="20"/>
                <w:szCs w:val="20"/>
              </w:rPr>
            </w:pPr>
            <w:r w:rsidRPr="00724E93">
              <w:rPr>
                <w:rFonts w:ascii="Arial Narrow" w:hAnsi="Arial Narrow" w:cstheme="minorHAnsi"/>
                <w:sz w:val="20"/>
                <w:szCs w:val="20"/>
              </w:rPr>
              <w:t>(2) a completed Cystic Fibrosis Authority Application Supporting Information Form; and</w:t>
            </w:r>
          </w:p>
          <w:p w14:paraId="3A2911DE" w14:textId="77777777" w:rsidR="00683525" w:rsidRPr="00724E93" w:rsidRDefault="00683525" w:rsidP="005038E5">
            <w:pPr>
              <w:rPr>
                <w:rFonts w:ascii="Arial Narrow" w:hAnsi="Arial Narrow" w:cstheme="minorBidi"/>
                <w:sz w:val="20"/>
                <w:szCs w:val="20"/>
              </w:rPr>
            </w:pPr>
            <w:r w:rsidRPr="00724E93">
              <w:rPr>
                <w:rFonts w:ascii="Arial Narrow" w:hAnsi="Arial Narrow" w:cstheme="minorBidi"/>
                <w:sz w:val="20"/>
                <w:szCs w:val="20"/>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549F4C89" w14:textId="77777777" w:rsidR="00683525" w:rsidRPr="00724E93" w:rsidRDefault="00683525" w:rsidP="005038E5">
            <w:pPr>
              <w:keepNext/>
              <w:rPr>
                <w:rFonts w:ascii="Arial Narrow" w:hAnsi="Arial Narrow"/>
                <w:sz w:val="20"/>
                <w:szCs w:val="20"/>
              </w:rPr>
            </w:pPr>
            <w:r w:rsidRPr="00724E93">
              <w:rPr>
                <w:rFonts w:ascii="Arial Narrow" w:hAnsi="Arial Narrow" w:cstheme="minorHAnsi"/>
                <w:sz w:val="20"/>
                <w:szCs w:val="20"/>
              </w:rPr>
              <w:t>(4) current CYP3A4 inhibitors, CYP3A4 inducers and IV antibiotics</w:t>
            </w:r>
          </w:p>
        </w:tc>
      </w:tr>
      <w:tr w:rsidR="00683525" w:rsidRPr="00724E93" w14:paraId="10AEE1CA" w14:textId="77777777" w:rsidTr="008A0FEF">
        <w:tc>
          <w:tcPr>
            <w:tcW w:w="9067" w:type="dxa"/>
            <w:gridSpan w:val="2"/>
            <w:vAlign w:val="center"/>
          </w:tcPr>
          <w:p w14:paraId="3276BFF5" w14:textId="77777777" w:rsidR="00683525" w:rsidRPr="00724E93" w:rsidRDefault="00683525" w:rsidP="005038E5">
            <w:pPr>
              <w:keepNext/>
              <w:rPr>
                <w:rFonts w:ascii="Arial Narrow" w:hAnsi="Arial Narrow"/>
                <w:sz w:val="20"/>
                <w:szCs w:val="20"/>
              </w:rPr>
            </w:pPr>
          </w:p>
        </w:tc>
      </w:tr>
      <w:tr w:rsidR="00683525" w:rsidRPr="00724E93" w14:paraId="6F16C9D1" w14:textId="77777777" w:rsidTr="008A0FEF">
        <w:tc>
          <w:tcPr>
            <w:tcW w:w="9067" w:type="dxa"/>
            <w:gridSpan w:val="2"/>
            <w:vAlign w:val="center"/>
          </w:tcPr>
          <w:p w14:paraId="2018B64F" w14:textId="77777777" w:rsidR="00683525" w:rsidRDefault="00683525" w:rsidP="005038E5">
            <w:pPr>
              <w:keepNext/>
              <w:rPr>
                <w:rFonts w:ascii="Arial Narrow" w:hAnsi="Arial Narrow"/>
                <w:sz w:val="20"/>
                <w:szCs w:val="20"/>
              </w:rPr>
            </w:pPr>
            <w:r w:rsidRPr="007745AC">
              <w:rPr>
                <w:rFonts w:ascii="Arial Narrow" w:hAnsi="Arial Narrow" w:cstheme="minorHAnsi"/>
                <w:b/>
                <w:sz w:val="20"/>
                <w:szCs w:val="20"/>
              </w:rPr>
              <w:t xml:space="preserve">Restriction Summary </w:t>
            </w:r>
            <w:r>
              <w:rPr>
                <w:rFonts w:ascii="Arial Narrow" w:hAnsi="Arial Narrow" w:cstheme="minorHAnsi"/>
                <w:b/>
                <w:sz w:val="20"/>
                <w:szCs w:val="20"/>
              </w:rPr>
              <w:t>[new]</w:t>
            </w:r>
            <w:r w:rsidRPr="007745AC">
              <w:rPr>
                <w:rFonts w:ascii="Arial Narrow" w:hAnsi="Arial Narrow" w:cstheme="minorHAnsi"/>
                <w:b/>
                <w:sz w:val="20"/>
                <w:szCs w:val="20"/>
              </w:rPr>
              <w:t xml:space="preserve"> / ToC: </w:t>
            </w:r>
            <w:r>
              <w:rPr>
                <w:rFonts w:ascii="Arial Narrow" w:hAnsi="Arial Narrow" w:cstheme="minorHAnsi"/>
                <w:b/>
                <w:sz w:val="20"/>
                <w:szCs w:val="20"/>
              </w:rPr>
              <w:t>[new]</w:t>
            </w:r>
            <w:r w:rsidRPr="007745AC">
              <w:rPr>
                <w:rFonts w:ascii="Arial Narrow" w:hAnsi="Arial Narrow" w:cstheme="minorHAnsi"/>
                <w:b/>
                <w:sz w:val="20"/>
                <w:szCs w:val="20"/>
              </w:rPr>
              <w:t>: Authority Required</w:t>
            </w:r>
          </w:p>
        </w:tc>
      </w:tr>
      <w:tr w:rsidR="00683525" w:rsidRPr="00724E93" w14:paraId="36F43765" w14:textId="77777777" w:rsidTr="008A0FEF">
        <w:tc>
          <w:tcPr>
            <w:tcW w:w="1512" w:type="dxa"/>
            <w:vAlign w:val="center"/>
          </w:tcPr>
          <w:p w14:paraId="58493DF3" w14:textId="77777777" w:rsidR="00683525" w:rsidRPr="00724E93" w:rsidRDefault="00683525" w:rsidP="005038E5">
            <w:pPr>
              <w:jc w:val="center"/>
              <w:rPr>
                <w:rFonts w:ascii="Arial Narrow" w:hAnsi="Arial Narrow"/>
                <w:sz w:val="20"/>
                <w:szCs w:val="20"/>
              </w:rPr>
            </w:pPr>
          </w:p>
        </w:tc>
        <w:tc>
          <w:tcPr>
            <w:tcW w:w="7555" w:type="dxa"/>
          </w:tcPr>
          <w:p w14:paraId="0CDA8A31" w14:textId="77777777" w:rsidR="00683525" w:rsidRPr="00724E93" w:rsidRDefault="00683525" w:rsidP="005038E5">
            <w:pPr>
              <w:rPr>
                <w:rFonts w:ascii="Arial Narrow" w:hAnsi="Arial Narrow"/>
                <w:b/>
                <w:bCs/>
                <w:sz w:val="20"/>
                <w:szCs w:val="20"/>
              </w:rPr>
            </w:pPr>
          </w:p>
        </w:tc>
      </w:tr>
      <w:tr w:rsidR="00683525" w:rsidRPr="00724E93" w14:paraId="0F14E15D" w14:textId="77777777" w:rsidTr="008A0FEF">
        <w:tc>
          <w:tcPr>
            <w:tcW w:w="1512" w:type="dxa"/>
            <w:vAlign w:val="center"/>
            <w:hideMark/>
          </w:tcPr>
          <w:p w14:paraId="51FDDD01" w14:textId="77777777" w:rsidR="00683525" w:rsidRPr="00724E93" w:rsidRDefault="00683525" w:rsidP="005038E5">
            <w:pPr>
              <w:jc w:val="center"/>
              <w:rPr>
                <w:rFonts w:ascii="Arial Narrow" w:hAnsi="Arial Narrow"/>
                <w:sz w:val="20"/>
                <w:szCs w:val="20"/>
              </w:rPr>
            </w:pPr>
          </w:p>
        </w:tc>
        <w:tc>
          <w:tcPr>
            <w:tcW w:w="7555" w:type="dxa"/>
            <w:hideMark/>
          </w:tcPr>
          <w:p w14:paraId="13145BDD" w14:textId="77777777" w:rsidR="00683525" w:rsidRPr="00724E93" w:rsidRDefault="00683525" w:rsidP="005038E5">
            <w:pPr>
              <w:rPr>
                <w:rFonts w:ascii="Arial Narrow" w:hAnsi="Arial Narrow"/>
                <w:sz w:val="20"/>
                <w:szCs w:val="20"/>
              </w:rPr>
            </w:pPr>
            <w:r w:rsidRPr="00724E93">
              <w:rPr>
                <w:rFonts w:ascii="Arial Narrow" w:hAnsi="Arial Narrow"/>
                <w:b/>
                <w:bCs/>
                <w:sz w:val="20"/>
                <w:szCs w:val="20"/>
              </w:rPr>
              <w:t xml:space="preserve">Treatment Phase: </w:t>
            </w:r>
            <w:r w:rsidRPr="00724E93">
              <w:rPr>
                <w:rFonts w:ascii="Arial Narrow" w:hAnsi="Arial Narrow"/>
                <w:bCs/>
                <w:sz w:val="20"/>
                <w:szCs w:val="20"/>
              </w:rPr>
              <w:t xml:space="preserve">Continuing treatment </w:t>
            </w:r>
          </w:p>
        </w:tc>
      </w:tr>
      <w:tr w:rsidR="00683525" w:rsidRPr="00724E93" w14:paraId="70497907" w14:textId="77777777" w:rsidTr="008A0FEF">
        <w:tc>
          <w:tcPr>
            <w:tcW w:w="1512" w:type="dxa"/>
            <w:vAlign w:val="center"/>
          </w:tcPr>
          <w:p w14:paraId="2F16697A" w14:textId="77777777" w:rsidR="00683525" w:rsidRPr="00724E93" w:rsidRDefault="00683525" w:rsidP="005038E5">
            <w:pPr>
              <w:jc w:val="center"/>
              <w:rPr>
                <w:rFonts w:ascii="Arial Narrow" w:hAnsi="Arial Narrow"/>
                <w:sz w:val="20"/>
                <w:szCs w:val="20"/>
              </w:rPr>
            </w:pPr>
          </w:p>
        </w:tc>
        <w:tc>
          <w:tcPr>
            <w:tcW w:w="7555" w:type="dxa"/>
          </w:tcPr>
          <w:p w14:paraId="09D94C1C" w14:textId="77777777" w:rsidR="00683525" w:rsidRPr="00724E93" w:rsidRDefault="00683525" w:rsidP="005038E5">
            <w:pPr>
              <w:rPr>
                <w:rFonts w:ascii="Arial Narrow" w:hAnsi="Arial Narrow"/>
                <w:b/>
                <w:bCs/>
                <w:sz w:val="20"/>
                <w:szCs w:val="20"/>
              </w:rPr>
            </w:pPr>
          </w:p>
        </w:tc>
      </w:tr>
      <w:tr w:rsidR="00683525" w:rsidRPr="00724E93" w14:paraId="1D734C66" w14:textId="77777777" w:rsidTr="008A0FEF">
        <w:tc>
          <w:tcPr>
            <w:tcW w:w="1512" w:type="dxa"/>
            <w:vAlign w:val="center"/>
          </w:tcPr>
          <w:p w14:paraId="4DB4FDD9" w14:textId="654304DE" w:rsidR="00683525" w:rsidRPr="00724E93" w:rsidRDefault="00683525" w:rsidP="005038E5">
            <w:pPr>
              <w:jc w:val="center"/>
              <w:rPr>
                <w:rFonts w:ascii="Arial Narrow" w:hAnsi="Arial Narrow"/>
                <w:sz w:val="20"/>
                <w:szCs w:val="20"/>
              </w:rPr>
            </w:pPr>
          </w:p>
        </w:tc>
        <w:tc>
          <w:tcPr>
            <w:tcW w:w="7555" w:type="dxa"/>
            <w:hideMark/>
          </w:tcPr>
          <w:p w14:paraId="337B54DC" w14:textId="77777777" w:rsidR="00683525" w:rsidRPr="00724E93" w:rsidRDefault="00683525" w:rsidP="005038E5">
            <w:pPr>
              <w:rPr>
                <w:rFonts w:ascii="Arial Narrow" w:hAnsi="Arial Narrow"/>
                <w:b/>
                <w:bCs/>
                <w:sz w:val="20"/>
                <w:szCs w:val="20"/>
              </w:rPr>
            </w:pPr>
            <w:r w:rsidRPr="00724E93">
              <w:rPr>
                <w:rFonts w:ascii="Arial Narrow" w:hAnsi="Arial Narrow"/>
                <w:b/>
                <w:bCs/>
                <w:sz w:val="20"/>
                <w:szCs w:val="20"/>
              </w:rPr>
              <w:t>Treatment criteria:</w:t>
            </w:r>
          </w:p>
        </w:tc>
      </w:tr>
      <w:tr w:rsidR="00683525" w:rsidRPr="00724E93" w14:paraId="3BE41710" w14:textId="77777777" w:rsidTr="008A0FEF">
        <w:tc>
          <w:tcPr>
            <w:tcW w:w="1512" w:type="dxa"/>
            <w:vAlign w:val="center"/>
          </w:tcPr>
          <w:p w14:paraId="6B469BAD" w14:textId="571EA12C" w:rsidR="00683525" w:rsidRPr="00724E93" w:rsidRDefault="00683525" w:rsidP="005038E5">
            <w:pPr>
              <w:jc w:val="center"/>
              <w:rPr>
                <w:rFonts w:ascii="Arial Narrow" w:hAnsi="Arial Narrow"/>
                <w:sz w:val="20"/>
                <w:szCs w:val="20"/>
              </w:rPr>
            </w:pPr>
          </w:p>
        </w:tc>
        <w:tc>
          <w:tcPr>
            <w:tcW w:w="7555" w:type="dxa"/>
            <w:hideMark/>
          </w:tcPr>
          <w:p w14:paraId="0ECF25A6" w14:textId="77777777" w:rsidR="00683525" w:rsidRPr="00724E93" w:rsidRDefault="00683525" w:rsidP="005038E5">
            <w:pPr>
              <w:rPr>
                <w:rFonts w:ascii="Arial Narrow" w:hAnsi="Arial Narrow"/>
                <w:sz w:val="20"/>
                <w:szCs w:val="20"/>
              </w:rPr>
            </w:pPr>
            <w:r w:rsidRPr="00724E93">
              <w:rPr>
                <w:rFonts w:ascii="Arial Narrow" w:hAnsi="Arial Narrow"/>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83525" w:rsidRPr="00724E93" w14:paraId="1AF204FC" w14:textId="77777777" w:rsidTr="008A0FEF">
        <w:tc>
          <w:tcPr>
            <w:tcW w:w="1512" w:type="dxa"/>
            <w:vAlign w:val="center"/>
          </w:tcPr>
          <w:p w14:paraId="38559EC6" w14:textId="77777777" w:rsidR="00683525" w:rsidRPr="00724E93" w:rsidRDefault="00683525" w:rsidP="005038E5">
            <w:pPr>
              <w:jc w:val="center"/>
              <w:rPr>
                <w:rFonts w:ascii="Arial Narrow" w:hAnsi="Arial Narrow"/>
                <w:sz w:val="20"/>
                <w:szCs w:val="20"/>
              </w:rPr>
            </w:pPr>
          </w:p>
        </w:tc>
        <w:tc>
          <w:tcPr>
            <w:tcW w:w="7555" w:type="dxa"/>
            <w:hideMark/>
          </w:tcPr>
          <w:p w14:paraId="47B8E33A" w14:textId="77777777" w:rsidR="00683525" w:rsidRPr="00724E93" w:rsidRDefault="00683525" w:rsidP="005038E5">
            <w:pPr>
              <w:rPr>
                <w:rFonts w:ascii="Arial Narrow" w:hAnsi="Arial Narrow"/>
                <w:b/>
                <w:bCs/>
                <w:sz w:val="20"/>
                <w:szCs w:val="20"/>
              </w:rPr>
            </w:pPr>
            <w:r w:rsidRPr="00724E93">
              <w:rPr>
                <w:rFonts w:ascii="Arial Narrow" w:hAnsi="Arial Narrow"/>
                <w:b/>
                <w:bCs/>
                <w:sz w:val="20"/>
                <w:szCs w:val="20"/>
              </w:rPr>
              <w:t>AND</w:t>
            </w:r>
          </w:p>
        </w:tc>
      </w:tr>
      <w:tr w:rsidR="00683525" w:rsidRPr="00724E93" w14:paraId="74A92576" w14:textId="77777777" w:rsidTr="008A0FEF">
        <w:tc>
          <w:tcPr>
            <w:tcW w:w="1512" w:type="dxa"/>
            <w:vAlign w:val="center"/>
          </w:tcPr>
          <w:p w14:paraId="51B5F403" w14:textId="77777777" w:rsidR="00683525" w:rsidRPr="00724E93" w:rsidRDefault="00683525" w:rsidP="005038E5">
            <w:pPr>
              <w:jc w:val="center"/>
              <w:rPr>
                <w:rFonts w:ascii="Arial Narrow" w:hAnsi="Arial Narrow"/>
                <w:sz w:val="20"/>
                <w:szCs w:val="20"/>
              </w:rPr>
            </w:pPr>
          </w:p>
        </w:tc>
        <w:tc>
          <w:tcPr>
            <w:tcW w:w="7555" w:type="dxa"/>
          </w:tcPr>
          <w:p w14:paraId="4C5F0755" w14:textId="77777777" w:rsidR="00683525" w:rsidRPr="00724E93" w:rsidRDefault="00683525" w:rsidP="005038E5">
            <w:pPr>
              <w:rPr>
                <w:rFonts w:ascii="Arial Narrow" w:hAnsi="Arial Narrow"/>
                <w:bCs/>
                <w:sz w:val="20"/>
                <w:szCs w:val="20"/>
              </w:rPr>
            </w:pPr>
            <w:r w:rsidRPr="00724E93">
              <w:rPr>
                <w:rFonts w:ascii="Arial Narrow" w:hAnsi="Arial Narrow"/>
                <w:b/>
                <w:bCs/>
                <w:sz w:val="20"/>
                <w:szCs w:val="20"/>
              </w:rPr>
              <w:t>Treatment criteria:</w:t>
            </w:r>
          </w:p>
        </w:tc>
      </w:tr>
      <w:tr w:rsidR="00683525" w:rsidRPr="00724E93" w14:paraId="4F624E55" w14:textId="77777777" w:rsidTr="008A0FEF">
        <w:tc>
          <w:tcPr>
            <w:tcW w:w="1512" w:type="dxa"/>
            <w:vAlign w:val="center"/>
          </w:tcPr>
          <w:p w14:paraId="180F1B0D" w14:textId="4D19FDBC" w:rsidR="00683525" w:rsidRPr="00724E93" w:rsidRDefault="00683525" w:rsidP="005038E5">
            <w:pPr>
              <w:jc w:val="center"/>
              <w:rPr>
                <w:rFonts w:ascii="Arial Narrow" w:hAnsi="Arial Narrow"/>
                <w:sz w:val="20"/>
                <w:szCs w:val="20"/>
              </w:rPr>
            </w:pPr>
          </w:p>
        </w:tc>
        <w:tc>
          <w:tcPr>
            <w:tcW w:w="7555" w:type="dxa"/>
            <w:hideMark/>
          </w:tcPr>
          <w:p w14:paraId="168D8CE1" w14:textId="77777777" w:rsidR="00683525" w:rsidRPr="00724E93" w:rsidRDefault="00683525" w:rsidP="005038E5">
            <w:pPr>
              <w:rPr>
                <w:rFonts w:ascii="Arial Narrow" w:hAnsi="Arial Narrow"/>
                <w:bCs/>
                <w:sz w:val="20"/>
                <w:szCs w:val="20"/>
              </w:rPr>
            </w:pPr>
            <w:r w:rsidRPr="00724E93">
              <w:rPr>
                <w:rFonts w:ascii="Arial Narrow" w:hAnsi="Arial Narrow"/>
                <w:bCs/>
                <w:sz w:val="20"/>
                <w:szCs w:val="20"/>
              </w:rPr>
              <w:t>Must be treated in a centre with expertise in cystic fibrosis or in consultation with a centre with expertise in cystic fibrosis if attendance is not possible due to geographic isolation</w:t>
            </w:r>
          </w:p>
        </w:tc>
      </w:tr>
      <w:tr w:rsidR="00683525" w:rsidRPr="00724E93" w14:paraId="2A625AF0" w14:textId="77777777" w:rsidTr="008A0FEF">
        <w:tc>
          <w:tcPr>
            <w:tcW w:w="1512" w:type="dxa"/>
            <w:vAlign w:val="center"/>
          </w:tcPr>
          <w:p w14:paraId="0963EE5F" w14:textId="77777777" w:rsidR="00683525" w:rsidRPr="00724E93" w:rsidRDefault="00683525" w:rsidP="005038E5">
            <w:pPr>
              <w:jc w:val="center"/>
              <w:rPr>
                <w:rFonts w:ascii="Arial Narrow" w:hAnsi="Arial Narrow"/>
                <w:sz w:val="20"/>
                <w:szCs w:val="20"/>
              </w:rPr>
            </w:pPr>
          </w:p>
        </w:tc>
        <w:tc>
          <w:tcPr>
            <w:tcW w:w="7555" w:type="dxa"/>
            <w:hideMark/>
          </w:tcPr>
          <w:p w14:paraId="59BC5DAB" w14:textId="77777777" w:rsidR="00683525" w:rsidRPr="00724E93" w:rsidRDefault="00683525" w:rsidP="005038E5">
            <w:pPr>
              <w:rPr>
                <w:rFonts w:ascii="Arial Narrow" w:hAnsi="Arial Narrow"/>
                <w:b/>
                <w:sz w:val="20"/>
                <w:szCs w:val="20"/>
              </w:rPr>
            </w:pPr>
            <w:r w:rsidRPr="00724E93">
              <w:rPr>
                <w:rFonts w:ascii="Arial Narrow" w:hAnsi="Arial Narrow"/>
                <w:b/>
                <w:bCs/>
                <w:sz w:val="20"/>
                <w:szCs w:val="20"/>
              </w:rPr>
              <w:t>AND</w:t>
            </w:r>
          </w:p>
        </w:tc>
      </w:tr>
      <w:tr w:rsidR="00683525" w:rsidRPr="00724E93" w14:paraId="468EFB4A" w14:textId="77777777" w:rsidTr="008A0FEF">
        <w:tc>
          <w:tcPr>
            <w:tcW w:w="1512" w:type="dxa"/>
            <w:vAlign w:val="center"/>
          </w:tcPr>
          <w:p w14:paraId="1A477FA8" w14:textId="7927EC96" w:rsidR="00683525" w:rsidRPr="00724E93" w:rsidRDefault="00683525" w:rsidP="005038E5">
            <w:pPr>
              <w:jc w:val="center"/>
              <w:rPr>
                <w:rFonts w:ascii="Arial Narrow" w:hAnsi="Arial Narrow"/>
                <w:sz w:val="20"/>
                <w:szCs w:val="20"/>
              </w:rPr>
            </w:pPr>
          </w:p>
        </w:tc>
        <w:tc>
          <w:tcPr>
            <w:tcW w:w="7555" w:type="dxa"/>
            <w:hideMark/>
          </w:tcPr>
          <w:p w14:paraId="43F91B09" w14:textId="77777777" w:rsidR="00683525" w:rsidRPr="00724E93" w:rsidRDefault="00683525" w:rsidP="005038E5">
            <w:pPr>
              <w:rPr>
                <w:rFonts w:ascii="Arial Narrow" w:hAnsi="Arial Narrow"/>
                <w:sz w:val="20"/>
                <w:szCs w:val="20"/>
              </w:rPr>
            </w:pPr>
            <w:r w:rsidRPr="00724E93">
              <w:rPr>
                <w:rFonts w:ascii="Arial Narrow" w:hAnsi="Arial Narrow"/>
                <w:b/>
                <w:bCs/>
                <w:sz w:val="20"/>
                <w:szCs w:val="20"/>
              </w:rPr>
              <w:t>Clinical criteria:</w:t>
            </w:r>
          </w:p>
        </w:tc>
      </w:tr>
      <w:tr w:rsidR="00683525" w:rsidRPr="00724E93" w14:paraId="5191A3D8" w14:textId="77777777" w:rsidTr="008A0FEF">
        <w:tc>
          <w:tcPr>
            <w:tcW w:w="1512" w:type="dxa"/>
            <w:vAlign w:val="center"/>
          </w:tcPr>
          <w:p w14:paraId="764B299C" w14:textId="0BAC27CA" w:rsidR="00683525" w:rsidRPr="00724E93" w:rsidRDefault="00683525" w:rsidP="005038E5">
            <w:pPr>
              <w:jc w:val="center"/>
              <w:rPr>
                <w:rFonts w:ascii="Arial Narrow" w:hAnsi="Arial Narrow"/>
                <w:sz w:val="20"/>
                <w:szCs w:val="20"/>
              </w:rPr>
            </w:pPr>
          </w:p>
        </w:tc>
        <w:tc>
          <w:tcPr>
            <w:tcW w:w="7555" w:type="dxa"/>
            <w:hideMark/>
          </w:tcPr>
          <w:p w14:paraId="3C883CCF" w14:textId="77777777" w:rsidR="00683525" w:rsidRPr="00724E93" w:rsidRDefault="00683525" w:rsidP="005038E5">
            <w:pPr>
              <w:keepNext/>
              <w:rPr>
                <w:rFonts w:ascii="Arial Narrow" w:hAnsi="Arial Narrow"/>
                <w:sz w:val="20"/>
                <w:szCs w:val="20"/>
              </w:rPr>
            </w:pPr>
            <w:r w:rsidRPr="00724E93">
              <w:rPr>
                <w:rFonts w:ascii="Arial Narrow" w:hAnsi="Arial Narrow"/>
                <w:sz w:val="20"/>
                <w:szCs w:val="20"/>
              </w:rPr>
              <w:t xml:space="preserve">Patient must have previously received PBS-subsidised treatment with this drug for this condition </w:t>
            </w:r>
          </w:p>
        </w:tc>
      </w:tr>
      <w:tr w:rsidR="00683525" w:rsidRPr="00724E93" w14:paraId="70454F54" w14:textId="77777777" w:rsidTr="008A0FEF">
        <w:tc>
          <w:tcPr>
            <w:tcW w:w="1512" w:type="dxa"/>
            <w:vAlign w:val="center"/>
          </w:tcPr>
          <w:p w14:paraId="5B477CB8" w14:textId="77777777" w:rsidR="00683525" w:rsidRPr="00724E93" w:rsidRDefault="00683525" w:rsidP="005038E5">
            <w:pPr>
              <w:jc w:val="center"/>
              <w:rPr>
                <w:rFonts w:ascii="Arial Narrow" w:hAnsi="Arial Narrow"/>
                <w:sz w:val="20"/>
                <w:szCs w:val="20"/>
              </w:rPr>
            </w:pPr>
          </w:p>
        </w:tc>
        <w:tc>
          <w:tcPr>
            <w:tcW w:w="7555" w:type="dxa"/>
            <w:hideMark/>
          </w:tcPr>
          <w:p w14:paraId="60888438" w14:textId="77777777" w:rsidR="00683525" w:rsidRPr="00724E93" w:rsidRDefault="00683525" w:rsidP="005038E5">
            <w:pPr>
              <w:rPr>
                <w:rFonts w:ascii="Arial Narrow" w:hAnsi="Arial Narrow"/>
                <w:sz w:val="20"/>
                <w:szCs w:val="20"/>
              </w:rPr>
            </w:pPr>
            <w:r w:rsidRPr="00724E93">
              <w:rPr>
                <w:rFonts w:ascii="Arial Narrow" w:hAnsi="Arial Narrow"/>
                <w:b/>
                <w:bCs/>
                <w:sz w:val="20"/>
                <w:szCs w:val="20"/>
              </w:rPr>
              <w:t>AND</w:t>
            </w:r>
          </w:p>
        </w:tc>
      </w:tr>
      <w:tr w:rsidR="00683525" w:rsidRPr="00724E93" w14:paraId="2A71AD44" w14:textId="77777777" w:rsidTr="008A0FEF">
        <w:tc>
          <w:tcPr>
            <w:tcW w:w="1512" w:type="dxa"/>
            <w:vAlign w:val="center"/>
          </w:tcPr>
          <w:p w14:paraId="2E013471" w14:textId="667F1612" w:rsidR="00683525" w:rsidRPr="00724E93" w:rsidRDefault="00683525" w:rsidP="005038E5">
            <w:pPr>
              <w:jc w:val="center"/>
              <w:rPr>
                <w:rFonts w:ascii="Arial Narrow" w:hAnsi="Arial Narrow"/>
                <w:sz w:val="20"/>
                <w:szCs w:val="20"/>
              </w:rPr>
            </w:pPr>
          </w:p>
        </w:tc>
        <w:tc>
          <w:tcPr>
            <w:tcW w:w="7555" w:type="dxa"/>
          </w:tcPr>
          <w:p w14:paraId="7F458E51" w14:textId="77777777" w:rsidR="00683525" w:rsidRPr="00724E93" w:rsidRDefault="00683525" w:rsidP="005038E5">
            <w:pPr>
              <w:rPr>
                <w:rFonts w:ascii="Arial Narrow" w:hAnsi="Arial Narrow"/>
                <w:b/>
                <w:bCs/>
                <w:sz w:val="20"/>
                <w:szCs w:val="20"/>
              </w:rPr>
            </w:pPr>
            <w:r w:rsidRPr="00724E93">
              <w:rPr>
                <w:rFonts w:ascii="Arial Narrow" w:hAnsi="Arial Narrow"/>
                <w:b/>
                <w:bCs/>
                <w:sz w:val="20"/>
                <w:szCs w:val="20"/>
              </w:rPr>
              <w:t>Clinical criteria:</w:t>
            </w:r>
          </w:p>
        </w:tc>
      </w:tr>
      <w:tr w:rsidR="00683525" w:rsidRPr="00724E93" w14:paraId="4B7BC612" w14:textId="77777777" w:rsidTr="008A0FEF">
        <w:tc>
          <w:tcPr>
            <w:tcW w:w="1512" w:type="dxa"/>
            <w:vAlign w:val="center"/>
          </w:tcPr>
          <w:p w14:paraId="6610DCA6" w14:textId="347E9864" w:rsidR="00683525" w:rsidRPr="00724E93" w:rsidRDefault="00683525" w:rsidP="005038E5">
            <w:pPr>
              <w:jc w:val="center"/>
              <w:rPr>
                <w:rFonts w:ascii="Arial Narrow" w:hAnsi="Arial Narrow"/>
                <w:sz w:val="20"/>
                <w:szCs w:val="20"/>
              </w:rPr>
            </w:pPr>
          </w:p>
        </w:tc>
        <w:tc>
          <w:tcPr>
            <w:tcW w:w="7555" w:type="dxa"/>
          </w:tcPr>
          <w:p w14:paraId="2FEDA911" w14:textId="77777777" w:rsidR="00683525" w:rsidRPr="00724E93" w:rsidRDefault="00683525" w:rsidP="005038E5">
            <w:pPr>
              <w:keepNext/>
              <w:rPr>
                <w:rFonts w:ascii="Arial Narrow" w:hAnsi="Arial Narrow"/>
                <w:sz w:val="20"/>
                <w:szCs w:val="20"/>
              </w:rPr>
            </w:pPr>
            <w:r w:rsidRPr="00724E93">
              <w:rPr>
                <w:rFonts w:ascii="Arial Narrow" w:hAnsi="Arial Narrow"/>
                <w:sz w:val="20"/>
                <w:szCs w:val="20"/>
              </w:rPr>
              <w:t>The treatment must be given concomitantly with standard therapy for this condition.</w:t>
            </w:r>
          </w:p>
        </w:tc>
      </w:tr>
      <w:tr w:rsidR="00683525" w:rsidRPr="00724E93" w14:paraId="30D2A54C" w14:textId="77777777" w:rsidTr="008A0FEF">
        <w:tc>
          <w:tcPr>
            <w:tcW w:w="1512" w:type="dxa"/>
            <w:vAlign w:val="center"/>
          </w:tcPr>
          <w:p w14:paraId="666A72A9" w14:textId="77777777" w:rsidR="00683525" w:rsidRPr="00724E93" w:rsidRDefault="00683525" w:rsidP="005038E5">
            <w:pPr>
              <w:jc w:val="center"/>
              <w:rPr>
                <w:rFonts w:ascii="Arial Narrow" w:hAnsi="Arial Narrow"/>
                <w:sz w:val="20"/>
                <w:szCs w:val="20"/>
              </w:rPr>
            </w:pPr>
          </w:p>
        </w:tc>
        <w:tc>
          <w:tcPr>
            <w:tcW w:w="7555" w:type="dxa"/>
          </w:tcPr>
          <w:p w14:paraId="1CBD9A3C" w14:textId="77777777" w:rsidR="00683525" w:rsidRPr="00724E93" w:rsidRDefault="00683525" w:rsidP="005038E5">
            <w:pPr>
              <w:rPr>
                <w:rFonts w:ascii="Arial Narrow" w:hAnsi="Arial Narrow"/>
                <w:b/>
                <w:bCs/>
                <w:sz w:val="20"/>
                <w:szCs w:val="20"/>
              </w:rPr>
            </w:pPr>
            <w:r w:rsidRPr="00724E93">
              <w:rPr>
                <w:rFonts w:ascii="Arial Narrow" w:hAnsi="Arial Narrow"/>
                <w:b/>
                <w:bCs/>
                <w:sz w:val="20"/>
                <w:szCs w:val="20"/>
              </w:rPr>
              <w:t>AND</w:t>
            </w:r>
          </w:p>
        </w:tc>
      </w:tr>
      <w:tr w:rsidR="00683525" w:rsidRPr="00724E93" w14:paraId="0D979172" w14:textId="77777777" w:rsidTr="008A0FEF">
        <w:tc>
          <w:tcPr>
            <w:tcW w:w="1512" w:type="dxa"/>
            <w:vAlign w:val="center"/>
          </w:tcPr>
          <w:p w14:paraId="1C1C229D" w14:textId="77777777" w:rsidR="00683525" w:rsidRPr="00724E93" w:rsidRDefault="00683525" w:rsidP="005038E5">
            <w:pPr>
              <w:jc w:val="center"/>
              <w:rPr>
                <w:rFonts w:ascii="Arial Narrow" w:hAnsi="Arial Narrow"/>
                <w:sz w:val="20"/>
                <w:szCs w:val="20"/>
              </w:rPr>
            </w:pPr>
          </w:p>
        </w:tc>
        <w:tc>
          <w:tcPr>
            <w:tcW w:w="7555" w:type="dxa"/>
          </w:tcPr>
          <w:p w14:paraId="7E6897E1" w14:textId="77777777" w:rsidR="00683525" w:rsidRPr="00724E93" w:rsidRDefault="00683525" w:rsidP="005038E5">
            <w:pPr>
              <w:rPr>
                <w:rFonts w:ascii="Arial Narrow" w:hAnsi="Arial Narrow"/>
                <w:bCs/>
                <w:sz w:val="20"/>
                <w:szCs w:val="20"/>
              </w:rPr>
            </w:pPr>
            <w:r w:rsidRPr="00724E93">
              <w:rPr>
                <w:rFonts w:ascii="Arial Narrow" w:hAnsi="Arial Narrow" w:cstheme="minorHAnsi"/>
                <w:b/>
                <w:bCs/>
                <w:sz w:val="20"/>
                <w:szCs w:val="20"/>
              </w:rPr>
              <w:t>Population criteria:</w:t>
            </w:r>
          </w:p>
        </w:tc>
      </w:tr>
      <w:tr w:rsidR="00683525" w:rsidRPr="00724E93" w14:paraId="19E28825" w14:textId="77777777" w:rsidTr="008A0FEF">
        <w:tc>
          <w:tcPr>
            <w:tcW w:w="1512" w:type="dxa"/>
            <w:vAlign w:val="center"/>
          </w:tcPr>
          <w:p w14:paraId="0AB37BE3" w14:textId="77A904B9" w:rsidR="00683525" w:rsidRPr="00724E93" w:rsidRDefault="00683525" w:rsidP="005038E5">
            <w:pPr>
              <w:jc w:val="center"/>
              <w:rPr>
                <w:rFonts w:ascii="Arial Narrow" w:hAnsi="Arial Narrow"/>
                <w:sz w:val="20"/>
                <w:szCs w:val="20"/>
              </w:rPr>
            </w:pPr>
          </w:p>
        </w:tc>
        <w:tc>
          <w:tcPr>
            <w:tcW w:w="7555" w:type="dxa"/>
          </w:tcPr>
          <w:p w14:paraId="22A47328" w14:textId="77777777" w:rsidR="00683525" w:rsidRPr="00724E93" w:rsidRDefault="00683525" w:rsidP="005038E5">
            <w:pPr>
              <w:keepNext/>
              <w:rPr>
                <w:rFonts w:ascii="Arial Narrow" w:hAnsi="Arial Narrow" w:cstheme="minorHAnsi"/>
                <w:sz w:val="20"/>
                <w:szCs w:val="20"/>
              </w:rPr>
            </w:pPr>
            <w:r w:rsidRPr="00E8381E">
              <w:rPr>
                <w:rFonts w:ascii="Arial Narrow" w:hAnsi="Arial Narrow" w:cstheme="minorHAnsi"/>
                <w:sz w:val="20"/>
                <w:szCs w:val="20"/>
              </w:rPr>
              <w:t>Patient must be aged between 6 and 11 years inclusive.</w:t>
            </w:r>
          </w:p>
        </w:tc>
      </w:tr>
      <w:tr w:rsidR="00683525" w:rsidRPr="00724E93" w14:paraId="35007199" w14:textId="77777777" w:rsidTr="008A0FEF">
        <w:tc>
          <w:tcPr>
            <w:tcW w:w="1512" w:type="dxa"/>
            <w:vAlign w:val="center"/>
          </w:tcPr>
          <w:p w14:paraId="228DB947" w14:textId="77777777" w:rsidR="00683525" w:rsidRPr="00724E93" w:rsidRDefault="00683525" w:rsidP="005038E5">
            <w:pPr>
              <w:jc w:val="center"/>
              <w:rPr>
                <w:rFonts w:ascii="Arial Narrow" w:hAnsi="Arial Narrow"/>
                <w:sz w:val="20"/>
                <w:szCs w:val="20"/>
              </w:rPr>
            </w:pPr>
          </w:p>
        </w:tc>
        <w:tc>
          <w:tcPr>
            <w:tcW w:w="7555" w:type="dxa"/>
          </w:tcPr>
          <w:p w14:paraId="3209975C" w14:textId="77777777" w:rsidR="00683525" w:rsidRPr="00724E93" w:rsidRDefault="00683525" w:rsidP="005038E5">
            <w:pPr>
              <w:rPr>
                <w:rFonts w:ascii="Arial Narrow" w:hAnsi="Arial Narrow"/>
                <w:b/>
                <w:bCs/>
                <w:sz w:val="20"/>
                <w:szCs w:val="20"/>
              </w:rPr>
            </w:pPr>
          </w:p>
        </w:tc>
      </w:tr>
      <w:tr w:rsidR="00683525" w:rsidRPr="00724E93" w14:paraId="6A3A2B09" w14:textId="77777777" w:rsidTr="008A0FEF">
        <w:tc>
          <w:tcPr>
            <w:tcW w:w="1512" w:type="dxa"/>
            <w:vAlign w:val="center"/>
          </w:tcPr>
          <w:p w14:paraId="6D12D7DE" w14:textId="2A272997" w:rsidR="00683525" w:rsidRPr="00724E93" w:rsidRDefault="00683525" w:rsidP="005038E5">
            <w:pPr>
              <w:jc w:val="center"/>
              <w:rPr>
                <w:rFonts w:ascii="Arial Narrow" w:hAnsi="Arial Narrow" w:cstheme="minorHAnsi"/>
                <w:sz w:val="20"/>
                <w:szCs w:val="20"/>
              </w:rPr>
            </w:pPr>
          </w:p>
        </w:tc>
        <w:tc>
          <w:tcPr>
            <w:tcW w:w="7555" w:type="dxa"/>
          </w:tcPr>
          <w:p w14:paraId="06F03EF6" w14:textId="77777777" w:rsidR="00683525" w:rsidRDefault="00683525" w:rsidP="005038E5">
            <w:pPr>
              <w:rPr>
                <w:rFonts w:ascii="Arial Narrow" w:hAnsi="Arial Narrow"/>
                <w:sz w:val="20"/>
                <w:szCs w:val="20"/>
              </w:rPr>
            </w:pPr>
            <w:r w:rsidRPr="00724E93">
              <w:rPr>
                <w:rFonts w:ascii="Arial Narrow" w:hAnsi="Arial Narrow" w:cstheme="minorHAnsi"/>
                <w:b/>
                <w:bCs/>
                <w:sz w:val="20"/>
                <w:szCs w:val="20"/>
              </w:rPr>
              <w:t xml:space="preserve">Prescribing </w:t>
            </w:r>
            <w:r>
              <w:rPr>
                <w:rFonts w:ascii="Arial Narrow" w:hAnsi="Arial Narrow" w:cstheme="minorHAnsi"/>
                <w:b/>
                <w:bCs/>
                <w:sz w:val="20"/>
                <w:szCs w:val="20"/>
              </w:rPr>
              <w:t>instructions:</w:t>
            </w:r>
          </w:p>
          <w:p w14:paraId="49AC18A4" w14:textId="77777777" w:rsidR="00683525" w:rsidRPr="00724E93" w:rsidRDefault="00683525" w:rsidP="005038E5">
            <w:pPr>
              <w:rPr>
                <w:rFonts w:ascii="Arial Narrow" w:hAnsi="Arial Narrow" w:cstheme="minorHAnsi"/>
                <w:sz w:val="20"/>
                <w:szCs w:val="20"/>
              </w:rPr>
            </w:pPr>
            <w:r w:rsidRPr="00724E93">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83525" w:rsidRPr="00724E93" w14:paraId="6D39BEEC" w14:textId="77777777" w:rsidTr="008A0FEF">
        <w:tc>
          <w:tcPr>
            <w:tcW w:w="1512" w:type="dxa"/>
            <w:vAlign w:val="center"/>
          </w:tcPr>
          <w:p w14:paraId="7B91F2AF" w14:textId="3B734D6A" w:rsidR="00683525" w:rsidRPr="00724E93" w:rsidRDefault="00683525" w:rsidP="005038E5">
            <w:pPr>
              <w:jc w:val="center"/>
              <w:rPr>
                <w:rFonts w:ascii="Arial Narrow" w:hAnsi="Arial Narrow"/>
                <w:sz w:val="20"/>
                <w:szCs w:val="20"/>
              </w:rPr>
            </w:pPr>
          </w:p>
        </w:tc>
        <w:tc>
          <w:tcPr>
            <w:tcW w:w="7555" w:type="dxa"/>
          </w:tcPr>
          <w:p w14:paraId="29180DE6" w14:textId="77777777" w:rsidR="00683525" w:rsidRPr="00724E93" w:rsidRDefault="00683525" w:rsidP="005038E5">
            <w:pPr>
              <w:keepNext/>
              <w:rPr>
                <w:rFonts w:ascii="Arial Narrow" w:hAnsi="Arial Narrow"/>
                <w:sz w:val="20"/>
                <w:szCs w:val="20"/>
              </w:rPr>
            </w:pPr>
            <w:r w:rsidRPr="00724E93">
              <w:rPr>
                <w:rFonts w:ascii="Arial Narrow" w:hAnsi="Arial Narrow"/>
                <w:sz w:val="20"/>
                <w:szCs w:val="20"/>
              </w:rPr>
              <w:t>The authority application must be in writing and must include:</w:t>
            </w:r>
          </w:p>
          <w:p w14:paraId="1ADA00CE" w14:textId="77777777" w:rsidR="00683525" w:rsidRPr="00724E93" w:rsidRDefault="00683525" w:rsidP="005038E5">
            <w:pPr>
              <w:keepNext/>
              <w:rPr>
                <w:rFonts w:ascii="Arial Narrow" w:hAnsi="Arial Narrow"/>
                <w:sz w:val="20"/>
                <w:szCs w:val="20"/>
              </w:rPr>
            </w:pPr>
            <w:r w:rsidRPr="00724E93">
              <w:rPr>
                <w:rFonts w:ascii="Arial Narrow" w:hAnsi="Arial Narrow"/>
                <w:sz w:val="20"/>
                <w:szCs w:val="20"/>
              </w:rPr>
              <w:t>(1) a completed authority prescription form; and</w:t>
            </w:r>
          </w:p>
          <w:p w14:paraId="385DA6EB" w14:textId="77777777" w:rsidR="00683525" w:rsidRPr="00724E93" w:rsidRDefault="00683525" w:rsidP="005038E5">
            <w:pPr>
              <w:keepNext/>
              <w:rPr>
                <w:rFonts w:ascii="Arial Narrow" w:hAnsi="Arial Narrow"/>
                <w:sz w:val="20"/>
                <w:szCs w:val="20"/>
              </w:rPr>
            </w:pPr>
            <w:r w:rsidRPr="00724E93">
              <w:rPr>
                <w:rFonts w:ascii="Arial Narrow" w:hAnsi="Arial Narrow"/>
                <w:sz w:val="20"/>
                <w:szCs w:val="20"/>
              </w:rPr>
              <w:t>(2) a completed Cystic Fibrosis elexacaftor, tezacaftor with ivacaftor Authority Application Supporting Information Form; and</w:t>
            </w:r>
          </w:p>
          <w:p w14:paraId="5BA53D9E" w14:textId="67C5B50C" w:rsidR="00683525" w:rsidRPr="00724E93" w:rsidRDefault="00683525" w:rsidP="005038E5">
            <w:pPr>
              <w:keepNext/>
              <w:rPr>
                <w:rFonts w:ascii="Arial Narrow" w:hAnsi="Arial Narrow"/>
                <w:sz w:val="20"/>
                <w:szCs w:val="20"/>
              </w:rPr>
            </w:pPr>
            <w:r w:rsidRPr="00724E93">
              <w:rPr>
                <w:rFonts w:ascii="Arial Narrow" w:hAnsi="Arial Narrow"/>
                <w:sz w:val="20"/>
                <w:szCs w:val="20"/>
              </w:rPr>
              <w:t>(3) current CYP3A4 inhibitors, CYP3A4 inducers and IV antibiotics.</w:t>
            </w:r>
          </w:p>
        </w:tc>
      </w:tr>
    </w:tbl>
    <w:p w14:paraId="5B5E4C7C" w14:textId="77777777" w:rsidR="00683525" w:rsidRPr="00374D97" w:rsidRDefault="00683525" w:rsidP="00683525">
      <w:pPr>
        <w:jc w:val="left"/>
        <w:rPr>
          <w:rFonts w:ascii="Arial Narrow" w:hAnsi="Arial Narrow"/>
          <w:sz w:val="20"/>
          <w:szCs w:val="20"/>
        </w:rPr>
      </w:pPr>
    </w:p>
    <w:p w14:paraId="1763F2C0" w14:textId="26BF72D0" w:rsidR="007F0B3C" w:rsidRDefault="00683525" w:rsidP="00455830">
      <w:pPr>
        <w:widowControl w:val="0"/>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bookmarkStart w:id="66" w:name="_Toc107902078"/>
      <w:bookmarkStart w:id="67" w:name="_Toc380746195"/>
      <w:bookmarkStart w:id="68" w:name="_Toc380746321"/>
      <w:bookmarkStart w:id="69" w:name="_Toc380746602"/>
      <w:bookmarkEnd w:id="66"/>
      <w:bookmarkEnd w:id="67"/>
      <w:bookmarkEnd w:id="68"/>
      <w:bookmarkEnd w:id="69"/>
    </w:p>
    <w:p w14:paraId="10FF505C" w14:textId="450DF442" w:rsidR="00303E9C" w:rsidRPr="00936A7A" w:rsidRDefault="00303E9C" w:rsidP="00936A7A">
      <w:pPr>
        <w:pStyle w:val="2-SectionHeading"/>
      </w:pPr>
      <w:r w:rsidRPr="00936A7A">
        <w:t>Context for Decision</w:t>
      </w:r>
    </w:p>
    <w:p w14:paraId="1E7E3D0E" w14:textId="77777777" w:rsidR="00303E9C" w:rsidRDefault="00303E9C" w:rsidP="00936A7A">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675A9522" w14:textId="5752CC8E" w:rsidR="00303E9C" w:rsidRPr="00936A7A" w:rsidRDefault="00303E9C" w:rsidP="00936A7A">
      <w:pPr>
        <w:pStyle w:val="2-SectionHeading"/>
      </w:pPr>
      <w:r w:rsidRPr="00936A7A">
        <w:t>Sponsor’s Comment</w:t>
      </w:r>
    </w:p>
    <w:p w14:paraId="4CCD2327" w14:textId="77777777" w:rsidR="00303E9C" w:rsidRPr="001179AC" w:rsidRDefault="00303E9C" w:rsidP="00936A7A">
      <w:pPr>
        <w:spacing w:after="120"/>
        <w:ind w:left="426" w:firstLine="294"/>
        <w:rPr>
          <w:rFonts w:asciiTheme="minorHAnsi" w:hAnsiTheme="minorHAnsi"/>
          <w:bCs/>
        </w:rPr>
      </w:pPr>
      <w:r w:rsidRPr="00C07617">
        <w:rPr>
          <w:rFonts w:asciiTheme="minorHAnsi" w:hAnsiTheme="minorHAnsi"/>
          <w:bCs/>
        </w:rPr>
        <w:t>The sponsor had no comment.</w:t>
      </w:r>
    </w:p>
    <w:p w14:paraId="41F85B8F" w14:textId="3D66C4DD" w:rsidR="007A7977" w:rsidRDefault="007A7977">
      <w:pPr>
        <w:jc w:val="left"/>
        <w:rPr>
          <w:rFonts w:asciiTheme="minorHAnsi" w:hAnsiTheme="minorHAnsi"/>
          <w:b/>
          <w:snapToGrid w:val="0"/>
          <w:sz w:val="32"/>
          <w:szCs w:val="32"/>
        </w:rPr>
      </w:pPr>
      <w:r>
        <w:rPr>
          <w:rFonts w:asciiTheme="minorHAnsi" w:hAnsiTheme="minorHAnsi"/>
          <w:b/>
          <w:snapToGrid w:val="0"/>
          <w:sz w:val="32"/>
          <w:szCs w:val="32"/>
        </w:rPr>
        <w:br w:type="page"/>
      </w:r>
    </w:p>
    <w:p w14:paraId="748458E3" w14:textId="7F2F885A" w:rsidR="007A7977" w:rsidRPr="007A7977" w:rsidRDefault="007A7977" w:rsidP="007A7977">
      <w:pPr>
        <w:pStyle w:val="2-SectionHeading"/>
        <w:numPr>
          <w:ilvl w:val="0"/>
          <w:numId w:val="0"/>
        </w:numPr>
        <w:ind w:left="720" w:hanging="720"/>
        <w:rPr>
          <w:color w:val="FF0000"/>
          <w:sz w:val="28"/>
          <w:szCs w:val="28"/>
        </w:rPr>
      </w:pPr>
      <w:r w:rsidRPr="006B3C78">
        <w:rPr>
          <w:color w:val="FF0000"/>
          <w:sz w:val="28"/>
          <w:szCs w:val="28"/>
        </w:rPr>
        <w:t xml:space="preserve">Addendum to the November 2022 </w:t>
      </w:r>
      <w:r w:rsidR="001027E4">
        <w:rPr>
          <w:color w:val="FF0000"/>
          <w:sz w:val="28"/>
          <w:szCs w:val="28"/>
        </w:rPr>
        <w:t>PBAC PSD</w:t>
      </w:r>
      <w:r w:rsidRPr="006B3C78">
        <w:rPr>
          <w:color w:val="FF0000"/>
          <w:sz w:val="28"/>
          <w:szCs w:val="28"/>
        </w:rPr>
        <w:t>:</w:t>
      </w:r>
    </w:p>
    <w:p w14:paraId="1452FEC5" w14:textId="366B3171" w:rsidR="007A7977" w:rsidRPr="007A7977" w:rsidRDefault="007A7977" w:rsidP="007A7977">
      <w:pPr>
        <w:keepNext/>
        <w:spacing w:before="120" w:after="240"/>
        <w:ind w:left="720" w:hanging="720"/>
        <w:jc w:val="left"/>
        <w:outlineLvl w:val="0"/>
        <w:rPr>
          <w:rFonts w:eastAsia="MS Gothic" w:cs="Times New Roman"/>
          <w:b/>
          <w:spacing w:val="5"/>
          <w:kern w:val="28"/>
          <w:sz w:val="36"/>
          <w:szCs w:val="36"/>
        </w:rPr>
      </w:pPr>
      <w:r w:rsidRPr="007A7977">
        <w:rPr>
          <w:rFonts w:eastAsia="MS Mincho"/>
          <w:b/>
          <w:sz w:val="36"/>
          <w:szCs w:val="36"/>
        </w:rPr>
        <w:t>4.04</w:t>
      </w:r>
      <w:r w:rsidRPr="007A7977">
        <w:rPr>
          <w:rFonts w:eastAsia="MS Mincho"/>
          <w:b/>
          <w:sz w:val="36"/>
          <w:szCs w:val="36"/>
        </w:rPr>
        <w:tab/>
        <w:t>ELEXACAFTOR WITH TEZACAFTOR AND WITH IVACAFTOR, AND IVACAFTOR</w:t>
      </w:r>
      <w:r w:rsidRPr="007A7977">
        <w:rPr>
          <w:rFonts w:eastAsia="MS Mincho"/>
          <w:b/>
          <w:sz w:val="36"/>
          <w:szCs w:val="36"/>
        </w:rPr>
        <w:br/>
      </w:r>
      <w:r w:rsidRPr="007A7977">
        <w:rPr>
          <w:rFonts w:eastAsia="MS Gothic" w:cs="Times New Roman"/>
          <w:b/>
          <w:spacing w:val="5"/>
          <w:kern w:val="28"/>
          <w:sz w:val="36"/>
          <w:szCs w:val="36"/>
        </w:rPr>
        <w:t xml:space="preserve">Pack containing 56 tablets elexacaftor 100 mg with tezacaftor 50 mg and with ivacaftor 75 mg and 28 tablets ivacaftor 150 mg </w:t>
      </w:r>
      <w:r w:rsidRPr="007A7977">
        <w:rPr>
          <w:rFonts w:eastAsia="MS Gothic" w:cs="Times New Roman"/>
          <w:b/>
          <w:spacing w:val="5"/>
          <w:kern w:val="28"/>
          <w:sz w:val="36"/>
          <w:szCs w:val="36"/>
        </w:rPr>
        <w:br/>
        <w:t xml:space="preserve">Pack containing 56 tablets elexacaftor 50 mg with tezacaftor 25 mg and with ivacaftor 37.5 mg and 28 tablets ivacaftor 75 mg </w:t>
      </w:r>
      <w:r w:rsidRPr="007A7977">
        <w:rPr>
          <w:rFonts w:eastAsia="MS Gothic" w:cs="Times New Roman"/>
          <w:b/>
          <w:spacing w:val="5"/>
          <w:kern w:val="28"/>
          <w:sz w:val="36"/>
          <w:szCs w:val="36"/>
        </w:rPr>
        <w:br/>
        <w:t>Trikafta®</w:t>
      </w:r>
      <w:r w:rsidRPr="007A7977">
        <w:rPr>
          <w:rFonts w:eastAsia="MS Gothic" w:cs="Times New Roman"/>
          <w:b/>
          <w:spacing w:val="5"/>
          <w:kern w:val="28"/>
          <w:sz w:val="36"/>
          <w:szCs w:val="36"/>
        </w:rPr>
        <w:br/>
        <w:t>VERTEX PHARMACEUTICALS (AUSTRALIA) PTY. LTD.</w:t>
      </w:r>
    </w:p>
    <w:p w14:paraId="4F047A3F" w14:textId="77777777" w:rsidR="007A7977" w:rsidRPr="006B6A7C" w:rsidRDefault="007A7977" w:rsidP="007A7977">
      <w:pPr>
        <w:pStyle w:val="2-SectionHeading"/>
      </w:pPr>
      <w:r>
        <w:t xml:space="preserve">Background </w:t>
      </w:r>
    </w:p>
    <w:p w14:paraId="79D2A2F1" w14:textId="7807F36E" w:rsidR="007A7977" w:rsidRDefault="007A7977" w:rsidP="007A7977">
      <w:pPr>
        <w:pStyle w:val="3-BodyText"/>
        <w:rPr>
          <w:bCs/>
        </w:rPr>
      </w:pPr>
      <w:r>
        <w:rPr>
          <w:bCs/>
        </w:rPr>
        <w:t>In November 2022, t</w:t>
      </w:r>
      <w:r w:rsidRPr="00CE4FE9">
        <w:rPr>
          <w:bCs/>
        </w:rPr>
        <w:t>he PBAC recommended elexacaftor/tezacaftor/ivacaftor (ELZ/TEZ/IVA) for the treatment of cystic fibrosis in patients who are aged 6 to 11</w:t>
      </w:r>
      <w:r w:rsidR="006A061E">
        <w:rPr>
          <w:bCs/>
        </w:rPr>
        <w:t> </w:t>
      </w:r>
      <w:r w:rsidRPr="00CE4FE9">
        <w:rPr>
          <w:bCs/>
        </w:rPr>
        <w:t>years and who have at least one F508del mutation on the cystic fibrosis transmembrane conductance regulator (CFTR) gene</w:t>
      </w:r>
      <w:r>
        <w:rPr>
          <w:bCs/>
        </w:rPr>
        <w:t xml:space="preserve">. </w:t>
      </w:r>
    </w:p>
    <w:p w14:paraId="20C1F283" w14:textId="3FD2E8A0" w:rsidR="007A7977" w:rsidRPr="002F0BAE" w:rsidRDefault="007A7977" w:rsidP="007A7977">
      <w:pPr>
        <w:pStyle w:val="3-BodyText"/>
        <w:rPr>
          <w:bCs/>
        </w:rPr>
      </w:pPr>
      <w:r w:rsidRPr="00CE4FE9">
        <w:rPr>
          <w:bCs/>
        </w:rPr>
        <w:t>The PBAC considered a number of assumptions applied in the financial estimates were overly optimistic and should be reduced to be consistent with the assumptions applied to the financial estimates agreed for the population of patients over 12 years of age</w:t>
      </w:r>
      <w:r>
        <w:rPr>
          <w:bCs/>
        </w:rPr>
        <w:t xml:space="preserve"> (YOA) (see paragraph </w:t>
      </w:r>
      <w:r>
        <w:rPr>
          <w:bCs/>
        </w:rPr>
        <w:fldChar w:fldCharType="begin" w:fldLock="1"/>
      </w:r>
      <w:r>
        <w:rPr>
          <w:bCs/>
        </w:rPr>
        <w:instrText xml:space="preserve"> REF _Ref133498462 \r \h </w:instrText>
      </w:r>
      <w:r>
        <w:rPr>
          <w:bCs/>
        </w:rPr>
      </w:r>
      <w:r>
        <w:rPr>
          <w:bCs/>
        </w:rPr>
        <w:fldChar w:fldCharType="separate"/>
      </w:r>
      <w:r>
        <w:rPr>
          <w:bCs/>
        </w:rPr>
        <w:t>7.12</w:t>
      </w:r>
      <w:r>
        <w:rPr>
          <w:bCs/>
        </w:rPr>
        <w:fldChar w:fldCharType="end"/>
      </w:r>
      <w:r>
        <w:rPr>
          <w:bCs/>
        </w:rPr>
        <w:t>)</w:t>
      </w:r>
      <w:r w:rsidRPr="00CE4FE9">
        <w:rPr>
          <w:bCs/>
        </w:rPr>
        <w:t>.</w:t>
      </w:r>
      <w:r>
        <w:rPr>
          <w:bCs/>
        </w:rPr>
        <w:t xml:space="preserve"> </w:t>
      </w:r>
    </w:p>
    <w:p w14:paraId="4B8141EA" w14:textId="1501E2AA" w:rsidR="007A7977" w:rsidRDefault="007A7977" w:rsidP="007A7977">
      <w:pPr>
        <w:pStyle w:val="3-BodyText"/>
        <w:rPr>
          <w:bCs/>
        </w:rPr>
      </w:pPr>
      <w:r>
        <w:rPr>
          <w:bCs/>
        </w:rPr>
        <w:t xml:space="preserve">As part of the post-PBAC process, the sponsor provided a pricing proposal that was not consistent with the </w:t>
      </w:r>
      <w:r w:rsidR="0037574A">
        <w:rPr>
          <w:bCs/>
        </w:rPr>
        <w:t>Public Summary Document (PSD)</w:t>
      </w:r>
      <w:r>
        <w:rPr>
          <w:bCs/>
        </w:rPr>
        <w:t xml:space="preserve"> as it did not change the assumptions applied to the financial estimates as advised. </w:t>
      </w:r>
    </w:p>
    <w:p w14:paraId="38CA7BEF" w14:textId="249487D9" w:rsidR="007A7977" w:rsidRDefault="007A7977" w:rsidP="007A7977">
      <w:pPr>
        <w:pStyle w:val="3-BodyText"/>
        <w:rPr>
          <w:bCs/>
        </w:rPr>
      </w:pPr>
      <w:r>
        <w:rPr>
          <w:bCs/>
        </w:rPr>
        <w:t>As the listing was unable to be progressed with financial estimates</w:t>
      </w:r>
      <w:r w:rsidR="006A061E">
        <w:rPr>
          <w:bCs/>
        </w:rPr>
        <w:t xml:space="preserve"> that</w:t>
      </w:r>
      <w:r>
        <w:rPr>
          <w:bCs/>
        </w:rPr>
        <w:t xml:space="preserve"> were not consistent with the </w:t>
      </w:r>
      <w:r w:rsidR="0037574A">
        <w:rPr>
          <w:bCs/>
        </w:rPr>
        <w:t>PSD</w:t>
      </w:r>
      <w:r>
        <w:rPr>
          <w:bCs/>
        </w:rPr>
        <w:t xml:space="preserve">, the sponsor requested consideration by the PBAC. The sponsor stated it did not consider the assumptions applied were overly optimistic and provided additional information to support the assumptions applied in the financial estimates.  </w:t>
      </w:r>
    </w:p>
    <w:p w14:paraId="4B015611" w14:textId="77777777" w:rsidR="007A7977" w:rsidRPr="00163B39" w:rsidRDefault="007A7977" w:rsidP="007A7977">
      <w:pPr>
        <w:pStyle w:val="2-SectionHeading"/>
      </w:pPr>
      <w:r w:rsidRPr="00163B39">
        <w:t>PBAC Outcome</w:t>
      </w:r>
    </w:p>
    <w:p w14:paraId="0D4FA6A4" w14:textId="77777777" w:rsidR="007A7977" w:rsidRDefault="007A7977" w:rsidP="007A7977">
      <w:pPr>
        <w:pStyle w:val="3-BodyText"/>
      </w:pPr>
      <w:r>
        <w:t>The PBAC revised its previous advice regarding the recommendation of elexacaftor/ tezacaftor/ ivacaftor (ELZ/TEZ/IVA) for the treatment of cystic fibrosis in patients who are aged 6 to 11 years and who have at least one F508del mutation on the cystic fibrosis transmembrane conductance regulator (CFTR) gene. </w:t>
      </w:r>
    </w:p>
    <w:p w14:paraId="43B89A99" w14:textId="77777777" w:rsidR="007A7977" w:rsidRDefault="007A7977" w:rsidP="007A7977">
      <w:pPr>
        <w:pStyle w:val="3-BodyText"/>
      </w:pPr>
      <w:r>
        <w:t xml:space="preserve">The PBAC noted the financial estimates proposed by the sponsor assumed an overall uptake of 96% in eligible patients in Year 1, compared to approximately 80% in Year 1 if the uptake rates advised by the PBAC in November 2022 were applied.  </w:t>
      </w:r>
    </w:p>
    <w:p w14:paraId="1C0FC231" w14:textId="4D1B9CF8" w:rsidR="007A7977" w:rsidRDefault="007A7977" w:rsidP="007A7977">
      <w:pPr>
        <w:pStyle w:val="3-BodyText"/>
      </w:pPr>
      <w:r>
        <w:t>The PBAC noted the experience in overseas’ markets where ELX/TEZ/IVA is reimbursed in patients aged 6 to 11 years and the high and rapid uptake in the 12</w:t>
      </w:r>
      <w:r w:rsidR="006A061E">
        <w:t> </w:t>
      </w:r>
      <w:r>
        <w:t xml:space="preserve">years and older population in Australia since PBS listing in April 2022. The PBAC considered that the experience of CF clinics gained in treating the population of patients 12 years and older would facilitate rapid initiation of patients aged 6 to </w:t>
      </w:r>
      <w:r w:rsidR="006A061E">
        <w:t>11 </w:t>
      </w:r>
      <w:r>
        <w:t xml:space="preserve">years. </w:t>
      </w:r>
    </w:p>
    <w:p w14:paraId="239986C7" w14:textId="77777777" w:rsidR="007A7977" w:rsidRDefault="007A7977" w:rsidP="007A7977">
      <w:pPr>
        <w:pStyle w:val="3-BodyText"/>
      </w:pPr>
      <w:r>
        <w:t>The PBAC noted some additional clinical data in patients aged 6 to 11 years was provided to support the use of the discontinuation rates applied in the financial estimates (1.4% in Year 1, 4.2% in Year 2).</w:t>
      </w:r>
    </w:p>
    <w:p w14:paraId="53D443E1" w14:textId="597A1D31" w:rsidR="007A7977" w:rsidRDefault="007A7977" w:rsidP="007A7977">
      <w:pPr>
        <w:pStyle w:val="3-BodyText"/>
      </w:pPr>
      <w:r>
        <w:t xml:space="preserve">The PBAC noted the sponsor </w:t>
      </w:r>
      <w:r w:rsidRPr="008C64ED">
        <w:t xml:space="preserve">stated the full year net Commonwealth expenditure for the </w:t>
      </w:r>
      <w:r>
        <w:t xml:space="preserve">current </w:t>
      </w:r>
      <w:r w:rsidRPr="008C64ED">
        <w:t xml:space="preserve">combined Deed (covering LUM/IVA, TEZ/IVA and ELX/TEZ/IVA) is expected to exceed the cap by </w:t>
      </w:r>
      <w:r w:rsidR="00A76CD1" w:rsidRPr="00A76CD1">
        <w:rPr>
          <w:color w:val="000000"/>
          <w:w w:val="20"/>
          <w:shd w:val="solid" w:color="000000" w:fill="000000"/>
          <w:fitText w:val="73" w:id="-1233971200"/>
          <w14:textFill>
            <w14:solidFill>
              <w14:srgbClr w14:val="000000">
                <w14:alpha w14:val="100000"/>
              </w14:srgbClr>
            </w14:solidFill>
          </w14:textFill>
        </w:rPr>
        <w:t>|  |</w:t>
      </w:r>
      <w:r>
        <w:t>%</w:t>
      </w:r>
      <w:r w:rsidRPr="008C64ED">
        <w:t>.</w:t>
      </w:r>
      <w:r>
        <w:t xml:space="preserve"> The PBAC recalled when it previously reviewed this data, expenditure was at </w:t>
      </w:r>
      <w:r w:rsidR="00A76CD1" w:rsidRPr="00A76CD1">
        <w:rPr>
          <w:color w:val="000000"/>
          <w:w w:val="20"/>
          <w:shd w:val="solid" w:color="000000" w:fill="000000"/>
          <w:fitText w:val="72" w:id="-1233971199"/>
          <w14:textFill>
            <w14:solidFill>
              <w14:srgbClr w14:val="000000">
                <w14:alpha w14:val="100000"/>
              </w14:srgbClr>
            </w14:solidFill>
          </w14:textFill>
        </w:rPr>
        <w:t>|  |</w:t>
      </w:r>
      <w:r>
        <w:t xml:space="preserve">% of caps with 6 months of data available.  </w:t>
      </w:r>
    </w:p>
    <w:p w14:paraId="113CE270" w14:textId="39D7067D" w:rsidR="007A7977" w:rsidRPr="008C64ED" w:rsidRDefault="007A7977" w:rsidP="007A7977">
      <w:pPr>
        <w:pStyle w:val="3-BodyText"/>
      </w:pPr>
      <w:r>
        <w:t xml:space="preserve">The PBAC considered that, overall, based on the additional information provided by the sponsor, it was reasonable for the assumptions informing the financial estimates for the population aged 6 to 11 years to be different to those informing the population aged 12 years and over as it was likely uptake would </w:t>
      </w:r>
      <w:r w:rsidR="004E0835">
        <w:t xml:space="preserve">be </w:t>
      </w:r>
      <w:r>
        <w:t xml:space="preserve">higher and more rapid than initially predicted for the older age group. </w:t>
      </w:r>
    </w:p>
    <w:p w14:paraId="67C7920A" w14:textId="3C089A14" w:rsidR="007A7977" w:rsidRPr="007D5575" w:rsidRDefault="007A7977" w:rsidP="000D34AA">
      <w:pPr>
        <w:pStyle w:val="3-BodyText"/>
        <w:rPr>
          <w:bCs/>
        </w:rPr>
      </w:pPr>
      <w:r>
        <w:t>The PBAC noted the financial estimates provided in the pricing proposal were consistent with the estimates presented in the November 2022 submission (</w:t>
      </w:r>
      <w:r w:rsidR="007D5575">
        <w:fldChar w:fldCharType="begin" w:fldLock="1"/>
      </w:r>
      <w:r w:rsidR="007D5575">
        <w:instrText xml:space="preserve"> REF _Ref112923614 \h </w:instrText>
      </w:r>
      <w:r w:rsidR="007D5575">
        <w:fldChar w:fldCharType="separate"/>
      </w:r>
      <w:r w:rsidR="007D5575" w:rsidRPr="000C48F9">
        <w:t xml:space="preserve">Table </w:t>
      </w:r>
      <w:r w:rsidR="007D5575">
        <w:rPr>
          <w:noProof/>
        </w:rPr>
        <w:t>22</w:t>
      </w:r>
      <w:r w:rsidR="007D5575">
        <w:fldChar w:fldCharType="end"/>
      </w:r>
      <w:r>
        <w:t xml:space="preserve">), with the small difference being due to the reduction in copayments. </w:t>
      </w:r>
      <w:r w:rsidRPr="007D5575">
        <w:rPr>
          <w:bCs/>
        </w:rPr>
        <w:t xml:space="preserve">The PBAC noted that, overall, the additional cost of listing ELX/TEZ/IVA in patients who are aged 6 to 11 years as proposed by the sponsor, compared to the revised financial estimates based on assumptions as advised by the PBAC in November 2022 was approximately </w:t>
      </w:r>
      <w:r w:rsidR="007D5575" w:rsidRPr="007D5575">
        <w:rPr>
          <w:bCs/>
        </w:rPr>
        <w:t xml:space="preserve">$50 million to &lt; $60 million </w:t>
      </w:r>
      <w:r w:rsidRPr="007D5575">
        <w:rPr>
          <w:bCs/>
        </w:rPr>
        <w:t xml:space="preserve">over 6 years.  </w:t>
      </w:r>
    </w:p>
    <w:p w14:paraId="6E3A820A" w14:textId="77777777" w:rsidR="007A7977" w:rsidRDefault="007A7977" w:rsidP="007A7977">
      <w:pPr>
        <w:pStyle w:val="3-BodyText"/>
        <w:rPr>
          <w:lang w:val="en-GB"/>
        </w:rPr>
      </w:pPr>
      <w:r>
        <w:rPr>
          <w:lang w:val="en-GB"/>
        </w:rPr>
        <w:t xml:space="preserve">The PBAC reiterated the advice that the extended population should be included in the existing Risk Sharing Arrangement for ELX/TEZ/IVA, LUM/IVA and TEZ/IVA and that the net cost of listing ELX/TEZ/IVA should take into account the reduced utilisation of LUM/IVA and IVA. The PBAC further noted that this approach will also result in an adjustment of the separate expenditure caps currently in place for IVA. </w:t>
      </w:r>
    </w:p>
    <w:p w14:paraId="519CBF6B" w14:textId="77777777" w:rsidR="007A7977" w:rsidRPr="001856BC" w:rsidRDefault="007A7977" w:rsidP="007A7977">
      <w:pPr>
        <w:pStyle w:val="3-BodyText"/>
        <w:numPr>
          <w:ilvl w:val="0"/>
          <w:numId w:val="0"/>
        </w:numPr>
        <w:spacing w:after="0"/>
        <w:rPr>
          <w:lang w:val="en-GB"/>
        </w:rPr>
      </w:pPr>
      <w:r w:rsidRPr="00D3764A">
        <w:rPr>
          <w:b/>
          <w:bCs/>
          <w:lang w:val="en-GB"/>
        </w:rPr>
        <w:t>Outcome</w:t>
      </w:r>
      <w:r w:rsidRPr="001856BC">
        <w:rPr>
          <w:lang w:val="en-GB"/>
        </w:rPr>
        <w:t>:</w:t>
      </w:r>
    </w:p>
    <w:p w14:paraId="05684770" w14:textId="77777777" w:rsidR="007A7977" w:rsidRDefault="007A7977" w:rsidP="007A7977">
      <w:pPr>
        <w:pStyle w:val="3-BodyText"/>
        <w:numPr>
          <w:ilvl w:val="0"/>
          <w:numId w:val="0"/>
        </w:numPr>
        <w:ind w:left="720" w:hanging="720"/>
        <w:rPr>
          <w:lang w:val="en-GB"/>
        </w:rPr>
      </w:pPr>
      <w:r>
        <w:rPr>
          <w:lang w:val="en-GB"/>
        </w:rPr>
        <w:t>Recommend</w:t>
      </w:r>
    </w:p>
    <w:p w14:paraId="6FF02DFD" w14:textId="77777777" w:rsidR="007A7977" w:rsidRPr="00936A7A" w:rsidRDefault="007A7977" w:rsidP="007A7977">
      <w:pPr>
        <w:pStyle w:val="2-SectionHeading"/>
      </w:pPr>
      <w:r w:rsidRPr="00936A7A">
        <w:t>Context for Decision</w:t>
      </w:r>
    </w:p>
    <w:p w14:paraId="6C21449C" w14:textId="77777777" w:rsidR="007A7977" w:rsidRDefault="007A7977" w:rsidP="007A7977">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5351FEB2" w14:textId="77777777" w:rsidR="007A7977" w:rsidRPr="00936A7A" w:rsidRDefault="007A7977" w:rsidP="007A7977">
      <w:pPr>
        <w:pStyle w:val="2-SectionHeading"/>
      </w:pPr>
      <w:r w:rsidRPr="00936A7A">
        <w:t>Sponsor’s Comment</w:t>
      </w:r>
    </w:p>
    <w:p w14:paraId="2B707937" w14:textId="2DB7CE42" w:rsidR="00656631" w:rsidRDefault="007A7E2F" w:rsidP="007A7977">
      <w:pPr>
        <w:spacing w:after="120"/>
        <w:ind w:left="720"/>
        <w:rPr>
          <w:rFonts w:asciiTheme="minorHAnsi" w:hAnsiTheme="minorHAnsi"/>
          <w:bCs/>
        </w:rPr>
      </w:pPr>
      <w:r>
        <w:rPr>
          <w:rFonts w:asciiTheme="minorHAnsi" w:hAnsiTheme="minorHAnsi"/>
          <w:bCs/>
        </w:rPr>
        <w:t xml:space="preserve">Vertex </w:t>
      </w:r>
      <w:r w:rsidR="00C22966">
        <w:rPr>
          <w:rFonts w:asciiTheme="minorHAnsi" w:hAnsiTheme="minorHAnsi"/>
          <w:bCs/>
        </w:rPr>
        <w:t xml:space="preserve">welcomes the positive recommendation from PBAC </w:t>
      </w:r>
      <w:r w:rsidR="00C22966" w:rsidRPr="007A7E2F">
        <w:rPr>
          <w:rFonts w:asciiTheme="minorHAnsi" w:hAnsiTheme="minorHAnsi"/>
          <w:bCs/>
        </w:rPr>
        <w:t>for these young patients</w:t>
      </w:r>
      <w:r w:rsidR="003300A4">
        <w:rPr>
          <w:rFonts w:asciiTheme="minorHAnsi" w:hAnsiTheme="minorHAnsi"/>
          <w:bCs/>
        </w:rPr>
        <w:t xml:space="preserve">, particularly </w:t>
      </w:r>
      <w:r w:rsidR="00C22966">
        <w:rPr>
          <w:rFonts w:asciiTheme="minorHAnsi" w:hAnsiTheme="minorHAnsi"/>
          <w:bCs/>
        </w:rPr>
        <w:t xml:space="preserve">the </w:t>
      </w:r>
      <w:r w:rsidR="00CE1DCA">
        <w:rPr>
          <w:rFonts w:asciiTheme="minorHAnsi" w:hAnsiTheme="minorHAnsi"/>
          <w:bCs/>
        </w:rPr>
        <w:t>recommendation</w:t>
      </w:r>
      <w:r w:rsidR="00C22966" w:rsidRPr="00C22966">
        <w:rPr>
          <w:rFonts w:asciiTheme="minorHAnsi" w:hAnsiTheme="minorHAnsi"/>
          <w:bCs/>
        </w:rPr>
        <w:t xml:space="preserve"> that every eligible patient </w:t>
      </w:r>
      <w:r w:rsidR="00C22966">
        <w:rPr>
          <w:rFonts w:asciiTheme="minorHAnsi" w:hAnsiTheme="minorHAnsi"/>
          <w:bCs/>
        </w:rPr>
        <w:t>in Australia</w:t>
      </w:r>
      <w:r w:rsidR="00656631">
        <w:rPr>
          <w:rFonts w:asciiTheme="minorHAnsi" w:hAnsiTheme="minorHAnsi"/>
          <w:bCs/>
        </w:rPr>
        <w:t xml:space="preserve"> with at least one </w:t>
      </w:r>
      <w:r w:rsidR="00656631" w:rsidRPr="00656631">
        <w:rPr>
          <w:rFonts w:asciiTheme="minorHAnsi" w:hAnsiTheme="minorHAnsi"/>
          <w:bCs/>
          <w:i/>
          <w:iCs/>
        </w:rPr>
        <w:t>F508del</w:t>
      </w:r>
      <w:r w:rsidR="00656631">
        <w:rPr>
          <w:rFonts w:asciiTheme="minorHAnsi" w:hAnsiTheme="minorHAnsi"/>
          <w:bCs/>
        </w:rPr>
        <w:t xml:space="preserve"> mutation</w:t>
      </w:r>
      <w:r w:rsidR="00C22966">
        <w:rPr>
          <w:rFonts w:asciiTheme="minorHAnsi" w:hAnsiTheme="minorHAnsi"/>
          <w:bCs/>
        </w:rPr>
        <w:t xml:space="preserve"> </w:t>
      </w:r>
      <w:r w:rsidR="00C22966" w:rsidRPr="00C22966">
        <w:rPr>
          <w:rFonts w:asciiTheme="minorHAnsi" w:hAnsiTheme="minorHAnsi"/>
          <w:bCs/>
        </w:rPr>
        <w:t>should have access</w:t>
      </w:r>
      <w:r w:rsidR="008538D0">
        <w:rPr>
          <w:rFonts w:asciiTheme="minorHAnsi" w:hAnsiTheme="minorHAnsi"/>
          <w:bCs/>
        </w:rPr>
        <w:t xml:space="preserve"> to TRIKAFTA</w:t>
      </w:r>
      <w:r w:rsidR="00A92641">
        <w:rPr>
          <w:rFonts w:asciiTheme="minorHAnsi" w:hAnsiTheme="minorHAnsi"/>
          <w:bCs/>
        </w:rPr>
        <w:t xml:space="preserve">. </w:t>
      </w:r>
    </w:p>
    <w:p w14:paraId="6E4BEB26" w14:textId="77777777" w:rsidR="00656631" w:rsidRDefault="00656631" w:rsidP="007A7977">
      <w:pPr>
        <w:spacing w:after="120"/>
        <w:ind w:left="720"/>
        <w:rPr>
          <w:rFonts w:asciiTheme="minorHAnsi" w:hAnsiTheme="minorHAnsi"/>
          <w:bCs/>
        </w:rPr>
      </w:pPr>
    </w:p>
    <w:p w14:paraId="2A9B1C2B" w14:textId="77777777" w:rsidR="005558BE" w:rsidRPr="000C48F9" w:rsidRDefault="005558BE">
      <w:pPr>
        <w:jc w:val="left"/>
        <w:rPr>
          <w:rFonts w:asciiTheme="minorHAnsi" w:hAnsiTheme="minorHAnsi"/>
          <w:b/>
          <w:snapToGrid w:val="0"/>
          <w:sz w:val="32"/>
          <w:szCs w:val="32"/>
        </w:rPr>
      </w:pPr>
    </w:p>
    <w:sectPr w:rsidR="005558BE" w:rsidRPr="000C48F9" w:rsidSect="00D82A9F">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1755" w14:textId="77777777" w:rsidR="007F1E12" w:rsidRDefault="007F1E12" w:rsidP="00124A51">
      <w:r>
        <w:separator/>
      </w:r>
    </w:p>
    <w:p w14:paraId="6E2FF16A" w14:textId="77777777" w:rsidR="007F1E12" w:rsidRDefault="007F1E12"/>
  </w:endnote>
  <w:endnote w:type="continuationSeparator" w:id="0">
    <w:p w14:paraId="761C86ED" w14:textId="77777777" w:rsidR="007F1E12" w:rsidRDefault="007F1E12" w:rsidP="00124A51">
      <w:r>
        <w:continuationSeparator/>
      </w:r>
    </w:p>
    <w:p w14:paraId="3F713320" w14:textId="77777777" w:rsidR="007F1E12" w:rsidRDefault="007F1E12"/>
  </w:endnote>
  <w:endnote w:type="continuationNotice" w:id="1">
    <w:p w14:paraId="7D5730DE" w14:textId="77777777" w:rsidR="007F1E12" w:rsidRDefault="007F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D818" w14:textId="77777777" w:rsidR="005731B4" w:rsidRDefault="005731B4" w:rsidP="00753B29">
    <w:pPr>
      <w:pStyle w:val="Footer"/>
      <w:jc w:val="center"/>
    </w:pPr>
  </w:p>
  <w:p w14:paraId="026CE551" w14:textId="78AF1A26" w:rsidR="005731B4" w:rsidRPr="007C1CD9" w:rsidRDefault="008E430C" w:rsidP="00753B29">
    <w:pPr>
      <w:pStyle w:val="Footer"/>
      <w:jc w:val="center"/>
    </w:pPr>
    <w:sdt>
      <w:sdtPr>
        <w:id w:val="1036156457"/>
        <w:docPartObj>
          <w:docPartGallery w:val="Page Numbers (Bottom of Page)"/>
          <w:docPartUnique/>
        </w:docPartObj>
      </w:sdtPr>
      <w:sdtEndPr>
        <w:rPr>
          <w:b/>
          <w:bCs/>
          <w:noProof/>
        </w:rPr>
      </w:sdtEndPr>
      <w:sdtContent>
        <w:r w:rsidR="005731B4" w:rsidRPr="00C978CE">
          <w:rPr>
            <w:b/>
            <w:bCs/>
          </w:rPr>
          <w:fldChar w:fldCharType="begin"/>
        </w:r>
        <w:r w:rsidR="005731B4" w:rsidRPr="00C978CE">
          <w:rPr>
            <w:b/>
            <w:bCs/>
          </w:rPr>
          <w:instrText xml:space="preserve"> PAGE   \* MERGEFORMAT </w:instrText>
        </w:r>
        <w:r w:rsidR="005731B4" w:rsidRPr="00C978CE">
          <w:rPr>
            <w:b/>
            <w:bCs/>
          </w:rPr>
          <w:fldChar w:fldCharType="separate"/>
        </w:r>
        <w:r w:rsidR="005731B4" w:rsidRPr="00C978CE">
          <w:rPr>
            <w:b/>
            <w:bCs/>
            <w:noProof/>
          </w:rPr>
          <w:t>2</w:t>
        </w:r>
        <w:r w:rsidR="005731B4" w:rsidRPr="00C978CE">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691C" w14:textId="77777777" w:rsidR="007F1E12" w:rsidRDefault="007F1E12" w:rsidP="00124A51">
      <w:r>
        <w:separator/>
      </w:r>
    </w:p>
    <w:p w14:paraId="667F2CBD" w14:textId="77777777" w:rsidR="007F1E12" w:rsidRDefault="007F1E12"/>
  </w:footnote>
  <w:footnote w:type="continuationSeparator" w:id="0">
    <w:p w14:paraId="4970AB76" w14:textId="77777777" w:rsidR="007F1E12" w:rsidRDefault="007F1E12" w:rsidP="00124A51">
      <w:r>
        <w:continuationSeparator/>
      </w:r>
    </w:p>
    <w:p w14:paraId="026EAD1B" w14:textId="77777777" w:rsidR="007F1E12" w:rsidRDefault="007F1E12"/>
  </w:footnote>
  <w:footnote w:type="continuationNotice" w:id="1">
    <w:p w14:paraId="1D5FA31F" w14:textId="77777777" w:rsidR="007F1E12" w:rsidRDefault="007F1E12"/>
  </w:footnote>
  <w:footnote w:id="2">
    <w:p w14:paraId="7FFB13A3" w14:textId="75590648" w:rsidR="00310F59" w:rsidRDefault="00310F59">
      <w:pPr>
        <w:pStyle w:val="FootnoteText"/>
      </w:pPr>
      <w:r>
        <w:rPr>
          <w:rStyle w:val="FootnoteReference"/>
        </w:rPr>
        <w:footnoteRef/>
      </w:r>
      <w:r>
        <w:t xml:space="preserve"> </w:t>
      </w:r>
      <w:r w:rsidRPr="003430DD">
        <w:t>Study 116 was not provided with the TGA application</w:t>
      </w:r>
    </w:p>
  </w:footnote>
  <w:footnote w:id="3">
    <w:p w14:paraId="383A4ECB" w14:textId="00A5C4BF" w:rsidR="00E153EA" w:rsidRDefault="00E153EA" w:rsidP="001719B8">
      <w:pPr>
        <w:pStyle w:val="FootnoteText"/>
        <w:spacing w:after="0"/>
      </w:pPr>
      <w:r>
        <w:rPr>
          <w:rStyle w:val="FootnoteReference"/>
        </w:rPr>
        <w:footnoteRef/>
      </w:r>
      <w:r>
        <w:t xml:space="preserve"> </w:t>
      </w:r>
      <w:r w:rsidR="00AF6ADF">
        <w:t xml:space="preserve">Results for </w:t>
      </w:r>
      <w:r>
        <w:t>Study 109</w:t>
      </w:r>
      <w:r w:rsidR="00AF6ADF">
        <w:t xml:space="preserve"> from </w:t>
      </w:r>
      <w:r>
        <w:t xml:space="preserve">Table 5, ELX/TEZ/IVA PSD, July 2021 PBAC </w:t>
      </w:r>
      <w:r w:rsidR="00DD6EA4">
        <w:t>meeting.</w:t>
      </w:r>
      <w:r>
        <w:t xml:space="preserve"> </w:t>
      </w:r>
    </w:p>
  </w:footnote>
  <w:footnote w:id="4">
    <w:p w14:paraId="79DF0093" w14:textId="3AB0840A" w:rsidR="001719B8" w:rsidRDefault="001719B8" w:rsidP="001719B8">
      <w:pPr>
        <w:pStyle w:val="FootnoteText"/>
        <w:spacing w:after="0"/>
      </w:pPr>
      <w:r>
        <w:rPr>
          <w:rStyle w:val="FootnoteReference"/>
        </w:rPr>
        <w:footnoteRef/>
      </w:r>
      <w:r>
        <w:t xml:space="preserve"> Results for Study 102 from Table 5, ELX/TEZ/IVA PSD, July 2021 PBAC </w:t>
      </w:r>
      <w:r w:rsidR="00DD6EA4">
        <w:t>meeting.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4FAC" w14:textId="41D422E9" w:rsidR="0042193E" w:rsidRPr="00056684" w:rsidRDefault="0042193E" w:rsidP="0042193E">
    <w:pPr>
      <w:pStyle w:val="Header"/>
      <w:ind w:left="360"/>
      <w:rPr>
        <w:rFonts w:asciiTheme="minorHAnsi" w:hAnsiTheme="minorHAnsi"/>
        <w:i/>
        <w:color w:val="808080"/>
      </w:rPr>
    </w:pPr>
    <w:bookmarkStart w:id="45"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2022</w:t>
    </w:r>
    <w:r w:rsidRPr="00056684">
      <w:rPr>
        <w:rFonts w:asciiTheme="minorHAnsi" w:hAnsiTheme="minorHAnsi"/>
        <w:i/>
        <w:color w:val="808080"/>
      </w:rPr>
      <w:t xml:space="preserve"> PBAC Meeting</w:t>
    </w:r>
    <w:r w:rsidR="007A7977">
      <w:rPr>
        <w:rFonts w:asciiTheme="minorHAnsi" w:hAnsiTheme="minorHAnsi"/>
        <w:i/>
        <w:color w:val="808080"/>
      </w:rPr>
      <w:t xml:space="preserve"> with March 2023 Addendum</w:t>
    </w:r>
  </w:p>
  <w:bookmarkEnd w:id="45"/>
  <w:p w14:paraId="279E8012" w14:textId="77777777" w:rsidR="005731B4" w:rsidRPr="008C7ECB" w:rsidRDefault="0057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967E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75C42"/>
    <w:multiLevelType w:val="hybridMultilevel"/>
    <w:tmpl w:val="3E406B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C1140"/>
    <w:multiLevelType w:val="hybridMultilevel"/>
    <w:tmpl w:val="E73C7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87774A"/>
    <w:multiLevelType w:val="hybridMultilevel"/>
    <w:tmpl w:val="66A40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74746C"/>
    <w:multiLevelType w:val="hybridMultilevel"/>
    <w:tmpl w:val="49662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DE167D"/>
    <w:multiLevelType w:val="hybridMultilevel"/>
    <w:tmpl w:val="9F1215F0"/>
    <w:lvl w:ilvl="0" w:tplc="26864BE2">
      <w:start w:val="6"/>
      <w:numFmt w:val="bullet"/>
      <w:lvlText w:val=""/>
      <w:lvlJc w:val="left"/>
      <w:pPr>
        <w:ind w:left="720" w:hanging="360"/>
      </w:pPr>
      <w:rPr>
        <w:rFonts w:ascii="Wingdings" w:eastAsiaTheme="minorEastAsia"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FC0D8A"/>
    <w:multiLevelType w:val="hybridMultilevel"/>
    <w:tmpl w:val="50C4F3C0"/>
    <w:lvl w:ilvl="0" w:tplc="4442ECCE">
      <w:start w:val="6"/>
      <w:numFmt w:val="bullet"/>
      <w:lvlText w:val="-"/>
      <w:lvlJc w:val="left"/>
      <w:pPr>
        <w:ind w:left="720" w:hanging="360"/>
      </w:pPr>
      <w:rPr>
        <w:rFonts w:ascii="Arial Narrow" w:eastAsiaTheme="minorEastAsia"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E11DD"/>
    <w:multiLevelType w:val="hybridMultilevel"/>
    <w:tmpl w:val="251E7A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0314D2"/>
    <w:multiLevelType w:val="hybridMultilevel"/>
    <w:tmpl w:val="F19E003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3866FB"/>
    <w:multiLevelType w:val="hybridMultilevel"/>
    <w:tmpl w:val="A8F8CA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FBC494A"/>
    <w:multiLevelType w:val="hybridMultilevel"/>
    <w:tmpl w:val="CA5834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63645B"/>
    <w:multiLevelType w:val="hybridMultilevel"/>
    <w:tmpl w:val="B09E149C"/>
    <w:lvl w:ilvl="0" w:tplc="6E4E47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21567F8"/>
    <w:multiLevelType w:val="hybridMultilevel"/>
    <w:tmpl w:val="D876D2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2FD34F7"/>
    <w:multiLevelType w:val="hybridMultilevel"/>
    <w:tmpl w:val="EA8CC278"/>
    <w:lvl w:ilvl="0" w:tplc="C3E254F4">
      <w:start w:val="1"/>
      <w:numFmt w:val="decimal"/>
      <w:lvlText w:val="%1."/>
      <w:lvlJc w:val="left"/>
      <w:pPr>
        <w:ind w:left="360" w:hanging="360"/>
      </w:pPr>
      <w:rPr>
        <w:rFonts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303052"/>
    <w:multiLevelType w:val="hybridMultilevel"/>
    <w:tmpl w:val="CCDE0A7C"/>
    <w:lvl w:ilvl="0" w:tplc="8070A7C6">
      <w:start w:val="1"/>
      <w:numFmt w:val="bullet"/>
      <w:lvlText w:val="•"/>
      <w:lvlJc w:val="left"/>
      <w:pPr>
        <w:tabs>
          <w:tab w:val="num" w:pos="720"/>
        </w:tabs>
        <w:ind w:left="720" w:hanging="360"/>
      </w:pPr>
      <w:rPr>
        <w:rFonts w:ascii="Arial" w:hAnsi="Arial" w:hint="default"/>
      </w:rPr>
    </w:lvl>
    <w:lvl w:ilvl="1" w:tplc="E0245512" w:tentative="1">
      <w:start w:val="1"/>
      <w:numFmt w:val="bullet"/>
      <w:lvlText w:val="•"/>
      <w:lvlJc w:val="left"/>
      <w:pPr>
        <w:tabs>
          <w:tab w:val="num" w:pos="1440"/>
        </w:tabs>
        <w:ind w:left="1440" w:hanging="360"/>
      </w:pPr>
      <w:rPr>
        <w:rFonts w:ascii="Arial" w:hAnsi="Arial" w:hint="default"/>
      </w:rPr>
    </w:lvl>
    <w:lvl w:ilvl="2" w:tplc="1C4E21E4" w:tentative="1">
      <w:start w:val="1"/>
      <w:numFmt w:val="bullet"/>
      <w:lvlText w:val="•"/>
      <w:lvlJc w:val="left"/>
      <w:pPr>
        <w:tabs>
          <w:tab w:val="num" w:pos="2160"/>
        </w:tabs>
        <w:ind w:left="2160" w:hanging="360"/>
      </w:pPr>
      <w:rPr>
        <w:rFonts w:ascii="Arial" w:hAnsi="Arial" w:hint="default"/>
      </w:rPr>
    </w:lvl>
    <w:lvl w:ilvl="3" w:tplc="9822DF6C" w:tentative="1">
      <w:start w:val="1"/>
      <w:numFmt w:val="bullet"/>
      <w:lvlText w:val="•"/>
      <w:lvlJc w:val="left"/>
      <w:pPr>
        <w:tabs>
          <w:tab w:val="num" w:pos="2880"/>
        </w:tabs>
        <w:ind w:left="2880" w:hanging="360"/>
      </w:pPr>
      <w:rPr>
        <w:rFonts w:ascii="Arial" w:hAnsi="Arial" w:hint="default"/>
      </w:rPr>
    </w:lvl>
    <w:lvl w:ilvl="4" w:tplc="B0EE1AFC" w:tentative="1">
      <w:start w:val="1"/>
      <w:numFmt w:val="bullet"/>
      <w:lvlText w:val="•"/>
      <w:lvlJc w:val="left"/>
      <w:pPr>
        <w:tabs>
          <w:tab w:val="num" w:pos="3600"/>
        </w:tabs>
        <w:ind w:left="3600" w:hanging="360"/>
      </w:pPr>
      <w:rPr>
        <w:rFonts w:ascii="Arial" w:hAnsi="Arial" w:hint="default"/>
      </w:rPr>
    </w:lvl>
    <w:lvl w:ilvl="5" w:tplc="A474660E" w:tentative="1">
      <w:start w:val="1"/>
      <w:numFmt w:val="bullet"/>
      <w:lvlText w:val="•"/>
      <w:lvlJc w:val="left"/>
      <w:pPr>
        <w:tabs>
          <w:tab w:val="num" w:pos="4320"/>
        </w:tabs>
        <w:ind w:left="4320" w:hanging="360"/>
      </w:pPr>
      <w:rPr>
        <w:rFonts w:ascii="Arial" w:hAnsi="Arial" w:hint="default"/>
      </w:rPr>
    </w:lvl>
    <w:lvl w:ilvl="6" w:tplc="81A660E6" w:tentative="1">
      <w:start w:val="1"/>
      <w:numFmt w:val="bullet"/>
      <w:lvlText w:val="•"/>
      <w:lvlJc w:val="left"/>
      <w:pPr>
        <w:tabs>
          <w:tab w:val="num" w:pos="5040"/>
        </w:tabs>
        <w:ind w:left="5040" w:hanging="360"/>
      </w:pPr>
      <w:rPr>
        <w:rFonts w:ascii="Arial" w:hAnsi="Arial" w:hint="default"/>
      </w:rPr>
    </w:lvl>
    <w:lvl w:ilvl="7" w:tplc="B8320598" w:tentative="1">
      <w:start w:val="1"/>
      <w:numFmt w:val="bullet"/>
      <w:lvlText w:val="•"/>
      <w:lvlJc w:val="left"/>
      <w:pPr>
        <w:tabs>
          <w:tab w:val="num" w:pos="5760"/>
        </w:tabs>
        <w:ind w:left="5760" w:hanging="360"/>
      </w:pPr>
      <w:rPr>
        <w:rFonts w:ascii="Arial" w:hAnsi="Arial" w:hint="default"/>
      </w:rPr>
    </w:lvl>
    <w:lvl w:ilvl="8" w:tplc="DEBC57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EF0EDC"/>
    <w:multiLevelType w:val="hybridMultilevel"/>
    <w:tmpl w:val="66E6DFE4"/>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20" w15:restartNumberingAfterBreak="0">
    <w:nsid w:val="4A0445F4"/>
    <w:multiLevelType w:val="hybridMultilevel"/>
    <w:tmpl w:val="2EB0A30E"/>
    <w:styleLink w:val="Lists"/>
    <w:lvl w:ilvl="0" w:tplc="4B100A4A">
      <w:start w:val="1"/>
      <w:numFmt w:val="none"/>
      <w:suff w:val="nothing"/>
      <w:lvlText w:val="%1"/>
      <w:lvlJc w:val="left"/>
      <w:pPr>
        <w:ind w:left="0" w:firstLine="0"/>
      </w:pPr>
      <w:rPr>
        <w:rFonts w:hint="default"/>
      </w:rPr>
    </w:lvl>
    <w:lvl w:ilvl="1" w:tplc="357406A8">
      <w:start w:val="1"/>
      <w:numFmt w:val="decimal"/>
      <w:lvlText w:val="%2."/>
      <w:lvlJc w:val="left"/>
      <w:pPr>
        <w:tabs>
          <w:tab w:val="num" w:pos="357"/>
        </w:tabs>
        <w:ind w:left="357" w:hanging="357"/>
      </w:pPr>
      <w:rPr>
        <w:rFonts w:hint="default"/>
      </w:rPr>
    </w:lvl>
    <w:lvl w:ilvl="2" w:tplc="C9C87716">
      <w:start w:val="1"/>
      <w:numFmt w:val="lowerLetter"/>
      <w:lvlText w:val="%3."/>
      <w:lvlJc w:val="left"/>
      <w:pPr>
        <w:tabs>
          <w:tab w:val="num" w:pos="720"/>
        </w:tabs>
        <w:ind w:left="720" w:hanging="363"/>
      </w:pPr>
      <w:rPr>
        <w:rFonts w:hint="default"/>
      </w:rPr>
    </w:lvl>
    <w:lvl w:ilvl="3" w:tplc="1F6244A0">
      <w:start w:val="1"/>
      <w:numFmt w:val="lowerRoman"/>
      <w:lvlText w:val="%4."/>
      <w:lvlJc w:val="left"/>
      <w:pPr>
        <w:tabs>
          <w:tab w:val="num" w:pos="1077"/>
        </w:tabs>
        <w:ind w:left="1077" w:hanging="357"/>
      </w:pPr>
      <w:rPr>
        <w:rFonts w:hint="default"/>
      </w:rPr>
    </w:lvl>
    <w:lvl w:ilvl="4" w:tplc="2FFE8592">
      <w:start w:val="1"/>
      <w:numFmt w:val="decimal"/>
      <w:lvlText w:val="%5)"/>
      <w:lvlJc w:val="left"/>
      <w:pPr>
        <w:tabs>
          <w:tab w:val="num" w:pos="1435"/>
        </w:tabs>
        <w:ind w:left="1435" w:hanging="358"/>
      </w:pPr>
      <w:rPr>
        <w:rFonts w:hint="default"/>
      </w:rPr>
    </w:lvl>
    <w:lvl w:ilvl="5" w:tplc="D4C40002">
      <w:start w:val="1"/>
      <w:numFmt w:val="none"/>
      <w:suff w:val="nothing"/>
      <w:lvlText w:val="%6"/>
      <w:lvlJc w:val="left"/>
      <w:pPr>
        <w:ind w:left="0" w:firstLine="0"/>
      </w:pPr>
      <w:rPr>
        <w:rFonts w:hint="default"/>
      </w:rPr>
    </w:lvl>
    <w:lvl w:ilvl="6" w:tplc="9AE253DC">
      <w:start w:val="1"/>
      <w:numFmt w:val="none"/>
      <w:suff w:val="nothing"/>
      <w:lvlText w:val=""/>
      <w:lvlJc w:val="left"/>
      <w:pPr>
        <w:ind w:left="0" w:firstLine="0"/>
      </w:pPr>
      <w:rPr>
        <w:rFonts w:hint="default"/>
      </w:rPr>
    </w:lvl>
    <w:lvl w:ilvl="7" w:tplc="7D663420">
      <w:start w:val="1"/>
      <w:numFmt w:val="none"/>
      <w:suff w:val="nothing"/>
      <w:lvlText w:val=""/>
      <w:lvlJc w:val="left"/>
      <w:pPr>
        <w:ind w:left="0" w:firstLine="0"/>
      </w:pPr>
      <w:rPr>
        <w:rFonts w:hint="default"/>
      </w:rPr>
    </w:lvl>
    <w:lvl w:ilvl="8" w:tplc="129C5C34">
      <w:start w:val="1"/>
      <w:numFmt w:val="none"/>
      <w:suff w:val="nothing"/>
      <w:lvlText w:val="%9"/>
      <w:lvlJc w:val="left"/>
      <w:pPr>
        <w:ind w:left="0" w:firstLine="0"/>
      </w:pPr>
      <w:rPr>
        <w:rFonts w:hint="default"/>
      </w:rPr>
    </w:lvl>
  </w:abstractNum>
  <w:abstractNum w:abstractNumId="21" w15:restartNumberingAfterBreak="0">
    <w:nsid w:val="4A8E5CDC"/>
    <w:multiLevelType w:val="hybridMultilevel"/>
    <w:tmpl w:val="08980436"/>
    <w:lvl w:ilvl="0" w:tplc="E0105494">
      <w:start w:val="1"/>
      <w:numFmt w:val="bullet"/>
      <w:pStyle w:val="RJWBulltedlist"/>
      <w:lvlText w:val=""/>
      <w:lvlJc w:val="left"/>
      <w:pPr>
        <w:ind w:left="13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01FD1"/>
    <w:multiLevelType w:val="hybridMultilevel"/>
    <w:tmpl w:val="AA2E36C4"/>
    <w:lvl w:ilvl="0" w:tplc="5C2CA060">
      <w:start w:val="1"/>
      <w:numFmt w:val="bullet"/>
      <w:lvlText w:val="•"/>
      <w:lvlJc w:val="left"/>
      <w:pPr>
        <w:tabs>
          <w:tab w:val="num" w:pos="720"/>
        </w:tabs>
        <w:ind w:left="720" w:hanging="360"/>
      </w:pPr>
      <w:rPr>
        <w:rFonts w:ascii="Arial" w:hAnsi="Arial" w:hint="default"/>
      </w:rPr>
    </w:lvl>
    <w:lvl w:ilvl="1" w:tplc="06184380" w:tentative="1">
      <w:start w:val="1"/>
      <w:numFmt w:val="bullet"/>
      <w:lvlText w:val="•"/>
      <w:lvlJc w:val="left"/>
      <w:pPr>
        <w:tabs>
          <w:tab w:val="num" w:pos="1440"/>
        </w:tabs>
        <w:ind w:left="1440" w:hanging="360"/>
      </w:pPr>
      <w:rPr>
        <w:rFonts w:ascii="Arial" w:hAnsi="Arial" w:hint="default"/>
      </w:rPr>
    </w:lvl>
    <w:lvl w:ilvl="2" w:tplc="FCA85460" w:tentative="1">
      <w:start w:val="1"/>
      <w:numFmt w:val="bullet"/>
      <w:lvlText w:val="•"/>
      <w:lvlJc w:val="left"/>
      <w:pPr>
        <w:tabs>
          <w:tab w:val="num" w:pos="2160"/>
        </w:tabs>
        <w:ind w:left="2160" w:hanging="360"/>
      </w:pPr>
      <w:rPr>
        <w:rFonts w:ascii="Arial" w:hAnsi="Arial" w:hint="default"/>
      </w:rPr>
    </w:lvl>
    <w:lvl w:ilvl="3" w:tplc="64E03DD2" w:tentative="1">
      <w:start w:val="1"/>
      <w:numFmt w:val="bullet"/>
      <w:lvlText w:val="•"/>
      <w:lvlJc w:val="left"/>
      <w:pPr>
        <w:tabs>
          <w:tab w:val="num" w:pos="2880"/>
        </w:tabs>
        <w:ind w:left="2880" w:hanging="360"/>
      </w:pPr>
      <w:rPr>
        <w:rFonts w:ascii="Arial" w:hAnsi="Arial" w:hint="default"/>
      </w:rPr>
    </w:lvl>
    <w:lvl w:ilvl="4" w:tplc="24843A84" w:tentative="1">
      <w:start w:val="1"/>
      <w:numFmt w:val="bullet"/>
      <w:lvlText w:val="•"/>
      <w:lvlJc w:val="left"/>
      <w:pPr>
        <w:tabs>
          <w:tab w:val="num" w:pos="3600"/>
        </w:tabs>
        <w:ind w:left="3600" w:hanging="360"/>
      </w:pPr>
      <w:rPr>
        <w:rFonts w:ascii="Arial" w:hAnsi="Arial" w:hint="default"/>
      </w:rPr>
    </w:lvl>
    <w:lvl w:ilvl="5" w:tplc="5728192C" w:tentative="1">
      <w:start w:val="1"/>
      <w:numFmt w:val="bullet"/>
      <w:lvlText w:val="•"/>
      <w:lvlJc w:val="left"/>
      <w:pPr>
        <w:tabs>
          <w:tab w:val="num" w:pos="4320"/>
        </w:tabs>
        <w:ind w:left="4320" w:hanging="360"/>
      </w:pPr>
      <w:rPr>
        <w:rFonts w:ascii="Arial" w:hAnsi="Arial" w:hint="default"/>
      </w:rPr>
    </w:lvl>
    <w:lvl w:ilvl="6" w:tplc="16E22796" w:tentative="1">
      <w:start w:val="1"/>
      <w:numFmt w:val="bullet"/>
      <w:lvlText w:val="•"/>
      <w:lvlJc w:val="left"/>
      <w:pPr>
        <w:tabs>
          <w:tab w:val="num" w:pos="5040"/>
        </w:tabs>
        <w:ind w:left="5040" w:hanging="360"/>
      </w:pPr>
      <w:rPr>
        <w:rFonts w:ascii="Arial" w:hAnsi="Arial" w:hint="default"/>
      </w:rPr>
    </w:lvl>
    <w:lvl w:ilvl="7" w:tplc="047AF3DE" w:tentative="1">
      <w:start w:val="1"/>
      <w:numFmt w:val="bullet"/>
      <w:lvlText w:val="•"/>
      <w:lvlJc w:val="left"/>
      <w:pPr>
        <w:tabs>
          <w:tab w:val="num" w:pos="5760"/>
        </w:tabs>
        <w:ind w:left="5760" w:hanging="360"/>
      </w:pPr>
      <w:rPr>
        <w:rFonts w:ascii="Arial" w:hAnsi="Arial" w:hint="default"/>
      </w:rPr>
    </w:lvl>
    <w:lvl w:ilvl="8" w:tplc="5718BB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1238AC"/>
    <w:multiLevelType w:val="hybridMultilevel"/>
    <w:tmpl w:val="A118AACE"/>
    <w:lvl w:ilvl="0" w:tplc="0C090001">
      <w:start w:val="1"/>
      <w:numFmt w:val="bullet"/>
      <w:lvlText w:val=""/>
      <w:lvlJc w:val="left"/>
      <w:pPr>
        <w:ind w:left="1080" w:hanging="360"/>
      </w:pPr>
      <w:rPr>
        <w:rFonts w:ascii="Symbol" w:hAnsi="Symbol" w:hint="default"/>
      </w:rPr>
    </w:lvl>
    <w:lvl w:ilvl="1" w:tplc="292A8222">
      <w:numFmt w:val="bullet"/>
      <w:lvlText w:val="•"/>
      <w:lvlJc w:val="left"/>
      <w:pPr>
        <w:ind w:left="2160" w:hanging="720"/>
      </w:pPr>
      <w:rPr>
        <w:rFonts w:ascii="Calibri" w:eastAsiaTheme="minorEastAsia"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multilevel"/>
    <w:tmpl w:val="0CAA3C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C6E14B8"/>
    <w:multiLevelType w:val="hybridMultilevel"/>
    <w:tmpl w:val="336E9352"/>
    <w:lvl w:ilvl="0" w:tplc="441E7D88">
      <w:start w:val="6"/>
      <w:numFmt w:val="bullet"/>
      <w:lvlText w:val=""/>
      <w:lvlJc w:val="left"/>
      <w:pPr>
        <w:ind w:left="720" w:hanging="360"/>
      </w:pPr>
      <w:rPr>
        <w:rFonts w:ascii="Wingdings" w:eastAsiaTheme="minorEastAsia"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5128D1F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BC6497"/>
    <w:multiLevelType w:val="hybridMultilevel"/>
    <w:tmpl w:val="94782850"/>
    <w:lvl w:ilvl="0" w:tplc="0122F392">
      <w:start w:val="1"/>
      <w:numFmt w:val="bullet"/>
      <w:lvlText w:val="•"/>
      <w:lvlJc w:val="left"/>
      <w:pPr>
        <w:tabs>
          <w:tab w:val="num" w:pos="720"/>
        </w:tabs>
        <w:ind w:left="720" w:hanging="360"/>
      </w:pPr>
      <w:rPr>
        <w:rFonts w:ascii="Arial" w:hAnsi="Arial" w:hint="default"/>
      </w:rPr>
    </w:lvl>
    <w:lvl w:ilvl="1" w:tplc="E294E51A" w:tentative="1">
      <w:start w:val="1"/>
      <w:numFmt w:val="bullet"/>
      <w:lvlText w:val="•"/>
      <w:lvlJc w:val="left"/>
      <w:pPr>
        <w:tabs>
          <w:tab w:val="num" w:pos="1440"/>
        </w:tabs>
        <w:ind w:left="1440" w:hanging="360"/>
      </w:pPr>
      <w:rPr>
        <w:rFonts w:ascii="Arial" w:hAnsi="Arial" w:hint="default"/>
      </w:rPr>
    </w:lvl>
    <w:lvl w:ilvl="2" w:tplc="D3D056C4" w:tentative="1">
      <w:start w:val="1"/>
      <w:numFmt w:val="bullet"/>
      <w:lvlText w:val="•"/>
      <w:lvlJc w:val="left"/>
      <w:pPr>
        <w:tabs>
          <w:tab w:val="num" w:pos="2160"/>
        </w:tabs>
        <w:ind w:left="2160" w:hanging="360"/>
      </w:pPr>
      <w:rPr>
        <w:rFonts w:ascii="Arial" w:hAnsi="Arial" w:hint="default"/>
      </w:rPr>
    </w:lvl>
    <w:lvl w:ilvl="3" w:tplc="3126D976" w:tentative="1">
      <w:start w:val="1"/>
      <w:numFmt w:val="bullet"/>
      <w:lvlText w:val="•"/>
      <w:lvlJc w:val="left"/>
      <w:pPr>
        <w:tabs>
          <w:tab w:val="num" w:pos="2880"/>
        </w:tabs>
        <w:ind w:left="2880" w:hanging="360"/>
      </w:pPr>
      <w:rPr>
        <w:rFonts w:ascii="Arial" w:hAnsi="Arial" w:hint="default"/>
      </w:rPr>
    </w:lvl>
    <w:lvl w:ilvl="4" w:tplc="2DCA009E" w:tentative="1">
      <w:start w:val="1"/>
      <w:numFmt w:val="bullet"/>
      <w:lvlText w:val="•"/>
      <w:lvlJc w:val="left"/>
      <w:pPr>
        <w:tabs>
          <w:tab w:val="num" w:pos="3600"/>
        </w:tabs>
        <w:ind w:left="3600" w:hanging="360"/>
      </w:pPr>
      <w:rPr>
        <w:rFonts w:ascii="Arial" w:hAnsi="Arial" w:hint="default"/>
      </w:rPr>
    </w:lvl>
    <w:lvl w:ilvl="5" w:tplc="25DCE9A0" w:tentative="1">
      <w:start w:val="1"/>
      <w:numFmt w:val="bullet"/>
      <w:lvlText w:val="•"/>
      <w:lvlJc w:val="left"/>
      <w:pPr>
        <w:tabs>
          <w:tab w:val="num" w:pos="4320"/>
        </w:tabs>
        <w:ind w:left="4320" w:hanging="360"/>
      </w:pPr>
      <w:rPr>
        <w:rFonts w:ascii="Arial" w:hAnsi="Arial" w:hint="default"/>
      </w:rPr>
    </w:lvl>
    <w:lvl w:ilvl="6" w:tplc="1E864342" w:tentative="1">
      <w:start w:val="1"/>
      <w:numFmt w:val="bullet"/>
      <w:lvlText w:val="•"/>
      <w:lvlJc w:val="left"/>
      <w:pPr>
        <w:tabs>
          <w:tab w:val="num" w:pos="5040"/>
        </w:tabs>
        <w:ind w:left="5040" w:hanging="360"/>
      </w:pPr>
      <w:rPr>
        <w:rFonts w:ascii="Arial" w:hAnsi="Arial" w:hint="default"/>
      </w:rPr>
    </w:lvl>
    <w:lvl w:ilvl="7" w:tplc="9C7A700C" w:tentative="1">
      <w:start w:val="1"/>
      <w:numFmt w:val="bullet"/>
      <w:lvlText w:val="•"/>
      <w:lvlJc w:val="left"/>
      <w:pPr>
        <w:tabs>
          <w:tab w:val="num" w:pos="5760"/>
        </w:tabs>
        <w:ind w:left="5760" w:hanging="360"/>
      </w:pPr>
      <w:rPr>
        <w:rFonts w:ascii="Arial" w:hAnsi="Arial" w:hint="default"/>
      </w:rPr>
    </w:lvl>
    <w:lvl w:ilvl="8" w:tplc="008687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F000D2"/>
    <w:multiLevelType w:val="hybridMultilevel"/>
    <w:tmpl w:val="5FFA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E14126"/>
    <w:multiLevelType w:val="hybridMultilevel"/>
    <w:tmpl w:val="B82280FA"/>
    <w:lvl w:ilvl="0" w:tplc="3CB673E6">
      <w:start w:val="6"/>
      <w:numFmt w:val="bullet"/>
      <w:lvlText w:val="-"/>
      <w:lvlJc w:val="left"/>
      <w:pPr>
        <w:ind w:left="408" w:hanging="360"/>
      </w:pPr>
      <w:rPr>
        <w:rFonts w:ascii="Arial Narrow" w:eastAsiaTheme="minorEastAsia"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27"/>
  </w:num>
  <w:num w:numId="2">
    <w:abstractNumId w:val="17"/>
  </w:num>
  <w:num w:numId="3">
    <w:abstractNumId w:val="18"/>
  </w:num>
  <w:num w:numId="4">
    <w:abstractNumId w:val="0"/>
  </w:num>
  <w:num w:numId="5">
    <w:abstractNumId w:val="25"/>
  </w:num>
  <w:num w:numId="6">
    <w:abstractNumId w:val="6"/>
  </w:num>
  <w:num w:numId="7">
    <w:abstractNumId w:val="13"/>
  </w:num>
  <w:num w:numId="8">
    <w:abstractNumId w:val="1"/>
  </w:num>
  <w:num w:numId="9">
    <w:abstractNumId w:val="23"/>
  </w:num>
  <w:num w:numId="10">
    <w:abstractNumId w:val="21"/>
  </w:num>
  <w:num w:numId="11">
    <w:abstractNumId w:val="2"/>
  </w:num>
  <w:num w:numId="12">
    <w:abstractNumId w:val="19"/>
  </w:num>
  <w:num w:numId="13">
    <w:abstractNumId w:val="9"/>
  </w:num>
  <w:num w:numId="14">
    <w:abstractNumId w:val="8"/>
  </w:num>
  <w:num w:numId="15">
    <w:abstractNumId w:val="15"/>
  </w:num>
  <w:num w:numId="16">
    <w:abstractNumId w:val="12"/>
  </w:num>
  <w:num w:numId="17">
    <w:abstractNumId w:val="5"/>
  </w:num>
  <w:num w:numId="18">
    <w:abstractNumId w:val="3"/>
  </w:num>
  <w:num w:numId="19">
    <w:abstractNumId w:val="20"/>
  </w:num>
  <w:num w:numId="20">
    <w:abstractNumId w:val="22"/>
  </w:num>
  <w:num w:numId="21">
    <w:abstractNumId w:val="16"/>
  </w:num>
  <w:num w:numId="22">
    <w:abstractNumId w:val="7"/>
  </w:num>
  <w:num w:numId="23">
    <w:abstractNumId w:val="30"/>
  </w:num>
  <w:num w:numId="24">
    <w:abstractNumId w:val="29"/>
  </w:num>
  <w:num w:numId="25">
    <w:abstractNumId w:val="4"/>
  </w:num>
  <w:num w:numId="26">
    <w:abstractNumId w:val="0"/>
  </w:num>
  <w:num w:numId="27">
    <w:abstractNumId w:val="14"/>
  </w:num>
  <w:num w:numId="28">
    <w:abstractNumId w:val="28"/>
  </w:num>
  <w:num w:numId="29">
    <w:abstractNumId w:val="11"/>
  </w:num>
  <w:num w:numId="30">
    <w:abstractNumId w:val="24"/>
  </w:num>
  <w:num w:numId="31">
    <w:abstractNumId w:val="26"/>
  </w:num>
  <w:num w:numId="32">
    <w:abstractNumId w:val="10"/>
  </w:num>
  <w:num w:numId="33">
    <w:abstractNumId w:val="27"/>
  </w:num>
  <w:num w:numId="34">
    <w:abstractNumId w:val="27"/>
  </w:num>
  <w:num w:numId="35">
    <w:abstractNumId w:val="27"/>
  </w:num>
  <w:num w:numId="36">
    <w:abstractNumId w:val="27"/>
  </w:num>
  <w:num w:numId="3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5E79"/>
    <w:rsid w:val="0000000F"/>
    <w:rsid w:val="000000AB"/>
    <w:rsid w:val="00000168"/>
    <w:rsid w:val="00000790"/>
    <w:rsid w:val="00000A78"/>
    <w:rsid w:val="00000C00"/>
    <w:rsid w:val="00000EAB"/>
    <w:rsid w:val="00000F97"/>
    <w:rsid w:val="0000110B"/>
    <w:rsid w:val="000012BF"/>
    <w:rsid w:val="00001C47"/>
    <w:rsid w:val="00001E07"/>
    <w:rsid w:val="00001E9A"/>
    <w:rsid w:val="000023F4"/>
    <w:rsid w:val="000026D4"/>
    <w:rsid w:val="00002744"/>
    <w:rsid w:val="00002928"/>
    <w:rsid w:val="00003499"/>
    <w:rsid w:val="000037E4"/>
    <w:rsid w:val="00003808"/>
    <w:rsid w:val="000039B7"/>
    <w:rsid w:val="00003B40"/>
    <w:rsid w:val="00003D03"/>
    <w:rsid w:val="00003D20"/>
    <w:rsid w:val="00003EE5"/>
    <w:rsid w:val="00004173"/>
    <w:rsid w:val="000045F7"/>
    <w:rsid w:val="00004D3B"/>
    <w:rsid w:val="000056B9"/>
    <w:rsid w:val="00005EDF"/>
    <w:rsid w:val="0000639A"/>
    <w:rsid w:val="0000674C"/>
    <w:rsid w:val="00006C2B"/>
    <w:rsid w:val="00006D51"/>
    <w:rsid w:val="000073E4"/>
    <w:rsid w:val="00007C5E"/>
    <w:rsid w:val="000102B3"/>
    <w:rsid w:val="0001077C"/>
    <w:rsid w:val="00010B94"/>
    <w:rsid w:val="00010C11"/>
    <w:rsid w:val="0001155D"/>
    <w:rsid w:val="00011A55"/>
    <w:rsid w:val="00011CD8"/>
    <w:rsid w:val="000127AB"/>
    <w:rsid w:val="00012B11"/>
    <w:rsid w:val="00012B4A"/>
    <w:rsid w:val="00012BFF"/>
    <w:rsid w:val="00012CE4"/>
    <w:rsid w:val="00012E01"/>
    <w:rsid w:val="000130BA"/>
    <w:rsid w:val="00013247"/>
    <w:rsid w:val="000135C8"/>
    <w:rsid w:val="000138AC"/>
    <w:rsid w:val="00014083"/>
    <w:rsid w:val="00014900"/>
    <w:rsid w:val="00014B29"/>
    <w:rsid w:val="00014B84"/>
    <w:rsid w:val="00014F24"/>
    <w:rsid w:val="00015148"/>
    <w:rsid w:val="00015185"/>
    <w:rsid w:val="000152B8"/>
    <w:rsid w:val="00015540"/>
    <w:rsid w:val="00015886"/>
    <w:rsid w:val="00015F38"/>
    <w:rsid w:val="00016082"/>
    <w:rsid w:val="000162EF"/>
    <w:rsid w:val="0001679D"/>
    <w:rsid w:val="00016DA2"/>
    <w:rsid w:val="00016EC3"/>
    <w:rsid w:val="00017489"/>
    <w:rsid w:val="00020048"/>
    <w:rsid w:val="000207C9"/>
    <w:rsid w:val="00020A23"/>
    <w:rsid w:val="00021988"/>
    <w:rsid w:val="0002225F"/>
    <w:rsid w:val="000222A9"/>
    <w:rsid w:val="00022C8C"/>
    <w:rsid w:val="00023018"/>
    <w:rsid w:val="000234C3"/>
    <w:rsid w:val="000235F0"/>
    <w:rsid w:val="00023763"/>
    <w:rsid w:val="00024385"/>
    <w:rsid w:val="000243AC"/>
    <w:rsid w:val="00024612"/>
    <w:rsid w:val="00024EB5"/>
    <w:rsid w:val="00024F3A"/>
    <w:rsid w:val="000258CF"/>
    <w:rsid w:val="00025B39"/>
    <w:rsid w:val="00025FAA"/>
    <w:rsid w:val="000266DF"/>
    <w:rsid w:val="000268CC"/>
    <w:rsid w:val="00026C78"/>
    <w:rsid w:val="00026E4D"/>
    <w:rsid w:val="00026FEF"/>
    <w:rsid w:val="0002713A"/>
    <w:rsid w:val="000274B8"/>
    <w:rsid w:val="00027570"/>
    <w:rsid w:val="00027B8D"/>
    <w:rsid w:val="00027FFB"/>
    <w:rsid w:val="0003030A"/>
    <w:rsid w:val="00030527"/>
    <w:rsid w:val="00030BD0"/>
    <w:rsid w:val="00031383"/>
    <w:rsid w:val="0003146B"/>
    <w:rsid w:val="00031541"/>
    <w:rsid w:val="00031C86"/>
    <w:rsid w:val="0003202A"/>
    <w:rsid w:val="00032104"/>
    <w:rsid w:val="000324A0"/>
    <w:rsid w:val="00032CD2"/>
    <w:rsid w:val="00032DD4"/>
    <w:rsid w:val="000332D9"/>
    <w:rsid w:val="0003336A"/>
    <w:rsid w:val="00033863"/>
    <w:rsid w:val="00033BAC"/>
    <w:rsid w:val="00033C05"/>
    <w:rsid w:val="000344AD"/>
    <w:rsid w:val="00034809"/>
    <w:rsid w:val="0003481D"/>
    <w:rsid w:val="0003533A"/>
    <w:rsid w:val="00035619"/>
    <w:rsid w:val="0003565C"/>
    <w:rsid w:val="00035A3A"/>
    <w:rsid w:val="00035DC0"/>
    <w:rsid w:val="00036029"/>
    <w:rsid w:val="00036171"/>
    <w:rsid w:val="0003656E"/>
    <w:rsid w:val="00036829"/>
    <w:rsid w:val="00036AD9"/>
    <w:rsid w:val="00036ECB"/>
    <w:rsid w:val="0003739A"/>
    <w:rsid w:val="00037C18"/>
    <w:rsid w:val="00040067"/>
    <w:rsid w:val="00040377"/>
    <w:rsid w:val="00040519"/>
    <w:rsid w:val="00040895"/>
    <w:rsid w:val="00040FBA"/>
    <w:rsid w:val="000410A0"/>
    <w:rsid w:val="000419BC"/>
    <w:rsid w:val="00041F4C"/>
    <w:rsid w:val="00042346"/>
    <w:rsid w:val="0004280E"/>
    <w:rsid w:val="00042AC9"/>
    <w:rsid w:val="0004319C"/>
    <w:rsid w:val="0004327A"/>
    <w:rsid w:val="00043350"/>
    <w:rsid w:val="00043461"/>
    <w:rsid w:val="000435AF"/>
    <w:rsid w:val="000435EE"/>
    <w:rsid w:val="00043647"/>
    <w:rsid w:val="00043672"/>
    <w:rsid w:val="000436EE"/>
    <w:rsid w:val="00043881"/>
    <w:rsid w:val="00043C37"/>
    <w:rsid w:val="00043C90"/>
    <w:rsid w:val="0004431F"/>
    <w:rsid w:val="00044709"/>
    <w:rsid w:val="00045017"/>
    <w:rsid w:val="000458B2"/>
    <w:rsid w:val="00045A2B"/>
    <w:rsid w:val="00045C88"/>
    <w:rsid w:val="00045CA6"/>
    <w:rsid w:val="00046185"/>
    <w:rsid w:val="00046671"/>
    <w:rsid w:val="0004698F"/>
    <w:rsid w:val="00046D64"/>
    <w:rsid w:val="00046E7A"/>
    <w:rsid w:val="000471B6"/>
    <w:rsid w:val="000472D2"/>
    <w:rsid w:val="00047F18"/>
    <w:rsid w:val="000507E1"/>
    <w:rsid w:val="000508C2"/>
    <w:rsid w:val="000508D3"/>
    <w:rsid w:val="000509DC"/>
    <w:rsid w:val="000510FB"/>
    <w:rsid w:val="00051BC2"/>
    <w:rsid w:val="00051EF8"/>
    <w:rsid w:val="0005203A"/>
    <w:rsid w:val="0005251E"/>
    <w:rsid w:val="000525E3"/>
    <w:rsid w:val="0005319A"/>
    <w:rsid w:val="0005321D"/>
    <w:rsid w:val="000532B1"/>
    <w:rsid w:val="000539D0"/>
    <w:rsid w:val="00053E82"/>
    <w:rsid w:val="00053FFF"/>
    <w:rsid w:val="00054621"/>
    <w:rsid w:val="000546D7"/>
    <w:rsid w:val="00054A8D"/>
    <w:rsid w:val="00055075"/>
    <w:rsid w:val="00055550"/>
    <w:rsid w:val="0005558F"/>
    <w:rsid w:val="0005582D"/>
    <w:rsid w:val="000558C5"/>
    <w:rsid w:val="00055CB3"/>
    <w:rsid w:val="00055CCB"/>
    <w:rsid w:val="000566A3"/>
    <w:rsid w:val="000566C5"/>
    <w:rsid w:val="00056770"/>
    <w:rsid w:val="0005683A"/>
    <w:rsid w:val="00056ECF"/>
    <w:rsid w:val="00057155"/>
    <w:rsid w:val="0005716A"/>
    <w:rsid w:val="0005747D"/>
    <w:rsid w:val="0005750A"/>
    <w:rsid w:val="00057626"/>
    <w:rsid w:val="00057B3B"/>
    <w:rsid w:val="0006005C"/>
    <w:rsid w:val="0006018D"/>
    <w:rsid w:val="000601D7"/>
    <w:rsid w:val="000602DC"/>
    <w:rsid w:val="000604DF"/>
    <w:rsid w:val="00060565"/>
    <w:rsid w:val="0006071A"/>
    <w:rsid w:val="0006071F"/>
    <w:rsid w:val="00060989"/>
    <w:rsid w:val="00060EA1"/>
    <w:rsid w:val="00061B13"/>
    <w:rsid w:val="00061B24"/>
    <w:rsid w:val="00062324"/>
    <w:rsid w:val="0006281B"/>
    <w:rsid w:val="00062A4A"/>
    <w:rsid w:val="00062F13"/>
    <w:rsid w:val="00063080"/>
    <w:rsid w:val="00063F14"/>
    <w:rsid w:val="000652AC"/>
    <w:rsid w:val="000653B5"/>
    <w:rsid w:val="0006560E"/>
    <w:rsid w:val="00065764"/>
    <w:rsid w:val="00065838"/>
    <w:rsid w:val="000658EB"/>
    <w:rsid w:val="00065B00"/>
    <w:rsid w:val="00066297"/>
    <w:rsid w:val="00066360"/>
    <w:rsid w:val="00066A46"/>
    <w:rsid w:val="00066AF8"/>
    <w:rsid w:val="00066C93"/>
    <w:rsid w:val="000672DA"/>
    <w:rsid w:val="00067942"/>
    <w:rsid w:val="00067BD7"/>
    <w:rsid w:val="0007041B"/>
    <w:rsid w:val="00070FD5"/>
    <w:rsid w:val="00071248"/>
    <w:rsid w:val="0007142F"/>
    <w:rsid w:val="0007162E"/>
    <w:rsid w:val="00071B85"/>
    <w:rsid w:val="00071E33"/>
    <w:rsid w:val="000720B9"/>
    <w:rsid w:val="0007216D"/>
    <w:rsid w:val="000721C2"/>
    <w:rsid w:val="000721D9"/>
    <w:rsid w:val="000724DF"/>
    <w:rsid w:val="00072903"/>
    <w:rsid w:val="00072AC4"/>
    <w:rsid w:val="00072F4A"/>
    <w:rsid w:val="000737F7"/>
    <w:rsid w:val="00073DBB"/>
    <w:rsid w:val="00073EE8"/>
    <w:rsid w:val="000743CC"/>
    <w:rsid w:val="00074CC8"/>
    <w:rsid w:val="00074F44"/>
    <w:rsid w:val="0007554F"/>
    <w:rsid w:val="00075F62"/>
    <w:rsid w:val="0007672F"/>
    <w:rsid w:val="0007678A"/>
    <w:rsid w:val="00076B54"/>
    <w:rsid w:val="000774F0"/>
    <w:rsid w:val="00077554"/>
    <w:rsid w:val="000776A7"/>
    <w:rsid w:val="000776B6"/>
    <w:rsid w:val="000776ED"/>
    <w:rsid w:val="0007780A"/>
    <w:rsid w:val="00077837"/>
    <w:rsid w:val="00077A9C"/>
    <w:rsid w:val="00077E0B"/>
    <w:rsid w:val="0008002B"/>
    <w:rsid w:val="000803B7"/>
    <w:rsid w:val="000804D9"/>
    <w:rsid w:val="0008074C"/>
    <w:rsid w:val="00080909"/>
    <w:rsid w:val="000812CA"/>
    <w:rsid w:val="00081369"/>
    <w:rsid w:val="0008139D"/>
    <w:rsid w:val="0008147F"/>
    <w:rsid w:val="000815E2"/>
    <w:rsid w:val="00081797"/>
    <w:rsid w:val="000818F0"/>
    <w:rsid w:val="00081C64"/>
    <w:rsid w:val="00081E63"/>
    <w:rsid w:val="0008258D"/>
    <w:rsid w:val="00082674"/>
    <w:rsid w:val="00082882"/>
    <w:rsid w:val="0008320A"/>
    <w:rsid w:val="000833F8"/>
    <w:rsid w:val="000835B1"/>
    <w:rsid w:val="00083DF7"/>
    <w:rsid w:val="00083E99"/>
    <w:rsid w:val="00084092"/>
    <w:rsid w:val="00084B0E"/>
    <w:rsid w:val="00084EF8"/>
    <w:rsid w:val="00084FA8"/>
    <w:rsid w:val="00085465"/>
    <w:rsid w:val="000856C5"/>
    <w:rsid w:val="00085911"/>
    <w:rsid w:val="00085C31"/>
    <w:rsid w:val="00085D7B"/>
    <w:rsid w:val="00085F2E"/>
    <w:rsid w:val="00085FAF"/>
    <w:rsid w:val="0008673F"/>
    <w:rsid w:val="00086AF6"/>
    <w:rsid w:val="00086B00"/>
    <w:rsid w:val="00086F7E"/>
    <w:rsid w:val="00086FD5"/>
    <w:rsid w:val="00087090"/>
    <w:rsid w:val="0008712C"/>
    <w:rsid w:val="000874BB"/>
    <w:rsid w:val="000877AC"/>
    <w:rsid w:val="00087826"/>
    <w:rsid w:val="0008784E"/>
    <w:rsid w:val="00087F79"/>
    <w:rsid w:val="00090291"/>
    <w:rsid w:val="000902D9"/>
    <w:rsid w:val="000905C5"/>
    <w:rsid w:val="0009085A"/>
    <w:rsid w:val="00090C43"/>
    <w:rsid w:val="00090C7E"/>
    <w:rsid w:val="00090D2A"/>
    <w:rsid w:val="00091136"/>
    <w:rsid w:val="000911AC"/>
    <w:rsid w:val="0009199D"/>
    <w:rsid w:val="00092600"/>
    <w:rsid w:val="0009262B"/>
    <w:rsid w:val="00092810"/>
    <w:rsid w:val="000929E3"/>
    <w:rsid w:val="00093310"/>
    <w:rsid w:val="0009391C"/>
    <w:rsid w:val="0009396A"/>
    <w:rsid w:val="00093FF4"/>
    <w:rsid w:val="0009445C"/>
    <w:rsid w:val="000949E3"/>
    <w:rsid w:val="00094C65"/>
    <w:rsid w:val="00094CD8"/>
    <w:rsid w:val="00094EA2"/>
    <w:rsid w:val="000951DA"/>
    <w:rsid w:val="00095200"/>
    <w:rsid w:val="00095FE5"/>
    <w:rsid w:val="00096036"/>
    <w:rsid w:val="00096284"/>
    <w:rsid w:val="000964FC"/>
    <w:rsid w:val="00096755"/>
    <w:rsid w:val="00096D1D"/>
    <w:rsid w:val="000971A6"/>
    <w:rsid w:val="0009755D"/>
    <w:rsid w:val="0009765C"/>
    <w:rsid w:val="000978CC"/>
    <w:rsid w:val="00097E03"/>
    <w:rsid w:val="000A01DD"/>
    <w:rsid w:val="000A0460"/>
    <w:rsid w:val="000A09AB"/>
    <w:rsid w:val="000A15C0"/>
    <w:rsid w:val="000A1BBC"/>
    <w:rsid w:val="000A1BC0"/>
    <w:rsid w:val="000A20E4"/>
    <w:rsid w:val="000A23A8"/>
    <w:rsid w:val="000A2D0F"/>
    <w:rsid w:val="000A2E43"/>
    <w:rsid w:val="000A2F9D"/>
    <w:rsid w:val="000A2F9E"/>
    <w:rsid w:val="000A3070"/>
    <w:rsid w:val="000A3BCD"/>
    <w:rsid w:val="000A3DAD"/>
    <w:rsid w:val="000A3E47"/>
    <w:rsid w:val="000A3EA6"/>
    <w:rsid w:val="000A44BA"/>
    <w:rsid w:val="000A44CC"/>
    <w:rsid w:val="000A4A60"/>
    <w:rsid w:val="000A4CE8"/>
    <w:rsid w:val="000A4F41"/>
    <w:rsid w:val="000A522B"/>
    <w:rsid w:val="000A5411"/>
    <w:rsid w:val="000A560C"/>
    <w:rsid w:val="000A5653"/>
    <w:rsid w:val="000A5E4C"/>
    <w:rsid w:val="000A6039"/>
    <w:rsid w:val="000A6364"/>
    <w:rsid w:val="000A6874"/>
    <w:rsid w:val="000A6946"/>
    <w:rsid w:val="000A699A"/>
    <w:rsid w:val="000A6EF1"/>
    <w:rsid w:val="000A7453"/>
    <w:rsid w:val="000A754F"/>
    <w:rsid w:val="000A76C7"/>
    <w:rsid w:val="000A7705"/>
    <w:rsid w:val="000A7A80"/>
    <w:rsid w:val="000A7A81"/>
    <w:rsid w:val="000A7D08"/>
    <w:rsid w:val="000B0121"/>
    <w:rsid w:val="000B0628"/>
    <w:rsid w:val="000B0670"/>
    <w:rsid w:val="000B0E75"/>
    <w:rsid w:val="000B0E8D"/>
    <w:rsid w:val="000B1295"/>
    <w:rsid w:val="000B1344"/>
    <w:rsid w:val="000B15EA"/>
    <w:rsid w:val="000B1986"/>
    <w:rsid w:val="000B1A1A"/>
    <w:rsid w:val="000B1A61"/>
    <w:rsid w:val="000B1F6C"/>
    <w:rsid w:val="000B230C"/>
    <w:rsid w:val="000B2331"/>
    <w:rsid w:val="000B24B9"/>
    <w:rsid w:val="000B24DF"/>
    <w:rsid w:val="000B2856"/>
    <w:rsid w:val="000B2991"/>
    <w:rsid w:val="000B2DCB"/>
    <w:rsid w:val="000B3350"/>
    <w:rsid w:val="000B34A7"/>
    <w:rsid w:val="000B3F21"/>
    <w:rsid w:val="000B444B"/>
    <w:rsid w:val="000B4E16"/>
    <w:rsid w:val="000B4F56"/>
    <w:rsid w:val="000B4F96"/>
    <w:rsid w:val="000B5B0F"/>
    <w:rsid w:val="000B5CE0"/>
    <w:rsid w:val="000B5D56"/>
    <w:rsid w:val="000B61BC"/>
    <w:rsid w:val="000B6529"/>
    <w:rsid w:val="000B65FC"/>
    <w:rsid w:val="000B6CAC"/>
    <w:rsid w:val="000B6D20"/>
    <w:rsid w:val="000B747F"/>
    <w:rsid w:val="000B7539"/>
    <w:rsid w:val="000B7612"/>
    <w:rsid w:val="000B78AE"/>
    <w:rsid w:val="000C015C"/>
    <w:rsid w:val="000C0296"/>
    <w:rsid w:val="000C0807"/>
    <w:rsid w:val="000C0FC8"/>
    <w:rsid w:val="000C13F8"/>
    <w:rsid w:val="000C159F"/>
    <w:rsid w:val="000C1FE5"/>
    <w:rsid w:val="000C2031"/>
    <w:rsid w:val="000C21EC"/>
    <w:rsid w:val="000C2311"/>
    <w:rsid w:val="000C2510"/>
    <w:rsid w:val="000C2536"/>
    <w:rsid w:val="000C2625"/>
    <w:rsid w:val="000C2762"/>
    <w:rsid w:val="000C276F"/>
    <w:rsid w:val="000C2FE7"/>
    <w:rsid w:val="000C3245"/>
    <w:rsid w:val="000C34D0"/>
    <w:rsid w:val="000C384D"/>
    <w:rsid w:val="000C388A"/>
    <w:rsid w:val="000C3BE7"/>
    <w:rsid w:val="000C3C78"/>
    <w:rsid w:val="000C3DF2"/>
    <w:rsid w:val="000C3DF9"/>
    <w:rsid w:val="000C4217"/>
    <w:rsid w:val="000C4272"/>
    <w:rsid w:val="000C4501"/>
    <w:rsid w:val="000C48F9"/>
    <w:rsid w:val="000C4BD0"/>
    <w:rsid w:val="000C4CF2"/>
    <w:rsid w:val="000C516E"/>
    <w:rsid w:val="000C5A3B"/>
    <w:rsid w:val="000C6713"/>
    <w:rsid w:val="000C6CA5"/>
    <w:rsid w:val="000C6F50"/>
    <w:rsid w:val="000C702A"/>
    <w:rsid w:val="000C73AF"/>
    <w:rsid w:val="000C7B78"/>
    <w:rsid w:val="000C7D2F"/>
    <w:rsid w:val="000C7DC4"/>
    <w:rsid w:val="000D0063"/>
    <w:rsid w:val="000D01CA"/>
    <w:rsid w:val="000D02B3"/>
    <w:rsid w:val="000D03B1"/>
    <w:rsid w:val="000D0CC7"/>
    <w:rsid w:val="000D1474"/>
    <w:rsid w:val="000D1984"/>
    <w:rsid w:val="000D1A20"/>
    <w:rsid w:val="000D1B88"/>
    <w:rsid w:val="000D1BFC"/>
    <w:rsid w:val="000D1D5D"/>
    <w:rsid w:val="000D1EE4"/>
    <w:rsid w:val="000D1F8C"/>
    <w:rsid w:val="000D22F9"/>
    <w:rsid w:val="000D2498"/>
    <w:rsid w:val="000D2638"/>
    <w:rsid w:val="000D281A"/>
    <w:rsid w:val="000D2848"/>
    <w:rsid w:val="000D29BC"/>
    <w:rsid w:val="000D2ACF"/>
    <w:rsid w:val="000D320B"/>
    <w:rsid w:val="000D326A"/>
    <w:rsid w:val="000D33A8"/>
    <w:rsid w:val="000D46FB"/>
    <w:rsid w:val="000D4BB3"/>
    <w:rsid w:val="000D51FB"/>
    <w:rsid w:val="000D53EE"/>
    <w:rsid w:val="000D55CC"/>
    <w:rsid w:val="000D579F"/>
    <w:rsid w:val="000D5C27"/>
    <w:rsid w:val="000D6426"/>
    <w:rsid w:val="000D6597"/>
    <w:rsid w:val="000D6830"/>
    <w:rsid w:val="000D68A9"/>
    <w:rsid w:val="000D6F52"/>
    <w:rsid w:val="000D6FBD"/>
    <w:rsid w:val="000D6FD2"/>
    <w:rsid w:val="000D729C"/>
    <w:rsid w:val="000E0282"/>
    <w:rsid w:val="000E0640"/>
    <w:rsid w:val="000E11A1"/>
    <w:rsid w:val="000E135D"/>
    <w:rsid w:val="000E1C6D"/>
    <w:rsid w:val="000E209F"/>
    <w:rsid w:val="000E26CE"/>
    <w:rsid w:val="000E3057"/>
    <w:rsid w:val="000E3134"/>
    <w:rsid w:val="000E341B"/>
    <w:rsid w:val="000E3747"/>
    <w:rsid w:val="000E3B7F"/>
    <w:rsid w:val="000E3CE3"/>
    <w:rsid w:val="000E3F31"/>
    <w:rsid w:val="000E49A9"/>
    <w:rsid w:val="000E49B3"/>
    <w:rsid w:val="000E5F28"/>
    <w:rsid w:val="000E774E"/>
    <w:rsid w:val="000E7830"/>
    <w:rsid w:val="000F00BA"/>
    <w:rsid w:val="000F0C64"/>
    <w:rsid w:val="000F0E7A"/>
    <w:rsid w:val="000F1030"/>
    <w:rsid w:val="000F10EE"/>
    <w:rsid w:val="000F1605"/>
    <w:rsid w:val="000F1756"/>
    <w:rsid w:val="000F212B"/>
    <w:rsid w:val="000F29CD"/>
    <w:rsid w:val="000F3085"/>
    <w:rsid w:val="000F316A"/>
    <w:rsid w:val="000F3530"/>
    <w:rsid w:val="000F3AC6"/>
    <w:rsid w:val="000F3C74"/>
    <w:rsid w:val="000F3CA0"/>
    <w:rsid w:val="000F42CA"/>
    <w:rsid w:val="000F493B"/>
    <w:rsid w:val="000F49E5"/>
    <w:rsid w:val="000F4BB8"/>
    <w:rsid w:val="000F4DE0"/>
    <w:rsid w:val="000F4FA7"/>
    <w:rsid w:val="000F4FA9"/>
    <w:rsid w:val="000F53FB"/>
    <w:rsid w:val="000F5CCB"/>
    <w:rsid w:val="000F5E72"/>
    <w:rsid w:val="000F6CD4"/>
    <w:rsid w:val="000F6DD0"/>
    <w:rsid w:val="000F7127"/>
    <w:rsid w:val="000F75DF"/>
    <w:rsid w:val="000F7737"/>
    <w:rsid w:val="000F7B54"/>
    <w:rsid w:val="000F7CF7"/>
    <w:rsid w:val="000F7D79"/>
    <w:rsid w:val="000F7FC9"/>
    <w:rsid w:val="001000B3"/>
    <w:rsid w:val="00100783"/>
    <w:rsid w:val="001009F6"/>
    <w:rsid w:val="00100EA2"/>
    <w:rsid w:val="00100F8A"/>
    <w:rsid w:val="0010100C"/>
    <w:rsid w:val="001018EF"/>
    <w:rsid w:val="0010231C"/>
    <w:rsid w:val="001025E1"/>
    <w:rsid w:val="001027E4"/>
    <w:rsid w:val="00102A52"/>
    <w:rsid w:val="0010362B"/>
    <w:rsid w:val="00103950"/>
    <w:rsid w:val="00103AE1"/>
    <w:rsid w:val="00103C0B"/>
    <w:rsid w:val="00104062"/>
    <w:rsid w:val="0010452E"/>
    <w:rsid w:val="00104636"/>
    <w:rsid w:val="00104659"/>
    <w:rsid w:val="00104FA1"/>
    <w:rsid w:val="0010506F"/>
    <w:rsid w:val="0010580F"/>
    <w:rsid w:val="00105A7E"/>
    <w:rsid w:val="00105AE2"/>
    <w:rsid w:val="001060C6"/>
    <w:rsid w:val="00106440"/>
    <w:rsid w:val="001064B8"/>
    <w:rsid w:val="00106B80"/>
    <w:rsid w:val="00107395"/>
    <w:rsid w:val="00107BEE"/>
    <w:rsid w:val="00107CAF"/>
    <w:rsid w:val="001101B6"/>
    <w:rsid w:val="0011032E"/>
    <w:rsid w:val="001105B3"/>
    <w:rsid w:val="001105FE"/>
    <w:rsid w:val="00110672"/>
    <w:rsid w:val="00110C32"/>
    <w:rsid w:val="00111489"/>
    <w:rsid w:val="0011187C"/>
    <w:rsid w:val="00111987"/>
    <w:rsid w:val="0011224E"/>
    <w:rsid w:val="00112624"/>
    <w:rsid w:val="00112C16"/>
    <w:rsid w:val="00112C6C"/>
    <w:rsid w:val="00112DA8"/>
    <w:rsid w:val="00113059"/>
    <w:rsid w:val="0011348B"/>
    <w:rsid w:val="00113518"/>
    <w:rsid w:val="00113C7F"/>
    <w:rsid w:val="00113E31"/>
    <w:rsid w:val="00113E54"/>
    <w:rsid w:val="00114109"/>
    <w:rsid w:val="001144EE"/>
    <w:rsid w:val="00114889"/>
    <w:rsid w:val="00114A04"/>
    <w:rsid w:val="00115232"/>
    <w:rsid w:val="00115982"/>
    <w:rsid w:val="00116C53"/>
    <w:rsid w:val="00117C0F"/>
    <w:rsid w:val="00117C4E"/>
    <w:rsid w:val="00117DAD"/>
    <w:rsid w:val="001200DF"/>
    <w:rsid w:val="00120C1A"/>
    <w:rsid w:val="001213B6"/>
    <w:rsid w:val="00121799"/>
    <w:rsid w:val="00122030"/>
    <w:rsid w:val="001221AB"/>
    <w:rsid w:val="001222FC"/>
    <w:rsid w:val="00122428"/>
    <w:rsid w:val="00122448"/>
    <w:rsid w:val="00122762"/>
    <w:rsid w:val="00123276"/>
    <w:rsid w:val="00123902"/>
    <w:rsid w:val="00123C72"/>
    <w:rsid w:val="00123CE3"/>
    <w:rsid w:val="0012422C"/>
    <w:rsid w:val="00124A51"/>
    <w:rsid w:val="00125011"/>
    <w:rsid w:val="001251DF"/>
    <w:rsid w:val="0012520A"/>
    <w:rsid w:val="001257FD"/>
    <w:rsid w:val="001259AA"/>
    <w:rsid w:val="00125BA7"/>
    <w:rsid w:val="00125D7B"/>
    <w:rsid w:val="00125E60"/>
    <w:rsid w:val="00125F6B"/>
    <w:rsid w:val="001264A8"/>
    <w:rsid w:val="00126621"/>
    <w:rsid w:val="00126B1D"/>
    <w:rsid w:val="00127A01"/>
    <w:rsid w:val="0013010A"/>
    <w:rsid w:val="001301E9"/>
    <w:rsid w:val="001309A6"/>
    <w:rsid w:val="001312A5"/>
    <w:rsid w:val="00131D82"/>
    <w:rsid w:val="00131E27"/>
    <w:rsid w:val="001323CA"/>
    <w:rsid w:val="001328C4"/>
    <w:rsid w:val="00132B22"/>
    <w:rsid w:val="00133AA4"/>
    <w:rsid w:val="00133D36"/>
    <w:rsid w:val="001343F6"/>
    <w:rsid w:val="00134C00"/>
    <w:rsid w:val="00134CCF"/>
    <w:rsid w:val="00134DFC"/>
    <w:rsid w:val="00134EDA"/>
    <w:rsid w:val="00135C14"/>
    <w:rsid w:val="00135F01"/>
    <w:rsid w:val="00135F13"/>
    <w:rsid w:val="001362C7"/>
    <w:rsid w:val="00136594"/>
    <w:rsid w:val="00136653"/>
    <w:rsid w:val="00136F18"/>
    <w:rsid w:val="001370F4"/>
    <w:rsid w:val="00137645"/>
    <w:rsid w:val="00137692"/>
    <w:rsid w:val="00137B05"/>
    <w:rsid w:val="0014009F"/>
    <w:rsid w:val="0014015A"/>
    <w:rsid w:val="0014064A"/>
    <w:rsid w:val="001407D4"/>
    <w:rsid w:val="001408C4"/>
    <w:rsid w:val="0014094D"/>
    <w:rsid w:val="00140A53"/>
    <w:rsid w:val="00140E99"/>
    <w:rsid w:val="00140EF6"/>
    <w:rsid w:val="00140F52"/>
    <w:rsid w:val="0014120C"/>
    <w:rsid w:val="00141643"/>
    <w:rsid w:val="00141B6D"/>
    <w:rsid w:val="00141D4E"/>
    <w:rsid w:val="00141F71"/>
    <w:rsid w:val="00141FB8"/>
    <w:rsid w:val="0014204B"/>
    <w:rsid w:val="0014254D"/>
    <w:rsid w:val="00142B07"/>
    <w:rsid w:val="00142B5D"/>
    <w:rsid w:val="00142CCB"/>
    <w:rsid w:val="00143147"/>
    <w:rsid w:val="00143593"/>
    <w:rsid w:val="001438E4"/>
    <w:rsid w:val="00143E2C"/>
    <w:rsid w:val="00143F67"/>
    <w:rsid w:val="001448B0"/>
    <w:rsid w:val="00144AE7"/>
    <w:rsid w:val="00145234"/>
    <w:rsid w:val="00145380"/>
    <w:rsid w:val="00145540"/>
    <w:rsid w:val="001456B0"/>
    <w:rsid w:val="001456F6"/>
    <w:rsid w:val="00145850"/>
    <w:rsid w:val="00145BB3"/>
    <w:rsid w:val="00145C56"/>
    <w:rsid w:val="00145E04"/>
    <w:rsid w:val="00146A66"/>
    <w:rsid w:val="00147063"/>
    <w:rsid w:val="001479EA"/>
    <w:rsid w:val="00147A00"/>
    <w:rsid w:val="00147A19"/>
    <w:rsid w:val="0015057B"/>
    <w:rsid w:val="00150665"/>
    <w:rsid w:val="00150AA6"/>
    <w:rsid w:val="001510C2"/>
    <w:rsid w:val="001511A7"/>
    <w:rsid w:val="00151327"/>
    <w:rsid w:val="00151526"/>
    <w:rsid w:val="00151760"/>
    <w:rsid w:val="00151ABF"/>
    <w:rsid w:val="00151F74"/>
    <w:rsid w:val="0015319E"/>
    <w:rsid w:val="001534F3"/>
    <w:rsid w:val="00153BA0"/>
    <w:rsid w:val="00153FEB"/>
    <w:rsid w:val="00154453"/>
    <w:rsid w:val="001546BB"/>
    <w:rsid w:val="001547AB"/>
    <w:rsid w:val="00154D0B"/>
    <w:rsid w:val="00154EDA"/>
    <w:rsid w:val="001551FD"/>
    <w:rsid w:val="00155526"/>
    <w:rsid w:val="001555D5"/>
    <w:rsid w:val="001559F5"/>
    <w:rsid w:val="00155D9D"/>
    <w:rsid w:val="001563CF"/>
    <w:rsid w:val="00156422"/>
    <w:rsid w:val="0015669F"/>
    <w:rsid w:val="00156A2B"/>
    <w:rsid w:val="00156F27"/>
    <w:rsid w:val="00156F8F"/>
    <w:rsid w:val="00157130"/>
    <w:rsid w:val="0015717F"/>
    <w:rsid w:val="00157253"/>
    <w:rsid w:val="001576B1"/>
    <w:rsid w:val="00157BA6"/>
    <w:rsid w:val="00157F3F"/>
    <w:rsid w:val="00160033"/>
    <w:rsid w:val="0016047B"/>
    <w:rsid w:val="00160A4C"/>
    <w:rsid w:val="00160E34"/>
    <w:rsid w:val="001614E0"/>
    <w:rsid w:val="0016193E"/>
    <w:rsid w:val="00161BC6"/>
    <w:rsid w:val="00161CB2"/>
    <w:rsid w:val="001624C8"/>
    <w:rsid w:val="00162531"/>
    <w:rsid w:val="001625E6"/>
    <w:rsid w:val="0016279B"/>
    <w:rsid w:val="00162913"/>
    <w:rsid w:val="00162A83"/>
    <w:rsid w:val="00162E9A"/>
    <w:rsid w:val="00163677"/>
    <w:rsid w:val="001636FA"/>
    <w:rsid w:val="00163995"/>
    <w:rsid w:val="00163B39"/>
    <w:rsid w:val="00163EFF"/>
    <w:rsid w:val="00163F53"/>
    <w:rsid w:val="00163F66"/>
    <w:rsid w:val="001640FE"/>
    <w:rsid w:val="001641B3"/>
    <w:rsid w:val="00164261"/>
    <w:rsid w:val="001642BF"/>
    <w:rsid w:val="001643CD"/>
    <w:rsid w:val="0016478E"/>
    <w:rsid w:val="00164E69"/>
    <w:rsid w:val="00165397"/>
    <w:rsid w:val="00165550"/>
    <w:rsid w:val="0016560C"/>
    <w:rsid w:val="00165A07"/>
    <w:rsid w:val="00165EC4"/>
    <w:rsid w:val="0016604D"/>
    <w:rsid w:val="001661FB"/>
    <w:rsid w:val="001665E5"/>
    <w:rsid w:val="00166756"/>
    <w:rsid w:val="00166961"/>
    <w:rsid w:val="001671A0"/>
    <w:rsid w:val="0016767F"/>
    <w:rsid w:val="00167758"/>
    <w:rsid w:val="00167838"/>
    <w:rsid w:val="00167918"/>
    <w:rsid w:val="00167AB0"/>
    <w:rsid w:val="001705A9"/>
    <w:rsid w:val="001708E4"/>
    <w:rsid w:val="00170D95"/>
    <w:rsid w:val="00170E04"/>
    <w:rsid w:val="001711AD"/>
    <w:rsid w:val="001719B8"/>
    <w:rsid w:val="00172AF3"/>
    <w:rsid w:val="00172D6B"/>
    <w:rsid w:val="00172FD5"/>
    <w:rsid w:val="00173565"/>
    <w:rsid w:val="00173AD6"/>
    <w:rsid w:val="00173B07"/>
    <w:rsid w:val="00173F4D"/>
    <w:rsid w:val="00174003"/>
    <w:rsid w:val="00174268"/>
    <w:rsid w:val="00174C46"/>
    <w:rsid w:val="00174D0B"/>
    <w:rsid w:val="001751FA"/>
    <w:rsid w:val="00175269"/>
    <w:rsid w:val="0017599F"/>
    <w:rsid w:val="00175A5F"/>
    <w:rsid w:val="00175B39"/>
    <w:rsid w:val="0017688A"/>
    <w:rsid w:val="00177180"/>
    <w:rsid w:val="001773F9"/>
    <w:rsid w:val="00180951"/>
    <w:rsid w:val="00180CBD"/>
    <w:rsid w:val="0018144B"/>
    <w:rsid w:val="001814C6"/>
    <w:rsid w:val="001818AB"/>
    <w:rsid w:val="00181C10"/>
    <w:rsid w:val="00181D9C"/>
    <w:rsid w:val="00182105"/>
    <w:rsid w:val="001828EC"/>
    <w:rsid w:val="00183340"/>
    <w:rsid w:val="001835C5"/>
    <w:rsid w:val="001837FF"/>
    <w:rsid w:val="00183A21"/>
    <w:rsid w:val="00183BB4"/>
    <w:rsid w:val="00183EBF"/>
    <w:rsid w:val="001842CC"/>
    <w:rsid w:val="0018435B"/>
    <w:rsid w:val="00184682"/>
    <w:rsid w:val="00184862"/>
    <w:rsid w:val="00184B0E"/>
    <w:rsid w:val="00184DF5"/>
    <w:rsid w:val="001854A5"/>
    <w:rsid w:val="001854D5"/>
    <w:rsid w:val="00185665"/>
    <w:rsid w:val="00185B36"/>
    <w:rsid w:val="00185C85"/>
    <w:rsid w:val="00185CFE"/>
    <w:rsid w:val="00186074"/>
    <w:rsid w:val="00186216"/>
    <w:rsid w:val="00186586"/>
    <w:rsid w:val="00186FA8"/>
    <w:rsid w:val="00187334"/>
    <w:rsid w:val="0018752F"/>
    <w:rsid w:val="00187ECD"/>
    <w:rsid w:val="001903A9"/>
    <w:rsid w:val="0019041A"/>
    <w:rsid w:val="0019095B"/>
    <w:rsid w:val="00190D30"/>
    <w:rsid w:val="001910FD"/>
    <w:rsid w:val="00192197"/>
    <w:rsid w:val="00192906"/>
    <w:rsid w:val="00192D90"/>
    <w:rsid w:val="00193838"/>
    <w:rsid w:val="00193A8C"/>
    <w:rsid w:val="001947BE"/>
    <w:rsid w:val="00194AD8"/>
    <w:rsid w:val="00194BEC"/>
    <w:rsid w:val="00194DC2"/>
    <w:rsid w:val="00195222"/>
    <w:rsid w:val="00195332"/>
    <w:rsid w:val="00195452"/>
    <w:rsid w:val="00195508"/>
    <w:rsid w:val="00195992"/>
    <w:rsid w:val="00195B59"/>
    <w:rsid w:val="001963D0"/>
    <w:rsid w:val="00196A3B"/>
    <w:rsid w:val="001975D8"/>
    <w:rsid w:val="001976DA"/>
    <w:rsid w:val="0019779A"/>
    <w:rsid w:val="0019795C"/>
    <w:rsid w:val="001A0102"/>
    <w:rsid w:val="001A0243"/>
    <w:rsid w:val="001A042B"/>
    <w:rsid w:val="001A0B72"/>
    <w:rsid w:val="001A178E"/>
    <w:rsid w:val="001A179C"/>
    <w:rsid w:val="001A1A51"/>
    <w:rsid w:val="001A1E01"/>
    <w:rsid w:val="001A28A0"/>
    <w:rsid w:val="001A343C"/>
    <w:rsid w:val="001A3CF2"/>
    <w:rsid w:val="001A43FA"/>
    <w:rsid w:val="001A4450"/>
    <w:rsid w:val="001A47C5"/>
    <w:rsid w:val="001A4EE5"/>
    <w:rsid w:val="001A4FB4"/>
    <w:rsid w:val="001A59FB"/>
    <w:rsid w:val="001A5BD8"/>
    <w:rsid w:val="001A5CAB"/>
    <w:rsid w:val="001A5E9E"/>
    <w:rsid w:val="001A5F77"/>
    <w:rsid w:val="001A6354"/>
    <w:rsid w:val="001A6366"/>
    <w:rsid w:val="001A64F6"/>
    <w:rsid w:val="001A6BC8"/>
    <w:rsid w:val="001A7160"/>
    <w:rsid w:val="001A7371"/>
    <w:rsid w:val="001A7426"/>
    <w:rsid w:val="001A7AE8"/>
    <w:rsid w:val="001A7BB2"/>
    <w:rsid w:val="001B0137"/>
    <w:rsid w:val="001B01F7"/>
    <w:rsid w:val="001B04D1"/>
    <w:rsid w:val="001B1F9E"/>
    <w:rsid w:val="001B204E"/>
    <w:rsid w:val="001B2372"/>
    <w:rsid w:val="001B299B"/>
    <w:rsid w:val="001B2D56"/>
    <w:rsid w:val="001B2EAA"/>
    <w:rsid w:val="001B2ED1"/>
    <w:rsid w:val="001B31E9"/>
    <w:rsid w:val="001B324B"/>
    <w:rsid w:val="001B3338"/>
    <w:rsid w:val="001B3443"/>
    <w:rsid w:val="001B371C"/>
    <w:rsid w:val="001B39D8"/>
    <w:rsid w:val="001B40BA"/>
    <w:rsid w:val="001B428D"/>
    <w:rsid w:val="001B4D20"/>
    <w:rsid w:val="001B4D82"/>
    <w:rsid w:val="001B5000"/>
    <w:rsid w:val="001B517A"/>
    <w:rsid w:val="001B525D"/>
    <w:rsid w:val="001B5C5C"/>
    <w:rsid w:val="001B657D"/>
    <w:rsid w:val="001B6851"/>
    <w:rsid w:val="001B69B5"/>
    <w:rsid w:val="001B6FF0"/>
    <w:rsid w:val="001B70BB"/>
    <w:rsid w:val="001B7338"/>
    <w:rsid w:val="001B765A"/>
    <w:rsid w:val="001B7F84"/>
    <w:rsid w:val="001C1160"/>
    <w:rsid w:val="001C1324"/>
    <w:rsid w:val="001C154A"/>
    <w:rsid w:val="001C1746"/>
    <w:rsid w:val="001C17BE"/>
    <w:rsid w:val="001C194E"/>
    <w:rsid w:val="001C1BBD"/>
    <w:rsid w:val="001C1C0E"/>
    <w:rsid w:val="001C22AD"/>
    <w:rsid w:val="001C26DB"/>
    <w:rsid w:val="001C2A9B"/>
    <w:rsid w:val="001C2CE5"/>
    <w:rsid w:val="001C2DC0"/>
    <w:rsid w:val="001C3189"/>
    <w:rsid w:val="001C32AD"/>
    <w:rsid w:val="001C39F8"/>
    <w:rsid w:val="001C3DD6"/>
    <w:rsid w:val="001C3FDF"/>
    <w:rsid w:val="001C4299"/>
    <w:rsid w:val="001C42E5"/>
    <w:rsid w:val="001C481E"/>
    <w:rsid w:val="001C4874"/>
    <w:rsid w:val="001C49FD"/>
    <w:rsid w:val="001C4B77"/>
    <w:rsid w:val="001C4EF6"/>
    <w:rsid w:val="001C4F93"/>
    <w:rsid w:val="001C504C"/>
    <w:rsid w:val="001C565B"/>
    <w:rsid w:val="001C5973"/>
    <w:rsid w:val="001C5F94"/>
    <w:rsid w:val="001C63B5"/>
    <w:rsid w:val="001C6D57"/>
    <w:rsid w:val="001C6E66"/>
    <w:rsid w:val="001C72CD"/>
    <w:rsid w:val="001C7755"/>
    <w:rsid w:val="001C77C4"/>
    <w:rsid w:val="001D0447"/>
    <w:rsid w:val="001D1100"/>
    <w:rsid w:val="001D1391"/>
    <w:rsid w:val="001D222F"/>
    <w:rsid w:val="001D2420"/>
    <w:rsid w:val="001D25D7"/>
    <w:rsid w:val="001D2F7A"/>
    <w:rsid w:val="001D32E0"/>
    <w:rsid w:val="001D3A89"/>
    <w:rsid w:val="001D4656"/>
    <w:rsid w:val="001D4B97"/>
    <w:rsid w:val="001D50B2"/>
    <w:rsid w:val="001D5650"/>
    <w:rsid w:val="001D6405"/>
    <w:rsid w:val="001D693D"/>
    <w:rsid w:val="001D6A03"/>
    <w:rsid w:val="001D6BEC"/>
    <w:rsid w:val="001D71F4"/>
    <w:rsid w:val="001D7645"/>
    <w:rsid w:val="001E0154"/>
    <w:rsid w:val="001E03A3"/>
    <w:rsid w:val="001E067C"/>
    <w:rsid w:val="001E0737"/>
    <w:rsid w:val="001E0887"/>
    <w:rsid w:val="001E0B4E"/>
    <w:rsid w:val="001E0F4B"/>
    <w:rsid w:val="001E10CB"/>
    <w:rsid w:val="001E15E2"/>
    <w:rsid w:val="001E1D18"/>
    <w:rsid w:val="001E1E86"/>
    <w:rsid w:val="001E238E"/>
    <w:rsid w:val="001E2483"/>
    <w:rsid w:val="001E260E"/>
    <w:rsid w:val="001E2A1B"/>
    <w:rsid w:val="001E2B1E"/>
    <w:rsid w:val="001E2CFF"/>
    <w:rsid w:val="001E2F24"/>
    <w:rsid w:val="001E3056"/>
    <w:rsid w:val="001E30D4"/>
    <w:rsid w:val="001E3311"/>
    <w:rsid w:val="001E34DF"/>
    <w:rsid w:val="001E35D1"/>
    <w:rsid w:val="001E426C"/>
    <w:rsid w:val="001E471E"/>
    <w:rsid w:val="001E52EB"/>
    <w:rsid w:val="001E57CF"/>
    <w:rsid w:val="001E5AB0"/>
    <w:rsid w:val="001E5E56"/>
    <w:rsid w:val="001E61D2"/>
    <w:rsid w:val="001E6FA4"/>
    <w:rsid w:val="001E740C"/>
    <w:rsid w:val="001E7543"/>
    <w:rsid w:val="001E7811"/>
    <w:rsid w:val="001F0555"/>
    <w:rsid w:val="001F07E4"/>
    <w:rsid w:val="001F091B"/>
    <w:rsid w:val="001F098C"/>
    <w:rsid w:val="001F0A62"/>
    <w:rsid w:val="001F10E9"/>
    <w:rsid w:val="001F115D"/>
    <w:rsid w:val="001F1235"/>
    <w:rsid w:val="001F1CB3"/>
    <w:rsid w:val="001F1EFD"/>
    <w:rsid w:val="001F2227"/>
    <w:rsid w:val="001F2774"/>
    <w:rsid w:val="001F2B29"/>
    <w:rsid w:val="001F2EDE"/>
    <w:rsid w:val="001F30AF"/>
    <w:rsid w:val="001F30E2"/>
    <w:rsid w:val="001F3667"/>
    <w:rsid w:val="001F3846"/>
    <w:rsid w:val="001F38B5"/>
    <w:rsid w:val="001F4081"/>
    <w:rsid w:val="001F43A0"/>
    <w:rsid w:val="001F465C"/>
    <w:rsid w:val="001F50F0"/>
    <w:rsid w:val="001F5497"/>
    <w:rsid w:val="001F55D4"/>
    <w:rsid w:val="001F5696"/>
    <w:rsid w:val="001F56B1"/>
    <w:rsid w:val="001F56D7"/>
    <w:rsid w:val="001F5AE3"/>
    <w:rsid w:val="001F5BAA"/>
    <w:rsid w:val="001F6B87"/>
    <w:rsid w:val="001F7361"/>
    <w:rsid w:val="001F79DB"/>
    <w:rsid w:val="001F7AC8"/>
    <w:rsid w:val="001F7E92"/>
    <w:rsid w:val="002004A9"/>
    <w:rsid w:val="00201078"/>
    <w:rsid w:val="002011B0"/>
    <w:rsid w:val="0020141B"/>
    <w:rsid w:val="002014C0"/>
    <w:rsid w:val="00201F72"/>
    <w:rsid w:val="0020200D"/>
    <w:rsid w:val="00202718"/>
    <w:rsid w:val="00202A2F"/>
    <w:rsid w:val="00203181"/>
    <w:rsid w:val="0020351D"/>
    <w:rsid w:val="00203783"/>
    <w:rsid w:val="0020385F"/>
    <w:rsid w:val="002038AD"/>
    <w:rsid w:val="00203954"/>
    <w:rsid w:val="002039B9"/>
    <w:rsid w:val="00203A1A"/>
    <w:rsid w:val="00204189"/>
    <w:rsid w:val="00204458"/>
    <w:rsid w:val="00204708"/>
    <w:rsid w:val="0020478E"/>
    <w:rsid w:val="002049CB"/>
    <w:rsid w:val="0020529F"/>
    <w:rsid w:val="002052E1"/>
    <w:rsid w:val="0020575B"/>
    <w:rsid w:val="002057E9"/>
    <w:rsid w:val="00205911"/>
    <w:rsid w:val="002067B3"/>
    <w:rsid w:val="00206814"/>
    <w:rsid w:val="0020683F"/>
    <w:rsid w:val="002068A0"/>
    <w:rsid w:val="00206AF1"/>
    <w:rsid w:val="00206BDF"/>
    <w:rsid w:val="00207021"/>
    <w:rsid w:val="0020732F"/>
    <w:rsid w:val="0020733A"/>
    <w:rsid w:val="002075C9"/>
    <w:rsid w:val="00207B57"/>
    <w:rsid w:val="00207C34"/>
    <w:rsid w:val="00207D00"/>
    <w:rsid w:val="002100BC"/>
    <w:rsid w:val="00210143"/>
    <w:rsid w:val="002105C1"/>
    <w:rsid w:val="002105CC"/>
    <w:rsid w:val="00210B8B"/>
    <w:rsid w:val="00210F2A"/>
    <w:rsid w:val="00211225"/>
    <w:rsid w:val="002116BF"/>
    <w:rsid w:val="002116FD"/>
    <w:rsid w:val="00211EB6"/>
    <w:rsid w:val="00212138"/>
    <w:rsid w:val="00212467"/>
    <w:rsid w:val="0021286A"/>
    <w:rsid w:val="0021292D"/>
    <w:rsid w:val="0021333A"/>
    <w:rsid w:val="002133EF"/>
    <w:rsid w:val="00213886"/>
    <w:rsid w:val="00213B3A"/>
    <w:rsid w:val="00213EF5"/>
    <w:rsid w:val="0021461A"/>
    <w:rsid w:val="002147B8"/>
    <w:rsid w:val="002147BE"/>
    <w:rsid w:val="00214872"/>
    <w:rsid w:val="00214AAE"/>
    <w:rsid w:val="00214B62"/>
    <w:rsid w:val="00214FC2"/>
    <w:rsid w:val="00215535"/>
    <w:rsid w:val="002159DA"/>
    <w:rsid w:val="00215D77"/>
    <w:rsid w:val="00216704"/>
    <w:rsid w:val="002167A7"/>
    <w:rsid w:val="00216BF5"/>
    <w:rsid w:val="00217082"/>
    <w:rsid w:val="002171AB"/>
    <w:rsid w:val="00217640"/>
    <w:rsid w:val="00217913"/>
    <w:rsid w:val="002205C3"/>
    <w:rsid w:val="002209DF"/>
    <w:rsid w:val="00220F13"/>
    <w:rsid w:val="00220FBF"/>
    <w:rsid w:val="0022138E"/>
    <w:rsid w:val="00221494"/>
    <w:rsid w:val="00221899"/>
    <w:rsid w:val="00221D55"/>
    <w:rsid w:val="002222F7"/>
    <w:rsid w:val="002223B2"/>
    <w:rsid w:val="00222485"/>
    <w:rsid w:val="00222537"/>
    <w:rsid w:val="0022279F"/>
    <w:rsid w:val="0022348A"/>
    <w:rsid w:val="00223571"/>
    <w:rsid w:val="002238EC"/>
    <w:rsid w:val="00223B49"/>
    <w:rsid w:val="00223CF7"/>
    <w:rsid w:val="00223D5A"/>
    <w:rsid w:val="00224013"/>
    <w:rsid w:val="00224953"/>
    <w:rsid w:val="00224DAD"/>
    <w:rsid w:val="00224DD4"/>
    <w:rsid w:val="002258EF"/>
    <w:rsid w:val="002267BE"/>
    <w:rsid w:val="0022698F"/>
    <w:rsid w:val="00226A00"/>
    <w:rsid w:val="00226BBE"/>
    <w:rsid w:val="00226D5B"/>
    <w:rsid w:val="00226FE7"/>
    <w:rsid w:val="002270BE"/>
    <w:rsid w:val="0022712C"/>
    <w:rsid w:val="00227348"/>
    <w:rsid w:val="00227430"/>
    <w:rsid w:val="002278A0"/>
    <w:rsid w:val="00227B4D"/>
    <w:rsid w:val="00227CC6"/>
    <w:rsid w:val="00227CC8"/>
    <w:rsid w:val="00230710"/>
    <w:rsid w:val="00230753"/>
    <w:rsid w:val="002309CC"/>
    <w:rsid w:val="00230AF4"/>
    <w:rsid w:val="00230FF7"/>
    <w:rsid w:val="002310E3"/>
    <w:rsid w:val="00231387"/>
    <w:rsid w:val="002315EF"/>
    <w:rsid w:val="00231BA9"/>
    <w:rsid w:val="00231D20"/>
    <w:rsid w:val="00231DC5"/>
    <w:rsid w:val="0023209F"/>
    <w:rsid w:val="0023217D"/>
    <w:rsid w:val="00232C15"/>
    <w:rsid w:val="00233282"/>
    <w:rsid w:val="002332C2"/>
    <w:rsid w:val="00233656"/>
    <w:rsid w:val="00233C01"/>
    <w:rsid w:val="00233F6A"/>
    <w:rsid w:val="0023413C"/>
    <w:rsid w:val="002341BB"/>
    <w:rsid w:val="002342F8"/>
    <w:rsid w:val="00234342"/>
    <w:rsid w:val="002345B8"/>
    <w:rsid w:val="0023460E"/>
    <w:rsid w:val="002346F0"/>
    <w:rsid w:val="00234A15"/>
    <w:rsid w:val="002358C2"/>
    <w:rsid w:val="002359AA"/>
    <w:rsid w:val="00235D0F"/>
    <w:rsid w:val="00235DBA"/>
    <w:rsid w:val="0023629D"/>
    <w:rsid w:val="0023646A"/>
    <w:rsid w:val="002367D5"/>
    <w:rsid w:val="0023702D"/>
    <w:rsid w:val="00237255"/>
    <w:rsid w:val="002376A6"/>
    <w:rsid w:val="00237815"/>
    <w:rsid w:val="002378CB"/>
    <w:rsid w:val="00237B8C"/>
    <w:rsid w:val="00240150"/>
    <w:rsid w:val="00240722"/>
    <w:rsid w:val="002409E2"/>
    <w:rsid w:val="00240A57"/>
    <w:rsid w:val="00240B52"/>
    <w:rsid w:val="00240B67"/>
    <w:rsid w:val="002410ED"/>
    <w:rsid w:val="00241755"/>
    <w:rsid w:val="002419C9"/>
    <w:rsid w:val="00241B38"/>
    <w:rsid w:val="00241B9A"/>
    <w:rsid w:val="00241F38"/>
    <w:rsid w:val="002421B2"/>
    <w:rsid w:val="002424AF"/>
    <w:rsid w:val="00242811"/>
    <w:rsid w:val="00242ADB"/>
    <w:rsid w:val="00242AF8"/>
    <w:rsid w:val="00242B64"/>
    <w:rsid w:val="00242CB0"/>
    <w:rsid w:val="002431AF"/>
    <w:rsid w:val="002439DC"/>
    <w:rsid w:val="00243DA7"/>
    <w:rsid w:val="002441D2"/>
    <w:rsid w:val="00244228"/>
    <w:rsid w:val="002442E9"/>
    <w:rsid w:val="002445D5"/>
    <w:rsid w:val="00244DC8"/>
    <w:rsid w:val="00245429"/>
    <w:rsid w:val="0024558F"/>
    <w:rsid w:val="00245711"/>
    <w:rsid w:val="002458BA"/>
    <w:rsid w:val="00245CE9"/>
    <w:rsid w:val="0024636C"/>
    <w:rsid w:val="00247138"/>
    <w:rsid w:val="002477B7"/>
    <w:rsid w:val="00247925"/>
    <w:rsid w:val="00247E31"/>
    <w:rsid w:val="002500DC"/>
    <w:rsid w:val="0025037B"/>
    <w:rsid w:val="002505F6"/>
    <w:rsid w:val="00251006"/>
    <w:rsid w:val="002513E9"/>
    <w:rsid w:val="0025194A"/>
    <w:rsid w:val="00251C73"/>
    <w:rsid w:val="00251F5A"/>
    <w:rsid w:val="0025232D"/>
    <w:rsid w:val="002524D5"/>
    <w:rsid w:val="0025302A"/>
    <w:rsid w:val="00253A16"/>
    <w:rsid w:val="00253B1D"/>
    <w:rsid w:val="00253FB0"/>
    <w:rsid w:val="0025496E"/>
    <w:rsid w:val="00254DCF"/>
    <w:rsid w:val="00254FF7"/>
    <w:rsid w:val="002552C6"/>
    <w:rsid w:val="0025534B"/>
    <w:rsid w:val="0025564D"/>
    <w:rsid w:val="00255BB7"/>
    <w:rsid w:val="00255C87"/>
    <w:rsid w:val="00255C94"/>
    <w:rsid w:val="00255CC8"/>
    <w:rsid w:val="002561BF"/>
    <w:rsid w:val="0025625F"/>
    <w:rsid w:val="002563D0"/>
    <w:rsid w:val="0025652D"/>
    <w:rsid w:val="00256627"/>
    <w:rsid w:val="00256816"/>
    <w:rsid w:val="00256B9A"/>
    <w:rsid w:val="00257045"/>
    <w:rsid w:val="002574C6"/>
    <w:rsid w:val="00257541"/>
    <w:rsid w:val="00257A39"/>
    <w:rsid w:val="00257AC4"/>
    <w:rsid w:val="00257BBE"/>
    <w:rsid w:val="00257C47"/>
    <w:rsid w:val="00257DD1"/>
    <w:rsid w:val="00257F1A"/>
    <w:rsid w:val="00260197"/>
    <w:rsid w:val="0026025D"/>
    <w:rsid w:val="00260926"/>
    <w:rsid w:val="00260AD1"/>
    <w:rsid w:val="00260B31"/>
    <w:rsid w:val="00260D29"/>
    <w:rsid w:val="002614A5"/>
    <w:rsid w:val="0026150A"/>
    <w:rsid w:val="002619B5"/>
    <w:rsid w:val="00261E3B"/>
    <w:rsid w:val="00261EEF"/>
    <w:rsid w:val="00262A1A"/>
    <w:rsid w:val="00262A87"/>
    <w:rsid w:val="00263443"/>
    <w:rsid w:val="002635B0"/>
    <w:rsid w:val="00263884"/>
    <w:rsid w:val="0026394B"/>
    <w:rsid w:val="00264080"/>
    <w:rsid w:val="002640BD"/>
    <w:rsid w:val="00264271"/>
    <w:rsid w:val="002648DB"/>
    <w:rsid w:val="002649F2"/>
    <w:rsid w:val="00264D26"/>
    <w:rsid w:val="00266346"/>
    <w:rsid w:val="0026662C"/>
    <w:rsid w:val="0026684F"/>
    <w:rsid w:val="00266898"/>
    <w:rsid w:val="00266AD6"/>
    <w:rsid w:val="002672BE"/>
    <w:rsid w:val="00267642"/>
    <w:rsid w:val="0026792A"/>
    <w:rsid w:val="00267AEA"/>
    <w:rsid w:val="00267F94"/>
    <w:rsid w:val="002700E6"/>
    <w:rsid w:val="002701E3"/>
    <w:rsid w:val="0027029D"/>
    <w:rsid w:val="00270E1D"/>
    <w:rsid w:val="00270FA2"/>
    <w:rsid w:val="002712FC"/>
    <w:rsid w:val="002714B3"/>
    <w:rsid w:val="00271948"/>
    <w:rsid w:val="00271F5B"/>
    <w:rsid w:val="002722BD"/>
    <w:rsid w:val="0027273E"/>
    <w:rsid w:val="00272798"/>
    <w:rsid w:val="0027284D"/>
    <w:rsid w:val="0027294B"/>
    <w:rsid w:val="00273315"/>
    <w:rsid w:val="002738F1"/>
    <w:rsid w:val="0027390E"/>
    <w:rsid w:val="00273EB4"/>
    <w:rsid w:val="002741E3"/>
    <w:rsid w:val="0027434B"/>
    <w:rsid w:val="00274682"/>
    <w:rsid w:val="00275158"/>
    <w:rsid w:val="00275574"/>
    <w:rsid w:val="002755D1"/>
    <w:rsid w:val="00275684"/>
    <w:rsid w:val="0027581E"/>
    <w:rsid w:val="00275C5A"/>
    <w:rsid w:val="002760E8"/>
    <w:rsid w:val="00276553"/>
    <w:rsid w:val="00276568"/>
    <w:rsid w:val="00276F1C"/>
    <w:rsid w:val="0027708B"/>
    <w:rsid w:val="00277D49"/>
    <w:rsid w:val="00277E49"/>
    <w:rsid w:val="002800E5"/>
    <w:rsid w:val="00280287"/>
    <w:rsid w:val="002808E9"/>
    <w:rsid w:val="002809FB"/>
    <w:rsid w:val="00281014"/>
    <w:rsid w:val="0028127E"/>
    <w:rsid w:val="002814C3"/>
    <w:rsid w:val="00281578"/>
    <w:rsid w:val="0028171D"/>
    <w:rsid w:val="002817DD"/>
    <w:rsid w:val="00281810"/>
    <w:rsid w:val="00281B75"/>
    <w:rsid w:val="00281C1D"/>
    <w:rsid w:val="00282B28"/>
    <w:rsid w:val="00282D48"/>
    <w:rsid w:val="0028400C"/>
    <w:rsid w:val="002841EC"/>
    <w:rsid w:val="00285313"/>
    <w:rsid w:val="00285505"/>
    <w:rsid w:val="0028565B"/>
    <w:rsid w:val="00285BCE"/>
    <w:rsid w:val="002863CD"/>
    <w:rsid w:val="00286579"/>
    <w:rsid w:val="00286639"/>
    <w:rsid w:val="0028665D"/>
    <w:rsid w:val="00287068"/>
    <w:rsid w:val="002874C2"/>
    <w:rsid w:val="00287C70"/>
    <w:rsid w:val="00287CE7"/>
    <w:rsid w:val="0029001D"/>
    <w:rsid w:val="002905B0"/>
    <w:rsid w:val="0029067F"/>
    <w:rsid w:val="00290704"/>
    <w:rsid w:val="0029071B"/>
    <w:rsid w:val="00290792"/>
    <w:rsid w:val="0029098D"/>
    <w:rsid w:val="00290997"/>
    <w:rsid w:val="00290A61"/>
    <w:rsid w:val="00290E65"/>
    <w:rsid w:val="00291224"/>
    <w:rsid w:val="002915B5"/>
    <w:rsid w:val="00291963"/>
    <w:rsid w:val="00291CD8"/>
    <w:rsid w:val="00291F73"/>
    <w:rsid w:val="00292015"/>
    <w:rsid w:val="002923EE"/>
    <w:rsid w:val="00292AD0"/>
    <w:rsid w:val="00292D85"/>
    <w:rsid w:val="00293303"/>
    <w:rsid w:val="002933F2"/>
    <w:rsid w:val="00293F87"/>
    <w:rsid w:val="00294E91"/>
    <w:rsid w:val="002956A0"/>
    <w:rsid w:val="00295727"/>
    <w:rsid w:val="002964A2"/>
    <w:rsid w:val="002965C7"/>
    <w:rsid w:val="00296D99"/>
    <w:rsid w:val="00296F37"/>
    <w:rsid w:val="00297221"/>
    <w:rsid w:val="002974CD"/>
    <w:rsid w:val="00297622"/>
    <w:rsid w:val="0029767B"/>
    <w:rsid w:val="00297685"/>
    <w:rsid w:val="002A00BF"/>
    <w:rsid w:val="002A0540"/>
    <w:rsid w:val="002A0764"/>
    <w:rsid w:val="002A078B"/>
    <w:rsid w:val="002A0827"/>
    <w:rsid w:val="002A0B6C"/>
    <w:rsid w:val="002A0BE8"/>
    <w:rsid w:val="002A0D1A"/>
    <w:rsid w:val="002A1053"/>
    <w:rsid w:val="002A11D0"/>
    <w:rsid w:val="002A1225"/>
    <w:rsid w:val="002A14AB"/>
    <w:rsid w:val="002A17E7"/>
    <w:rsid w:val="002A1907"/>
    <w:rsid w:val="002A1B1C"/>
    <w:rsid w:val="002A1CA7"/>
    <w:rsid w:val="002A1E18"/>
    <w:rsid w:val="002A231F"/>
    <w:rsid w:val="002A267A"/>
    <w:rsid w:val="002A2ADE"/>
    <w:rsid w:val="002A2C4D"/>
    <w:rsid w:val="002A2F49"/>
    <w:rsid w:val="002A2F50"/>
    <w:rsid w:val="002A3025"/>
    <w:rsid w:val="002A386E"/>
    <w:rsid w:val="002A40BB"/>
    <w:rsid w:val="002A430A"/>
    <w:rsid w:val="002A4495"/>
    <w:rsid w:val="002A4D50"/>
    <w:rsid w:val="002A4F81"/>
    <w:rsid w:val="002A57A6"/>
    <w:rsid w:val="002A62A6"/>
    <w:rsid w:val="002A637A"/>
    <w:rsid w:val="002A640F"/>
    <w:rsid w:val="002A6458"/>
    <w:rsid w:val="002A681A"/>
    <w:rsid w:val="002A6D3A"/>
    <w:rsid w:val="002A7076"/>
    <w:rsid w:val="002A783B"/>
    <w:rsid w:val="002A78E4"/>
    <w:rsid w:val="002A7943"/>
    <w:rsid w:val="002A797B"/>
    <w:rsid w:val="002A7EF8"/>
    <w:rsid w:val="002B0346"/>
    <w:rsid w:val="002B05A1"/>
    <w:rsid w:val="002B09A4"/>
    <w:rsid w:val="002B1C1F"/>
    <w:rsid w:val="002B1E65"/>
    <w:rsid w:val="002B2E6F"/>
    <w:rsid w:val="002B3139"/>
    <w:rsid w:val="002B3245"/>
    <w:rsid w:val="002B334E"/>
    <w:rsid w:val="002B3B43"/>
    <w:rsid w:val="002B3F1F"/>
    <w:rsid w:val="002B3F4B"/>
    <w:rsid w:val="002B432F"/>
    <w:rsid w:val="002B449A"/>
    <w:rsid w:val="002B44B0"/>
    <w:rsid w:val="002B4EB0"/>
    <w:rsid w:val="002B5005"/>
    <w:rsid w:val="002B517C"/>
    <w:rsid w:val="002B58DE"/>
    <w:rsid w:val="002B6299"/>
    <w:rsid w:val="002B62B3"/>
    <w:rsid w:val="002B63B6"/>
    <w:rsid w:val="002B6754"/>
    <w:rsid w:val="002B67E0"/>
    <w:rsid w:val="002B6AFF"/>
    <w:rsid w:val="002B6CCE"/>
    <w:rsid w:val="002B7CFD"/>
    <w:rsid w:val="002B7D2C"/>
    <w:rsid w:val="002B7F9F"/>
    <w:rsid w:val="002C021B"/>
    <w:rsid w:val="002C0570"/>
    <w:rsid w:val="002C0683"/>
    <w:rsid w:val="002C0956"/>
    <w:rsid w:val="002C1652"/>
    <w:rsid w:val="002C1812"/>
    <w:rsid w:val="002C1E59"/>
    <w:rsid w:val="002C2510"/>
    <w:rsid w:val="002C2542"/>
    <w:rsid w:val="002C26AF"/>
    <w:rsid w:val="002C2775"/>
    <w:rsid w:val="002C27C1"/>
    <w:rsid w:val="002C3295"/>
    <w:rsid w:val="002C3549"/>
    <w:rsid w:val="002C36E3"/>
    <w:rsid w:val="002C37F5"/>
    <w:rsid w:val="002C3AFB"/>
    <w:rsid w:val="002C4196"/>
    <w:rsid w:val="002C420D"/>
    <w:rsid w:val="002C44E8"/>
    <w:rsid w:val="002C4871"/>
    <w:rsid w:val="002C4B41"/>
    <w:rsid w:val="002C4C95"/>
    <w:rsid w:val="002C4EB5"/>
    <w:rsid w:val="002C5099"/>
    <w:rsid w:val="002C578C"/>
    <w:rsid w:val="002C57C9"/>
    <w:rsid w:val="002C5884"/>
    <w:rsid w:val="002C5889"/>
    <w:rsid w:val="002C5D10"/>
    <w:rsid w:val="002C5FD9"/>
    <w:rsid w:val="002C602D"/>
    <w:rsid w:val="002C6209"/>
    <w:rsid w:val="002C6651"/>
    <w:rsid w:val="002C7111"/>
    <w:rsid w:val="002C71CE"/>
    <w:rsid w:val="002C7275"/>
    <w:rsid w:val="002C7299"/>
    <w:rsid w:val="002C73AE"/>
    <w:rsid w:val="002C75BF"/>
    <w:rsid w:val="002C7DA4"/>
    <w:rsid w:val="002C7E68"/>
    <w:rsid w:val="002D08F8"/>
    <w:rsid w:val="002D16E5"/>
    <w:rsid w:val="002D1BC3"/>
    <w:rsid w:val="002D2856"/>
    <w:rsid w:val="002D28FA"/>
    <w:rsid w:val="002D2A70"/>
    <w:rsid w:val="002D2F81"/>
    <w:rsid w:val="002D32DB"/>
    <w:rsid w:val="002D3405"/>
    <w:rsid w:val="002D35D7"/>
    <w:rsid w:val="002D35F6"/>
    <w:rsid w:val="002D3757"/>
    <w:rsid w:val="002D3CA1"/>
    <w:rsid w:val="002D4100"/>
    <w:rsid w:val="002D4260"/>
    <w:rsid w:val="002D4280"/>
    <w:rsid w:val="002D4541"/>
    <w:rsid w:val="002D4C21"/>
    <w:rsid w:val="002D4C9D"/>
    <w:rsid w:val="002D4EEA"/>
    <w:rsid w:val="002D4EFA"/>
    <w:rsid w:val="002D501E"/>
    <w:rsid w:val="002D5121"/>
    <w:rsid w:val="002D577C"/>
    <w:rsid w:val="002D5AE0"/>
    <w:rsid w:val="002D5E3C"/>
    <w:rsid w:val="002D5E40"/>
    <w:rsid w:val="002D6838"/>
    <w:rsid w:val="002D6884"/>
    <w:rsid w:val="002D6945"/>
    <w:rsid w:val="002D6968"/>
    <w:rsid w:val="002D6E08"/>
    <w:rsid w:val="002D6EDB"/>
    <w:rsid w:val="002D7018"/>
    <w:rsid w:val="002D7027"/>
    <w:rsid w:val="002D71E2"/>
    <w:rsid w:val="002D7832"/>
    <w:rsid w:val="002D7876"/>
    <w:rsid w:val="002D7977"/>
    <w:rsid w:val="002D7DC3"/>
    <w:rsid w:val="002E0064"/>
    <w:rsid w:val="002E0218"/>
    <w:rsid w:val="002E0450"/>
    <w:rsid w:val="002E099B"/>
    <w:rsid w:val="002E09E8"/>
    <w:rsid w:val="002E1071"/>
    <w:rsid w:val="002E13A9"/>
    <w:rsid w:val="002E1587"/>
    <w:rsid w:val="002E15B9"/>
    <w:rsid w:val="002E163E"/>
    <w:rsid w:val="002E18B4"/>
    <w:rsid w:val="002E1F96"/>
    <w:rsid w:val="002E2158"/>
    <w:rsid w:val="002E2315"/>
    <w:rsid w:val="002E23AC"/>
    <w:rsid w:val="002E253F"/>
    <w:rsid w:val="002E2607"/>
    <w:rsid w:val="002E2D9A"/>
    <w:rsid w:val="002E30D8"/>
    <w:rsid w:val="002E37AA"/>
    <w:rsid w:val="002E3D57"/>
    <w:rsid w:val="002E41AD"/>
    <w:rsid w:val="002E41F3"/>
    <w:rsid w:val="002E4226"/>
    <w:rsid w:val="002E46A1"/>
    <w:rsid w:val="002E4A63"/>
    <w:rsid w:val="002E4A9D"/>
    <w:rsid w:val="002E4F02"/>
    <w:rsid w:val="002E5DAD"/>
    <w:rsid w:val="002E71F2"/>
    <w:rsid w:val="002E76FD"/>
    <w:rsid w:val="002E7722"/>
    <w:rsid w:val="002F002B"/>
    <w:rsid w:val="002F04D3"/>
    <w:rsid w:val="002F04F0"/>
    <w:rsid w:val="002F07BA"/>
    <w:rsid w:val="002F07E8"/>
    <w:rsid w:val="002F0955"/>
    <w:rsid w:val="002F0C3E"/>
    <w:rsid w:val="002F0DA9"/>
    <w:rsid w:val="002F1014"/>
    <w:rsid w:val="002F1107"/>
    <w:rsid w:val="002F1211"/>
    <w:rsid w:val="002F173A"/>
    <w:rsid w:val="002F1AF6"/>
    <w:rsid w:val="002F1BDB"/>
    <w:rsid w:val="002F1E3B"/>
    <w:rsid w:val="002F1F6E"/>
    <w:rsid w:val="002F25D1"/>
    <w:rsid w:val="002F2987"/>
    <w:rsid w:val="002F2FA9"/>
    <w:rsid w:val="002F334F"/>
    <w:rsid w:val="002F3395"/>
    <w:rsid w:val="002F34CF"/>
    <w:rsid w:val="002F354F"/>
    <w:rsid w:val="002F35D3"/>
    <w:rsid w:val="002F35E0"/>
    <w:rsid w:val="002F4359"/>
    <w:rsid w:val="002F4605"/>
    <w:rsid w:val="002F4788"/>
    <w:rsid w:val="002F4C2B"/>
    <w:rsid w:val="002F4C60"/>
    <w:rsid w:val="002F532A"/>
    <w:rsid w:val="002F541A"/>
    <w:rsid w:val="002F54A6"/>
    <w:rsid w:val="002F54F4"/>
    <w:rsid w:val="002F5849"/>
    <w:rsid w:val="002F584B"/>
    <w:rsid w:val="002F58FF"/>
    <w:rsid w:val="002F5907"/>
    <w:rsid w:val="002F59AE"/>
    <w:rsid w:val="002F643C"/>
    <w:rsid w:val="002F680A"/>
    <w:rsid w:val="002F6894"/>
    <w:rsid w:val="002F6DE1"/>
    <w:rsid w:val="002F70B4"/>
    <w:rsid w:val="002F71C0"/>
    <w:rsid w:val="002F74A8"/>
    <w:rsid w:val="002F74F1"/>
    <w:rsid w:val="002F7A08"/>
    <w:rsid w:val="002F7F16"/>
    <w:rsid w:val="00300027"/>
    <w:rsid w:val="00300521"/>
    <w:rsid w:val="00300959"/>
    <w:rsid w:val="00300D5B"/>
    <w:rsid w:val="00301017"/>
    <w:rsid w:val="0030134C"/>
    <w:rsid w:val="0030155F"/>
    <w:rsid w:val="00301F50"/>
    <w:rsid w:val="003020A2"/>
    <w:rsid w:val="003021D1"/>
    <w:rsid w:val="00302514"/>
    <w:rsid w:val="00302AFD"/>
    <w:rsid w:val="00302E1B"/>
    <w:rsid w:val="00302E64"/>
    <w:rsid w:val="00303078"/>
    <w:rsid w:val="003039DF"/>
    <w:rsid w:val="00303A55"/>
    <w:rsid w:val="00303CD4"/>
    <w:rsid w:val="00303E33"/>
    <w:rsid w:val="00303E9C"/>
    <w:rsid w:val="003046A4"/>
    <w:rsid w:val="003046AB"/>
    <w:rsid w:val="003049C4"/>
    <w:rsid w:val="00304B63"/>
    <w:rsid w:val="00304B7A"/>
    <w:rsid w:val="00304C53"/>
    <w:rsid w:val="00305111"/>
    <w:rsid w:val="003053F9"/>
    <w:rsid w:val="0030587B"/>
    <w:rsid w:val="00305E83"/>
    <w:rsid w:val="003060A8"/>
    <w:rsid w:val="003061A1"/>
    <w:rsid w:val="00306917"/>
    <w:rsid w:val="00306D98"/>
    <w:rsid w:val="00306E91"/>
    <w:rsid w:val="00306FA1"/>
    <w:rsid w:val="003076FB"/>
    <w:rsid w:val="0030786C"/>
    <w:rsid w:val="003078B6"/>
    <w:rsid w:val="00307998"/>
    <w:rsid w:val="00307F45"/>
    <w:rsid w:val="0031004D"/>
    <w:rsid w:val="0031031A"/>
    <w:rsid w:val="00310544"/>
    <w:rsid w:val="0031070E"/>
    <w:rsid w:val="00310981"/>
    <w:rsid w:val="00310C39"/>
    <w:rsid w:val="00310ED6"/>
    <w:rsid w:val="00310F59"/>
    <w:rsid w:val="0031100A"/>
    <w:rsid w:val="00311111"/>
    <w:rsid w:val="003115B9"/>
    <w:rsid w:val="00311925"/>
    <w:rsid w:val="00311C57"/>
    <w:rsid w:val="00311D9B"/>
    <w:rsid w:val="00311DBB"/>
    <w:rsid w:val="003124D9"/>
    <w:rsid w:val="0031257A"/>
    <w:rsid w:val="00312594"/>
    <w:rsid w:val="00312D5B"/>
    <w:rsid w:val="003132E8"/>
    <w:rsid w:val="0031342B"/>
    <w:rsid w:val="00313F2F"/>
    <w:rsid w:val="00314934"/>
    <w:rsid w:val="003149E5"/>
    <w:rsid w:val="00314A90"/>
    <w:rsid w:val="00315368"/>
    <w:rsid w:val="003153BB"/>
    <w:rsid w:val="00315498"/>
    <w:rsid w:val="00315669"/>
    <w:rsid w:val="003158F2"/>
    <w:rsid w:val="00315DA7"/>
    <w:rsid w:val="0031605C"/>
    <w:rsid w:val="00316203"/>
    <w:rsid w:val="00316474"/>
    <w:rsid w:val="00316BA7"/>
    <w:rsid w:val="00316BB2"/>
    <w:rsid w:val="00316CDA"/>
    <w:rsid w:val="00316F41"/>
    <w:rsid w:val="00317057"/>
    <w:rsid w:val="0031751A"/>
    <w:rsid w:val="00317647"/>
    <w:rsid w:val="00317D14"/>
    <w:rsid w:val="003204FD"/>
    <w:rsid w:val="00320A57"/>
    <w:rsid w:val="00321B95"/>
    <w:rsid w:val="00322107"/>
    <w:rsid w:val="0032223E"/>
    <w:rsid w:val="00322355"/>
    <w:rsid w:val="00322382"/>
    <w:rsid w:val="00322846"/>
    <w:rsid w:val="00322D9B"/>
    <w:rsid w:val="003231BC"/>
    <w:rsid w:val="00323E6D"/>
    <w:rsid w:val="003248B7"/>
    <w:rsid w:val="00324A0D"/>
    <w:rsid w:val="00324BFB"/>
    <w:rsid w:val="00324E72"/>
    <w:rsid w:val="00324E7F"/>
    <w:rsid w:val="00324FDA"/>
    <w:rsid w:val="003258A8"/>
    <w:rsid w:val="00326476"/>
    <w:rsid w:val="00326603"/>
    <w:rsid w:val="00326DA7"/>
    <w:rsid w:val="00326E2A"/>
    <w:rsid w:val="00326FB9"/>
    <w:rsid w:val="00326FF5"/>
    <w:rsid w:val="003270E4"/>
    <w:rsid w:val="0032727C"/>
    <w:rsid w:val="003275C5"/>
    <w:rsid w:val="0032793D"/>
    <w:rsid w:val="003279CA"/>
    <w:rsid w:val="00327ADD"/>
    <w:rsid w:val="003300A4"/>
    <w:rsid w:val="00330766"/>
    <w:rsid w:val="00330891"/>
    <w:rsid w:val="00330D06"/>
    <w:rsid w:val="00330DAA"/>
    <w:rsid w:val="00330F5C"/>
    <w:rsid w:val="003310C3"/>
    <w:rsid w:val="00331B01"/>
    <w:rsid w:val="00332330"/>
    <w:rsid w:val="003323EF"/>
    <w:rsid w:val="003324B6"/>
    <w:rsid w:val="003325F0"/>
    <w:rsid w:val="00332690"/>
    <w:rsid w:val="00332881"/>
    <w:rsid w:val="00332ACC"/>
    <w:rsid w:val="00332B84"/>
    <w:rsid w:val="00333782"/>
    <w:rsid w:val="0033401C"/>
    <w:rsid w:val="003342AB"/>
    <w:rsid w:val="00334D11"/>
    <w:rsid w:val="00334DFF"/>
    <w:rsid w:val="00335498"/>
    <w:rsid w:val="00335DB3"/>
    <w:rsid w:val="00335EED"/>
    <w:rsid w:val="00335F42"/>
    <w:rsid w:val="0033607B"/>
    <w:rsid w:val="00336188"/>
    <w:rsid w:val="0033630B"/>
    <w:rsid w:val="00336592"/>
    <w:rsid w:val="003366C9"/>
    <w:rsid w:val="00336D90"/>
    <w:rsid w:val="00336E39"/>
    <w:rsid w:val="0033717E"/>
    <w:rsid w:val="003371B0"/>
    <w:rsid w:val="003371FD"/>
    <w:rsid w:val="003372D3"/>
    <w:rsid w:val="0033737A"/>
    <w:rsid w:val="00337BCA"/>
    <w:rsid w:val="00337D41"/>
    <w:rsid w:val="0034018C"/>
    <w:rsid w:val="003405A5"/>
    <w:rsid w:val="003409F9"/>
    <w:rsid w:val="00340C99"/>
    <w:rsid w:val="00340DF1"/>
    <w:rsid w:val="003417D8"/>
    <w:rsid w:val="0034186F"/>
    <w:rsid w:val="00341916"/>
    <w:rsid w:val="00341997"/>
    <w:rsid w:val="00341D3C"/>
    <w:rsid w:val="003424D3"/>
    <w:rsid w:val="00342B17"/>
    <w:rsid w:val="00343062"/>
    <w:rsid w:val="003430DD"/>
    <w:rsid w:val="00343E53"/>
    <w:rsid w:val="00344464"/>
    <w:rsid w:val="00344666"/>
    <w:rsid w:val="00344A06"/>
    <w:rsid w:val="00344A94"/>
    <w:rsid w:val="00344B4C"/>
    <w:rsid w:val="00344DA6"/>
    <w:rsid w:val="00344EFF"/>
    <w:rsid w:val="00345528"/>
    <w:rsid w:val="0034565E"/>
    <w:rsid w:val="00345BEA"/>
    <w:rsid w:val="00346248"/>
    <w:rsid w:val="0034659F"/>
    <w:rsid w:val="00346B1D"/>
    <w:rsid w:val="00347569"/>
    <w:rsid w:val="0034767B"/>
    <w:rsid w:val="003478C1"/>
    <w:rsid w:val="00347974"/>
    <w:rsid w:val="00347FAE"/>
    <w:rsid w:val="00350119"/>
    <w:rsid w:val="00350244"/>
    <w:rsid w:val="003504C2"/>
    <w:rsid w:val="00350699"/>
    <w:rsid w:val="00351301"/>
    <w:rsid w:val="003516E0"/>
    <w:rsid w:val="003517F9"/>
    <w:rsid w:val="00351BA9"/>
    <w:rsid w:val="00351CAD"/>
    <w:rsid w:val="00351EC9"/>
    <w:rsid w:val="0035237E"/>
    <w:rsid w:val="00352394"/>
    <w:rsid w:val="003525DB"/>
    <w:rsid w:val="0035290C"/>
    <w:rsid w:val="00352A05"/>
    <w:rsid w:val="003532F8"/>
    <w:rsid w:val="003533CF"/>
    <w:rsid w:val="00353B97"/>
    <w:rsid w:val="003542E9"/>
    <w:rsid w:val="003545F5"/>
    <w:rsid w:val="003545FB"/>
    <w:rsid w:val="00354CE1"/>
    <w:rsid w:val="00354F64"/>
    <w:rsid w:val="00355B6B"/>
    <w:rsid w:val="00355C5F"/>
    <w:rsid w:val="00355DF2"/>
    <w:rsid w:val="00355F8D"/>
    <w:rsid w:val="0035620E"/>
    <w:rsid w:val="0035665C"/>
    <w:rsid w:val="00356C08"/>
    <w:rsid w:val="00356E5E"/>
    <w:rsid w:val="00357217"/>
    <w:rsid w:val="00357389"/>
    <w:rsid w:val="003575BE"/>
    <w:rsid w:val="003576D1"/>
    <w:rsid w:val="003576DC"/>
    <w:rsid w:val="003579CE"/>
    <w:rsid w:val="003601B9"/>
    <w:rsid w:val="00360345"/>
    <w:rsid w:val="003609D9"/>
    <w:rsid w:val="003617CD"/>
    <w:rsid w:val="003617ED"/>
    <w:rsid w:val="003619DB"/>
    <w:rsid w:val="003619E0"/>
    <w:rsid w:val="00361A05"/>
    <w:rsid w:val="00361FBB"/>
    <w:rsid w:val="003624C4"/>
    <w:rsid w:val="00362BEE"/>
    <w:rsid w:val="00362CD0"/>
    <w:rsid w:val="00362DAE"/>
    <w:rsid w:val="003631AE"/>
    <w:rsid w:val="003632C1"/>
    <w:rsid w:val="00363B00"/>
    <w:rsid w:val="00363E1D"/>
    <w:rsid w:val="00363E76"/>
    <w:rsid w:val="003642D8"/>
    <w:rsid w:val="00364950"/>
    <w:rsid w:val="00364CC2"/>
    <w:rsid w:val="00364E2B"/>
    <w:rsid w:val="00364F24"/>
    <w:rsid w:val="00364F83"/>
    <w:rsid w:val="00365180"/>
    <w:rsid w:val="0036547C"/>
    <w:rsid w:val="003654AC"/>
    <w:rsid w:val="00366209"/>
    <w:rsid w:val="0036661A"/>
    <w:rsid w:val="00366AB9"/>
    <w:rsid w:val="00366CDD"/>
    <w:rsid w:val="003678EC"/>
    <w:rsid w:val="00367B6B"/>
    <w:rsid w:val="00370808"/>
    <w:rsid w:val="00370861"/>
    <w:rsid w:val="00370C22"/>
    <w:rsid w:val="003710CF"/>
    <w:rsid w:val="003714CD"/>
    <w:rsid w:val="003715B9"/>
    <w:rsid w:val="0037160B"/>
    <w:rsid w:val="00371630"/>
    <w:rsid w:val="00371EEC"/>
    <w:rsid w:val="00372370"/>
    <w:rsid w:val="00372910"/>
    <w:rsid w:val="00372A68"/>
    <w:rsid w:val="00372CEE"/>
    <w:rsid w:val="00372E05"/>
    <w:rsid w:val="0037358A"/>
    <w:rsid w:val="00373643"/>
    <w:rsid w:val="00373688"/>
    <w:rsid w:val="00373755"/>
    <w:rsid w:val="0037375D"/>
    <w:rsid w:val="0037394F"/>
    <w:rsid w:val="00373E3B"/>
    <w:rsid w:val="0037435C"/>
    <w:rsid w:val="003744A3"/>
    <w:rsid w:val="0037476D"/>
    <w:rsid w:val="00374C41"/>
    <w:rsid w:val="00374D16"/>
    <w:rsid w:val="00374DD2"/>
    <w:rsid w:val="00374EF9"/>
    <w:rsid w:val="00374FB8"/>
    <w:rsid w:val="003750CA"/>
    <w:rsid w:val="003750F6"/>
    <w:rsid w:val="00375121"/>
    <w:rsid w:val="003751B4"/>
    <w:rsid w:val="0037574A"/>
    <w:rsid w:val="0037594A"/>
    <w:rsid w:val="003760FC"/>
    <w:rsid w:val="0037630F"/>
    <w:rsid w:val="00376D12"/>
    <w:rsid w:val="00377573"/>
    <w:rsid w:val="003778B0"/>
    <w:rsid w:val="00377916"/>
    <w:rsid w:val="00377924"/>
    <w:rsid w:val="00377925"/>
    <w:rsid w:val="00377AAB"/>
    <w:rsid w:val="00377E03"/>
    <w:rsid w:val="00377EAC"/>
    <w:rsid w:val="00377FE8"/>
    <w:rsid w:val="00380006"/>
    <w:rsid w:val="00380060"/>
    <w:rsid w:val="00380427"/>
    <w:rsid w:val="003804C0"/>
    <w:rsid w:val="00380512"/>
    <w:rsid w:val="00380AD6"/>
    <w:rsid w:val="00380D69"/>
    <w:rsid w:val="0038109F"/>
    <w:rsid w:val="0038113E"/>
    <w:rsid w:val="003812B2"/>
    <w:rsid w:val="00381C34"/>
    <w:rsid w:val="00381C8C"/>
    <w:rsid w:val="00381D11"/>
    <w:rsid w:val="00382A69"/>
    <w:rsid w:val="00382CD4"/>
    <w:rsid w:val="0038365C"/>
    <w:rsid w:val="0038369B"/>
    <w:rsid w:val="003836ED"/>
    <w:rsid w:val="00383825"/>
    <w:rsid w:val="00383B78"/>
    <w:rsid w:val="00383F3F"/>
    <w:rsid w:val="003849DF"/>
    <w:rsid w:val="0038518B"/>
    <w:rsid w:val="00385444"/>
    <w:rsid w:val="003854D9"/>
    <w:rsid w:val="00385563"/>
    <w:rsid w:val="00385766"/>
    <w:rsid w:val="003858A6"/>
    <w:rsid w:val="003858D6"/>
    <w:rsid w:val="00385A4E"/>
    <w:rsid w:val="00385A9D"/>
    <w:rsid w:val="00385ACC"/>
    <w:rsid w:val="00385F02"/>
    <w:rsid w:val="00386167"/>
    <w:rsid w:val="0038685E"/>
    <w:rsid w:val="003870CB"/>
    <w:rsid w:val="00387121"/>
    <w:rsid w:val="003871FA"/>
    <w:rsid w:val="00387273"/>
    <w:rsid w:val="00387496"/>
    <w:rsid w:val="00387C2A"/>
    <w:rsid w:val="00387F03"/>
    <w:rsid w:val="0039001D"/>
    <w:rsid w:val="003902B1"/>
    <w:rsid w:val="00390405"/>
    <w:rsid w:val="00390AC9"/>
    <w:rsid w:val="00390CC6"/>
    <w:rsid w:val="00391100"/>
    <w:rsid w:val="00391594"/>
    <w:rsid w:val="003915CE"/>
    <w:rsid w:val="0039179C"/>
    <w:rsid w:val="00391A9E"/>
    <w:rsid w:val="00391C6A"/>
    <w:rsid w:val="00391EA5"/>
    <w:rsid w:val="0039240B"/>
    <w:rsid w:val="003924D8"/>
    <w:rsid w:val="0039263F"/>
    <w:rsid w:val="00392C24"/>
    <w:rsid w:val="00392E02"/>
    <w:rsid w:val="0039308B"/>
    <w:rsid w:val="0039315C"/>
    <w:rsid w:val="003937D7"/>
    <w:rsid w:val="00395851"/>
    <w:rsid w:val="00395BCB"/>
    <w:rsid w:val="00395C27"/>
    <w:rsid w:val="00396896"/>
    <w:rsid w:val="00396A11"/>
    <w:rsid w:val="00396DF7"/>
    <w:rsid w:val="00396E92"/>
    <w:rsid w:val="00396FD0"/>
    <w:rsid w:val="0039701B"/>
    <w:rsid w:val="00397130"/>
    <w:rsid w:val="00397273"/>
    <w:rsid w:val="00397452"/>
    <w:rsid w:val="00397C2F"/>
    <w:rsid w:val="003A0190"/>
    <w:rsid w:val="003A03A4"/>
    <w:rsid w:val="003A041D"/>
    <w:rsid w:val="003A106A"/>
    <w:rsid w:val="003A1087"/>
    <w:rsid w:val="003A14C6"/>
    <w:rsid w:val="003A15D6"/>
    <w:rsid w:val="003A1999"/>
    <w:rsid w:val="003A19EC"/>
    <w:rsid w:val="003A1A7A"/>
    <w:rsid w:val="003A2028"/>
    <w:rsid w:val="003A21B2"/>
    <w:rsid w:val="003A2392"/>
    <w:rsid w:val="003A2650"/>
    <w:rsid w:val="003A2831"/>
    <w:rsid w:val="003A2BEC"/>
    <w:rsid w:val="003A2D34"/>
    <w:rsid w:val="003A2D5E"/>
    <w:rsid w:val="003A319E"/>
    <w:rsid w:val="003A3978"/>
    <w:rsid w:val="003A397A"/>
    <w:rsid w:val="003A3A38"/>
    <w:rsid w:val="003A3A57"/>
    <w:rsid w:val="003A3A98"/>
    <w:rsid w:val="003A3CB6"/>
    <w:rsid w:val="003A3ED1"/>
    <w:rsid w:val="003A40C4"/>
    <w:rsid w:val="003A411B"/>
    <w:rsid w:val="003A414D"/>
    <w:rsid w:val="003A449A"/>
    <w:rsid w:val="003A44DB"/>
    <w:rsid w:val="003A454C"/>
    <w:rsid w:val="003A4732"/>
    <w:rsid w:val="003A49C3"/>
    <w:rsid w:val="003A4C14"/>
    <w:rsid w:val="003A4EE2"/>
    <w:rsid w:val="003A4F11"/>
    <w:rsid w:val="003A4F4B"/>
    <w:rsid w:val="003A4FA2"/>
    <w:rsid w:val="003A5C40"/>
    <w:rsid w:val="003A6271"/>
    <w:rsid w:val="003A65B4"/>
    <w:rsid w:val="003A6757"/>
    <w:rsid w:val="003A69CC"/>
    <w:rsid w:val="003A6AB0"/>
    <w:rsid w:val="003A6E44"/>
    <w:rsid w:val="003A6F36"/>
    <w:rsid w:val="003A7215"/>
    <w:rsid w:val="003A74DC"/>
    <w:rsid w:val="003A7FB1"/>
    <w:rsid w:val="003B00C6"/>
    <w:rsid w:val="003B03E2"/>
    <w:rsid w:val="003B04A1"/>
    <w:rsid w:val="003B0C1E"/>
    <w:rsid w:val="003B0DFA"/>
    <w:rsid w:val="003B19E0"/>
    <w:rsid w:val="003B2256"/>
    <w:rsid w:val="003B232E"/>
    <w:rsid w:val="003B253B"/>
    <w:rsid w:val="003B2B5E"/>
    <w:rsid w:val="003B2EC9"/>
    <w:rsid w:val="003B365D"/>
    <w:rsid w:val="003B36F6"/>
    <w:rsid w:val="003B3708"/>
    <w:rsid w:val="003B3922"/>
    <w:rsid w:val="003B3971"/>
    <w:rsid w:val="003B442A"/>
    <w:rsid w:val="003B447A"/>
    <w:rsid w:val="003B49F6"/>
    <w:rsid w:val="003B4AD6"/>
    <w:rsid w:val="003B4F6B"/>
    <w:rsid w:val="003B5273"/>
    <w:rsid w:val="003B52E3"/>
    <w:rsid w:val="003B5464"/>
    <w:rsid w:val="003B55D1"/>
    <w:rsid w:val="003B5893"/>
    <w:rsid w:val="003B5B61"/>
    <w:rsid w:val="003B5CF6"/>
    <w:rsid w:val="003B614B"/>
    <w:rsid w:val="003B61DB"/>
    <w:rsid w:val="003B647F"/>
    <w:rsid w:val="003B6817"/>
    <w:rsid w:val="003B6831"/>
    <w:rsid w:val="003B6E05"/>
    <w:rsid w:val="003B7567"/>
    <w:rsid w:val="003B764D"/>
    <w:rsid w:val="003B7BE4"/>
    <w:rsid w:val="003B7D94"/>
    <w:rsid w:val="003C0229"/>
    <w:rsid w:val="003C02F0"/>
    <w:rsid w:val="003C0305"/>
    <w:rsid w:val="003C0360"/>
    <w:rsid w:val="003C0790"/>
    <w:rsid w:val="003C0DA3"/>
    <w:rsid w:val="003C1155"/>
    <w:rsid w:val="003C1197"/>
    <w:rsid w:val="003C1654"/>
    <w:rsid w:val="003C1BD1"/>
    <w:rsid w:val="003C230B"/>
    <w:rsid w:val="003C2C44"/>
    <w:rsid w:val="003C3CBD"/>
    <w:rsid w:val="003C43C0"/>
    <w:rsid w:val="003C441D"/>
    <w:rsid w:val="003C4FCA"/>
    <w:rsid w:val="003C5542"/>
    <w:rsid w:val="003C5611"/>
    <w:rsid w:val="003C5A43"/>
    <w:rsid w:val="003C604A"/>
    <w:rsid w:val="003C6694"/>
    <w:rsid w:val="003C695C"/>
    <w:rsid w:val="003C72F3"/>
    <w:rsid w:val="003C7C15"/>
    <w:rsid w:val="003C7CCF"/>
    <w:rsid w:val="003C7D19"/>
    <w:rsid w:val="003C7D2F"/>
    <w:rsid w:val="003D002B"/>
    <w:rsid w:val="003D02F0"/>
    <w:rsid w:val="003D034A"/>
    <w:rsid w:val="003D03CB"/>
    <w:rsid w:val="003D0C5A"/>
    <w:rsid w:val="003D1828"/>
    <w:rsid w:val="003D1DE4"/>
    <w:rsid w:val="003D1E9A"/>
    <w:rsid w:val="003D2030"/>
    <w:rsid w:val="003D208F"/>
    <w:rsid w:val="003D2254"/>
    <w:rsid w:val="003D22B4"/>
    <w:rsid w:val="003D2422"/>
    <w:rsid w:val="003D2508"/>
    <w:rsid w:val="003D28E1"/>
    <w:rsid w:val="003D3023"/>
    <w:rsid w:val="003D3336"/>
    <w:rsid w:val="003D350C"/>
    <w:rsid w:val="003D39A1"/>
    <w:rsid w:val="003D39D2"/>
    <w:rsid w:val="003D3A13"/>
    <w:rsid w:val="003D3AA2"/>
    <w:rsid w:val="003D3CDD"/>
    <w:rsid w:val="003D3DD5"/>
    <w:rsid w:val="003D3FBF"/>
    <w:rsid w:val="003D4389"/>
    <w:rsid w:val="003D4524"/>
    <w:rsid w:val="003D4A30"/>
    <w:rsid w:val="003D50EF"/>
    <w:rsid w:val="003D5188"/>
    <w:rsid w:val="003D51B6"/>
    <w:rsid w:val="003D56A8"/>
    <w:rsid w:val="003D62CD"/>
    <w:rsid w:val="003D66CE"/>
    <w:rsid w:val="003D69D5"/>
    <w:rsid w:val="003D6BEF"/>
    <w:rsid w:val="003D723F"/>
    <w:rsid w:val="003D7452"/>
    <w:rsid w:val="003D79BB"/>
    <w:rsid w:val="003D7B42"/>
    <w:rsid w:val="003D7C98"/>
    <w:rsid w:val="003D7D9D"/>
    <w:rsid w:val="003D7E4A"/>
    <w:rsid w:val="003D7F86"/>
    <w:rsid w:val="003E008B"/>
    <w:rsid w:val="003E016D"/>
    <w:rsid w:val="003E01A0"/>
    <w:rsid w:val="003E0543"/>
    <w:rsid w:val="003E057B"/>
    <w:rsid w:val="003E0CCE"/>
    <w:rsid w:val="003E0E28"/>
    <w:rsid w:val="003E1505"/>
    <w:rsid w:val="003E1D4A"/>
    <w:rsid w:val="003E2021"/>
    <w:rsid w:val="003E3174"/>
    <w:rsid w:val="003E31C1"/>
    <w:rsid w:val="003E33D4"/>
    <w:rsid w:val="003E3A2C"/>
    <w:rsid w:val="003E3A6F"/>
    <w:rsid w:val="003E3A9F"/>
    <w:rsid w:val="003E3C91"/>
    <w:rsid w:val="003E4B1C"/>
    <w:rsid w:val="003E5048"/>
    <w:rsid w:val="003E554C"/>
    <w:rsid w:val="003E5603"/>
    <w:rsid w:val="003E5CAF"/>
    <w:rsid w:val="003E6B3D"/>
    <w:rsid w:val="003E6D63"/>
    <w:rsid w:val="003E6F18"/>
    <w:rsid w:val="003E749E"/>
    <w:rsid w:val="003E75AF"/>
    <w:rsid w:val="003E7A5E"/>
    <w:rsid w:val="003E7F6D"/>
    <w:rsid w:val="003F000D"/>
    <w:rsid w:val="003F0127"/>
    <w:rsid w:val="003F01C2"/>
    <w:rsid w:val="003F057C"/>
    <w:rsid w:val="003F06CF"/>
    <w:rsid w:val="003F0ABF"/>
    <w:rsid w:val="003F0CA1"/>
    <w:rsid w:val="003F0CBD"/>
    <w:rsid w:val="003F1125"/>
    <w:rsid w:val="003F182B"/>
    <w:rsid w:val="003F1F2E"/>
    <w:rsid w:val="003F1F56"/>
    <w:rsid w:val="003F21F9"/>
    <w:rsid w:val="003F2274"/>
    <w:rsid w:val="003F243A"/>
    <w:rsid w:val="003F26F7"/>
    <w:rsid w:val="003F287D"/>
    <w:rsid w:val="003F2911"/>
    <w:rsid w:val="003F3039"/>
    <w:rsid w:val="003F30B6"/>
    <w:rsid w:val="003F4156"/>
    <w:rsid w:val="003F476C"/>
    <w:rsid w:val="003F4958"/>
    <w:rsid w:val="003F5130"/>
    <w:rsid w:val="003F518F"/>
    <w:rsid w:val="003F5637"/>
    <w:rsid w:val="003F5ADF"/>
    <w:rsid w:val="003F5B6C"/>
    <w:rsid w:val="003F61DB"/>
    <w:rsid w:val="003F64DA"/>
    <w:rsid w:val="003F6979"/>
    <w:rsid w:val="003F6A3B"/>
    <w:rsid w:val="003F75DE"/>
    <w:rsid w:val="003F7ABB"/>
    <w:rsid w:val="00400052"/>
    <w:rsid w:val="00400155"/>
    <w:rsid w:val="004003C9"/>
    <w:rsid w:val="00400492"/>
    <w:rsid w:val="004004C4"/>
    <w:rsid w:val="004009B9"/>
    <w:rsid w:val="00400B29"/>
    <w:rsid w:val="00400CD1"/>
    <w:rsid w:val="004013CA"/>
    <w:rsid w:val="00401400"/>
    <w:rsid w:val="00401826"/>
    <w:rsid w:val="0040196D"/>
    <w:rsid w:val="00401BD2"/>
    <w:rsid w:val="004020E9"/>
    <w:rsid w:val="004026B8"/>
    <w:rsid w:val="00402812"/>
    <w:rsid w:val="00402CDD"/>
    <w:rsid w:val="00403086"/>
    <w:rsid w:val="004030CA"/>
    <w:rsid w:val="004035D0"/>
    <w:rsid w:val="004039D1"/>
    <w:rsid w:val="00404857"/>
    <w:rsid w:val="00404BDD"/>
    <w:rsid w:val="00404CEA"/>
    <w:rsid w:val="00404CFE"/>
    <w:rsid w:val="0040504B"/>
    <w:rsid w:val="0040515A"/>
    <w:rsid w:val="004051B0"/>
    <w:rsid w:val="004053F0"/>
    <w:rsid w:val="004055EB"/>
    <w:rsid w:val="004059F4"/>
    <w:rsid w:val="00405AC5"/>
    <w:rsid w:val="0040668B"/>
    <w:rsid w:val="00406A7D"/>
    <w:rsid w:val="00406BB3"/>
    <w:rsid w:val="004070F8"/>
    <w:rsid w:val="0040731A"/>
    <w:rsid w:val="00407747"/>
    <w:rsid w:val="00407951"/>
    <w:rsid w:val="00407ECE"/>
    <w:rsid w:val="00407FE5"/>
    <w:rsid w:val="004101B0"/>
    <w:rsid w:val="004102BB"/>
    <w:rsid w:val="00410326"/>
    <w:rsid w:val="004105BC"/>
    <w:rsid w:val="00410649"/>
    <w:rsid w:val="00410708"/>
    <w:rsid w:val="00410EC7"/>
    <w:rsid w:val="0041103B"/>
    <w:rsid w:val="004116CB"/>
    <w:rsid w:val="00411B39"/>
    <w:rsid w:val="004127A7"/>
    <w:rsid w:val="0041315D"/>
    <w:rsid w:val="004136AD"/>
    <w:rsid w:val="00413813"/>
    <w:rsid w:val="00413A1E"/>
    <w:rsid w:val="00414476"/>
    <w:rsid w:val="00414626"/>
    <w:rsid w:val="00414AAD"/>
    <w:rsid w:val="00414AE8"/>
    <w:rsid w:val="00414C2E"/>
    <w:rsid w:val="00414DFC"/>
    <w:rsid w:val="0041514C"/>
    <w:rsid w:val="0041514F"/>
    <w:rsid w:val="004151CF"/>
    <w:rsid w:val="00415DD2"/>
    <w:rsid w:val="00415E43"/>
    <w:rsid w:val="00416364"/>
    <w:rsid w:val="004166A7"/>
    <w:rsid w:val="00416B0E"/>
    <w:rsid w:val="004177D8"/>
    <w:rsid w:val="00417990"/>
    <w:rsid w:val="00417DB9"/>
    <w:rsid w:val="00420232"/>
    <w:rsid w:val="0042047F"/>
    <w:rsid w:val="0042066E"/>
    <w:rsid w:val="00420AA6"/>
    <w:rsid w:val="00420B9F"/>
    <w:rsid w:val="00420E68"/>
    <w:rsid w:val="00421853"/>
    <w:rsid w:val="0042192C"/>
    <w:rsid w:val="0042193E"/>
    <w:rsid w:val="00422260"/>
    <w:rsid w:val="00422532"/>
    <w:rsid w:val="004225F7"/>
    <w:rsid w:val="00422652"/>
    <w:rsid w:val="00422BC5"/>
    <w:rsid w:val="00422C41"/>
    <w:rsid w:val="00422D4F"/>
    <w:rsid w:val="00422FAA"/>
    <w:rsid w:val="00423040"/>
    <w:rsid w:val="00423078"/>
    <w:rsid w:val="004231B3"/>
    <w:rsid w:val="0042341E"/>
    <w:rsid w:val="00423B33"/>
    <w:rsid w:val="00423CBB"/>
    <w:rsid w:val="00423E2F"/>
    <w:rsid w:val="0042408F"/>
    <w:rsid w:val="0042413F"/>
    <w:rsid w:val="00424E84"/>
    <w:rsid w:val="00424FC2"/>
    <w:rsid w:val="00425919"/>
    <w:rsid w:val="004259AB"/>
    <w:rsid w:val="00425DAB"/>
    <w:rsid w:val="00426834"/>
    <w:rsid w:val="00426F29"/>
    <w:rsid w:val="00426FD5"/>
    <w:rsid w:val="004270F2"/>
    <w:rsid w:val="00427791"/>
    <w:rsid w:val="0043027D"/>
    <w:rsid w:val="00430912"/>
    <w:rsid w:val="004309E0"/>
    <w:rsid w:val="00430A0B"/>
    <w:rsid w:val="00430FE4"/>
    <w:rsid w:val="00431111"/>
    <w:rsid w:val="0043187C"/>
    <w:rsid w:val="004319F8"/>
    <w:rsid w:val="00431C66"/>
    <w:rsid w:val="00431E55"/>
    <w:rsid w:val="004321F6"/>
    <w:rsid w:val="00432299"/>
    <w:rsid w:val="0043256E"/>
    <w:rsid w:val="00432E53"/>
    <w:rsid w:val="00433044"/>
    <w:rsid w:val="004330D1"/>
    <w:rsid w:val="004332E9"/>
    <w:rsid w:val="00433436"/>
    <w:rsid w:val="004338F5"/>
    <w:rsid w:val="00433918"/>
    <w:rsid w:val="00433A4A"/>
    <w:rsid w:val="00433FDF"/>
    <w:rsid w:val="00434088"/>
    <w:rsid w:val="0043410C"/>
    <w:rsid w:val="004341B7"/>
    <w:rsid w:val="00434CAE"/>
    <w:rsid w:val="00435148"/>
    <w:rsid w:val="00435B40"/>
    <w:rsid w:val="00436283"/>
    <w:rsid w:val="004365AC"/>
    <w:rsid w:val="00436AC5"/>
    <w:rsid w:val="00436B9C"/>
    <w:rsid w:val="004370A4"/>
    <w:rsid w:val="004371FF"/>
    <w:rsid w:val="004375B9"/>
    <w:rsid w:val="0043785A"/>
    <w:rsid w:val="0044015A"/>
    <w:rsid w:val="004404F7"/>
    <w:rsid w:val="00441027"/>
    <w:rsid w:val="00442162"/>
    <w:rsid w:val="00442571"/>
    <w:rsid w:val="00442756"/>
    <w:rsid w:val="004428D0"/>
    <w:rsid w:val="00443229"/>
    <w:rsid w:val="00443B9D"/>
    <w:rsid w:val="00443EEE"/>
    <w:rsid w:val="00444185"/>
    <w:rsid w:val="004443A7"/>
    <w:rsid w:val="0044440E"/>
    <w:rsid w:val="0044442C"/>
    <w:rsid w:val="00444710"/>
    <w:rsid w:val="00444FFC"/>
    <w:rsid w:val="00445318"/>
    <w:rsid w:val="004453C5"/>
    <w:rsid w:val="00445941"/>
    <w:rsid w:val="004459F6"/>
    <w:rsid w:val="00445A1D"/>
    <w:rsid w:val="00445B7B"/>
    <w:rsid w:val="00445BB2"/>
    <w:rsid w:val="00445C20"/>
    <w:rsid w:val="00445D28"/>
    <w:rsid w:val="00445E1D"/>
    <w:rsid w:val="0044601F"/>
    <w:rsid w:val="0044604E"/>
    <w:rsid w:val="004464EB"/>
    <w:rsid w:val="0044652A"/>
    <w:rsid w:val="00446535"/>
    <w:rsid w:val="004466D8"/>
    <w:rsid w:val="00446F81"/>
    <w:rsid w:val="0044729E"/>
    <w:rsid w:val="00447650"/>
    <w:rsid w:val="00447D26"/>
    <w:rsid w:val="00447DA1"/>
    <w:rsid w:val="00447DFC"/>
    <w:rsid w:val="00450102"/>
    <w:rsid w:val="004507FE"/>
    <w:rsid w:val="00450D06"/>
    <w:rsid w:val="00450F71"/>
    <w:rsid w:val="0045103C"/>
    <w:rsid w:val="00451393"/>
    <w:rsid w:val="00451809"/>
    <w:rsid w:val="004524D1"/>
    <w:rsid w:val="00452D2F"/>
    <w:rsid w:val="004530A9"/>
    <w:rsid w:val="0045336F"/>
    <w:rsid w:val="00453400"/>
    <w:rsid w:val="004538D5"/>
    <w:rsid w:val="00453F9A"/>
    <w:rsid w:val="00453FFF"/>
    <w:rsid w:val="00454320"/>
    <w:rsid w:val="00454425"/>
    <w:rsid w:val="004548EC"/>
    <w:rsid w:val="00454A0F"/>
    <w:rsid w:val="004551FB"/>
    <w:rsid w:val="00455830"/>
    <w:rsid w:val="00455B4A"/>
    <w:rsid w:val="00455D45"/>
    <w:rsid w:val="00456643"/>
    <w:rsid w:val="0045672B"/>
    <w:rsid w:val="0045694B"/>
    <w:rsid w:val="0045757D"/>
    <w:rsid w:val="00457B04"/>
    <w:rsid w:val="00457B77"/>
    <w:rsid w:val="00457DC5"/>
    <w:rsid w:val="00460224"/>
    <w:rsid w:val="00460256"/>
    <w:rsid w:val="00460AE0"/>
    <w:rsid w:val="00461428"/>
    <w:rsid w:val="00462170"/>
    <w:rsid w:val="0046238B"/>
    <w:rsid w:val="00462D71"/>
    <w:rsid w:val="004633FF"/>
    <w:rsid w:val="004634B7"/>
    <w:rsid w:val="00463814"/>
    <w:rsid w:val="00463BF1"/>
    <w:rsid w:val="00463DC8"/>
    <w:rsid w:val="004641EC"/>
    <w:rsid w:val="0046424C"/>
    <w:rsid w:val="00464595"/>
    <w:rsid w:val="00464773"/>
    <w:rsid w:val="00464AEF"/>
    <w:rsid w:val="004655DC"/>
    <w:rsid w:val="004658B5"/>
    <w:rsid w:val="00465A06"/>
    <w:rsid w:val="00465B4E"/>
    <w:rsid w:val="00465F33"/>
    <w:rsid w:val="00465F5D"/>
    <w:rsid w:val="00466530"/>
    <w:rsid w:val="00466776"/>
    <w:rsid w:val="00466971"/>
    <w:rsid w:val="00467432"/>
    <w:rsid w:val="0046774A"/>
    <w:rsid w:val="0047034A"/>
    <w:rsid w:val="00470B6D"/>
    <w:rsid w:val="00470D44"/>
    <w:rsid w:val="00470D93"/>
    <w:rsid w:val="0047170D"/>
    <w:rsid w:val="00471C2C"/>
    <w:rsid w:val="00471EA5"/>
    <w:rsid w:val="0047208C"/>
    <w:rsid w:val="004722DD"/>
    <w:rsid w:val="004724C1"/>
    <w:rsid w:val="00472A79"/>
    <w:rsid w:val="00473131"/>
    <w:rsid w:val="00473400"/>
    <w:rsid w:val="0047346A"/>
    <w:rsid w:val="0047364E"/>
    <w:rsid w:val="00473D0D"/>
    <w:rsid w:val="00473F19"/>
    <w:rsid w:val="004740A7"/>
    <w:rsid w:val="00474706"/>
    <w:rsid w:val="0047486A"/>
    <w:rsid w:val="00475278"/>
    <w:rsid w:val="0047549E"/>
    <w:rsid w:val="00475911"/>
    <w:rsid w:val="00475E22"/>
    <w:rsid w:val="00475F05"/>
    <w:rsid w:val="00475F15"/>
    <w:rsid w:val="0047656E"/>
    <w:rsid w:val="00476701"/>
    <w:rsid w:val="00476EA9"/>
    <w:rsid w:val="00477735"/>
    <w:rsid w:val="004777A0"/>
    <w:rsid w:val="0047784D"/>
    <w:rsid w:val="00477BE0"/>
    <w:rsid w:val="00480251"/>
    <w:rsid w:val="0048025C"/>
    <w:rsid w:val="0048088E"/>
    <w:rsid w:val="00480B60"/>
    <w:rsid w:val="00480F2B"/>
    <w:rsid w:val="004812EB"/>
    <w:rsid w:val="00481489"/>
    <w:rsid w:val="00481C0D"/>
    <w:rsid w:val="00481DF4"/>
    <w:rsid w:val="00482230"/>
    <w:rsid w:val="0048261C"/>
    <w:rsid w:val="00482720"/>
    <w:rsid w:val="00482E4B"/>
    <w:rsid w:val="004835E7"/>
    <w:rsid w:val="00483CEE"/>
    <w:rsid w:val="00483F4D"/>
    <w:rsid w:val="0048469B"/>
    <w:rsid w:val="00484835"/>
    <w:rsid w:val="00484860"/>
    <w:rsid w:val="00484F4E"/>
    <w:rsid w:val="00484FC2"/>
    <w:rsid w:val="0048595F"/>
    <w:rsid w:val="004859E1"/>
    <w:rsid w:val="00485D4E"/>
    <w:rsid w:val="00486749"/>
    <w:rsid w:val="004867E2"/>
    <w:rsid w:val="00486AFB"/>
    <w:rsid w:val="00486D4F"/>
    <w:rsid w:val="004870DE"/>
    <w:rsid w:val="0048726B"/>
    <w:rsid w:val="004875DC"/>
    <w:rsid w:val="00487675"/>
    <w:rsid w:val="00487E3A"/>
    <w:rsid w:val="00490082"/>
    <w:rsid w:val="004900FC"/>
    <w:rsid w:val="0049047D"/>
    <w:rsid w:val="00490909"/>
    <w:rsid w:val="00490B17"/>
    <w:rsid w:val="00490C15"/>
    <w:rsid w:val="0049104A"/>
    <w:rsid w:val="00491619"/>
    <w:rsid w:val="00491B3A"/>
    <w:rsid w:val="00491B59"/>
    <w:rsid w:val="00492693"/>
    <w:rsid w:val="00492CFD"/>
    <w:rsid w:val="0049300E"/>
    <w:rsid w:val="004930AD"/>
    <w:rsid w:val="00493366"/>
    <w:rsid w:val="00494207"/>
    <w:rsid w:val="004943CA"/>
    <w:rsid w:val="0049493D"/>
    <w:rsid w:val="00494DD5"/>
    <w:rsid w:val="00495511"/>
    <w:rsid w:val="004955CE"/>
    <w:rsid w:val="004957E8"/>
    <w:rsid w:val="004961D1"/>
    <w:rsid w:val="0049621E"/>
    <w:rsid w:val="004962D2"/>
    <w:rsid w:val="004967C5"/>
    <w:rsid w:val="00496AAF"/>
    <w:rsid w:val="00496EC8"/>
    <w:rsid w:val="004970AA"/>
    <w:rsid w:val="004973EE"/>
    <w:rsid w:val="004A02A3"/>
    <w:rsid w:val="004A0835"/>
    <w:rsid w:val="004A0DA1"/>
    <w:rsid w:val="004A0ED3"/>
    <w:rsid w:val="004A13D6"/>
    <w:rsid w:val="004A14C4"/>
    <w:rsid w:val="004A17F2"/>
    <w:rsid w:val="004A1FFE"/>
    <w:rsid w:val="004A211E"/>
    <w:rsid w:val="004A2160"/>
    <w:rsid w:val="004A2210"/>
    <w:rsid w:val="004A2755"/>
    <w:rsid w:val="004A2AD2"/>
    <w:rsid w:val="004A2C49"/>
    <w:rsid w:val="004A2D2E"/>
    <w:rsid w:val="004A38AF"/>
    <w:rsid w:val="004A3C9F"/>
    <w:rsid w:val="004A3FAF"/>
    <w:rsid w:val="004A405A"/>
    <w:rsid w:val="004A49E8"/>
    <w:rsid w:val="004A52E9"/>
    <w:rsid w:val="004A5A9D"/>
    <w:rsid w:val="004A5D27"/>
    <w:rsid w:val="004A5DBD"/>
    <w:rsid w:val="004A6040"/>
    <w:rsid w:val="004A64FA"/>
    <w:rsid w:val="004A6597"/>
    <w:rsid w:val="004A6CB2"/>
    <w:rsid w:val="004A6FCC"/>
    <w:rsid w:val="004A71B3"/>
    <w:rsid w:val="004A7565"/>
    <w:rsid w:val="004A7735"/>
    <w:rsid w:val="004A7848"/>
    <w:rsid w:val="004A787A"/>
    <w:rsid w:val="004A793B"/>
    <w:rsid w:val="004A7E91"/>
    <w:rsid w:val="004B01F9"/>
    <w:rsid w:val="004B037C"/>
    <w:rsid w:val="004B048F"/>
    <w:rsid w:val="004B0A3C"/>
    <w:rsid w:val="004B0A4D"/>
    <w:rsid w:val="004B18B0"/>
    <w:rsid w:val="004B1CB4"/>
    <w:rsid w:val="004B1CD1"/>
    <w:rsid w:val="004B2028"/>
    <w:rsid w:val="004B219A"/>
    <w:rsid w:val="004B2555"/>
    <w:rsid w:val="004B2898"/>
    <w:rsid w:val="004B2A7A"/>
    <w:rsid w:val="004B2C66"/>
    <w:rsid w:val="004B2E9C"/>
    <w:rsid w:val="004B2F18"/>
    <w:rsid w:val="004B2F56"/>
    <w:rsid w:val="004B30E7"/>
    <w:rsid w:val="004B3146"/>
    <w:rsid w:val="004B3DDB"/>
    <w:rsid w:val="004B40B0"/>
    <w:rsid w:val="004B438D"/>
    <w:rsid w:val="004B44FD"/>
    <w:rsid w:val="004B4C81"/>
    <w:rsid w:val="004B5209"/>
    <w:rsid w:val="004B546C"/>
    <w:rsid w:val="004B55F0"/>
    <w:rsid w:val="004B5930"/>
    <w:rsid w:val="004B5A81"/>
    <w:rsid w:val="004B5CFC"/>
    <w:rsid w:val="004B5DEC"/>
    <w:rsid w:val="004B5F60"/>
    <w:rsid w:val="004B6CD9"/>
    <w:rsid w:val="004B6F79"/>
    <w:rsid w:val="004B6FAB"/>
    <w:rsid w:val="004B71D1"/>
    <w:rsid w:val="004B76BE"/>
    <w:rsid w:val="004B774D"/>
    <w:rsid w:val="004B78C2"/>
    <w:rsid w:val="004B79DB"/>
    <w:rsid w:val="004C02B7"/>
    <w:rsid w:val="004C03DD"/>
    <w:rsid w:val="004C04C4"/>
    <w:rsid w:val="004C0555"/>
    <w:rsid w:val="004C085B"/>
    <w:rsid w:val="004C0B3B"/>
    <w:rsid w:val="004C0CB3"/>
    <w:rsid w:val="004C100F"/>
    <w:rsid w:val="004C1708"/>
    <w:rsid w:val="004C2AC2"/>
    <w:rsid w:val="004C2AED"/>
    <w:rsid w:val="004C2D79"/>
    <w:rsid w:val="004C2E42"/>
    <w:rsid w:val="004C304E"/>
    <w:rsid w:val="004C3A2A"/>
    <w:rsid w:val="004C421A"/>
    <w:rsid w:val="004C435C"/>
    <w:rsid w:val="004C4553"/>
    <w:rsid w:val="004C4AED"/>
    <w:rsid w:val="004C4F53"/>
    <w:rsid w:val="004C544E"/>
    <w:rsid w:val="004C5537"/>
    <w:rsid w:val="004C56EF"/>
    <w:rsid w:val="004C57E2"/>
    <w:rsid w:val="004C59CA"/>
    <w:rsid w:val="004C5C00"/>
    <w:rsid w:val="004C5F8E"/>
    <w:rsid w:val="004C5FAB"/>
    <w:rsid w:val="004C5FBB"/>
    <w:rsid w:val="004C6771"/>
    <w:rsid w:val="004C681C"/>
    <w:rsid w:val="004C6B92"/>
    <w:rsid w:val="004C6C18"/>
    <w:rsid w:val="004C733F"/>
    <w:rsid w:val="004C759A"/>
    <w:rsid w:val="004C77EA"/>
    <w:rsid w:val="004C7997"/>
    <w:rsid w:val="004C7C66"/>
    <w:rsid w:val="004C7E44"/>
    <w:rsid w:val="004C7F46"/>
    <w:rsid w:val="004C7FC9"/>
    <w:rsid w:val="004D010E"/>
    <w:rsid w:val="004D0129"/>
    <w:rsid w:val="004D048D"/>
    <w:rsid w:val="004D06BA"/>
    <w:rsid w:val="004D0CB1"/>
    <w:rsid w:val="004D0E05"/>
    <w:rsid w:val="004D0E54"/>
    <w:rsid w:val="004D1649"/>
    <w:rsid w:val="004D1CD1"/>
    <w:rsid w:val="004D1F45"/>
    <w:rsid w:val="004D20A1"/>
    <w:rsid w:val="004D22D8"/>
    <w:rsid w:val="004D25ED"/>
    <w:rsid w:val="004D2812"/>
    <w:rsid w:val="004D2C2D"/>
    <w:rsid w:val="004D3438"/>
    <w:rsid w:val="004D40AE"/>
    <w:rsid w:val="004D4205"/>
    <w:rsid w:val="004D4566"/>
    <w:rsid w:val="004D47E0"/>
    <w:rsid w:val="004D48E3"/>
    <w:rsid w:val="004D4B81"/>
    <w:rsid w:val="004D4C7E"/>
    <w:rsid w:val="004D4D39"/>
    <w:rsid w:val="004D51CD"/>
    <w:rsid w:val="004D5A5D"/>
    <w:rsid w:val="004D6528"/>
    <w:rsid w:val="004D687E"/>
    <w:rsid w:val="004D69B5"/>
    <w:rsid w:val="004D6B73"/>
    <w:rsid w:val="004D6CBA"/>
    <w:rsid w:val="004D7139"/>
    <w:rsid w:val="004D7227"/>
    <w:rsid w:val="004D7896"/>
    <w:rsid w:val="004D7B5E"/>
    <w:rsid w:val="004D7D72"/>
    <w:rsid w:val="004E027B"/>
    <w:rsid w:val="004E0835"/>
    <w:rsid w:val="004E0E46"/>
    <w:rsid w:val="004E0E73"/>
    <w:rsid w:val="004E0E7F"/>
    <w:rsid w:val="004E0EB8"/>
    <w:rsid w:val="004E0ECF"/>
    <w:rsid w:val="004E18E9"/>
    <w:rsid w:val="004E1B1B"/>
    <w:rsid w:val="004E2021"/>
    <w:rsid w:val="004E22F9"/>
    <w:rsid w:val="004E2864"/>
    <w:rsid w:val="004E2ADC"/>
    <w:rsid w:val="004E3091"/>
    <w:rsid w:val="004E318F"/>
    <w:rsid w:val="004E3680"/>
    <w:rsid w:val="004E37BD"/>
    <w:rsid w:val="004E42E5"/>
    <w:rsid w:val="004E43B2"/>
    <w:rsid w:val="004E4600"/>
    <w:rsid w:val="004E4641"/>
    <w:rsid w:val="004E46EF"/>
    <w:rsid w:val="004E49B8"/>
    <w:rsid w:val="004E4E8B"/>
    <w:rsid w:val="004E4ED6"/>
    <w:rsid w:val="004E51E3"/>
    <w:rsid w:val="004E5668"/>
    <w:rsid w:val="004E5861"/>
    <w:rsid w:val="004E5AFA"/>
    <w:rsid w:val="004E5BEF"/>
    <w:rsid w:val="004E5EC8"/>
    <w:rsid w:val="004E64AD"/>
    <w:rsid w:val="004E65A9"/>
    <w:rsid w:val="004E6669"/>
    <w:rsid w:val="004E6A01"/>
    <w:rsid w:val="004E6B32"/>
    <w:rsid w:val="004E6CF1"/>
    <w:rsid w:val="004E7CD8"/>
    <w:rsid w:val="004E7F74"/>
    <w:rsid w:val="004F06BF"/>
    <w:rsid w:val="004F0E1F"/>
    <w:rsid w:val="004F0ED8"/>
    <w:rsid w:val="004F1205"/>
    <w:rsid w:val="004F16BA"/>
    <w:rsid w:val="004F1CA3"/>
    <w:rsid w:val="004F1D02"/>
    <w:rsid w:val="004F2351"/>
    <w:rsid w:val="004F2511"/>
    <w:rsid w:val="004F2679"/>
    <w:rsid w:val="004F2E43"/>
    <w:rsid w:val="004F2F21"/>
    <w:rsid w:val="004F2FC3"/>
    <w:rsid w:val="004F319C"/>
    <w:rsid w:val="004F3288"/>
    <w:rsid w:val="004F3522"/>
    <w:rsid w:val="004F3884"/>
    <w:rsid w:val="004F3DE5"/>
    <w:rsid w:val="004F3FA0"/>
    <w:rsid w:val="004F405B"/>
    <w:rsid w:val="004F4E6C"/>
    <w:rsid w:val="004F500F"/>
    <w:rsid w:val="004F524C"/>
    <w:rsid w:val="004F52C4"/>
    <w:rsid w:val="004F54C6"/>
    <w:rsid w:val="004F574A"/>
    <w:rsid w:val="004F5D0B"/>
    <w:rsid w:val="004F5DC5"/>
    <w:rsid w:val="004F6442"/>
    <w:rsid w:val="004F6913"/>
    <w:rsid w:val="004F6C38"/>
    <w:rsid w:val="004F6CE6"/>
    <w:rsid w:val="004F6D54"/>
    <w:rsid w:val="004F7309"/>
    <w:rsid w:val="004F7865"/>
    <w:rsid w:val="004F7BF0"/>
    <w:rsid w:val="004F7F88"/>
    <w:rsid w:val="00500047"/>
    <w:rsid w:val="00500401"/>
    <w:rsid w:val="0050049F"/>
    <w:rsid w:val="00500725"/>
    <w:rsid w:val="00500E45"/>
    <w:rsid w:val="005010D2"/>
    <w:rsid w:val="0050174E"/>
    <w:rsid w:val="00501854"/>
    <w:rsid w:val="0050219B"/>
    <w:rsid w:val="005025FD"/>
    <w:rsid w:val="005030BA"/>
    <w:rsid w:val="005031C9"/>
    <w:rsid w:val="005031ED"/>
    <w:rsid w:val="00503483"/>
    <w:rsid w:val="0050354C"/>
    <w:rsid w:val="00503629"/>
    <w:rsid w:val="00503A4C"/>
    <w:rsid w:val="00503F17"/>
    <w:rsid w:val="00503F3A"/>
    <w:rsid w:val="00504292"/>
    <w:rsid w:val="005042D0"/>
    <w:rsid w:val="005042E0"/>
    <w:rsid w:val="005042FA"/>
    <w:rsid w:val="00505116"/>
    <w:rsid w:val="005056ED"/>
    <w:rsid w:val="005061E9"/>
    <w:rsid w:val="005062A6"/>
    <w:rsid w:val="005064DC"/>
    <w:rsid w:val="00506561"/>
    <w:rsid w:val="00506705"/>
    <w:rsid w:val="00506928"/>
    <w:rsid w:val="00506D7D"/>
    <w:rsid w:val="00506FEE"/>
    <w:rsid w:val="005076D1"/>
    <w:rsid w:val="00507722"/>
    <w:rsid w:val="005077EF"/>
    <w:rsid w:val="0050785B"/>
    <w:rsid w:val="00507D14"/>
    <w:rsid w:val="00507FB2"/>
    <w:rsid w:val="00507FDC"/>
    <w:rsid w:val="00510115"/>
    <w:rsid w:val="0051059F"/>
    <w:rsid w:val="0051066B"/>
    <w:rsid w:val="00510DCB"/>
    <w:rsid w:val="005114C4"/>
    <w:rsid w:val="0051154F"/>
    <w:rsid w:val="00511AD5"/>
    <w:rsid w:val="00511CF6"/>
    <w:rsid w:val="00511DC7"/>
    <w:rsid w:val="00511E1A"/>
    <w:rsid w:val="0051214B"/>
    <w:rsid w:val="005121BA"/>
    <w:rsid w:val="00512298"/>
    <w:rsid w:val="005123B9"/>
    <w:rsid w:val="00512B1D"/>
    <w:rsid w:val="00513067"/>
    <w:rsid w:val="0051374B"/>
    <w:rsid w:val="005139E5"/>
    <w:rsid w:val="00513B2F"/>
    <w:rsid w:val="00513CB7"/>
    <w:rsid w:val="005142C5"/>
    <w:rsid w:val="00514361"/>
    <w:rsid w:val="00514E35"/>
    <w:rsid w:val="0051501B"/>
    <w:rsid w:val="00515102"/>
    <w:rsid w:val="005152B5"/>
    <w:rsid w:val="005155A1"/>
    <w:rsid w:val="00515753"/>
    <w:rsid w:val="00515886"/>
    <w:rsid w:val="00515C70"/>
    <w:rsid w:val="00516F16"/>
    <w:rsid w:val="00517CA0"/>
    <w:rsid w:val="00517FA0"/>
    <w:rsid w:val="0052059D"/>
    <w:rsid w:val="00520D6B"/>
    <w:rsid w:val="0052123C"/>
    <w:rsid w:val="00521319"/>
    <w:rsid w:val="0052169B"/>
    <w:rsid w:val="00521958"/>
    <w:rsid w:val="00521A00"/>
    <w:rsid w:val="00521D21"/>
    <w:rsid w:val="00521DED"/>
    <w:rsid w:val="00521F37"/>
    <w:rsid w:val="00522BC8"/>
    <w:rsid w:val="00522C03"/>
    <w:rsid w:val="005230E3"/>
    <w:rsid w:val="00523175"/>
    <w:rsid w:val="00523813"/>
    <w:rsid w:val="00523903"/>
    <w:rsid w:val="00523C28"/>
    <w:rsid w:val="00523C7D"/>
    <w:rsid w:val="00523F9F"/>
    <w:rsid w:val="005240F7"/>
    <w:rsid w:val="005242A3"/>
    <w:rsid w:val="005245A4"/>
    <w:rsid w:val="005248FE"/>
    <w:rsid w:val="00524B7F"/>
    <w:rsid w:val="00524C83"/>
    <w:rsid w:val="00524F6F"/>
    <w:rsid w:val="00525A2E"/>
    <w:rsid w:val="00525AAB"/>
    <w:rsid w:val="00526066"/>
    <w:rsid w:val="005261E0"/>
    <w:rsid w:val="0052652C"/>
    <w:rsid w:val="00526DAF"/>
    <w:rsid w:val="00526F58"/>
    <w:rsid w:val="00527D3C"/>
    <w:rsid w:val="00527E5E"/>
    <w:rsid w:val="005301F0"/>
    <w:rsid w:val="005302E2"/>
    <w:rsid w:val="005303B6"/>
    <w:rsid w:val="0053046F"/>
    <w:rsid w:val="0053085B"/>
    <w:rsid w:val="00530ABC"/>
    <w:rsid w:val="00530AD4"/>
    <w:rsid w:val="00530D57"/>
    <w:rsid w:val="0053176B"/>
    <w:rsid w:val="00532CED"/>
    <w:rsid w:val="00532DB8"/>
    <w:rsid w:val="00532E06"/>
    <w:rsid w:val="00533302"/>
    <w:rsid w:val="005338FC"/>
    <w:rsid w:val="00533D1E"/>
    <w:rsid w:val="005341B3"/>
    <w:rsid w:val="00534628"/>
    <w:rsid w:val="0053522C"/>
    <w:rsid w:val="00535BA0"/>
    <w:rsid w:val="00536217"/>
    <w:rsid w:val="005362E3"/>
    <w:rsid w:val="00536C4F"/>
    <w:rsid w:val="00536F42"/>
    <w:rsid w:val="00537182"/>
    <w:rsid w:val="005372DD"/>
    <w:rsid w:val="00537683"/>
    <w:rsid w:val="0053772F"/>
    <w:rsid w:val="00537938"/>
    <w:rsid w:val="00540166"/>
    <w:rsid w:val="005405CF"/>
    <w:rsid w:val="005405F8"/>
    <w:rsid w:val="00540639"/>
    <w:rsid w:val="00540FD5"/>
    <w:rsid w:val="00541635"/>
    <w:rsid w:val="00541EDD"/>
    <w:rsid w:val="00541FB9"/>
    <w:rsid w:val="0054239E"/>
    <w:rsid w:val="00542593"/>
    <w:rsid w:val="00542743"/>
    <w:rsid w:val="0054283C"/>
    <w:rsid w:val="00542C2D"/>
    <w:rsid w:val="00542CE8"/>
    <w:rsid w:val="00543332"/>
    <w:rsid w:val="0054404D"/>
    <w:rsid w:val="0054423D"/>
    <w:rsid w:val="00544502"/>
    <w:rsid w:val="005445F5"/>
    <w:rsid w:val="005447FE"/>
    <w:rsid w:val="00544C78"/>
    <w:rsid w:val="0054515D"/>
    <w:rsid w:val="0054527F"/>
    <w:rsid w:val="005453ED"/>
    <w:rsid w:val="0054564C"/>
    <w:rsid w:val="0054586D"/>
    <w:rsid w:val="0054599D"/>
    <w:rsid w:val="00546508"/>
    <w:rsid w:val="00546857"/>
    <w:rsid w:val="00546AAC"/>
    <w:rsid w:val="0054707B"/>
    <w:rsid w:val="00547825"/>
    <w:rsid w:val="005478BD"/>
    <w:rsid w:val="005479E3"/>
    <w:rsid w:val="00547AA2"/>
    <w:rsid w:val="00547D5B"/>
    <w:rsid w:val="005500AA"/>
    <w:rsid w:val="005517DC"/>
    <w:rsid w:val="00551985"/>
    <w:rsid w:val="00551F27"/>
    <w:rsid w:val="005520C5"/>
    <w:rsid w:val="005526C3"/>
    <w:rsid w:val="005526D4"/>
    <w:rsid w:val="00552BD3"/>
    <w:rsid w:val="00552CA1"/>
    <w:rsid w:val="00552F55"/>
    <w:rsid w:val="005532A0"/>
    <w:rsid w:val="00553664"/>
    <w:rsid w:val="0055392B"/>
    <w:rsid w:val="00553D5B"/>
    <w:rsid w:val="0055447B"/>
    <w:rsid w:val="005548C0"/>
    <w:rsid w:val="00554A48"/>
    <w:rsid w:val="00554AA0"/>
    <w:rsid w:val="00555109"/>
    <w:rsid w:val="00555248"/>
    <w:rsid w:val="005558BE"/>
    <w:rsid w:val="005558E6"/>
    <w:rsid w:val="00556466"/>
    <w:rsid w:val="00556689"/>
    <w:rsid w:val="0055670F"/>
    <w:rsid w:val="005568F8"/>
    <w:rsid w:val="00556B35"/>
    <w:rsid w:val="00556ECF"/>
    <w:rsid w:val="00557210"/>
    <w:rsid w:val="0055741A"/>
    <w:rsid w:val="005574AD"/>
    <w:rsid w:val="005574C0"/>
    <w:rsid w:val="00557977"/>
    <w:rsid w:val="005579FE"/>
    <w:rsid w:val="00560035"/>
    <w:rsid w:val="00560052"/>
    <w:rsid w:val="00560314"/>
    <w:rsid w:val="00560FA8"/>
    <w:rsid w:val="005611B7"/>
    <w:rsid w:val="0056130A"/>
    <w:rsid w:val="005618D4"/>
    <w:rsid w:val="00561907"/>
    <w:rsid w:val="00561913"/>
    <w:rsid w:val="00561DBA"/>
    <w:rsid w:val="005622F1"/>
    <w:rsid w:val="00562502"/>
    <w:rsid w:val="005629F8"/>
    <w:rsid w:val="005633CE"/>
    <w:rsid w:val="005639EB"/>
    <w:rsid w:val="00563A10"/>
    <w:rsid w:val="00563DDA"/>
    <w:rsid w:val="005640C7"/>
    <w:rsid w:val="0056438A"/>
    <w:rsid w:val="005646D4"/>
    <w:rsid w:val="00564867"/>
    <w:rsid w:val="00564FF3"/>
    <w:rsid w:val="00565384"/>
    <w:rsid w:val="005654FC"/>
    <w:rsid w:val="005656E4"/>
    <w:rsid w:val="00565C79"/>
    <w:rsid w:val="00565DF0"/>
    <w:rsid w:val="0056650B"/>
    <w:rsid w:val="005668A4"/>
    <w:rsid w:val="00566912"/>
    <w:rsid w:val="0056696F"/>
    <w:rsid w:val="00566B93"/>
    <w:rsid w:val="00567025"/>
    <w:rsid w:val="005672BD"/>
    <w:rsid w:val="00567353"/>
    <w:rsid w:val="00567431"/>
    <w:rsid w:val="00567448"/>
    <w:rsid w:val="00567C63"/>
    <w:rsid w:val="00567DA5"/>
    <w:rsid w:val="00570413"/>
    <w:rsid w:val="00570527"/>
    <w:rsid w:val="00570C6F"/>
    <w:rsid w:val="00571541"/>
    <w:rsid w:val="00571900"/>
    <w:rsid w:val="00571E09"/>
    <w:rsid w:val="00572269"/>
    <w:rsid w:val="0057244A"/>
    <w:rsid w:val="00572982"/>
    <w:rsid w:val="005729FC"/>
    <w:rsid w:val="00572ECB"/>
    <w:rsid w:val="00572F26"/>
    <w:rsid w:val="005731B4"/>
    <w:rsid w:val="00573742"/>
    <w:rsid w:val="005744DA"/>
    <w:rsid w:val="00574FEE"/>
    <w:rsid w:val="005750C5"/>
    <w:rsid w:val="005752DE"/>
    <w:rsid w:val="00575904"/>
    <w:rsid w:val="00575BEC"/>
    <w:rsid w:val="00575C4F"/>
    <w:rsid w:val="00575D60"/>
    <w:rsid w:val="00575D8D"/>
    <w:rsid w:val="00575E8A"/>
    <w:rsid w:val="00575FEF"/>
    <w:rsid w:val="005760F7"/>
    <w:rsid w:val="00576972"/>
    <w:rsid w:val="005770C3"/>
    <w:rsid w:val="00577248"/>
    <w:rsid w:val="00577294"/>
    <w:rsid w:val="00577680"/>
    <w:rsid w:val="00577E6A"/>
    <w:rsid w:val="00577EA1"/>
    <w:rsid w:val="005802B0"/>
    <w:rsid w:val="0058073E"/>
    <w:rsid w:val="00580944"/>
    <w:rsid w:val="00580B24"/>
    <w:rsid w:val="00580DC6"/>
    <w:rsid w:val="00580EE9"/>
    <w:rsid w:val="00581357"/>
    <w:rsid w:val="005815C5"/>
    <w:rsid w:val="0058188C"/>
    <w:rsid w:val="00581906"/>
    <w:rsid w:val="00581B67"/>
    <w:rsid w:val="00581B6C"/>
    <w:rsid w:val="00581D82"/>
    <w:rsid w:val="00581F0E"/>
    <w:rsid w:val="0058262D"/>
    <w:rsid w:val="00582D8A"/>
    <w:rsid w:val="00583416"/>
    <w:rsid w:val="00583699"/>
    <w:rsid w:val="00583798"/>
    <w:rsid w:val="00583DC5"/>
    <w:rsid w:val="005849D7"/>
    <w:rsid w:val="00584FDF"/>
    <w:rsid w:val="005850A5"/>
    <w:rsid w:val="0058511B"/>
    <w:rsid w:val="00585CDD"/>
    <w:rsid w:val="00586161"/>
    <w:rsid w:val="00586262"/>
    <w:rsid w:val="00586372"/>
    <w:rsid w:val="00586534"/>
    <w:rsid w:val="005868C5"/>
    <w:rsid w:val="00587058"/>
    <w:rsid w:val="00587809"/>
    <w:rsid w:val="00587B81"/>
    <w:rsid w:val="00587CCF"/>
    <w:rsid w:val="00587F92"/>
    <w:rsid w:val="00590295"/>
    <w:rsid w:val="0059063D"/>
    <w:rsid w:val="00590807"/>
    <w:rsid w:val="00590E01"/>
    <w:rsid w:val="0059120D"/>
    <w:rsid w:val="00591671"/>
    <w:rsid w:val="00591957"/>
    <w:rsid w:val="00591A1B"/>
    <w:rsid w:val="005921A5"/>
    <w:rsid w:val="00592458"/>
    <w:rsid w:val="00592875"/>
    <w:rsid w:val="00592A34"/>
    <w:rsid w:val="00592E5D"/>
    <w:rsid w:val="00593180"/>
    <w:rsid w:val="005931A0"/>
    <w:rsid w:val="005931B2"/>
    <w:rsid w:val="00593373"/>
    <w:rsid w:val="0059364A"/>
    <w:rsid w:val="00593BFE"/>
    <w:rsid w:val="00593EDF"/>
    <w:rsid w:val="005942F2"/>
    <w:rsid w:val="005944E3"/>
    <w:rsid w:val="00594B03"/>
    <w:rsid w:val="00594D63"/>
    <w:rsid w:val="0059508C"/>
    <w:rsid w:val="00595283"/>
    <w:rsid w:val="005954CA"/>
    <w:rsid w:val="005956D0"/>
    <w:rsid w:val="005963FD"/>
    <w:rsid w:val="005965CD"/>
    <w:rsid w:val="005967E6"/>
    <w:rsid w:val="00596D92"/>
    <w:rsid w:val="005974B4"/>
    <w:rsid w:val="0059772B"/>
    <w:rsid w:val="00597953"/>
    <w:rsid w:val="00597A41"/>
    <w:rsid w:val="00597BF9"/>
    <w:rsid w:val="005A00A7"/>
    <w:rsid w:val="005A0287"/>
    <w:rsid w:val="005A068A"/>
    <w:rsid w:val="005A0849"/>
    <w:rsid w:val="005A097F"/>
    <w:rsid w:val="005A0B50"/>
    <w:rsid w:val="005A0C11"/>
    <w:rsid w:val="005A0C2D"/>
    <w:rsid w:val="005A0EC7"/>
    <w:rsid w:val="005A0EE1"/>
    <w:rsid w:val="005A0FFB"/>
    <w:rsid w:val="005A10BE"/>
    <w:rsid w:val="005A1349"/>
    <w:rsid w:val="005A1A5B"/>
    <w:rsid w:val="005A238F"/>
    <w:rsid w:val="005A2955"/>
    <w:rsid w:val="005A309A"/>
    <w:rsid w:val="005A343F"/>
    <w:rsid w:val="005A3479"/>
    <w:rsid w:val="005A36CA"/>
    <w:rsid w:val="005A373D"/>
    <w:rsid w:val="005A3A7D"/>
    <w:rsid w:val="005A40F9"/>
    <w:rsid w:val="005A4111"/>
    <w:rsid w:val="005A4236"/>
    <w:rsid w:val="005A4406"/>
    <w:rsid w:val="005A4614"/>
    <w:rsid w:val="005A4684"/>
    <w:rsid w:val="005A4A35"/>
    <w:rsid w:val="005A4DB8"/>
    <w:rsid w:val="005A5101"/>
    <w:rsid w:val="005A523D"/>
    <w:rsid w:val="005A59F9"/>
    <w:rsid w:val="005A5C89"/>
    <w:rsid w:val="005A5FB9"/>
    <w:rsid w:val="005A6B15"/>
    <w:rsid w:val="005A6B4A"/>
    <w:rsid w:val="005A6E39"/>
    <w:rsid w:val="005A7F71"/>
    <w:rsid w:val="005B00B2"/>
    <w:rsid w:val="005B0B58"/>
    <w:rsid w:val="005B10F3"/>
    <w:rsid w:val="005B14E0"/>
    <w:rsid w:val="005B1671"/>
    <w:rsid w:val="005B1925"/>
    <w:rsid w:val="005B1F53"/>
    <w:rsid w:val="005B2995"/>
    <w:rsid w:val="005B2A93"/>
    <w:rsid w:val="005B2B40"/>
    <w:rsid w:val="005B2E57"/>
    <w:rsid w:val="005B3668"/>
    <w:rsid w:val="005B372D"/>
    <w:rsid w:val="005B4C39"/>
    <w:rsid w:val="005B4E53"/>
    <w:rsid w:val="005B4EF8"/>
    <w:rsid w:val="005B5857"/>
    <w:rsid w:val="005B5C2C"/>
    <w:rsid w:val="005B5E0C"/>
    <w:rsid w:val="005B63DD"/>
    <w:rsid w:val="005B7092"/>
    <w:rsid w:val="005B7203"/>
    <w:rsid w:val="005B724E"/>
    <w:rsid w:val="005B74D3"/>
    <w:rsid w:val="005B75AC"/>
    <w:rsid w:val="005B75BD"/>
    <w:rsid w:val="005B7691"/>
    <w:rsid w:val="005B7839"/>
    <w:rsid w:val="005B7BCD"/>
    <w:rsid w:val="005C027D"/>
    <w:rsid w:val="005C0AFC"/>
    <w:rsid w:val="005C0B6F"/>
    <w:rsid w:val="005C0EE0"/>
    <w:rsid w:val="005C1126"/>
    <w:rsid w:val="005C164B"/>
    <w:rsid w:val="005C19C4"/>
    <w:rsid w:val="005C1B83"/>
    <w:rsid w:val="005C1E77"/>
    <w:rsid w:val="005C238C"/>
    <w:rsid w:val="005C24EE"/>
    <w:rsid w:val="005C25F2"/>
    <w:rsid w:val="005C25FF"/>
    <w:rsid w:val="005C28CE"/>
    <w:rsid w:val="005C2A1F"/>
    <w:rsid w:val="005C2D55"/>
    <w:rsid w:val="005C305C"/>
    <w:rsid w:val="005C3269"/>
    <w:rsid w:val="005C346B"/>
    <w:rsid w:val="005C4CB5"/>
    <w:rsid w:val="005C4EE0"/>
    <w:rsid w:val="005C4EE9"/>
    <w:rsid w:val="005C51CC"/>
    <w:rsid w:val="005C526B"/>
    <w:rsid w:val="005C52AB"/>
    <w:rsid w:val="005C55F8"/>
    <w:rsid w:val="005C5ABC"/>
    <w:rsid w:val="005C5EE5"/>
    <w:rsid w:val="005C6AFD"/>
    <w:rsid w:val="005C6B70"/>
    <w:rsid w:val="005C6CF1"/>
    <w:rsid w:val="005C6E75"/>
    <w:rsid w:val="005C710C"/>
    <w:rsid w:val="005C7895"/>
    <w:rsid w:val="005C79B4"/>
    <w:rsid w:val="005D02FB"/>
    <w:rsid w:val="005D044D"/>
    <w:rsid w:val="005D0478"/>
    <w:rsid w:val="005D089A"/>
    <w:rsid w:val="005D0A07"/>
    <w:rsid w:val="005D0ABD"/>
    <w:rsid w:val="005D12ED"/>
    <w:rsid w:val="005D1551"/>
    <w:rsid w:val="005D15E6"/>
    <w:rsid w:val="005D1831"/>
    <w:rsid w:val="005D18AD"/>
    <w:rsid w:val="005D1C9C"/>
    <w:rsid w:val="005D1E5E"/>
    <w:rsid w:val="005D1EF7"/>
    <w:rsid w:val="005D26B4"/>
    <w:rsid w:val="005D2D5D"/>
    <w:rsid w:val="005D3558"/>
    <w:rsid w:val="005D35B2"/>
    <w:rsid w:val="005D364D"/>
    <w:rsid w:val="005D3985"/>
    <w:rsid w:val="005D3EDD"/>
    <w:rsid w:val="005D4570"/>
    <w:rsid w:val="005D47A4"/>
    <w:rsid w:val="005D4886"/>
    <w:rsid w:val="005D4A21"/>
    <w:rsid w:val="005D5682"/>
    <w:rsid w:val="005D5C05"/>
    <w:rsid w:val="005D5D2F"/>
    <w:rsid w:val="005D6916"/>
    <w:rsid w:val="005D6D4D"/>
    <w:rsid w:val="005D73B7"/>
    <w:rsid w:val="005D75D9"/>
    <w:rsid w:val="005D7B55"/>
    <w:rsid w:val="005E0305"/>
    <w:rsid w:val="005E0A2F"/>
    <w:rsid w:val="005E0BA4"/>
    <w:rsid w:val="005E0E62"/>
    <w:rsid w:val="005E179F"/>
    <w:rsid w:val="005E1835"/>
    <w:rsid w:val="005E1995"/>
    <w:rsid w:val="005E210C"/>
    <w:rsid w:val="005E252F"/>
    <w:rsid w:val="005E2611"/>
    <w:rsid w:val="005E2AE4"/>
    <w:rsid w:val="005E2C9C"/>
    <w:rsid w:val="005E2CC4"/>
    <w:rsid w:val="005E2FF4"/>
    <w:rsid w:val="005E31B3"/>
    <w:rsid w:val="005E33BB"/>
    <w:rsid w:val="005E350A"/>
    <w:rsid w:val="005E42B1"/>
    <w:rsid w:val="005E44D9"/>
    <w:rsid w:val="005E5155"/>
    <w:rsid w:val="005E5EB9"/>
    <w:rsid w:val="005E602D"/>
    <w:rsid w:val="005E6458"/>
    <w:rsid w:val="005E6CBC"/>
    <w:rsid w:val="005E72C4"/>
    <w:rsid w:val="005E72FF"/>
    <w:rsid w:val="005E73C0"/>
    <w:rsid w:val="005E73DA"/>
    <w:rsid w:val="005E7597"/>
    <w:rsid w:val="005E7D0D"/>
    <w:rsid w:val="005F0061"/>
    <w:rsid w:val="005F00C7"/>
    <w:rsid w:val="005F05FF"/>
    <w:rsid w:val="005F07DE"/>
    <w:rsid w:val="005F07ED"/>
    <w:rsid w:val="005F095E"/>
    <w:rsid w:val="005F0CE9"/>
    <w:rsid w:val="005F108B"/>
    <w:rsid w:val="005F130A"/>
    <w:rsid w:val="005F19E1"/>
    <w:rsid w:val="005F1E3C"/>
    <w:rsid w:val="005F2388"/>
    <w:rsid w:val="005F2706"/>
    <w:rsid w:val="005F3191"/>
    <w:rsid w:val="005F3216"/>
    <w:rsid w:val="005F3780"/>
    <w:rsid w:val="005F3DB7"/>
    <w:rsid w:val="005F4344"/>
    <w:rsid w:val="005F4639"/>
    <w:rsid w:val="005F47F9"/>
    <w:rsid w:val="005F47FA"/>
    <w:rsid w:val="005F507B"/>
    <w:rsid w:val="005F51F1"/>
    <w:rsid w:val="005F5514"/>
    <w:rsid w:val="005F5A96"/>
    <w:rsid w:val="005F6A3F"/>
    <w:rsid w:val="005F6A8F"/>
    <w:rsid w:val="005F6BB7"/>
    <w:rsid w:val="005F6F50"/>
    <w:rsid w:val="005F7468"/>
    <w:rsid w:val="005F749F"/>
    <w:rsid w:val="005F7588"/>
    <w:rsid w:val="005F7EB4"/>
    <w:rsid w:val="00600018"/>
    <w:rsid w:val="00600087"/>
    <w:rsid w:val="00600BC5"/>
    <w:rsid w:val="00600FE6"/>
    <w:rsid w:val="0060122F"/>
    <w:rsid w:val="00601976"/>
    <w:rsid w:val="00601987"/>
    <w:rsid w:val="006023A2"/>
    <w:rsid w:val="00602440"/>
    <w:rsid w:val="006025D9"/>
    <w:rsid w:val="006028BB"/>
    <w:rsid w:val="00602959"/>
    <w:rsid w:val="006029E0"/>
    <w:rsid w:val="00603DB9"/>
    <w:rsid w:val="00604369"/>
    <w:rsid w:val="00604A4B"/>
    <w:rsid w:val="00604E47"/>
    <w:rsid w:val="006056F6"/>
    <w:rsid w:val="00605CAB"/>
    <w:rsid w:val="00605E00"/>
    <w:rsid w:val="00606064"/>
    <w:rsid w:val="006061C2"/>
    <w:rsid w:val="00606659"/>
    <w:rsid w:val="00606947"/>
    <w:rsid w:val="00606BE5"/>
    <w:rsid w:val="00606E1C"/>
    <w:rsid w:val="00606FBA"/>
    <w:rsid w:val="00607669"/>
    <w:rsid w:val="006076F4"/>
    <w:rsid w:val="00607874"/>
    <w:rsid w:val="006079C5"/>
    <w:rsid w:val="00607A50"/>
    <w:rsid w:val="00607A7B"/>
    <w:rsid w:val="00607AFD"/>
    <w:rsid w:val="006100C9"/>
    <w:rsid w:val="006101FC"/>
    <w:rsid w:val="006103BC"/>
    <w:rsid w:val="00610450"/>
    <w:rsid w:val="006104C4"/>
    <w:rsid w:val="006105BE"/>
    <w:rsid w:val="0061067E"/>
    <w:rsid w:val="00610819"/>
    <w:rsid w:val="00610BDF"/>
    <w:rsid w:val="00611B12"/>
    <w:rsid w:val="00611BC4"/>
    <w:rsid w:val="0061283C"/>
    <w:rsid w:val="00612F97"/>
    <w:rsid w:val="0061322C"/>
    <w:rsid w:val="0061327A"/>
    <w:rsid w:val="006132EE"/>
    <w:rsid w:val="00613426"/>
    <w:rsid w:val="0061345D"/>
    <w:rsid w:val="00613AC0"/>
    <w:rsid w:val="006144A4"/>
    <w:rsid w:val="006152BB"/>
    <w:rsid w:val="006152FA"/>
    <w:rsid w:val="00615352"/>
    <w:rsid w:val="0061549B"/>
    <w:rsid w:val="0061584F"/>
    <w:rsid w:val="00615DB0"/>
    <w:rsid w:val="00615FCB"/>
    <w:rsid w:val="00616125"/>
    <w:rsid w:val="00616802"/>
    <w:rsid w:val="00616836"/>
    <w:rsid w:val="00616D32"/>
    <w:rsid w:val="00616E6F"/>
    <w:rsid w:val="00617160"/>
    <w:rsid w:val="0061744A"/>
    <w:rsid w:val="0061758C"/>
    <w:rsid w:val="00617E12"/>
    <w:rsid w:val="00617E60"/>
    <w:rsid w:val="00620438"/>
    <w:rsid w:val="006206B2"/>
    <w:rsid w:val="00620C25"/>
    <w:rsid w:val="00620DBA"/>
    <w:rsid w:val="00620EA8"/>
    <w:rsid w:val="00620F08"/>
    <w:rsid w:val="00621477"/>
    <w:rsid w:val="00621A61"/>
    <w:rsid w:val="00621ADA"/>
    <w:rsid w:val="006220E6"/>
    <w:rsid w:val="00622246"/>
    <w:rsid w:val="006227DF"/>
    <w:rsid w:val="00622CD2"/>
    <w:rsid w:val="00622E93"/>
    <w:rsid w:val="00622FAB"/>
    <w:rsid w:val="006236F6"/>
    <w:rsid w:val="00623B0C"/>
    <w:rsid w:val="00623C65"/>
    <w:rsid w:val="00623E64"/>
    <w:rsid w:val="00623F7B"/>
    <w:rsid w:val="006246A2"/>
    <w:rsid w:val="0062475D"/>
    <w:rsid w:val="006249FE"/>
    <w:rsid w:val="00624AB7"/>
    <w:rsid w:val="00624BD4"/>
    <w:rsid w:val="00624BDD"/>
    <w:rsid w:val="00624EA2"/>
    <w:rsid w:val="006258CB"/>
    <w:rsid w:val="00625C1E"/>
    <w:rsid w:val="00625EF9"/>
    <w:rsid w:val="00626997"/>
    <w:rsid w:val="00626B89"/>
    <w:rsid w:val="00627352"/>
    <w:rsid w:val="00627513"/>
    <w:rsid w:val="00627600"/>
    <w:rsid w:val="00627957"/>
    <w:rsid w:val="00627D6A"/>
    <w:rsid w:val="00630195"/>
    <w:rsid w:val="006306FD"/>
    <w:rsid w:val="00630C25"/>
    <w:rsid w:val="00630E3E"/>
    <w:rsid w:val="0063149A"/>
    <w:rsid w:val="0063158F"/>
    <w:rsid w:val="00631619"/>
    <w:rsid w:val="006318E8"/>
    <w:rsid w:val="00631BC9"/>
    <w:rsid w:val="00631C7F"/>
    <w:rsid w:val="00631D6B"/>
    <w:rsid w:val="00631F41"/>
    <w:rsid w:val="00632011"/>
    <w:rsid w:val="00632183"/>
    <w:rsid w:val="0063226D"/>
    <w:rsid w:val="006322CB"/>
    <w:rsid w:val="006327F0"/>
    <w:rsid w:val="0063281E"/>
    <w:rsid w:val="0063287B"/>
    <w:rsid w:val="006330A1"/>
    <w:rsid w:val="0063338D"/>
    <w:rsid w:val="006333E3"/>
    <w:rsid w:val="00633C70"/>
    <w:rsid w:val="00633D2C"/>
    <w:rsid w:val="00633FF9"/>
    <w:rsid w:val="0063470F"/>
    <w:rsid w:val="0063479F"/>
    <w:rsid w:val="00634F00"/>
    <w:rsid w:val="006353F0"/>
    <w:rsid w:val="0063576D"/>
    <w:rsid w:val="00635796"/>
    <w:rsid w:val="006357B5"/>
    <w:rsid w:val="006358C3"/>
    <w:rsid w:val="00635AAE"/>
    <w:rsid w:val="00635CC5"/>
    <w:rsid w:val="00635DA0"/>
    <w:rsid w:val="006364A1"/>
    <w:rsid w:val="0063678E"/>
    <w:rsid w:val="0063689A"/>
    <w:rsid w:val="0063691C"/>
    <w:rsid w:val="00636CA8"/>
    <w:rsid w:val="00636CD9"/>
    <w:rsid w:val="0063701F"/>
    <w:rsid w:val="006371DE"/>
    <w:rsid w:val="00637925"/>
    <w:rsid w:val="00637BFD"/>
    <w:rsid w:val="00637C5C"/>
    <w:rsid w:val="00637ED7"/>
    <w:rsid w:val="00641098"/>
    <w:rsid w:val="00641180"/>
    <w:rsid w:val="00641304"/>
    <w:rsid w:val="00641AF1"/>
    <w:rsid w:val="00641C4E"/>
    <w:rsid w:val="00641F65"/>
    <w:rsid w:val="00641FB3"/>
    <w:rsid w:val="006423C2"/>
    <w:rsid w:val="0064245E"/>
    <w:rsid w:val="0064247F"/>
    <w:rsid w:val="00642D4E"/>
    <w:rsid w:val="00642E32"/>
    <w:rsid w:val="00643881"/>
    <w:rsid w:val="006438B5"/>
    <w:rsid w:val="006439B5"/>
    <w:rsid w:val="00643B6A"/>
    <w:rsid w:val="0064434C"/>
    <w:rsid w:val="00644470"/>
    <w:rsid w:val="006444A3"/>
    <w:rsid w:val="00644682"/>
    <w:rsid w:val="00644D43"/>
    <w:rsid w:val="006456FF"/>
    <w:rsid w:val="00645F64"/>
    <w:rsid w:val="006462AA"/>
    <w:rsid w:val="00646847"/>
    <w:rsid w:val="00646A17"/>
    <w:rsid w:val="00646C01"/>
    <w:rsid w:val="00646C08"/>
    <w:rsid w:val="00646C22"/>
    <w:rsid w:val="006471CC"/>
    <w:rsid w:val="006472FE"/>
    <w:rsid w:val="00647A29"/>
    <w:rsid w:val="0065079F"/>
    <w:rsid w:val="00650CD7"/>
    <w:rsid w:val="00650CF8"/>
    <w:rsid w:val="00650EDE"/>
    <w:rsid w:val="00651238"/>
    <w:rsid w:val="0065176D"/>
    <w:rsid w:val="006526AF"/>
    <w:rsid w:val="00652864"/>
    <w:rsid w:val="006528DA"/>
    <w:rsid w:val="00652A28"/>
    <w:rsid w:val="00652C11"/>
    <w:rsid w:val="00653362"/>
    <w:rsid w:val="0065379F"/>
    <w:rsid w:val="00653891"/>
    <w:rsid w:val="00654971"/>
    <w:rsid w:val="00654AFE"/>
    <w:rsid w:val="00654C32"/>
    <w:rsid w:val="00655001"/>
    <w:rsid w:val="0065502C"/>
    <w:rsid w:val="006550CD"/>
    <w:rsid w:val="00655A12"/>
    <w:rsid w:val="00655AE3"/>
    <w:rsid w:val="00656188"/>
    <w:rsid w:val="00656631"/>
    <w:rsid w:val="006566B5"/>
    <w:rsid w:val="00656936"/>
    <w:rsid w:val="00656E57"/>
    <w:rsid w:val="0065715A"/>
    <w:rsid w:val="006578BA"/>
    <w:rsid w:val="0066053C"/>
    <w:rsid w:val="00660580"/>
    <w:rsid w:val="00660667"/>
    <w:rsid w:val="006607C8"/>
    <w:rsid w:val="0066084D"/>
    <w:rsid w:val="00660851"/>
    <w:rsid w:val="0066089A"/>
    <w:rsid w:val="00660F52"/>
    <w:rsid w:val="006610F1"/>
    <w:rsid w:val="00661847"/>
    <w:rsid w:val="0066184A"/>
    <w:rsid w:val="00661932"/>
    <w:rsid w:val="006619DD"/>
    <w:rsid w:val="00661C6B"/>
    <w:rsid w:val="00662739"/>
    <w:rsid w:val="00662868"/>
    <w:rsid w:val="00662D3E"/>
    <w:rsid w:val="00662E97"/>
    <w:rsid w:val="00662EB7"/>
    <w:rsid w:val="006630EC"/>
    <w:rsid w:val="00663448"/>
    <w:rsid w:val="00663492"/>
    <w:rsid w:val="006636E5"/>
    <w:rsid w:val="00664E6C"/>
    <w:rsid w:val="006652DB"/>
    <w:rsid w:val="00665CE2"/>
    <w:rsid w:val="00665E57"/>
    <w:rsid w:val="006665FA"/>
    <w:rsid w:val="00666701"/>
    <w:rsid w:val="006672D2"/>
    <w:rsid w:val="00667534"/>
    <w:rsid w:val="0066762A"/>
    <w:rsid w:val="00667BE3"/>
    <w:rsid w:val="00667CD7"/>
    <w:rsid w:val="00667E58"/>
    <w:rsid w:val="00670419"/>
    <w:rsid w:val="00670662"/>
    <w:rsid w:val="006706A7"/>
    <w:rsid w:val="0067089C"/>
    <w:rsid w:val="006709BE"/>
    <w:rsid w:val="00670CFF"/>
    <w:rsid w:val="00671004"/>
    <w:rsid w:val="0067132C"/>
    <w:rsid w:val="00671701"/>
    <w:rsid w:val="00671BE0"/>
    <w:rsid w:val="0067205F"/>
    <w:rsid w:val="00672646"/>
    <w:rsid w:val="00672E54"/>
    <w:rsid w:val="00673031"/>
    <w:rsid w:val="0067350E"/>
    <w:rsid w:val="00673727"/>
    <w:rsid w:val="00673B06"/>
    <w:rsid w:val="00673B72"/>
    <w:rsid w:val="00673F59"/>
    <w:rsid w:val="00674D0C"/>
    <w:rsid w:val="00674DA1"/>
    <w:rsid w:val="00674E42"/>
    <w:rsid w:val="00674ED2"/>
    <w:rsid w:val="00674EFF"/>
    <w:rsid w:val="006754A4"/>
    <w:rsid w:val="00675796"/>
    <w:rsid w:val="006758AA"/>
    <w:rsid w:val="00675904"/>
    <w:rsid w:val="00675A6D"/>
    <w:rsid w:val="00675AEE"/>
    <w:rsid w:val="00675DFB"/>
    <w:rsid w:val="00676264"/>
    <w:rsid w:val="00676563"/>
    <w:rsid w:val="00676CBD"/>
    <w:rsid w:val="006770B9"/>
    <w:rsid w:val="006776BB"/>
    <w:rsid w:val="00677C8E"/>
    <w:rsid w:val="00677DA2"/>
    <w:rsid w:val="00677E61"/>
    <w:rsid w:val="00677E86"/>
    <w:rsid w:val="0068037F"/>
    <w:rsid w:val="006805B7"/>
    <w:rsid w:val="00680BEE"/>
    <w:rsid w:val="00680F86"/>
    <w:rsid w:val="006813F8"/>
    <w:rsid w:val="00681427"/>
    <w:rsid w:val="00681A49"/>
    <w:rsid w:val="00681CAF"/>
    <w:rsid w:val="00681D5D"/>
    <w:rsid w:val="00682112"/>
    <w:rsid w:val="00682758"/>
    <w:rsid w:val="00682A6B"/>
    <w:rsid w:val="00682BA6"/>
    <w:rsid w:val="00682EE3"/>
    <w:rsid w:val="006830EF"/>
    <w:rsid w:val="00683525"/>
    <w:rsid w:val="00683EB9"/>
    <w:rsid w:val="00684562"/>
    <w:rsid w:val="006849AF"/>
    <w:rsid w:val="00684C06"/>
    <w:rsid w:val="00684FA8"/>
    <w:rsid w:val="00685327"/>
    <w:rsid w:val="006854B4"/>
    <w:rsid w:val="006854B8"/>
    <w:rsid w:val="006856DB"/>
    <w:rsid w:val="006857C5"/>
    <w:rsid w:val="006862BE"/>
    <w:rsid w:val="00686321"/>
    <w:rsid w:val="00686957"/>
    <w:rsid w:val="006870CF"/>
    <w:rsid w:val="006872BA"/>
    <w:rsid w:val="00687730"/>
    <w:rsid w:val="00687CE7"/>
    <w:rsid w:val="00687D57"/>
    <w:rsid w:val="00687DAA"/>
    <w:rsid w:val="006901E0"/>
    <w:rsid w:val="00690226"/>
    <w:rsid w:val="00690423"/>
    <w:rsid w:val="006904AE"/>
    <w:rsid w:val="00690795"/>
    <w:rsid w:val="00690802"/>
    <w:rsid w:val="0069087B"/>
    <w:rsid w:val="00690E6D"/>
    <w:rsid w:val="006910FB"/>
    <w:rsid w:val="00691648"/>
    <w:rsid w:val="006917D7"/>
    <w:rsid w:val="00692034"/>
    <w:rsid w:val="00692458"/>
    <w:rsid w:val="00692977"/>
    <w:rsid w:val="00692AA4"/>
    <w:rsid w:val="00692DFE"/>
    <w:rsid w:val="00692F21"/>
    <w:rsid w:val="00692FBC"/>
    <w:rsid w:val="00692FC1"/>
    <w:rsid w:val="0069308A"/>
    <w:rsid w:val="0069393B"/>
    <w:rsid w:val="00693A86"/>
    <w:rsid w:val="0069434C"/>
    <w:rsid w:val="00694ADB"/>
    <w:rsid w:val="00694B52"/>
    <w:rsid w:val="00694BFA"/>
    <w:rsid w:val="00694CEE"/>
    <w:rsid w:val="00694D4D"/>
    <w:rsid w:val="00694D8F"/>
    <w:rsid w:val="00694F44"/>
    <w:rsid w:val="006960EA"/>
    <w:rsid w:val="0069660B"/>
    <w:rsid w:val="00696973"/>
    <w:rsid w:val="00696CCC"/>
    <w:rsid w:val="00696EF9"/>
    <w:rsid w:val="00696F51"/>
    <w:rsid w:val="0069713D"/>
    <w:rsid w:val="006971AD"/>
    <w:rsid w:val="0069727C"/>
    <w:rsid w:val="0069733D"/>
    <w:rsid w:val="00697663"/>
    <w:rsid w:val="006979A5"/>
    <w:rsid w:val="00697B57"/>
    <w:rsid w:val="00697C34"/>
    <w:rsid w:val="00697C3F"/>
    <w:rsid w:val="006A016F"/>
    <w:rsid w:val="006A0614"/>
    <w:rsid w:val="006A061E"/>
    <w:rsid w:val="006A0C55"/>
    <w:rsid w:val="006A0DF7"/>
    <w:rsid w:val="006A22E7"/>
    <w:rsid w:val="006A241E"/>
    <w:rsid w:val="006A26A8"/>
    <w:rsid w:val="006A2DE8"/>
    <w:rsid w:val="006A2F9A"/>
    <w:rsid w:val="006A36F1"/>
    <w:rsid w:val="006A3E27"/>
    <w:rsid w:val="006A40E4"/>
    <w:rsid w:val="006A41E8"/>
    <w:rsid w:val="006A41FA"/>
    <w:rsid w:val="006A4321"/>
    <w:rsid w:val="006A434C"/>
    <w:rsid w:val="006A43D9"/>
    <w:rsid w:val="006A4494"/>
    <w:rsid w:val="006A4B60"/>
    <w:rsid w:val="006A547D"/>
    <w:rsid w:val="006A6B99"/>
    <w:rsid w:val="006A70C3"/>
    <w:rsid w:val="006A73EB"/>
    <w:rsid w:val="006A7E5F"/>
    <w:rsid w:val="006B0318"/>
    <w:rsid w:val="006B0363"/>
    <w:rsid w:val="006B1125"/>
    <w:rsid w:val="006B1794"/>
    <w:rsid w:val="006B18BD"/>
    <w:rsid w:val="006B2090"/>
    <w:rsid w:val="006B261B"/>
    <w:rsid w:val="006B2912"/>
    <w:rsid w:val="006B29CB"/>
    <w:rsid w:val="006B2C90"/>
    <w:rsid w:val="006B35E6"/>
    <w:rsid w:val="006B3832"/>
    <w:rsid w:val="006B3C18"/>
    <w:rsid w:val="006B4229"/>
    <w:rsid w:val="006B465A"/>
    <w:rsid w:val="006B506F"/>
    <w:rsid w:val="006B598F"/>
    <w:rsid w:val="006B5E60"/>
    <w:rsid w:val="006B5EB9"/>
    <w:rsid w:val="006B5F03"/>
    <w:rsid w:val="006B5F91"/>
    <w:rsid w:val="006B6303"/>
    <w:rsid w:val="006B64DD"/>
    <w:rsid w:val="006B688B"/>
    <w:rsid w:val="006B68F8"/>
    <w:rsid w:val="006B6DD0"/>
    <w:rsid w:val="006B7562"/>
    <w:rsid w:val="006B7788"/>
    <w:rsid w:val="006B7791"/>
    <w:rsid w:val="006B7CDA"/>
    <w:rsid w:val="006B7D4A"/>
    <w:rsid w:val="006B7E50"/>
    <w:rsid w:val="006C0399"/>
    <w:rsid w:val="006C0459"/>
    <w:rsid w:val="006C079A"/>
    <w:rsid w:val="006C13B1"/>
    <w:rsid w:val="006C1736"/>
    <w:rsid w:val="006C17A9"/>
    <w:rsid w:val="006C199B"/>
    <w:rsid w:val="006C1EF9"/>
    <w:rsid w:val="006C1F08"/>
    <w:rsid w:val="006C290F"/>
    <w:rsid w:val="006C2A8E"/>
    <w:rsid w:val="006C2D98"/>
    <w:rsid w:val="006C3250"/>
    <w:rsid w:val="006C3255"/>
    <w:rsid w:val="006C39ED"/>
    <w:rsid w:val="006C3F26"/>
    <w:rsid w:val="006C43CD"/>
    <w:rsid w:val="006C43D0"/>
    <w:rsid w:val="006C4B1D"/>
    <w:rsid w:val="006C5EA7"/>
    <w:rsid w:val="006C603E"/>
    <w:rsid w:val="006C62E7"/>
    <w:rsid w:val="006C63AA"/>
    <w:rsid w:val="006C6D8B"/>
    <w:rsid w:val="006C7727"/>
    <w:rsid w:val="006C788C"/>
    <w:rsid w:val="006C7C13"/>
    <w:rsid w:val="006D0866"/>
    <w:rsid w:val="006D0B36"/>
    <w:rsid w:val="006D0C6B"/>
    <w:rsid w:val="006D0D17"/>
    <w:rsid w:val="006D0D3F"/>
    <w:rsid w:val="006D11FF"/>
    <w:rsid w:val="006D132A"/>
    <w:rsid w:val="006D1706"/>
    <w:rsid w:val="006D29AA"/>
    <w:rsid w:val="006D2A84"/>
    <w:rsid w:val="006D2EF4"/>
    <w:rsid w:val="006D2F4F"/>
    <w:rsid w:val="006D327A"/>
    <w:rsid w:val="006D3752"/>
    <w:rsid w:val="006D3C7D"/>
    <w:rsid w:val="006D4001"/>
    <w:rsid w:val="006D40C0"/>
    <w:rsid w:val="006D4194"/>
    <w:rsid w:val="006D441D"/>
    <w:rsid w:val="006D4659"/>
    <w:rsid w:val="006D46A1"/>
    <w:rsid w:val="006D46AE"/>
    <w:rsid w:val="006D5040"/>
    <w:rsid w:val="006D5A2F"/>
    <w:rsid w:val="006D5D5F"/>
    <w:rsid w:val="006D68D0"/>
    <w:rsid w:val="006D68FB"/>
    <w:rsid w:val="006D6EF2"/>
    <w:rsid w:val="006D70C1"/>
    <w:rsid w:val="006D736E"/>
    <w:rsid w:val="006D7592"/>
    <w:rsid w:val="006D7C3C"/>
    <w:rsid w:val="006E0196"/>
    <w:rsid w:val="006E0465"/>
    <w:rsid w:val="006E058A"/>
    <w:rsid w:val="006E06BB"/>
    <w:rsid w:val="006E080A"/>
    <w:rsid w:val="006E0D50"/>
    <w:rsid w:val="006E1118"/>
    <w:rsid w:val="006E1648"/>
    <w:rsid w:val="006E176C"/>
    <w:rsid w:val="006E1BBD"/>
    <w:rsid w:val="006E1C47"/>
    <w:rsid w:val="006E2868"/>
    <w:rsid w:val="006E2A50"/>
    <w:rsid w:val="006E30FC"/>
    <w:rsid w:val="006E3B47"/>
    <w:rsid w:val="006E48AA"/>
    <w:rsid w:val="006E4F52"/>
    <w:rsid w:val="006E5579"/>
    <w:rsid w:val="006E55EC"/>
    <w:rsid w:val="006E5BA7"/>
    <w:rsid w:val="006E5DFA"/>
    <w:rsid w:val="006E60DE"/>
    <w:rsid w:val="006E6167"/>
    <w:rsid w:val="006E676C"/>
    <w:rsid w:val="006E693E"/>
    <w:rsid w:val="006E6F30"/>
    <w:rsid w:val="006E6F9A"/>
    <w:rsid w:val="006E71C2"/>
    <w:rsid w:val="006E7AAF"/>
    <w:rsid w:val="006E7F09"/>
    <w:rsid w:val="006F020E"/>
    <w:rsid w:val="006F03D5"/>
    <w:rsid w:val="006F0A8F"/>
    <w:rsid w:val="006F0EA3"/>
    <w:rsid w:val="006F0F05"/>
    <w:rsid w:val="006F205E"/>
    <w:rsid w:val="006F20F0"/>
    <w:rsid w:val="006F2204"/>
    <w:rsid w:val="006F2485"/>
    <w:rsid w:val="006F26AD"/>
    <w:rsid w:val="006F306C"/>
    <w:rsid w:val="006F324B"/>
    <w:rsid w:val="006F3269"/>
    <w:rsid w:val="006F3409"/>
    <w:rsid w:val="006F373D"/>
    <w:rsid w:val="006F39ED"/>
    <w:rsid w:val="006F3B3F"/>
    <w:rsid w:val="006F48D2"/>
    <w:rsid w:val="006F4CD4"/>
    <w:rsid w:val="006F56E1"/>
    <w:rsid w:val="006F5E47"/>
    <w:rsid w:val="006F5F48"/>
    <w:rsid w:val="006F63A5"/>
    <w:rsid w:val="006F6ADA"/>
    <w:rsid w:val="006F71F5"/>
    <w:rsid w:val="006F7526"/>
    <w:rsid w:val="006F76EC"/>
    <w:rsid w:val="006F772C"/>
    <w:rsid w:val="006F7CA7"/>
    <w:rsid w:val="0070012D"/>
    <w:rsid w:val="0070048A"/>
    <w:rsid w:val="00700ABD"/>
    <w:rsid w:val="00700C52"/>
    <w:rsid w:val="0070103E"/>
    <w:rsid w:val="0070142B"/>
    <w:rsid w:val="007019AE"/>
    <w:rsid w:val="00701D59"/>
    <w:rsid w:val="00701DC8"/>
    <w:rsid w:val="0070276E"/>
    <w:rsid w:val="00702842"/>
    <w:rsid w:val="00702892"/>
    <w:rsid w:val="00702C96"/>
    <w:rsid w:val="00702F8F"/>
    <w:rsid w:val="007033A0"/>
    <w:rsid w:val="00703FA9"/>
    <w:rsid w:val="0070424C"/>
    <w:rsid w:val="007042C9"/>
    <w:rsid w:val="00704517"/>
    <w:rsid w:val="0070468B"/>
    <w:rsid w:val="007046EA"/>
    <w:rsid w:val="00704AE1"/>
    <w:rsid w:val="00705988"/>
    <w:rsid w:val="00705AA6"/>
    <w:rsid w:val="00705E0D"/>
    <w:rsid w:val="00705FC0"/>
    <w:rsid w:val="00705FCD"/>
    <w:rsid w:val="00706283"/>
    <w:rsid w:val="007064AF"/>
    <w:rsid w:val="007064E1"/>
    <w:rsid w:val="007069E4"/>
    <w:rsid w:val="00706F53"/>
    <w:rsid w:val="007079FC"/>
    <w:rsid w:val="0071064C"/>
    <w:rsid w:val="007107BF"/>
    <w:rsid w:val="00710E47"/>
    <w:rsid w:val="0071122E"/>
    <w:rsid w:val="00711953"/>
    <w:rsid w:val="00711A36"/>
    <w:rsid w:val="00711DD9"/>
    <w:rsid w:val="00711ED9"/>
    <w:rsid w:val="00712197"/>
    <w:rsid w:val="007123F7"/>
    <w:rsid w:val="007125D3"/>
    <w:rsid w:val="00713D82"/>
    <w:rsid w:val="00714C26"/>
    <w:rsid w:val="00715178"/>
    <w:rsid w:val="007151A8"/>
    <w:rsid w:val="0071529C"/>
    <w:rsid w:val="007154A7"/>
    <w:rsid w:val="00715DB8"/>
    <w:rsid w:val="00715F49"/>
    <w:rsid w:val="0071607C"/>
    <w:rsid w:val="0071608B"/>
    <w:rsid w:val="00716192"/>
    <w:rsid w:val="0071627F"/>
    <w:rsid w:val="00716576"/>
    <w:rsid w:val="007168B4"/>
    <w:rsid w:val="00716A6D"/>
    <w:rsid w:val="00717054"/>
    <w:rsid w:val="007170DA"/>
    <w:rsid w:val="007172AD"/>
    <w:rsid w:val="007173EF"/>
    <w:rsid w:val="00717546"/>
    <w:rsid w:val="0071782D"/>
    <w:rsid w:val="00717957"/>
    <w:rsid w:val="007179B2"/>
    <w:rsid w:val="00717F32"/>
    <w:rsid w:val="007206A2"/>
    <w:rsid w:val="00720801"/>
    <w:rsid w:val="00720AB9"/>
    <w:rsid w:val="0072116B"/>
    <w:rsid w:val="00721378"/>
    <w:rsid w:val="007217AB"/>
    <w:rsid w:val="00721D28"/>
    <w:rsid w:val="00721EF7"/>
    <w:rsid w:val="00722630"/>
    <w:rsid w:val="0072285D"/>
    <w:rsid w:val="00722B1B"/>
    <w:rsid w:val="00722E18"/>
    <w:rsid w:val="00723476"/>
    <w:rsid w:val="0072379B"/>
    <w:rsid w:val="00723ECC"/>
    <w:rsid w:val="0072405B"/>
    <w:rsid w:val="0072416F"/>
    <w:rsid w:val="00724AA5"/>
    <w:rsid w:val="007256EC"/>
    <w:rsid w:val="00726204"/>
    <w:rsid w:val="00726919"/>
    <w:rsid w:val="00726A38"/>
    <w:rsid w:val="00726D09"/>
    <w:rsid w:val="00726EA6"/>
    <w:rsid w:val="0072706E"/>
    <w:rsid w:val="0072734A"/>
    <w:rsid w:val="007275E6"/>
    <w:rsid w:val="00727944"/>
    <w:rsid w:val="00727C28"/>
    <w:rsid w:val="00727C94"/>
    <w:rsid w:val="00730973"/>
    <w:rsid w:val="00730FD9"/>
    <w:rsid w:val="007311F0"/>
    <w:rsid w:val="0073138A"/>
    <w:rsid w:val="007316E2"/>
    <w:rsid w:val="00731B0A"/>
    <w:rsid w:val="00731DFF"/>
    <w:rsid w:val="00731EAE"/>
    <w:rsid w:val="007321D4"/>
    <w:rsid w:val="0073257C"/>
    <w:rsid w:val="00732BBF"/>
    <w:rsid w:val="00732D88"/>
    <w:rsid w:val="0073303D"/>
    <w:rsid w:val="00733073"/>
    <w:rsid w:val="0073319C"/>
    <w:rsid w:val="00733DC9"/>
    <w:rsid w:val="00734225"/>
    <w:rsid w:val="0073440E"/>
    <w:rsid w:val="00734AE3"/>
    <w:rsid w:val="00734CEC"/>
    <w:rsid w:val="00735033"/>
    <w:rsid w:val="00735328"/>
    <w:rsid w:val="0073590C"/>
    <w:rsid w:val="00735D56"/>
    <w:rsid w:val="007363BE"/>
    <w:rsid w:val="0073648C"/>
    <w:rsid w:val="007366D7"/>
    <w:rsid w:val="0073685B"/>
    <w:rsid w:val="00736E1E"/>
    <w:rsid w:val="0073741F"/>
    <w:rsid w:val="00737BDA"/>
    <w:rsid w:val="007403C3"/>
    <w:rsid w:val="00740679"/>
    <w:rsid w:val="007407C0"/>
    <w:rsid w:val="007409E3"/>
    <w:rsid w:val="0074106E"/>
    <w:rsid w:val="007416CA"/>
    <w:rsid w:val="00741B02"/>
    <w:rsid w:val="00741C72"/>
    <w:rsid w:val="00741CC9"/>
    <w:rsid w:val="00741DDA"/>
    <w:rsid w:val="00741E08"/>
    <w:rsid w:val="00741EEC"/>
    <w:rsid w:val="0074234C"/>
    <w:rsid w:val="0074249C"/>
    <w:rsid w:val="0074252A"/>
    <w:rsid w:val="00742580"/>
    <w:rsid w:val="00742709"/>
    <w:rsid w:val="00742779"/>
    <w:rsid w:val="00742792"/>
    <w:rsid w:val="007428A7"/>
    <w:rsid w:val="00742977"/>
    <w:rsid w:val="00742FFA"/>
    <w:rsid w:val="007439F6"/>
    <w:rsid w:val="00743B0B"/>
    <w:rsid w:val="0074442B"/>
    <w:rsid w:val="007447A5"/>
    <w:rsid w:val="007449BF"/>
    <w:rsid w:val="00744F16"/>
    <w:rsid w:val="0074537C"/>
    <w:rsid w:val="0074544C"/>
    <w:rsid w:val="007456B6"/>
    <w:rsid w:val="0074589D"/>
    <w:rsid w:val="00745C49"/>
    <w:rsid w:val="00745FC9"/>
    <w:rsid w:val="0074619A"/>
    <w:rsid w:val="007463FE"/>
    <w:rsid w:val="0074640F"/>
    <w:rsid w:val="00746BC0"/>
    <w:rsid w:val="007479BE"/>
    <w:rsid w:val="00747BE2"/>
    <w:rsid w:val="00747C1D"/>
    <w:rsid w:val="0075023B"/>
    <w:rsid w:val="007502B5"/>
    <w:rsid w:val="007503C1"/>
    <w:rsid w:val="0075067B"/>
    <w:rsid w:val="00750973"/>
    <w:rsid w:val="00750BF7"/>
    <w:rsid w:val="007510B4"/>
    <w:rsid w:val="0075126C"/>
    <w:rsid w:val="0075134C"/>
    <w:rsid w:val="007515B4"/>
    <w:rsid w:val="00751B6E"/>
    <w:rsid w:val="00751C01"/>
    <w:rsid w:val="00752142"/>
    <w:rsid w:val="007523F9"/>
    <w:rsid w:val="0075246D"/>
    <w:rsid w:val="007527BD"/>
    <w:rsid w:val="00752C44"/>
    <w:rsid w:val="00752F20"/>
    <w:rsid w:val="0075357E"/>
    <w:rsid w:val="00753B29"/>
    <w:rsid w:val="00753DA7"/>
    <w:rsid w:val="00753FCE"/>
    <w:rsid w:val="007543B8"/>
    <w:rsid w:val="00754758"/>
    <w:rsid w:val="00754997"/>
    <w:rsid w:val="00754B26"/>
    <w:rsid w:val="00754DB2"/>
    <w:rsid w:val="00755378"/>
    <w:rsid w:val="007553F0"/>
    <w:rsid w:val="00756600"/>
    <w:rsid w:val="00756768"/>
    <w:rsid w:val="007573E8"/>
    <w:rsid w:val="00757632"/>
    <w:rsid w:val="007602A4"/>
    <w:rsid w:val="007602CF"/>
    <w:rsid w:val="007604C7"/>
    <w:rsid w:val="007605B0"/>
    <w:rsid w:val="0076099E"/>
    <w:rsid w:val="00760A03"/>
    <w:rsid w:val="00760C4E"/>
    <w:rsid w:val="00760F9E"/>
    <w:rsid w:val="0076136D"/>
    <w:rsid w:val="007616E6"/>
    <w:rsid w:val="0076196E"/>
    <w:rsid w:val="00761C95"/>
    <w:rsid w:val="00761CC9"/>
    <w:rsid w:val="007627BE"/>
    <w:rsid w:val="00762AD3"/>
    <w:rsid w:val="00763E35"/>
    <w:rsid w:val="00764ABC"/>
    <w:rsid w:val="00764F03"/>
    <w:rsid w:val="00765933"/>
    <w:rsid w:val="00765995"/>
    <w:rsid w:val="00765B1A"/>
    <w:rsid w:val="00765DC1"/>
    <w:rsid w:val="0076642B"/>
    <w:rsid w:val="00766FDB"/>
    <w:rsid w:val="00767274"/>
    <w:rsid w:val="00767643"/>
    <w:rsid w:val="00767CD0"/>
    <w:rsid w:val="00767FC0"/>
    <w:rsid w:val="00770945"/>
    <w:rsid w:val="00770CEE"/>
    <w:rsid w:val="00770F41"/>
    <w:rsid w:val="0077163E"/>
    <w:rsid w:val="00771A32"/>
    <w:rsid w:val="00771B5D"/>
    <w:rsid w:val="00771C31"/>
    <w:rsid w:val="00771CA5"/>
    <w:rsid w:val="0077274D"/>
    <w:rsid w:val="00772A1D"/>
    <w:rsid w:val="00772E83"/>
    <w:rsid w:val="0077312A"/>
    <w:rsid w:val="0077352F"/>
    <w:rsid w:val="007737F2"/>
    <w:rsid w:val="00773BDA"/>
    <w:rsid w:val="00774298"/>
    <w:rsid w:val="0077489D"/>
    <w:rsid w:val="00775124"/>
    <w:rsid w:val="00775467"/>
    <w:rsid w:val="00775927"/>
    <w:rsid w:val="00776287"/>
    <w:rsid w:val="00776330"/>
    <w:rsid w:val="007765A3"/>
    <w:rsid w:val="007769BA"/>
    <w:rsid w:val="00776AFC"/>
    <w:rsid w:val="00776CBD"/>
    <w:rsid w:val="0077725E"/>
    <w:rsid w:val="00777335"/>
    <w:rsid w:val="00777E45"/>
    <w:rsid w:val="00780252"/>
    <w:rsid w:val="00780930"/>
    <w:rsid w:val="00780EF5"/>
    <w:rsid w:val="00781377"/>
    <w:rsid w:val="00781627"/>
    <w:rsid w:val="00781EAC"/>
    <w:rsid w:val="00781EDF"/>
    <w:rsid w:val="00782152"/>
    <w:rsid w:val="00782366"/>
    <w:rsid w:val="00782B9F"/>
    <w:rsid w:val="00782FA4"/>
    <w:rsid w:val="0078306F"/>
    <w:rsid w:val="007834E1"/>
    <w:rsid w:val="00783514"/>
    <w:rsid w:val="00783613"/>
    <w:rsid w:val="007836AF"/>
    <w:rsid w:val="00783C20"/>
    <w:rsid w:val="00783CDD"/>
    <w:rsid w:val="00784312"/>
    <w:rsid w:val="007843F2"/>
    <w:rsid w:val="007844A1"/>
    <w:rsid w:val="007846FA"/>
    <w:rsid w:val="00784E81"/>
    <w:rsid w:val="007851DD"/>
    <w:rsid w:val="007858CC"/>
    <w:rsid w:val="00785965"/>
    <w:rsid w:val="00785A9F"/>
    <w:rsid w:val="00785D68"/>
    <w:rsid w:val="00785E7A"/>
    <w:rsid w:val="00786758"/>
    <w:rsid w:val="007868D1"/>
    <w:rsid w:val="00786C4D"/>
    <w:rsid w:val="00786C93"/>
    <w:rsid w:val="0078749B"/>
    <w:rsid w:val="00787D16"/>
    <w:rsid w:val="00790014"/>
    <w:rsid w:val="00790634"/>
    <w:rsid w:val="00790822"/>
    <w:rsid w:val="007911F9"/>
    <w:rsid w:val="007917F6"/>
    <w:rsid w:val="00791B8E"/>
    <w:rsid w:val="00792285"/>
    <w:rsid w:val="007925DF"/>
    <w:rsid w:val="00792725"/>
    <w:rsid w:val="00792A34"/>
    <w:rsid w:val="007930E4"/>
    <w:rsid w:val="00793428"/>
    <w:rsid w:val="00793512"/>
    <w:rsid w:val="00793773"/>
    <w:rsid w:val="00793785"/>
    <w:rsid w:val="00793DE3"/>
    <w:rsid w:val="00794948"/>
    <w:rsid w:val="00794FA1"/>
    <w:rsid w:val="0079505E"/>
    <w:rsid w:val="0079587F"/>
    <w:rsid w:val="00795B14"/>
    <w:rsid w:val="00795C98"/>
    <w:rsid w:val="00795D47"/>
    <w:rsid w:val="007962D3"/>
    <w:rsid w:val="0079695D"/>
    <w:rsid w:val="00796D4A"/>
    <w:rsid w:val="00796F60"/>
    <w:rsid w:val="007970C3"/>
    <w:rsid w:val="007975ED"/>
    <w:rsid w:val="0079763D"/>
    <w:rsid w:val="007977A8"/>
    <w:rsid w:val="007978B3"/>
    <w:rsid w:val="00797D5D"/>
    <w:rsid w:val="007A005D"/>
    <w:rsid w:val="007A05D6"/>
    <w:rsid w:val="007A06ED"/>
    <w:rsid w:val="007A08AA"/>
    <w:rsid w:val="007A0A12"/>
    <w:rsid w:val="007A132D"/>
    <w:rsid w:val="007A1345"/>
    <w:rsid w:val="007A13DC"/>
    <w:rsid w:val="007A1403"/>
    <w:rsid w:val="007A19E1"/>
    <w:rsid w:val="007A1DAE"/>
    <w:rsid w:val="007A1F69"/>
    <w:rsid w:val="007A2150"/>
    <w:rsid w:val="007A263B"/>
    <w:rsid w:val="007A2947"/>
    <w:rsid w:val="007A2DDB"/>
    <w:rsid w:val="007A311B"/>
    <w:rsid w:val="007A3354"/>
    <w:rsid w:val="007A3444"/>
    <w:rsid w:val="007A3521"/>
    <w:rsid w:val="007A3AA2"/>
    <w:rsid w:val="007A3AAC"/>
    <w:rsid w:val="007A4D1D"/>
    <w:rsid w:val="007A5313"/>
    <w:rsid w:val="007A53C7"/>
    <w:rsid w:val="007A5A94"/>
    <w:rsid w:val="007A5BB9"/>
    <w:rsid w:val="007A5DC5"/>
    <w:rsid w:val="007A5FFA"/>
    <w:rsid w:val="007A601C"/>
    <w:rsid w:val="007A6B56"/>
    <w:rsid w:val="007A6C44"/>
    <w:rsid w:val="007A70BA"/>
    <w:rsid w:val="007A7977"/>
    <w:rsid w:val="007A7A2A"/>
    <w:rsid w:val="007A7A88"/>
    <w:rsid w:val="007A7B29"/>
    <w:rsid w:val="007A7E2F"/>
    <w:rsid w:val="007B0050"/>
    <w:rsid w:val="007B00F6"/>
    <w:rsid w:val="007B0545"/>
    <w:rsid w:val="007B0D68"/>
    <w:rsid w:val="007B0DC8"/>
    <w:rsid w:val="007B0E68"/>
    <w:rsid w:val="007B18A9"/>
    <w:rsid w:val="007B1A54"/>
    <w:rsid w:val="007B1A8B"/>
    <w:rsid w:val="007B1AB6"/>
    <w:rsid w:val="007B1AEC"/>
    <w:rsid w:val="007B1DB3"/>
    <w:rsid w:val="007B207D"/>
    <w:rsid w:val="007B2198"/>
    <w:rsid w:val="007B21C4"/>
    <w:rsid w:val="007B242F"/>
    <w:rsid w:val="007B2462"/>
    <w:rsid w:val="007B24F0"/>
    <w:rsid w:val="007B251D"/>
    <w:rsid w:val="007B2583"/>
    <w:rsid w:val="007B2803"/>
    <w:rsid w:val="007B2BDB"/>
    <w:rsid w:val="007B2EDC"/>
    <w:rsid w:val="007B2F56"/>
    <w:rsid w:val="007B311D"/>
    <w:rsid w:val="007B34C5"/>
    <w:rsid w:val="007B3533"/>
    <w:rsid w:val="007B3C6A"/>
    <w:rsid w:val="007B428D"/>
    <w:rsid w:val="007B48AD"/>
    <w:rsid w:val="007B4EEA"/>
    <w:rsid w:val="007B4EF7"/>
    <w:rsid w:val="007B4F58"/>
    <w:rsid w:val="007B528D"/>
    <w:rsid w:val="007B56DD"/>
    <w:rsid w:val="007B5A29"/>
    <w:rsid w:val="007B5DB8"/>
    <w:rsid w:val="007B5E01"/>
    <w:rsid w:val="007B5E6D"/>
    <w:rsid w:val="007B63CA"/>
    <w:rsid w:val="007B6AE3"/>
    <w:rsid w:val="007B6CFB"/>
    <w:rsid w:val="007B6DC2"/>
    <w:rsid w:val="007B6E64"/>
    <w:rsid w:val="007B77D1"/>
    <w:rsid w:val="007B7ABB"/>
    <w:rsid w:val="007B7CC3"/>
    <w:rsid w:val="007C015C"/>
    <w:rsid w:val="007C0777"/>
    <w:rsid w:val="007C07C7"/>
    <w:rsid w:val="007C1198"/>
    <w:rsid w:val="007C124B"/>
    <w:rsid w:val="007C1CD9"/>
    <w:rsid w:val="007C23F1"/>
    <w:rsid w:val="007C2A38"/>
    <w:rsid w:val="007C2C32"/>
    <w:rsid w:val="007C2C36"/>
    <w:rsid w:val="007C2CB6"/>
    <w:rsid w:val="007C3227"/>
    <w:rsid w:val="007C32EF"/>
    <w:rsid w:val="007C333E"/>
    <w:rsid w:val="007C35C3"/>
    <w:rsid w:val="007C361D"/>
    <w:rsid w:val="007C3667"/>
    <w:rsid w:val="007C3696"/>
    <w:rsid w:val="007C39A0"/>
    <w:rsid w:val="007C3D64"/>
    <w:rsid w:val="007C3F51"/>
    <w:rsid w:val="007C4108"/>
    <w:rsid w:val="007C43B2"/>
    <w:rsid w:val="007C4939"/>
    <w:rsid w:val="007C49E5"/>
    <w:rsid w:val="007C4B84"/>
    <w:rsid w:val="007C55FA"/>
    <w:rsid w:val="007C58A3"/>
    <w:rsid w:val="007C5C87"/>
    <w:rsid w:val="007C5E51"/>
    <w:rsid w:val="007C5FB8"/>
    <w:rsid w:val="007C6C4C"/>
    <w:rsid w:val="007C6DAC"/>
    <w:rsid w:val="007C70FF"/>
    <w:rsid w:val="007C7574"/>
    <w:rsid w:val="007C76E8"/>
    <w:rsid w:val="007C789C"/>
    <w:rsid w:val="007C7C25"/>
    <w:rsid w:val="007C7F8A"/>
    <w:rsid w:val="007D004F"/>
    <w:rsid w:val="007D01B2"/>
    <w:rsid w:val="007D01FD"/>
    <w:rsid w:val="007D035F"/>
    <w:rsid w:val="007D06B2"/>
    <w:rsid w:val="007D0AF0"/>
    <w:rsid w:val="007D0B38"/>
    <w:rsid w:val="007D0CCC"/>
    <w:rsid w:val="007D134D"/>
    <w:rsid w:val="007D16AF"/>
    <w:rsid w:val="007D1983"/>
    <w:rsid w:val="007D1C57"/>
    <w:rsid w:val="007D1EF0"/>
    <w:rsid w:val="007D2622"/>
    <w:rsid w:val="007D2A4D"/>
    <w:rsid w:val="007D2E12"/>
    <w:rsid w:val="007D33D4"/>
    <w:rsid w:val="007D34A5"/>
    <w:rsid w:val="007D370E"/>
    <w:rsid w:val="007D37DC"/>
    <w:rsid w:val="007D43B0"/>
    <w:rsid w:val="007D47D6"/>
    <w:rsid w:val="007D530D"/>
    <w:rsid w:val="007D5440"/>
    <w:rsid w:val="007D553A"/>
    <w:rsid w:val="007D5575"/>
    <w:rsid w:val="007D5C65"/>
    <w:rsid w:val="007D5F20"/>
    <w:rsid w:val="007D6003"/>
    <w:rsid w:val="007D6064"/>
    <w:rsid w:val="007D6096"/>
    <w:rsid w:val="007D6262"/>
    <w:rsid w:val="007D66B5"/>
    <w:rsid w:val="007D69EB"/>
    <w:rsid w:val="007D73A0"/>
    <w:rsid w:val="007D7438"/>
    <w:rsid w:val="007D7BE2"/>
    <w:rsid w:val="007E0D5F"/>
    <w:rsid w:val="007E112C"/>
    <w:rsid w:val="007E128F"/>
    <w:rsid w:val="007E13E2"/>
    <w:rsid w:val="007E16E1"/>
    <w:rsid w:val="007E1C5A"/>
    <w:rsid w:val="007E1FB0"/>
    <w:rsid w:val="007E30BC"/>
    <w:rsid w:val="007E3575"/>
    <w:rsid w:val="007E3B55"/>
    <w:rsid w:val="007E3C8F"/>
    <w:rsid w:val="007E3EF1"/>
    <w:rsid w:val="007E45E7"/>
    <w:rsid w:val="007E469B"/>
    <w:rsid w:val="007E4716"/>
    <w:rsid w:val="007E4778"/>
    <w:rsid w:val="007E5404"/>
    <w:rsid w:val="007E63EB"/>
    <w:rsid w:val="007E643A"/>
    <w:rsid w:val="007E6C33"/>
    <w:rsid w:val="007E7199"/>
    <w:rsid w:val="007E727C"/>
    <w:rsid w:val="007E798A"/>
    <w:rsid w:val="007F018C"/>
    <w:rsid w:val="007F0B3C"/>
    <w:rsid w:val="007F0ECA"/>
    <w:rsid w:val="007F1017"/>
    <w:rsid w:val="007F18BF"/>
    <w:rsid w:val="007F1CFA"/>
    <w:rsid w:val="007F1E12"/>
    <w:rsid w:val="007F3254"/>
    <w:rsid w:val="007F3C30"/>
    <w:rsid w:val="007F4A3F"/>
    <w:rsid w:val="007F4A61"/>
    <w:rsid w:val="007F4CA0"/>
    <w:rsid w:val="007F519E"/>
    <w:rsid w:val="007F5255"/>
    <w:rsid w:val="007F5407"/>
    <w:rsid w:val="007F5443"/>
    <w:rsid w:val="007F56CC"/>
    <w:rsid w:val="007F5802"/>
    <w:rsid w:val="007F5B66"/>
    <w:rsid w:val="007F5DB7"/>
    <w:rsid w:val="007F61C2"/>
    <w:rsid w:val="007F6343"/>
    <w:rsid w:val="007F63F2"/>
    <w:rsid w:val="007F6404"/>
    <w:rsid w:val="007F6462"/>
    <w:rsid w:val="007F6495"/>
    <w:rsid w:val="007F6618"/>
    <w:rsid w:val="007F66AB"/>
    <w:rsid w:val="007F67AA"/>
    <w:rsid w:val="007F6B1D"/>
    <w:rsid w:val="007F6E35"/>
    <w:rsid w:val="007F6E4C"/>
    <w:rsid w:val="007F6F01"/>
    <w:rsid w:val="007F70AD"/>
    <w:rsid w:val="007F79D3"/>
    <w:rsid w:val="007F7DB4"/>
    <w:rsid w:val="00800248"/>
    <w:rsid w:val="00800514"/>
    <w:rsid w:val="008005A4"/>
    <w:rsid w:val="008011D7"/>
    <w:rsid w:val="0080126A"/>
    <w:rsid w:val="00801972"/>
    <w:rsid w:val="00801EF3"/>
    <w:rsid w:val="00802189"/>
    <w:rsid w:val="008023B3"/>
    <w:rsid w:val="0080273E"/>
    <w:rsid w:val="00802D46"/>
    <w:rsid w:val="00802E97"/>
    <w:rsid w:val="00803B54"/>
    <w:rsid w:val="00804061"/>
    <w:rsid w:val="0080429D"/>
    <w:rsid w:val="00805142"/>
    <w:rsid w:val="008057D4"/>
    <w:rsid w:val="00805A15"/>
    <w:rsid w:val="00805CA9"/>
    <w:rsid w:val="00805D4C"/>
    <w:rsid w:val="00805F89"/>
    <w:rsid w:val="00805FCE"/>
    <w:rsid w:val="00806126"/>
    <w:rsid w:val="00807013"/>
    <w:rsid w:val="00807A8B"/>
    <w:rsid w:val="00810879"/>
    <w:rsid w:val="00811383"/>
    <w:rsid w:val="008118A8"/>
    <w:rsid w:val="00811AF6"/>
    <w:rsid w:val="00811BCD"/>
    <w:rsid w:val="00811F84"/>
    <w:rsid w:val="00812149"/>
    <w:rsid w:val="00812CAC"/>
    <w:rsid w:val="00812CFC"/>
    <w:rsid w:val="00812E5E"/>
    <w:rsid w:val="0081308F"/>
    <w:rsid w:val="00813815"/>
    <w:rsid w:val="00814110"/>
    <w:rsid w:val="00814C63"/>
    <w:rsid w:val="00815AC9"/>
    <w:rsid w:val="00815FF3"/>
    <w:rsid w:val="00816361"/>
    <w:rsid w:val="008163B7"/>
    <w:rsid w:val="008166EF"/>
    <w:rsid w:val="00816FEF"/>
    <w:rsid w:val="008178AA"/>
    <w:rsid w:val="00817A08"/>
    <w:rsid w:val="0082093D"/>
    <w:rsid w:val="00820A8C"/>
    <w:rsid w:val="00820CB1"/>
    <w:rsid w:val="00820E62"/>
    <w:rsid w:val="00821512"/>
    <w:rsid w:val="008215FB"/>
    <w:rsid w:val="00821840"/>
    <w:rsid w:val="008219B8"/>
    <w:rsid w:val="008220CC"/>
    <w:rsid w:val="008221B6"/>
    <w:rsid w:val="008222BE"/>
    <w:rsid w:val="00822447"/>
    <w:rsid w:val="00823174"/>
    <w:rsid w:val="00823451"/>
    <w:rsid w:val="00823B26"/>
    <w:rsid w:val="00823C35"/>
    <w:rsid w:val="00823F78"/>
    <w:rsid w:val="008243CD"/>
    <w:rsid w:val="008246F7"/>
    <w:rsid w:val="00824ACE"/>
    <w:rsid w:val="00824EE7"/>
    <w:rsid w:val="00825153"/>
    <w:rsid w:val="00825255"/>
    <w:rsid w:val="008253BC"/>
    <w:rsid w:val="0082564A"/>
    <w:rsid w:val="00825751"/>
    <w:rsid w:val="008260D8"/>
    <w:rsid w:val="008264EB"/>
    <w:rsid w:val="008268CE"/>
    <w:rsid w:val="008274ED"/>
    <w:rsid w:val="00827744"/>
    <w:rsid w:val="008278D7"/>
    <w:rsid w:val="00827B58"/>
    <w:rsid w:val="00827C23"/>
    <w:rsid w:val="00827C8D"/>
    <w:rsid w:val="0083026C"/>
    <w:rsid w:val="00830298"/>
    <w:rsid w:val="00830501"/>
    <w:rsid w:val="008306D3"/>
    <w:rsid w:val="00830951"/>
    <w:rsid w:val="008311AB"/>
    <w:rsid w:val="008313F8"/>
    <w:rsid w:val="00831568"/>
    <w:rsid w:val="00831972"/>
    <w:rsid w:val="00831BFD"/>
    <w:rsid w:val="00832003"/>
    <w:rsid w:val="00832221"/>
    <w:rsid w:val="00832449"/>
    <w:rsid w:val="00832828"/>
    <w:rsid w:val="00832B86"/>
    <w:rsid w:val="00832C3D"/>
    <w:rsid w:val="008332E6"/>
    <w:rsid w:val="00833301"/>
    <w:rsid w:val="008334B0"/>
    <w:rsid w:val="008334E0"/>
    <w:rsid w:val="00833617"/>
    <w:rsid w:val="00833B05"/>
    <w:rsid w:val="00833C15"/>
    <w:rsid w:val="00833CDF"/>
    <w:rsid w:val="00834970"/>
    <w:rsid w:val="0083520C"/>
    <w:rsid w:val="00835262"/>
    <w:rsid w:val="00835AF3"/>
    <w:rsid w:val="00835C23"/>
    <w:rsid w:val="008362B4"/>
    <w:rsid w:val="008368B4"/>
    <w:rsid w:val="00836BB0"/>
    <w:rsid w:val="0083777A"/>
    <w:rsid w:val="00837B6C"/>
    <w:rsid w:val="00837B7C"/>
    <w:rsid w:val="00837D7A"/>
    <w:rsid w:val="008401D4"/>
    <w:rsid w:val="00840B03"/>
    <w:rsid w:val="00840CA2"/>
    <w:rsid w:val="0084161C"/>
    <w:rsid w:val="0084209B"/>
    <w:rsid w:val="00842195"/>
    <w:rsid w:val="008421D8"/>
    <w:rsid w:val="00842D89"/>
    <w:rsid w:val="00842DD1"/>
    <w:rsid w:val="00842F5E"/>
    <w:rsid w:val="0084374F"/>
    <w:rsid w:val="008438B6"/>
    <w:rsid w:val="008438C6"/>
    <w:rsid w:val="00843E24"/>
    <w:rsid w:val="008440CD"/>
    <w:rsid w:val="008447B8"/>
    <w:rsid w:val="00844817"/>
    <w:rsid w:val="00844A22"/>
    <w:rsid w:val="0084543A"/>
    <w:rsid w:val="008455B4"/>
    <w:rsid w:val="0084581A"/>
    <w:rsid w:val="00847703"/>
    <w:rsid w:val="00847C1F"/>
    <w:rsid w:val="00847DF5"/>
    <w:rsid w:val="0085044B"/>
    <w:rsid w:val="00850A61"/>
    <w:rsid w:val="008510ED"/>
    <w:rsid w:val="00851107"/>
    <w:rsid w:val="00851184"/>
    <w:rsid w:val="0085176A"/>
    <w:rsid w:val="0085193E"/>
    <w:rsid w:val="00851D26"/>
    <w:rsid w:val="00851DBD"/>
    <w:rsid w:val="00852175"/>
    <w:rsid w:val="008522E6"/>
    <w:rsid w:val="008522EC"/>
    <w:rsid w:val="00852352"/>
    <w:rsid w:val="00852F7B"/>
    <w:rsid w:val="0085309D"/>
    <w:rsid w:val="008531DC"/>
    <w:rsid w:val="008531E9"/>
    <w:rsid w:val="008535CA"/>
    <w:rsid w:val="008538D0"/>
    <w:rsid w:val="00853F81"/>
    <w:rsid w:val="008544A7"/>
    <w:rsid w:val="00854D2B"/>
    <w:rsid w:val="00854F82"/>
    <w:rsid w:val="0085530A"/>
    <w:rsid w:val="0085538B"/>
    <w:rsid w:val="00855437"/>
    <w:rsid w:val="008557E1"/>
    <w:rsid w:val="00855946"/>
    <w:rsid w:val="00855A71"/>
    <w:rsid w:val="00856023"/>
    <w:rsid w:val="008567A1"/>
    <w:rsid w:val="00856897"/>
    <w:rsid w:val="00856E8D"/>
    <w:rsid w:val="00856E9A"/>
    <w:rsid w:val="00857930"/>
    <w:rsid w:val="00857997"/>
    <w:rsid w:val="00857F39"/>
    <w:rsid w:val="0086075D"/>
    <w:rsid w:val="00860847"/>
    <w:rsid w:val="00860908"/>
    <w:rsid w:val="008609CE"/>
    <w:rsid w:val="00860C68"/>
    <w:rsid w:val="00860FA1"/>
    <w:rsid w:val="0086105F"/>
    <w:rsid w:val="00861E2F"/>
    <w:rsid w:val="008621BD"/>
    <w:rsid w:val="00862502"/>
    <w:rsid w:val="00862B5A"/>
    <w:rsid w:val="00862CC1"/>
    <w:rsid w:val="0086363D"/>
    <w:rsid w:val="00863C2B"/>
    <w:rsid w:val="00863C8A"/>
    <w:rsid w:val="00863F9C"/>
    <w:rsid w:val="008641BB"/>
    <w:rsid w:val="008642A7"/>
    <w:rsid w:val="00864516"/>
    <w:rsid w:val="00864680"/>
    <w:rsid w:val="00864941"/>
    <w:rsid w:val="008651B1"/>
    <w:rsid w:val="00865E3F"/>
    <w:rsid w:val="008660D4"/>
    <w:rsid w:val="008663EA"/>
    <w:rsid w:val="00866547"/>
    <w:rsid w:val="00866BAC"/>
    <w:rsid w:val="00866C8E"/>
    <w:rsid w:val="0086727F"/>
    <w:rsid w:val="0086733F"/>
    <w:rsid w:val="0086740D"/>
    <w:rsid w:val="00867B5B"/>
    <w:rsid w:val="00867E37"/>
    <w:rsid w:val="0087056B"/>
    <w:rsid w:val="00870B7C"/>
    <w:rsid w:val="00871275"/>
    <w:rsid w:val="0087189E"/>
    <w:rsid w:val="00871E6C"/>
    <w:rsid w:val="00871FA9"/>
    <w:rsid w:val="0087206A"/>
    <w:rsid w:val="0087262C"/>
    <w:rsid w:val="0087262F"/>
    <w:rsid w:val="008727DD"/>
    <w:rsid w:val="008728E9"/>
    <w:rsid w:val="00872932"/>
    <w:rsid w:val="008729DC"/>
    <w:rsid w:val="00872A1D"/>
    <w:rsid w:val="00872B5A"/>
    <w:rsid w:val="00872BE4"/>
    <w:rsid w:val="0087340B"/>
    <w:rsid w:val="008738F6"/>
    <w:rsid w:val="008738F9"/>
    <w:rsid w:val="0087418D"/>
    <w:rsid w:val="0087464C"/>
    <w:rsid w:val="00874793"/>
    <w:rsid w:val="00874805"/>
    <w:rsid w:val="00875277"/>
    <w:rsid w:val="00875A22"/>
    <w:rsid w:val="00876A5D"/>
    <w:rsid w:val="00876E30"/>
    <w:rsid w:val="008771B5"/>
    <w:rsid w:val="008774ED"/>
    <w:rsid w:val="00877972"/>
    <w:rsid w:val="0088064D"/>
    <w:rsid w:val="008807C1"/>
    <w:rsid w:val="008813B5"/>
    <w:rsid w:val="00881BBD"/>
    <w:rsid w:val="0088218D"/>
    <w:rsid w:val="0088228F"/>
    <w:rsid w:val="00882712"/>
    <w:rsid w:val="008827FE"/>
    <w:rsid w:val="00882874"/>
    <w:rsid w:val="00882E3C"/>
    <w:rsid w:val="00882E79"/>
    <w:rsid w:val="0088308A"/>
    <w:rsid w:val="0088331F"/>
    <w:rsid w:val="00883478"/>
    <w:rsid w:val="00883787"/>
    <w:rsid w:val="00883913"/>
    <w:rsid w:val="00883FF4"/>
    <w:rsid w:val="0088427D"/>
    <w:rsid w:val="00884FA1"/>
    <w:rsid w:val="00885082"/>
    <w:rsid w:val="0088530B"/>
    <w:rsid w:val="008855E4"/>
    <w:rsid w:val="0088688F"/>
    <w:rsid w:val="00886945"/>
    <w:rsid w:val="00886CD2"/>
    <w:rsid w:val="008875DB"/>
    <w:rsid w:val="00887942"/>
    <w:rsid w:val="00887A93"/>
    <w:rsid w:val="00887E71"/>
    <w:rsid w:val="00890A2E"/>
    <w:rsid w:val="00891110"/>
    <w:rsid w:val="00891E6F"/>
    <w:rsid w:val="00892680"/>
    <w:rsid w:val="0089275D"/>
    <w:rsid w:val="008927F9"/>
    <w:rsid w:val="00892999"/>
    <w:rsid w:val="00892A36"/>
    <w:rsid w:val="00892E55"/>
    <w:rsid w:val="00893197"/>
    <w:rsid w:val="008931BC"/>
    <w:rsid w:val="00893239"/>
    <w:rsid w:val="0089328B"/>
    <w:rsid w:val="00893845"/>
    <w:rsid w:val="008939F8"/>
    <w:rsid w:val="00893AE8"/>
    <w:rsid w:val="00893E02"/>
    <w:rsid w:val="00893E87"/>
    <w:rsid w:val="00894129"/>
    <w:rsid w:val="00894489"/>
    <w:rsid w:val="0089458E"/>
    <w:rsid w:val="008947A2"/>
    <w:rsid w:val="00894CD6"/>
    <w:rsid w:val="00895262"/>
    <w:rsid w:val="00895784"/>
    <w:rsid w:val="00895D57"/>
    <w:rsid w:val="00895F6C"/>
    <w:rsid w:val="008961CE"/>
    <w:rsid w:val="008963A5"/>
    <w:rsid w:val="0089649D"/>
    <w:rsid w:val="00896756"/>
    <w:rsid w:val="00896B88"/>
    <w:rsid w:val="00896B96"/>
    <w:rsid w:val="00896D5D"/>
    <w:rsid w:val="00896FB1"/>
    <w:rsid w:val="00897642"/>
    <w:rsid w:val="008976FB"/>
    <w:rsid w:val="0089798D"/>
    <w:rsid w:val="00897B7E"/>
    <w:rsid w:val="008A01DA"/>
    <w:rsid w:val="008A0265"/>
    <w:rsid w:val="008A0EB8"/>
    <w:rsid w:val="008A0FA0"/>
    <w:rsid w:val="008A0FEF"/>
    <w:rsid w:val="008A11C4"/>
    <w:rsid w:val="008A16DB"/>
    <w:rsid w:val="008A21C5"/>
    <w:rsid w:val="008A293B"/>
    <w:rsid w:val="008A3158"/>
    <w:rsid w:val="008A3363"/>
    <w:rsid w:val="008A3371"/>
    <w:rsid w:val="008A3C3E"/>
    <w:rsid w:val="008A437E"/>
    <w:rsid w:val="008A4E11"/>
    <w:rsid w:val="008A4FE9"/>
    <w:rsid w:val="008A5C13"/>
    <w:rsid w:val="008A61FC"/>
    <w:rsid w:val="008A6222"/>
    <w:rsid w:val="008A6997"/>
    <w:rsid w:val="008A6E80"/>
    <w:rsid w:val="008A7146"/>
    <w:rsid w:val="008A7479"/>
    <w:rsid w:val="008A79DE"/>
    <w:rsid w:val="008A7D3A"/>
    <w:rsid w:val="008B1437"/>
    <w:rsid w:val="008B1757"/>
    <w:rsid w:val="008B1864"/>
    <w:rsid w:val="008B18AB"/>
    <w:rsid w:val="008B1C33"/>
    <w:rsid w:val="008B1FC2"/>
    <w:rsid w:val="008B1FD3"/>
    <w:rsid w:val="008B2816"/>
    <w:rsid w:val="008B2B87"/>
    <w:rsid w:val="008B2F59"/>
    <w:rsid w:val="008B31BD"/>
    <w:rsid w:val="008B3200"/>
    <w:rsid w:val="008B32CD"/>
    <w:rsid w:val="008B397D"/>
    <w:rsid w:val="008B3EB9"/>
    <w:rsid w:val="008B3F9B"/>
    <w:rsid w:val="008B4827"/>
    <w:rsid w:val="008B497B"/>
    <w:rsid w:val="008B4B6F"/>
    <w:rsid w:val="008B56E6"/>
    <w:rsid w:val="008B5DA2"/>
    <w:rsid w:val="008B62C6"/>
    <w:rsid w:val="008B7955"/>
    <w:rsid w:val="008B7992"/>
    <w:rsid w:val="008B7D15"/>
    <w:rsid w:val="008B7D7E"/>
    <w:rsid w:val="008C00BC"/>
    <w:rsid w:val="008C14C4"/>
    <w:rsid w:val="008C1B72"/>
    <w:rsid w:val="008C2112"/>
    <w:rsid w:val="008C2321"/>
    <w:rsid w:val="008C244D"/>
    <w:rsid w:val="008C28FE"/>
    <w:rsid w:val="008C2991"/>
    <w:rsid w:val="008C2A9E"/>
    <w:rsid w:val="008C2B36"/>
    <w:rsid w:val="008C2D35"/>
    <w:rsid w:val="008C3285"/>
    <w:rsid w:val="008C32F2"/>
    <w:rsid w:val="008C354C"/>
    <w:rsid w:val="008C3ADB"/>
    <w:rsid w:val="008C3C21"/>
    <w:rsid w:val="008C3E74"/>
    <w:rsid w:val="008C3ED5"/>
    <w:rsid w:val="008C46D1"/>
    <w:rsid w:val="008C4806"/>
    <w:rsid w:val="008C48E6"/>
    <w:rsid w:val="008C49AA"/>
    <w:rsid w:val="008C4CCA"/>
    <w:rsid w:val="008C4E65"/>
    <w:rsid w:val="008C51EE"/>
    <w:rsid w:val="008C54B0"/>
    <w:rsid w:val="008C5610"/>
    <w:rsid w:val="008C5739"/>
    <w:rsid w:val="008C58D5"/>
    <w:rsid w:val="008C5D55"/>
    <w:rsid w:val="008C5DA7"/>
    <w:rsid w:val="008C5F49"/>
    <w:rsid w:val="008C6373"/>
    <w:rsid w:val="008C6900"/>
    <w:rsid w:val="008C7282"/>
    <w:rsid w:val="008C7554"/>
    <w:rsid w:val="008C78DC"/>
    <w:rsid w:val="008C7AEC"/>
    <w:rsid w:val="008C7ECB"/>
    <w:rsid w:val="008D0212"/>
    <w:rsid w:val="008D02AF"/>
    <w:rsid w:val="008D0353"/>
    <w:rsid w:val="008D095E"/>
    <w:rsid w:val="008D0D45"/>
    <w:rsid w:val="008D11DD"/>
    <w:rsid w:val="008D11F9"/>
    <w:rsid w:val="008D16D9"/>
    <w:rsid w:val="008D21DC"/>
    <w:rsid w:val="008D2A94"/>
    <w:rsid w:val="008D2CB5"/>
    <w:rsid w:val="008D2E5B"/>
    <w:rsid w:val="008D319B"/>
    <w:rsid w:val="008D3371"/>
    <w:rsid w:val="008D3ABA"/>
    <w:rsid w:val="008D3B86"/>
    <w:rsid w:val="008D4019"/>
    <w:rsid w:val="008D4065"/>
    <w:rsid w:val="008D4079"/>
    <w:rsid w:val="008D40CF"/>
    <w:rsid w:val="008D4312"/>
    <w:rsid w:val="008D43EF"/>
    <w:rsid w:val="008D43FD"/>
    <w:rsid w:val="008D4755"/>
    <w:rsid w:val="008D48CA"/>
    <w:rsid w:val="008D4A21"/>
    <w:rsid w:val="008D4B51"/>
    <w:rsid w:val="008D4C3D"/>
    <w:rsid w:val="008D517C"/>
    <w:rsid w:val="008D518E"/>
    <w:rsid w:val="008D5A5F"/>
    <w:rsid w:val="008D5EF3"/>
    <w:rsid w:val="008D60AA"/>
    <w:rsid w:val="008D62A7"/>
    <w:rsid w:val="008D653E"/>
    <w:rsid w:val="008D694D"/>
    <w:rsid w:val="008D6A08"/>
    <w:rsid w:val="008D6A5F"/>
    <w:rsid w:val="008D708A"/>
    <w:rsid w:val="008D71C9"/>
    <w:rsid w:val="008D743C"/>
    <w:rsid w:val="008D77D7"/>
    <w:rsid w:val="008D784B"/>
    <w:rsid w:val="008D7916"/>
    <w:rsid w:val="008D7EBB"/>
    <w:rsid w:val="008E00EE"/>
    <w:rsid w:val="008E0587"/>
    <w:rsid w:val="008E0D3C"/>
    <w:rsid w:val="008E0FE5"/>
    <w:rsid w:val="008E1744"/>
    <w:rsid w:val="008E1B9E"/>
    <w:rsid w:val="008E1EA5"/>
    <w:rsid w:val="008E258E"/>
    <w:rsid w:val="008E2B28"/>
    <w:rsid w:val="008E2E6B"/>
    <w:rsid w:val="008E31B5"/>
    <w:rsid w:val="008E320B"/>
    <w:rsid w:val="008E3657"/>
    <w:rsid w:val="008E3C0E"/>
    <w:rsid w:val="008E3F87"/>
    <w:rsid w:val="008E430C"/>
    <w:rsid w:val="008E435B"/>
    <w:rsid w:val="008E43CA"/>
    <w:rsid w:val="008E44CF"/>
    <w:rsid w:val="008E4B7C"/>
    <w:rsid w:val="008E5209"/>
    <w:rsid w:val="008E5244"/>
    <w:rsid w:val="008E530E"/>
    <w:rsid w:val="008E5540"/>
    <w:rsid w:val="008E55AB"/>
    <w:rsid w:val="008E5EB4"/>
    <w:rsid w:val="008E64A7"/>
    <w:rsid w:val="008E6B9B"/>
    <w:rsid w:val="008E6C0D"/>
    <w:rsid w:val="008E6C47"/>
    <w:rsid w:val="008E6F45"/>
    <w:rsid w:val="008E74A6"/>
    <w:rsid w:val="008E769B"/>
    <w:rsid w:val="008E78DB"/>
    <w:rsid w:val="008E7BE6"/>
    <w:rsid w:val="008E7CF8"/>
    <w:rsid w:val="008E7D8B"/>
    <w:rsid w:val="008E7F1D"/>
    <w:rsid w:val="008E7F81"/>
    <w:rsid w:val="008E7FCC"/>
    <w:rsid w:val="008F04D3"/>
    <w:rsid w:val="008F096F"/>
    <w:rsid w:val="008F0A27"/>
    <w:rsid w:val="008F0D0E"/>
    <w:rsid w:val="008F120A"/>
    <w:rsid w:val="008F1276"/>
    <w:rsid w:val="008F17E6"/>
    <w:rsid w:val="008F18FB"/>
    <w:rsid w:val="008F1A2B"/>
    <w:rsid w:val="008F1E3B"/>
    <w:rsid w:val="008F1FE3"/>
    <w:rsid w:val="008F27E0"/>
    <w:rsid w:val="008F2855"/>
    <w:rsid w:val="008F2A77"/>
    <w:rsid w:val="008F2A8B"/>
    <w:rsid w:val="008F2C1C"/>
    <w:rsid w:val="008F2D9F"/>
    <w:rsid w:val="008F2F6A"/>
    <w:rsid w:val="008F324A"/>
    <w:rsid w:val="008F3436"/>
    <w:rsid w:val="008F359D"/>
    <w:rsid w:val="008F428B"/>
    <w:rsid w:val="008F4469"/>
    <w:rsid w:val="008F48EB"/>
    <w:rsid w:val="008F4B70"/>
    <w:rsid w:val="008F4F0B"/>
    <w:rsid w:val="008F56C2"/>
    <w:rsid w:val="008F5ADD"/>
    <w:rsid w:val="008F6870"/>
    <w:rsid w:val="008F6957"/>
    <w:rsid w:val="008F70D8"/>
    <w:rsid w:val="008F7341"/>
    <w:rsid w:val="008F7436"/>
    <w:rsid w:val="0090001F"/>
    <w:rsid w:val="009003C4"/>
    <w:rsid w:val="0090086B"/>
    <w:rsid w:val="00900D1A"/>
    <w:rsid w:val="00901790"/>
    <w:rsid w:val="0090192B"/>
    <w:rsid w:val="00901943"/>
    <w:rsid w:val="00901FA6"/>
    <w:rsid w:val="0090233C"/>
    <w:rsid w:val="00902556"/>
    <w:rsid w:val="0090262E"/>
    <w:rsid w:val="009029C8"/>
    <w:rsid w:val="00902BD5"/>
    <w:rsid w:val="009034CD"/>
    <w:rsid w:val="009037A2"/>
    <w:rsid w:val="00903D9D"/>
    <w:rsid w:val="00903DA7"/>
    <w:rsid w:val="00903FC9"/>
    <w:rsid w:val="009046C4"/>
    <w:rsid w:val="009049C1"/>
    <w:rsid w:val="00904C12"/>
    <w:rsid w:val="00904CD9"/>
    <w:rsid w:val="00904D28"/>
    <w:rsid w:val="0090524D"/>
    <w:rsid w:val="009056D3"/>
    <w:rsid w:val="00905751"/>
    <w:rsid w:val="00905A0E"/>
    <w:rsid w:val="00906173"/>
    <w:rsid w:val="009062A5"/>
    <w:rsid w:val="0090638B"/>
    <w:rsid w:val="009066EB"/>
    <w:rsid w:val="0090699D"/>
    <w:rsid w:val="00906A9A"/>
    <w:rsid w:val="0090725A"/>
    <w:rsid w:val="00907699"/>
    <w:rsid w:val="009078B3"/>
    <w:rsid w:val="00907936"/>
    <w:rsid w:val="00910FA7"/>
    <w:rsid w:val="0091103D"/>
    <w:rsid w:val="00911272"/>
    <w:rsid w:val="00911339"/>
    <w:rsid w:val="00911601"/>
    <w:rsid w:val="00911B90"/>
    <w:rsid w:val="0091211F"/>
    <w:rsid w:val="009121D0"/>
    <w:rsid w:val="00912BCA"/>
    <w:rsid w:val="00912D24"/>
    <w:rsid w:val="00912FF2"/>
    <w:rsid w:val="009135D6"/>
    <w:rsid w:val="00913969"/>
    <w:rsid w:val="00913D26"/>
    <w:rsid w:val="00913FCE"/>
    <w:rsid w:val="0091405F"/>
    <w:rsid w:val="0091481D"/>
    <w:rsid w:val="00914A07"/>
    <w:rsid w:val="00914A69"/>
    <w:rsid w:val="00914C77"/>
    <w:rsid w:val="00915600"/>
    <w:rsid w:val="00915FAC"/>
    <w:rsid w:val="00915FE2"/>
    <w:rsid w:val="0091603F"/>
    <w:rsid w:val="00916514"/>
    <w:rsid w:val="0091659D"/>
    <w:rsid w:val="009165A8"/>
    <w:rsid w:val="00916903"/>
    <w:rsid w:val="00916CE9"/>
    <w:rsid w:val="00916D03"/>
    <w:rsid w:val="00916F0C"/>
    <w:rsid w:val="0091708E"/>
    <w:rsid w:val="009177F2"/>
    <w:rsid w:val="009177F5"/>
    <w:rsid w:val="00917C39"/>
    <w:rsid w:val="00917CFD"/>
    <w:rsid w:val="009202F9"/>
    <w:rsid w:val="00921146"/>
    <w:rsid w:val="0092150C"/>
    <w:rsid w:val="009216D9"/>
    <w:rsid w:val="00921ACB"/>
    <w:rsid w:val="00922276"/>
    <w:rsid w:val="009224C5"/>
    <w:rsid w:val="00923053"/>
    <w:rsid w:val="0092369B"/>
    <w:rsid w:val="00923ABF"/>
    <w:rsid w:val="00923F0F"/>
    <w:rsid w:val="00924670"/>
    <w:rsid w:val="009249C8"/>
    <w:rsid w:val="00924A2E"/>
    <w:rsid w:val="00924B35"/>
    <w:rsid w:val="00924F20"/>
    <w:rsid w:val="00925531"/>
    <w:rsid w:val="0092574C"/>
    <w:rsid w:val="00925828"/>
    <w:rsid w:val="009265B7"/>
    <w:rsid w:val="0092676F"/>
    <w:rsid w:val="009267CE"/>
    <w:rsid w:val="00926B3F"/>
    <w:rsid w:val="00926F37"/>
    <w:rsid w:val="009273EC"/>
    <w:rsid w:val="00927AE3"/>
    <w:rsid w:val="00927DB0"/>
    <w:rsid w:val="009303AB"/>
    <w:rsid w:val="009303E0"/>
    <w:rsid w:val="0093167D"/>
    <w:rsid w:val="0093177E"/>
    <w:rsid w:val="00931D7B"/>
    <w:rsid w:val="009320DC"/>
    <w:rsid w:val="0093230F"/>
    <w:rsid w:val="00933450"/>
    <w:rsid w:val="00933DF3"/>
    <w:rsid w:val="009340AA"/>
    <w:rsid w:val="0093487F"/>
    <w:rsid w:val="00934988"/>
    <w:rsid w:val="009353A4"/>
    <w:rsid w:val="009357A5"/>
    <w:rsid w:val="00936112"/>
    <w:rsid w:val="009367A4"/>
    <w:rsid w:val="009369F0"/>
    <w:rsid w:val="00936A69"/>
    <w:rsid w:val="00936A7A"/>
    <w:rsid w:val="00936CFD"/>
    <w:rsid w:val="00936E75"/>
    <w:rsid w:val="00936F04"/>
    <w:rsid w:val="00936F99"/>
    <w:rsid w:val="00937089"/>
    <w:rsid w:val="00937121"/>
    <w:rsid w:val="0093755D"/>
    <w:rsid w:val="00937ED0"/>
    <w:rsid w:val="0094001C"/>
    <w:rsid w:val="0094021C"/>
    <w:rsid w:val="009402B5"/>
    <w:rsid w:val="00940301"/>
    <w:rsid w:val="00940601"/>
    <w:rsid w:val="00940653"/>
    <w:rsid w:val="00940663"/>
    <w:rsid w:val="00941233"/>
    <w:rsid w:val="00941C94"/>
    <w:rsid w:val="00941F34"/>
    <w:rsid w:val="00942725"/>
    <w:rsid w:val="009433C5"/>
    <w:rsid w:val="00943599"/>
    <w:rsid w:val="00944096"/>
    <w:rsid w:val="009447B8"/>
    <w:rsid w:val="00944A67"/>
    <w:rsid w:val="00944F8A"/>
    <w:rsid w:val="009450E0"/>
    <w:rsid w:val="009451FA"/>
    <w:rsid w:val="0094644E"/>
    <w:rsid w:val="009465BF"/>
    <w:rsid w:val="009478CA"/>
    <w:rsid w:val="00947D85"/>
    <w:rsid w:val="00950209"/>
    <w:rsid w:val="009505B4"/>
    <w:rsid w:val="0095074B"/>
    <w:rsid w:val="009510A2"/>
    <w:rsid w:val="0095157D"/>
    <w:rsid w:val="00951591"/>
    <w:rsid w:val="009516B4"/>
    <w:rsid w:val="009516E1"/>
    <w:rsid w:val="00951AFF"/>
    <w:rsid w:val="00951D1A"/>
    <w:rsid w:val="009522BD"/>
    <w:rsid w:val="009525F2"/>
    <w:rsid w:val="00952BDF"/>
    <w:rsid w:val="00952C72"/>
    <w:rsid w:val="00953257"/>
    <w:rsid w:val="00953633"/>
    <w:rsid w:val="0095383F"/>
    <w:rsid w:val="00953DD7"/>
    <w:rsid w:val="00954021"/>
    <w:rsid w:val="0095474C"/>
    <w:rsid w:val="009549F6"/>
    <w:rsid w:val="0095517F"/>
    <w:rsid w:val="00955354"/>
    <w:rsid w:val="00955FD2"/>
    <w:rsid w:val="0095655B"/>
    <w:rsid w:val="009565DD"/>
    <w:rsid w:val="00956750"/>
    <w:rsid w:val="00956A99"/>
    <w:rsid w:val="00956B95"/>
    <w:rsid w:val="00956D23"/>
    <w:rsid w:val="00956D3B"/>
    <w:rsid w:val="00957505"/>
    <w:rsid w:val="0095752F"/>
    <w:rsid w:val="00957704"/>
    <w:rsid w:val="00957D92"/>
    <w:rsid w:val="0096060E"/>
    <w:rsid w:val="009607F4"/>
    <w:rsid w:val="00960CC4"/>
    <w:rsid w:val="00960D96"/>
    <w:rsid w:val="00960D9C"/>
    <w:rsid w:val="009619FE"/>
    <w:rsid w:val="00961BAC"/>
    <w:rsid w:val="00962070"/>
    <w:rsid w:val="009621A0"/>
    <w:rsid w:val="0096242E"/>
    <w:rsid w:val="00962947"/>
    <w:rsid w:val="00962C4A"/>
    <w:rsid w:val="00962CB9"/>
    <w:rsid w:val="00962CC8"/>
    <w:rsid w:val="00962DCA"/>
    <w:rsid w:val="00963478"/>
    <w:rsid w:val="00963D83"/>
    <w:rsid w:val="009642DF"/>
    <w:rsid w:val="00964312"/>
    <w:rsid w:val="00964905"/>
    <w:rsid w:val="0096490A"/>
    <w:rsid w:val="00964F29"/>
    <w:rsid w:val="00965104"/>
    <w:rsid w:val="00965B8A"/>
    <w:rsid w:val="00965EF0"/>
    <w:rsid w:val="00966566"/>
    <w:rsid w:val="0096661A"/>
    <w:rsid w:val="00966880"/>
    <w:rsid w:val="009669B4"/>
    <w:rsid w:val="00967034"/>
    <w:rsid w:val="0096730E"/>
    <w:rsid w:val="00967545"/>
    <w:rsid w:val="00970520"/>
    <w:rsid w:val="0097071F"/>
    <w:rsid w:val="00970A95"/>
    <w:rsid w:val="00971649"/>
    <w:rsid w:val="009717AC"/>
    <w:rsid w:val="009718D1"/>
    <w:rsid w:val="00971EEA"/>
    <w:rsid w:val="00971F01"/>
    <w:rsid w:val="0097204B"/>
    <w:rsid w:val="00972073"/>
    <w:rsid w:val="00972F77"/>
    <w:rsid w:val="0097322E"/>
    <w:rsid w:val="009733A7"/>
    <w:rsid w:val="00973815"/>
    <w:rsid w:val="0097441D"/>
    <w:rsid w:val="00974AED"/>
    <w:rsid w:val="00974C40"/>
    <w:rsid w:val="00975058"/>
    <w:rsid w:val="009751C1"/>
    <w:rsid w:val="009754BD"/>
    <w:rsid w:val="009755F9"/>
    <w:rsid w:val="009756C5"/>
    <w:rsid w:val="0097664E"/>
    <w:rsid w:val="00976703"/>
    <w:rsid w:val="00976DE3"/>
    <w:rsid w:val="00976F42"/>
    <w:rsid w:val="0097780F"/>
    <w:rsid w:val="00977BF9"/>
    <w:rsid w:val="00977D7B"/>
    <w:rsid w:val="00980A27"/>
    <w:rsid w:val="00980BE1"/>
    <w:rsid w:val="0098116D"/>
    <w:rsid w:val="009811B9"/>
    <w:rsid w:val="009811F1"/>
    <w:rsid w:val="00981341"/>
    <w:rsid w:val="00981678"/>
    <w:rsid w:val="00981702"/>
    <w:rsid w:val="00981804"/>
    <w:rsid w:val="009818AE"/>
    <w:rsid w:val="00981AC6"/>
    <w:rsid w:val="00981C5D"/>
    <w:rsid w:val="00981EAC"/>
    <w:rsid w:val="00981FD5"/>
    <w:rsid w:val="00982338"/>
    <w:rsid w:val="00982EA7"/>
    <w:rsid w:val="0098317D"/>
    <w:rsid w:val="009833AE"/>
    <w:rsid w:val="00983ADC"/>
    <w:rsid w:val="00983C2A"/>
    <w:rsid w:val="00983CBC"/>
    <w:rsid w:val="00983D6C"/>
    <w:rsid w:val="00983E57"/>
    <w:rsid w:val="00983F62"/>
    <w:rsid w:val="00984110"/>
    <w:rsid w:val="00984381"/>
    <w:rsid w:val="009850C5"/>
    <w:rsid w:val="00985395"/>
    <w:rsid w:val="00985BB6"/>
    <w:rsid w:val="00985DE2"/>
    <w:rsid w:val="0098675D"/>
    <w:rsid w:val="00986AC8"/>
    <w:rsid w:val="00986C70"/>
    <w:rsid w:val="0098723C"/>
    <w:rsid w:val="0098760A"/>
    <w:rsid w:val="00987802"/>
    <w:rsid w:val="009878F6"/>
    <w:rsid w:val="00987936"/>
    <w:rsid w:val="00987958"/>
    <w:rsid w:val="00987BA4"/>
    <w:rsid w:val="00987C6B"/>
    <w:rsid w:val="00987F8A"/>
    <w:rsid w:val="00990428"/>
    <w:rsid w:val="009909D9"/>
    <w:rsid w:val="00990D09"/>
    <w:rsid w:val="00990EC3"/>
    <w:rsid w:val="0099113B"/>
    <w:rsid w:val="00991559"/>
    <w:rsid w:val="00991D96"/>
    <w:rsid w:val="009926E0"/>
    <w:rsid w:val="00993209"/>
    <w:rsid w:val="009942E2"/>
    <w:rsid w:val="009942E5"/>
    <w:rsid w:val="009944ED"/>
    <w:rsid w:val="0099451E"/>
    <w:rsid w:val="0099469A"/>
    <w:rsid w:val="00994D43"/>
    <w:rsid w:val="00994F41"/>
    <w:rsid w:val="0099573C"/>
    <w:rsid w:val="009957AE"/>
    <w:rsid w:val="00995A58"/>
    <w:rsid w:val="00995E5A"/>
    <w:rsid w:val="00995FBA"/>
    <w:rsid w:val="009960F4"/>
    <w:rsid w:val="00996149"/>
    <w:rsid w:val="009964E3"/>
    <w:rsid w:val="00996675"/>
    <w:rsid w:val="00996724"/>
    <w:rsid w:val="00996B1A"/>
    <w:rsid w:val="00996BA8"/>
    <w:rsid w:val="00996F6E"/>
    <w:rsid w:val="009974F8"/>
    <w:rsid w:val="0099754B"/>
    <w:rsid w:val="00997680"/>
    <w:rsid w:val="009A1227"/>
    <w:rsid w:val="009A1884"/>
    <w:rsid w:val="009A18D9"/>
    <w:rsid w:val="009A18F6"/>
    <w:rsid w:val="009A1AAF"/>
    <w:rsid w:val="009A1D7F"/>
    <w:rsid w:val="009A22D1"/>
    <w:rsid w:val="009A23DD"/>
    <w:rsid w:val="009A2432"/>
    <w:rsid w:val="009A2967"/>
    <w:rsid w:val="009A2A07"/>
    <w:rsid w:val="009A2C93"/>
    <w:rsid w:val="009A2DCC"/>
    <w:rsid w:val="009A3A62"/>
    <w:rsid w:val="009A3CCB"/>
    <w:rsid w:val="009A4131"/>
    <w:rsid w:val="009A45EB"/>
    <w:rsid w:val="009A4EBE"/>
    <w:rsid w:val="009A569A"/>
    <w:rsid w:val="009A57F5"/>
    <w:rsid w:val="009A5A05"/>
    <w:rsid w:val="009A5ABC"/>
    <w:rsid w:val="009A5B84"/>
    <w:rsid w:val="009A6840"/>
    <w:rsid w:val="009A6A28"/>
    <w:rsid w:val="009A6B42"/>
    <w:rsid w:val="009A7E3D"/>
    <w:rsid w:val="009A7E99"/>
    <w:rsid w:val="009A7F10"/>
    <w:rsid w:val="009B0996"/>
    <w:rsid w:val="009B0E7A"/>
    <w:rsid w:val="009B172C"/>
    <w:rsid w:val="009B1BBB"/>
    <w:rsid w:val="009B1D44"/>
    <w:rsid w:val="009B2332"/>
    <w:rsid w:val="009B2482"/>
    <w:rsid w:val="009B2637"/>
    <w:rsid w:val="009B298A"/>
    <w:rsid w:val="009B358F"/>
    <w:rsid w:val="009B3933"/>
    <w:rsid w:val="009B3E26"/>
    <w:rsid w:val="009B421F"/>
    <w:rsid w:val="009B4C41"/>
    <w:rsid w:val="009B4CF3"/>
    <w:rsid w:val="009B4E55"/>
    <w:rsid w:val="009B4F73"/>
    <w:rsid w:val="009B4FFF"/>
    <w:rsid w:val="009B51E8"/>
    <w:rsid w:val="009B55F5"/>
    <w:rsid w:val="009B5D50"/>
    <w:rsid w:val="009B60D5"/>
    <w:rsid w:val="009B6626"/>
    <w:rsid w:val="009B70A3"/>
    <w:rsid w:val="009B721A"/>
    <w:rsid w:val="009B726B"/>
    <w:rsid w:val="009B7406"/>
    <w:rsid w:val="009B75CC"/>
    <w:rsid w:val="009B7606"/>
    <w:rsid w:val="009B7938"/>
    <w:rsid w:val="009B7B62"/>
    <w:rsid w:val="009C075E"/>
    <w:rsid w:val="009C0F01"/>
    <w:rsid w:val="009C1271"/>
    <w:rsid w:val="009C2124"/>
    <w:rsid w:val="009C238E"/>
    <w:rsid w:val="009C27B7"/>
    <w:rsid w:val="009C3039"/>
    <w:rsid w:val="009C3145"/>
    <w:rsid w:val="009C323D"/>
    <w:rsid w:val="009C32A7"/>
    <w:rsid w:val="009C3706"/>
    <w:rsid w:val="009C3775"/>
    <w:rsid w:val="009C3A3A"/>
    <w:rsid w:val="009C4383"/>
    <w:rsid w:val="009C4648"/>
    <w:rsid w:val="009C46E4"/>
    <w:rsid w:val="009C4C83"/>
    <w:rsid w:val="009C4D3F"/>
    <w:rsid w:val="009C5D3F"/>
    <w:rsid w:val="009C6385"/>
    <w:rsid w:val="009C6CEA"/>
    <w:rsid w:val="009C7157"/>
    <w:rsid w:val="009C7B85"/>
    <w:rsid w:val="009D00A7"/>
    <w:rsid w:val="009D0254"/>
    <w:rsid w:val="009D0733"/>
    <w:rsid w:val="009D07FB"/>
    <w:rsid w:val="009D0800"/>
    <w:rsid w:val="009D11D0"/>
    <w:rsid w:val="009D14C5"/>
    <w:rsid w:val="009D1A64"/>
    <w:rsid w:val="009D1E66"/>
    <w:rsid w:val="009D1F2F"/>
    <w:rsid w:val="009D2F8F"/>
    <w:rsid w:val="009D32ED"/>
    <w:rsid w:val="009D38CA"/>
    <w:rsid w:val="009D425B"/>
    <w:rsid w:val="009D4301"/>
    <w:rsid w:val="009D4D9E"/>
    <w:rsid w:val="009D4F63"/>
    <w:rsid w:val="009D515C"/>
    <w:rsid w:val="009D5825"/>
    <w:rsid w:val="009D58E8"/>
    <w:rsid w:val="009D5B91"/>
    <w:rsid w:val="009D5D4D"/>
    <w:rsid w:val="009D5E8A"/>
    <w:rsid w:val="009D5EA9"/>
    <w:rsid w:val="009D61AD"/>
    <w:rsid w:val="009D642D"/>
    <w:rsid w:val="009D646F"/>
    <w:rsid w:val="009D64E8"/>
    <w:rsid w:val="009D6784"/>
    <w:rsid w:val="009D67D5"/>
    <w:rsid w:val="009D691B"/>
    <w:rsid w:val="009D6921"/>
    <w:rsid w:val="009D6A01"/>
    <w:rsid w:val="009D6B92"/>
    <w:rsid w:val="009D6D6E"/>
    <w:rsid w:val="009D6E9F"/>
    <w:rsid w:val="009D6F64"/>
    <w:rsid w:val="009D7100"/>
    <w:rsid w:val="009D7122"/>
    <w:rsid w:val="009D7843"/>
    <w:rsid w:val="009D792E"/>
    <w:rsid w:val="009D7D23"/>
    <w:rsid w:val="009E040B"/>
    <w:rsid w:val="009E050C"/>
    <w:rsid w:val="009E08ED"/>
    <w:rsid w:val="009E0C3D"/>
    <w:rsid w:val="009E0DFE"/>
    <w:rsid w:val="009E1020"/>
    <w:rsid w:val="009E18E2"/>
    <w:rsid w:val="009E2696"/>
    <w:rsid w:val="009E2805"/>
    <w:rsid w:val="009E2B85"/>
    <w:rsid w:val="009E2DB1"/>
    <w:rsid w:val="009E3047"/>
    <w:rsid w:val="009E31D1"/>
    <w:rsid w:val="009E31F6"/>
    <w:rsid w:val="009E3A21"/>
    <w:rsid w:val="009E3EE6"/>
    <w:rsid w:val="009E4656"/>
    <w:rsid w:val="009E4B61"/>
    <w:rsid w:val="009E4C07"/>
    <w:rsid w:val="009E4EFE"/>
    <w:rsid w:val="009E53BF"/>
    <w:rsid w:val="009E541F"/>
    <w:rsid w:val="009E6421"/>
    <w:rsid w:val="009E683A"/>
    <w:rsid w:val="009E68B4"/>
    <w:rsid w:val="009E68DE"/>
    <w:rsid w:val="009E6EAA"/>
    <w:rsid w:val="009E71FB"/>
    <w:rsid w:val="009E777F"/>
    <w:rsid w:val="009E7A40"/>
    <w:rsid w:val="009E7ADF"/>
    <w:rsid w:val="009E7CAC"/>
    <w:rsid w:val="009F0453"/>
    <w:rsid w:val="009F07BD"/>
    <w:rsid w:val="009F1612"/>
    <w:rsid w:val="009F18CA"/>
    <w:rsid w:val="009F1F44"/>
    <w:rsid w:val="009F1FCD"/>
    <w:rsid w:val="009F2078"/>
    <w:rsid w:val="009F3592"/>
    <w:rsid w:val="009F3765"/>
    <w:rsid w:val="009F3B24"/>
    <w:rsid w:val="009F3F3F"/>
    <w:rsid w:val="009F4047"/>
    <w:rsid w:val="009F45B6"/>
    <w:rsid w:val="009F4872"/>
    <w:rsid w:val="009F4B90"/>
    <w:rsid w:val="009F4C8F"/>
    <w:rsid w:val="009F52BC"/>
    <w:rsid w:val="009F534D"/>
    <w:rsid w:val="009F559A"/>
    <w:rsid w:val="009F565B"/>
    <w:rsid w:val="009F5C61"/>
    <w:rsid w:val="009F6120"/>
    <w:rsid w:val="009F6306"/>
    <w:rsid w:val="009F6351"/>
    <w:rsid w:val="009F6BEF"/>
    <w:rsid w:val="009F6E61"/>
    <w:rsid w:val="009F6F1D"/>
    <w:rsid w:val="009F6F23"/>
    <w:rsid w:val="009F7701"/>
    <w:rsid w:val="009F7C44"/>
    <w:rsid w:val="009F7E84"/>
    <w:rsid w:val="00A00B1A"/>
    <w:rsid w:val="00A00D76"/>
    <w:rsid w:val="00A01166"/>
    <w:rsid w:val="00A01184"/>
    <w:rsid w:val="00A01449"/>
    <w:rsid w:val="00A0156D"/>
    <w:rsid w:val="00A01634"/>
    <w:rsid w:val="00A01CCC"/>
    <w:rsid w:val="00A022FA"/>
    <w:rsid w:val="00A026C2"/>
    <w:rsid w:val="00A026E3"/>
    <w:rsid w:val="00A02CDD"/>
    <w:rsid w:val="00A02E1E"/>
    <w:rsid w:val="00A02EFE"/>
    <w:rsid w:val="00A037C2"/>
    <w:rsid w:val="00A03D43"/>
    <w:rsid w:val="00A03DD1"/>
    <w:rsid w:val="00A04240"/>
    <w:rsid w:val="00A04380"/>
    <w:rsid w:val="00A046DF"/>
    <w:rsid w:val="00A04786"/>
    <w:rsid w:val="00A048CD"/>
    <w:rsid w:val="00A04DF0"/>
    <w:rsid w:val="00A04DFE"/>
    <w:rsid w:val="00A051F2"/>
    <w:rsid w:val="00A05472"/>
    <w:rsid w:val="00A05805"/>
    <w:rsid w:val="00A058DC"/>
    <w:rsid w:val="00A05C32"/>
    <w:rsid w:val="00A05DC0"/>
    <w:rsid w:val="00A0653F"/>
    <w:rsid w:val="00A0654C"/>
    <w:rsid w:val="00A067DE"/>
    <w:rsid w:val="00A06DA0"/>
    <w:rsid w:val="00A07713"/>
    <w:rsid w:val="00A07A61"/>
    <w:rsid w:val="00A07D1E"/>
    <w:rsid w:val="00A100C7"/>
    <w:rsid w:val="00A1032D"/>
    <w:rsid w:val="00A1070F"/>
    <w:rsid w:val="00A10867"/>
    <w:rsid w:val="00A10F57"/>
    <w:rsid w:val="00A11215"/>
    <w:rsid w:val="00A11299"/>
    <w:rsid w:val="00A115CC"/>
    <w:rsid w:val="00A11AF7"/>
    <w:rsid w:val="00A11CD0"/>
    <w:rsid w:val="00A11D44"/>
    <w:rsid w:val="00A1329A"/>
    <w:rsid w:val="00A1337B"/>
    <w:rsid w:val="00A134F7"/>
    <w:rsid w:val="00A13948"/>
    <w:rsid w:val="00A13A2A"/>
    <w:rsid w:val="00A13B14"/>
    <w:rsid w:val="00A13BC9"/>
    <w:rsid w:val="00A13D1C"/>
    <w:rsid w:val="00A142E3"/>
    <w:rsid w:val="00A143A3"/>
    <w:rsid w:val="00A1441D"/>
    <w:rsid w:val="00A144D8"/>
    <w:rsid w:val="00A1456E"/>
    <w:rsid w:val="00A148BC"/>
    <w:rsid w:val="00A14EB7"/>
    <w:rsid w:val="00A150BF"/>
    <w:rsid w:val="00A1555B"/>
    <w:rsid w:val="00A155C5"/>
    <w:rsid w:val="00A15CBC"/>
    <w:rsid w:val="00A15E2B"/>
    <w:rsid w:val="00A1648B"/>
    <w:rsid w:val="00A16AD8"/>
    <w:rsid w:val="00A16F43"/>
    <w:rsid w:val="00A17228"/>
    <w:rsid w:val="00A17AC2"/>
    <w:rsid w:val="00A17C99"/>
    <w:rsid w:val="00A2021E"/>
    <w:rsid w:val="00A20977"/>
    <w:rsid w:val="00A209A8"/>
    <w:rsid w:val="00A20A7E"/>
    <w:rsid w:val="00A20E09"/>
    <w:rsid w:val="00A2146D"/>
    <w:rsid w:val="00A21518"/>
    <w:rsid w:val="00A21663"/>
    <w:rsid w:val="00A21836"/>
    <w:rsid w:val="00A21A58"/>
    <w:rsid w:val="00A21A93"/>
    <w:rsid w:val="00A21C95"/>
    <w:rsid w:val="00A21CF3"/>
    <w:rsid w:val="00A21F42"/>
    <w:rsid w:val="00A229E4"/>
    <w:rsid w:val="00A23715"/>
    <w:rsid w:val="00A23D18"/>
    <w:rsid w:val="00A23D99"/>
    <w:rsid w:val="00A241A6"/>
    <w:rsid w:val="00A24206"/>
    <w:rsid w:val="00A24813"/>
    <w:rsid w:val="00A24E6F"/>
    <w:rsid w:val="00A258E7"/>
    <w:rsid w:val="00A25D1C"/>
    <w:rsid w:val="00A26190"/>
    <w:rsid w:val="00A2666D"/>
    <w:rsid w:val="00A275AF"/>
    <w:rsid w:val="00A27AEC"/>
    <w:rsid w:val="00A27BB3"/>
    <w:rsid w:val="00A27CD3"/>
    <w:rsid w:val="00A3027D"/>
    <w:rsid w:val="00A30507"/>
    <w:rsid w:val="00A30833"/>
    <w:rsid w:val="00A3087E"/>
    <w:rsid w:val="00A30941"/>
    <w:rsid w:val="00A30DE5"/>
    <w:rsid w:val="00A31B00"/>
    <w:rsid w:val="00A31F0A"/>
    <w:rsid w:val="00A320DB"/>
    <w:rsid w:val="00A3254A"/>
    <w:rsid w:val="00A32D4C"/>
    <w:rsid w:val="00A32E54"/>
    <w:rsid w:val="00A332F4"/>
    <w:rsid w:val="00A335E0"/>
    <w:rsid w:val="00A33803"/>
    <w:rsid w:val="00A34693"/>
    <w:rsid w:val="00A349F4"/>
    <w:rsid w:val="00A34AA3"/>
    <w:rsid w:val="00A34B10"/>
    <w:rsid w:val="00A34F9B"/>
    <w:rsid w:val="00A357CE"/>
    <w:rsid w:val="00A35A7B"/>
    <w:rsid w:val="00A35C91"/>
    <w:rsid w:val="00A35D16"/>
    <w:rsid w:val="00A35D67"/>
    <w:rsid w:val="00A365E1"/>
    <w:rsid w:val="00A36818"/>
    <w:rsid w:val="00A36D9B"/>
    <w:rsid w:val="00A37214"/>
    <w:rsid w:val="00A3770D"/>
    <w:rsid w:val="00A378B7"/>
    <w:rsid w:val="00A37BCD"/>
    <w:rsid w:val="00A404AA"/>
    <w:rsid w:val="00A406DB"/>
    <w:rsid w:val="00A40DEB"/>
    <w:rsid w:val="00A411A4"/>
    <w:rsid w:val="00A41684"/>
    <w:rsid w:val="00A41689"/>
    <w:rsid w:val="00A4174D"/>
    <w:rsid w:val="00A418E9"/>
    <w:rsid w:val="00A422A7"/>
    <w:rsid w:val="00A42389"/>
    <w:rsid w:val="00A42592"/>
    <w:rsid w:val="00A42596"/>
    <w:rsid w:val="00A42753"/>
    <w:rsid w:val="00A42910"/>
    <w:rsid w:val="00A42B2D"/>
    <w:rsid w:val="00A42EC1"/>
    <w:rsid w:val="00A430B3"/>
    <w:rsid w:val="00A43688"/>
    <w:rsid w:val="00A43C59"/>
    <w:rsid w:val="00A43E62"/>
    <w:rsid w:val="00A43F72"/>
    <w:rsid w:val="00A445AB"/>
    <w:rsid w:val="00A44ADF"/>
    <w:rsid w:val="00A45407"/>
    <w:rsid w:val="00A45879"/>
    <w:rsid w:val="00A4698A"/>
    <w:rsid w:val="00A46AA4"/>
    <w:rsid w:val="00A4749A"/>
    <w:rsid w:val="00A47616"/>
    <w:rsid w:val="00A47C72"/>
    <w:rsid w:val="00A47CF0"/>
    <w:rsid w:val="00A47E2C"/>
    <w:rsid w:val="00A5019E"/>
    <w:rsid w:val="00A50DEB"/>
    <w:rsid w:val="00A50ECD"/>
    <w:rsid w:val="00A513AA"/>
    <w:rsid w:val="00A514DE"/>
    <w:rsid w:val="00A517CC"/>
    <w:rsid w:val="00A518F3"/>
    <w:rsid w:val="00A51988"/>
    <w:rsid w:val="00A51EE6"/>
    <w:rsid w:val="00A52131"/>
    <w:rsid w:val="00A521E9"/>
    <w:rsid w:val="00A5268F"/>
    <w:rsid w:val="00A52729"/>
    <w:rsid w:val="00A529CD"/>
    <w:rsid w:val="00A52A89"/>
    <w:rsid w:val="00A52B85"/>
    <w:rsid w:val="00A534BC"/>
    <w:rsid w:val="00A53675"/>
    <w:rsid w:val="00A53711"/>
    <w:rsid w:val="00A539A3"/>
    <w:rsid w:val="00A53B76"/>
    <w:rsid w:val="00A54A88"/>
    <w:rsid w:val="00A559B0"/>
    <w:rsid w:val="00A562B4"/>
    <w:rsid w:val="00A564D7"/>
    <w:rsid w:val="00A56B6A"/>
    <w:rsid w:val="00A57274"/>
    <w:rsid w:val="00A578DC"/>
    <w:rsid w:val="00A57DAE"/>
    <w:rsid w:val="00A6055D"/>
    <w:rsid w:val="00A6103E"/>
    <w:rsid w:val="00A611A8"/>
    <w:rsid w:val="00A611CC"/>
    <w:rsid w:val="00A6191E"/>
    <w:rsid w:val="00A61DF8"/>
    <w:rsid w:val="00A6236C"/>
    <w:rsid w:val="00A6304B"/>
    <w:rsid w:val="00A63BF4"/>
    <w:rsid w:val="00A63C2D"/>
    <w:rsid w:val="00A640E2"/>
    <w:rsid w:val="00A64AF1"/>
    <w:rsid w:val="00A64D65"/>
    <w:rsid w:val="00A662F8"/>
    <w:rsid w:val="00A66477"/>
    <w:rsid w:val="00A665C4"/>
    <w:rsid w:val="00A66C94"/>
    <w:rsid w:val="00A6725B"/>
    <w:rsid w:val="00A67DEC"/>
    <w:rsid w:val="00A70226"/>
    <w:rsid w:val="00A70605"/>
    <w:rsid w:val="00A706A2"/>
    <w:rsid w:val="00A70C09"/>
    <w:rsid w:val="00A70EC6"/>
    <w:rsid w:val="00A71006"/>
    <w:rsid w:val="00A71A4E"/>
    <w:rsid w:val="00A72093"/>
    <w:rsid w:val="00A72234"/>
    <w:rsid w:val="00A72B02"/>
    <w:rsid w:val="00A72B27"/>
    <w:rsid w:val="00A72DEA"/>
    <w:rsid w:val="00A73134"/>
    <w:rsid w:val="00A7365A"/>
    <w:rsid w:val="00A739D1"/>
    <w:rsid w:val="00A73D91"/>
    <w:rsid w:val="00A74016"/>
    <w:rsid w:val="00A743B4"/>
    <w:rsid w:val="00A748EE"/>
    <w:rsid w:val="00A7496B"/>
    <w:rsid w:val="00A74AFF"/>
    <w:rsid w:val="00A74C60"/>
    <w:rsid w:val="00A74FE9"/>
    <w:rsid w:val="00A74FED"/>
    <w:rsid w:val="00A75096"/>
    <w:rsid w:val="00A752A8"/>
    <w:rsid w:val="00A753A9"/>
    <w:rsid w:val="00A758CD"/>
    <w:rsid w:val="00A75B50"/>
    <w:rsid w:val="00A75B7A"/>
    <w:rsid w:val="00A75B7D"/>
    <w:rsid w:val="00A75D19"/>
    <w:rsid w:val="00A75DE5"/>
    <w:rsid w:val="00A76001"/>
    <w:rsid w:val="00A7624B"/>
    <w:rsid w:val="00A7646F"/>
    <w:rsid w:val="00A76736"/>
    <w:rsid w:val="00A768FB"/>
    <w:rsid w:val="00A76C3D"/>
    <w:rsid w:val="00A76CD1"/>
    <w:rsid w:val="00A76EED"/>
    <w:rsid w:val="00A76F22"/>
    <w:rsid w:val="00A77091"/>
    <w:rsid w:val="00A77370"/>
    <w:rsid w:val="00A777B2"/>
    <w:rsid w:val="00A77E47"/>
    <w:rsid w:val="00A77FFC"/>
    <w:rsid w:val="00A801E7"/>
    <w:rsid w:val="00A81B92"/>
    <w:rsid w:val="00A81C79"/>
    <w:rsid w:val="00A820C1"/>
    <w:rsid w:val="00A825D4"/>
    <w:rsid w:val="00A828F6"/>
    <w:rsid w:val="00A82B73"/>
    <w:rsid w:val="00A82E59"/>
    <w:rsid w:val="00A83049"/>
    <w:rsid w:val="00A835AA"/>
    <w:rsid w:val="00A83A2B"/>
    <w:rsid w:val="00A83AF0"/>
    <w:rsid w:val="00A840FA"/>
    <w:rsid w:val="00A841EC"/>
    <w:rsid w:val="00A843D7"/>
    <w:rsid w:val="00A8449F"/>
    <w:rsid w:val="00A84625"/>
    <w:rsid w:val="00A853AC"/>
    <w:rsid w:val="00A85B5C"/>
    <w:rsid w:val="00A85DAE"/>
    <w:rsid w:val="00A860F2"/>
    <w:rsid w:val="00A86B6B"/>
    <w:rsid w:val="00A86E8B"/>
    <w:rsid w:val="00A86F5D"/>
    <w:rsid w:val="00A87164"/>
    <w:rsid w:val="00A871A9"/>
    <w:rsid w:val="00A874C7"/>
    <w:rsid w:val="00A9004F"/>
    <w:rsid w:val="00A90682"/>
    <w:rsid w:val="00A9100A"/>
    <w:rsid w:val="00A91C4B"/>
    <w:rsid w:val="00A91EDA"/>
    <w:rsid w:val="00A921B0"/>
    <w:rsid w:val="00A92469"/>
    <w:rsid w:val="00A92641"/>
    <w:rsid w:val="00A93059"/>
    <w:rsid w:val="00A93072"/>
    <w:rsid w:val="00A930D7"/>
    <w:rsid w:val="00A93464"/>
    <w:rsid w:val="00A9361C"/>
    <w:rsid w:val="00A938BD"/>
    <w:rsid w:val="00A93953"/>
    <w:rsid w:val="00A93CED"/>
    <w:rsid w:val="00A93DBD"/>
    <w:rsid w:val="00A93FFA"/>
    <w:rsid w:val="00A9441D"/>
    <w:rsid w:val="00A9470B"/>
    <w:rsid w:val="00A947C3"/>
    <w:rsid w:val="00A95031"/>
    <w:rsid w:val="00A951B9"/>
    <w:rsid w:val="00A95829"/>
    <w:rsid w:val="00A959D8"/>
    <w:rsid w:val="00A96331"/>
    <w:rsid w:val="00A963B8"/>
    <w:rsid w:val="00A964B9"/>
    <w:rsid w:val="00A9659C"/>
    <w:rsid w:val="00A96685"/>
    <w:rsid w:val="00A96952"/>
    <w:rsid w:val="00A96A5F"/>
    <w:rsid w:val="00A970D3"/>
    <w:rsid w:val="00A97618"/>
    <w:rsid w:val="00A97665"/>
    <w:rsid w:val="00A9769A"/>
    <w:rsid w:val="00A9796D"/>
    <w:rsid w:val="00A97F10"/>
    <w:rsid w:val="00AA01C2"/>
    <w:rsid w:val="00AA0A67"/>
    <w:rsid w:val="00AA0D27"/>
    <w:rsid w:val="00AA113D"/>
    <w:rsid w:val="00AA1320"/>
    <w:rsid w:val="00AA1571"/>
    <w:rsid w:val="00AA162E"/>
    <w:rsid w:val="00AA18ED"/>
    <w:rsid w:val="00AA1A65"/>
    <w:rsid w:val="00AA1C26"/>
    <w:rsid w:val="00AA1E98"/>
    <w:rsid w:val="00AA210E"/>
    <w:rsid w:val="00AA219A"/>
    <w:rsid w:val="00AA2564"/>
    <w:rsid w:val="00AA27C1"/>
    <w:rsid w:val="00AA29F2"/>
    <w:rsid w:val="00AA2D1C"/>
    <w:rsid w:val="00AA327A"/>
    <w:rsid w:val="00AA36B5"/>
    <w:rsid w:val="00AA39F4"/>
    <w:rsid w:val="00AA3AA7"/>
    <w:rsid w:val="00AA4092"/>
    <w:rsid w:val="00AA40CB"/>
    <w:rsid w:val="00AA43A6"/>
    <w:rsid w:val="00AA48AC"/>
    <w:rsid w:val="00AA4909"/>
    <w:rsid w:val="00AA4A57"/>
    <w:rsid w:val="00AA4BDA"/>
    <w:rsid w:val="00AA52E4"/>
    <w:rsid w:val="00AA5961"/>
    <w:rsid w:val="00AA5AD2"/>
    <w:rsid w:val="00AA5DA9"/>
    <w:rsid w:val="00AA5E69"/>
    <w:rsid w:val="00AA5E6B"/>
    <w:rsid w:val="00AA6161"/>
    <w:rsid w:val="00AA6BD5"/>
    <w:rsid w:val="00AA6BD8"/>
    <w:rsid w:val="00AA6C7D"/>
    <w:rsid w:val="00AA6F64"/>
    <w:rsid w:val="00AA7170"/>
    <w:rsid w:val="00AA721C"/>
    <w:rsid w:val="00AA72DD"/>
    <w:rsid w:val="00AA73D2"/>
    <w:rsid w:val="00AA759A"/>
    <w:rsid w:val="00AA7627"/>
    <w:rsid w:val="00AA7928"/>
    <w:rsid w:val="00AA7E21"/>
    <w:rsid w:val="00AA7FD6"/>
    <w:rsid w:val="00AB042A"/>
    <w:rsid w:val="00AB067C"/>
    <w:rsid w:val="00AB076C"/>
    <w:rsid w:val="00AB0DC9"/>
    <w:rsid w:val="00AB0ED7"/>
    <w:rsid w:val="00AB0FEF"/>
    <w:rsid w:val="00AB11AD"/>
    <w:rsid w:val="00AB18FE"/>
    <w:rsid w:val="00AB19EF"/>
    <w:rsid w:val="00AB1A47"/>
    <w:rsid w:val="00AB1AA2"/>
    <w:rsid w:val="00AB20CE"/>
    <w:rsid w:val="00AB20D3"/>
    <w:rsid w:val="00AB2495"/>
    <w:rsid w:val="00AB25ED"/>
    <w:rsid w:val="00AB283C"/>
    <w:rsid w:val="00AB2D34"/>
    <w:rsid w:val="00AB3430"/>
    <w:rsid w:val="00AB37B9"/>
    <w:rsid w:val="00AB3C61"/>
    <w:rsid w:val="00AB3FBE"/>
    <w:rsid w:val="00AB4814"/>
    <w:rsid w:val="00AB4A15"/>
    <w:rsid w:val="00AB4AD1"/>
    <w:rsid w:val="00AB4D38"/>
    <w:rsid w:val="00AB4D81"/>
    <w:rsid w:val="00AB4E3F"/>
    <w:rsid w:val="00AB5277"/>
    <w:rsid w:val="00AB54F1"/>
    <w:rsid w:val="00AB590D"/>
    <w:rsid w:val="00AB5B6F"/>
    <w:rsid w:val="00AB5E07"/>
    <w:rsid w:val="00AB5FE5"/>
    <w:rsid w:val="00AB6142"/>
    <w:rsid w:val="00AB675B"/>
    <w:rsid w:val="00AB6A16"/>
    <w:rsid w:val="00AB6E86"/>
    <w:rsid w:val="00AB72E5"/>
    <w:rsid w:val="00AB75C3"/>
    <w:rsid w:val="00AB7B10"/>
    <w:rsid w:val="00AB7CA7"/>
    <w:rsid w:val="00AB7CFA"/>
    <w:rsid w:val="00AB7D1E"/>
    <w:rsid w:val="00AB7DD2"/>
    <w:rsid w:val="00AB7F0A"/>
    <w:rsid w:val="00AC015A"/>
    <w:rsid w:val="00AC0A14"/>
    <w:rsid w:val="00AC0AFD"/>
    <w:rsid w:val="00AC0B24"/>
    <w:rsid w:val="00AC12E7"/>
    <w:rsid w:val="00AC1D0D"/>
    <w:rsid w:val="00AC1D99"/>
    <w:rsid w:val="00AC225E"/>
    <w:rsid w:val="00AC2393"/>
    <w:rsid w:val="00AC276F"/>
    <w:rsid w:val="00AC27A1"/>
    <w:rsid w:val="00AC2BB0"/>
    <w:rsid w:val="00AC2E7C"/>
    <w:rsid w:val="00AC32CF"/>
    <w:rsid w:val="00AC350A"/>
    <w:rsid w:val="00AC35E5"/>
    <w:rsid w:val="00AC3B20"/>
    <w:rsid w:val="00AC46F1"/>
    <w:rsid w:val="00AC4A73"/>
    <w:rsid w:val="00AC54A5"/>
    <w:rsid w:val="00AC56AE"/>
    <w:rsid w:val="00AC56FB"/>
    <w:rsid w:val="00AC577B"/>
    <w:rsid w:val="00AC5B42"/>
    <w:rsid w:val="00AC5B48"/>
    <w:rsid w:val="00AC5EC5"/>
    <w:rsid w:val="00AC5F2A"/>
    <w:rsid w:val="00AC60E7"/>
    <w:rsid w:val="00AC6177"/>
    <w:rsid w:val="00AC671A"/>
    <w:rsid w:val="00AC7511"/>
    <w:rsid w:val="00AC7889"/>
    <w:rsid w:val="00AC7ADE"/>
    <w:rsid w:val="00AD03C4"/>
    <w:rsid w:val="00AD04A3"/>
    <w:rsid w:val="00AD04A9"/>
    <w:rsid w:val="00AD070E"/>
    <w:rsid w:val="00AD0BAC"/>
    <w:rsid w:val="00AD0C9D"/>
    <w:rsid w:val="00AD105D"/>
    <w:rsid w:val="00AD10FD"/>
    <w:rsid w:val="00AD1450"/>
    <w:rsid w:val="00AD15E8"/>
    <w:rsid w:val="00AD16E4"/>
    <w:rsid w:val="00AD17D4"/>
    <w:rsid w:val="00AD2562"/>
    <w:rsid w:val="00AD27D7"/>
    <w:rsid w:val="00AD2C48"/>
    <w:rsid w:val="00AD2F37"/>
    <w:rsid w:val="00AD356D"/>
    <w:rsid w:val="00AD397C"/>
    <w:rsid w:val="00AD437B"/>
    <w:rsid w:val="00AD44A7"/>
    <w:rsid w:val="00AD466B"/>
    <w:rsid w:val="00AD4CAD"/>
    <w:rsid w:val="00AD4D3D"/>
    <w:rsid w:val="00AD4E1B"/>
    <w:rsid w:val="00AD57EF"/>
    <w:rsid w:val="00AD599D"/>
    <w:rsid w:val="00AD5ADB"/>
    <w:rsid w:val="00AD5FAC"/>
    <w:rsid w:val="00AD6187"/>
    <w:rsid w:val="00AD6502"/>
    <w:rsid w:val="00AD6811"/>
    <w:rsid w:val="00AD6C92"/>
    <w:rsid w:val="00AD6E3E"/>
    <w:rsid w:val="00AD6F31"/>
    <w:rsid w:val="00AD727F"/>
    <w:rsid w:val="00AD759F"/>
    <w:rsid w:val="00AD76DB"/>
    <w:rsid w:val="00AE0695"/>
    <w:rsid w:val="00AE0AE1"/>
    <w:rsid w:val="00AE0C01"/>
    <w:rsid w:val="00AE0CEC"/>
    <w:rsid w:val="00AE22F4"/>
    <w:rsid w:val="00AE23AF"/>
    <w:rsid w:val="00AE2D95"/>
    <w:rsid w:val="00AE3E7E"/>
    <w:rsid w:val="00AE40E7"/>
    <w:rsid w:val="00AE4B96"/>
    <w:rsid w:val="00AE5802"/>
    <w:rsid w:val="00AE5C61"/>
    <w:rsid w:val="00AE5D13"/>
    <w:rsid w:val="00AE5F52"/>
    <w:rsid w:val="00AE6322"/>
    <w:rsid w:val="00AE6D3B"/>
    <w:rsid w:val="00AE7430"/>
    <w:rsid w:val="00AE7BB2"/>
    <w:rsid w:val="00AE7E53"/>
    <w:rsid w:val="00AE7E6D"/>
    <w:rsid w:val="00AF0524"/>
    <w:rsid w:val="00AF0A5B"/>
    <w:rsid w:val="00AF1100"/>
    <w:rsid w:val="00AF1315"/>
    <w:rsid w:val="00AF1651"/>
    <w:rsid w:val="00AF1701"/>
    <w:rsid w:val="00AF18BA"/>
    <w:rsid w:val="00AF19BF"/>
    <w:rsid w:val="00AF1A38"/>
    <w:rsid w:val="00AF2086"/>
    <w:rsid w:val="00AF24E5"/>
    <w:rsid w:val="00AF2519"/>
    <w:rsid w:val="00AF2771"/>
    <w:rsid w:val="00AF27A3"/>
    <w:rsid w:val="00AF27C1"/>
    <w:rsid w:val="00AF2DC3"/>
    <w:rsid w:val="00AF2F0B"/>
    <w:rsid w:val="00AF3676"/>
    <w:rsid w:val="00AF4D53"/>
    <w:rsid w:val="00AF4DE2"/>
    <w:rsid w:val="00AF5149"/>
    <w:rsid w:val="00AF5AA8"/>
    <w:rsid w:val="00AF5D5E"/>
    <w:rsid w:val="00AF60BE"/>
    <w:rsid w:val="00AF60DE"/>
    <w:rsid w:val="00AF6ADF"/>
    <w:rsid w:val="00AF7245"/>
    <w:rsid w:val="00AF774D"/>
    <w:rsid w:val="00AF7D3E"/>
    <w:rsid w:val="00B00382"/>
    <w:rsid w:val="00B003C9"/>
    <w:rsid w:val="00B00BD8"/>
    <w:rsid w:val="00B00CAA"/>
    <w:rsid w:val="00B01395"/>
    <w:rsid w:val="00B016DF"/>
    <w:rsid w:val="00B019E0"/>
    <w:rsid w:val="00B020DE"/>
    <w:rsid w:val="00B021C6"/>
    <w:rsid w:val="00B022B4"/>
    <w:rsid w:val="00B029A0"/>
    <w:rsid w:val="00B033E5"/>
    <w:rsid w:val="00B03955"/>
    <w:rsid w:val="00B03A63"/>
    <w:rsid w:val="00B04162"/>
    <w:rsid w:val="00B041DB"/>
    <w:rsid w:val="00B04591"/>
    <w:rsid w:val="00B04D1D"/>
    <w:rsid w:val="00B05466"/>
    <w:rsid w:val="00B05594"/>
    <w:rsid w:val="00B05678"/>
    <w:rsid w:val="00B057C7"/>
    <w:rsid w:val="00B06B42"/>
    <w:rsid w:val="00B06E90"/>
    <w:rsid w:val="00B06FA9"/>
    <w:rsid w:val="00B07278"/>
    <w:rsid w:val="00B07663"/>
    <w:rsid w:val="00B078A1"/>
    <w:rsid w:val="00B079A9"/>
    <w:rsid w:val="00B07C38"/>
    <w:rsid w:val="00B07F6F"/>
    <w:rsid w:val="00B100EF"/>
    <w:rsid w:val="00B1049C"/>
    <w:rsid w:val="00B10621"/>
    <w:rsid w:val="00B10971"/>
    <w:rsid w:val="00B10A1C"/>
    <w:rsid w:val="00B10D23"/>
    <w:rsid w:val="00B10D81"/>
    <w:rsid w:val="00B1150B"/>
    <w:rsid w:val="00B11E66"/>
    <w:rsid w:val="00B12163"/>
    <w:rsid w:val="00B12392"/>
    <w:rsid w:val="00B123CF"/>
    <w:rsid w:val="00B123F1"/>
    <w:rsid w:val="00B1251B"/>
    <w:rsid w:val="00B126C7"/>
    <w:rsid w:val="00B1288D"/>
    <w:rsid w:val="00B129A4"/>
    <w:rsid w:val="00B12C08"/>
    <w:rsid w:val="00B12C6D"/>
    <w:rsid w:val="00B12C9C"/>
    <w:rsid w:val="00B12D44"/>
    <w:rsid w:val="00B1317C"/>
    <w:rsid w:val="00B135E6"/>
    <w:rsid w:val="00B13FED"/>
    <w:rsid w:val="00B142E8"/>
    <w:rsid w:val="00B1432B"/>
    <w:rsid w:val="00B14A30"/>
    <w:rsid w:val="00B15927"/>
    <w:rsid w:val="00B15CC2"/>
    <w:rsid w:val="00B16366"/>
    <w:rsid w:val="00B16402"/>
    <w:rsid w:val="00B1685A"/>
    <w:rsid w:val="00B16861"/>
    <w:rsid w:val="00B16CA9"/>
    <w:rsid w:val="00B17079"/>
    <w:rsid w:val="00B17122"/>
    <w:rsid w:val="00B173E1"/>
    <w:rsid w:val="00B17672"/>
    <w:rsid w:val="00B17835"/>
    <w:rsid w:val="00B17DA6"/>
    <w:rsid w:val="00B17EF9"/>
    <w:rsid w:val="00B2005E"/>
    <w:rsid w:val="00B201A4"/>
    <w:rsid w:val="00B201D1"/>
    <w:rsid w:val="00B20307"/>
    <w:rsid w:val="00B206B4"/>
    <w:rsid w:val="00B20BEE"/>
    <w:rsid w:val="00B20C83"/>
    <w:rsid w:val="00B213A6"/>
    <w:rsid w:val="00B216F7"/>
    <w:rsid w:val="00B21B61"/>
    <w:rsid w:val="00B21FC1"/>
    <w:rsid w:val="00B222C7"/>
    <w:rsid w:val="00B22566"/>
    <w:rsid w:val="00B22A0E"/>
    <w:rsid w:val="00B22C4A"/>
    <w:rsid w:val="00B22E87"/>
    <w:rsid w:val="00B22EA5"/>
    <w:rsid w:val="00B22FD3"/>
    <w:rsid w:val="00B235B0"/>
    <w:rsid w:val="00B23624"/>
    <w:rsid w:val="00B24353"/>
    <w:rsid w:val="00B24410"/>
    <w:rsid w:val="00B249A6"/>
    <w:rsid w:val="00B24B34"/>
    <w:rsid w:val="00B24DF6"/>
    <w:rsid w:val="00B25A49"/>
    <w:rsid w:val="00B25B96"/>
    <w:rsid w:val="00B25F11"/>
    <w:rsid w:val="00B2657F"/>
    <w:rsid w:val="00B26813"/>
    <w:rsid w:val="00B270F4"/>
    <w:rsid w:val="00B27104"/>
    <w:rsid w:val="00B277FB"/>
    <w:rsid w:val="00B27976"/>
    <w:rsid w:val="00B27A61"/>
    <w:rsid w:val="00B30051"/>
    <w:rsid w:val="00B3007D"/>
    <w:rsid w:val="00B30304"/>
    <w:rsid w:val="00B3157D"/>
    <w:rsid w:val="00B32A6A"/>
    <w:rsid w:val="00B32F0F"/>
    <w:rsid w:val="00B32FAF"/>
    <w:rsid w:val="00B33494"/>
    <w:rsid w:val="00B33AC8"/>
    <w:rsid w:val="00B34325"/>
    <w:rsid w:val="00B343D5"/>
    <w:rsid w:val="00B344C5"/>
    <w:rsid w:val="00B344E8"/>
    <w:rsid w:val="00B34FE2"/>
    <w:rsid w:val="00B35166"/>
    <w:rsid w:val="00B35366"/>
    <w:rsid w:val="00B357D8"/>
    <w:rsid w:val="00B35FFC"/>
    <w:rsid w:val="00B360F4"/>
    <w:rsid w:val="00B361A5"/>
    <w:rsid w:val="00B3661D"/>
    <w:rsid w:val="00B36708"/>
    <w:rsid w:val="00B36A00"/>
    <w:rsid w:val="00B36A8B"/>
    <w:rsid w:val="00B36CD3"/>
    <w:rsid w:val="00B36E61"/>
    <w:rsid w:val="00B376C4"/>
    <w:rsid w:val="00B376FD"/>
    <w:rsid w:val="00B378D0"/>
    <w:rsid w:val="00B3792B"/>
    <w:rsid w:val="00B37BFC"/>
    <w:rsid w:val="00B37CC9"/>
    <w:rsid w:val="00B37DA2"/>
    <w:rsid w:val="00B4028B"/>
    <w:rsid w:val="00B40358"/>
    <w:rsid w:val="00B40638"/>
    <w:rsid w:val="00B4090B"/>
    <w:rsid w:val="00B40B91"/>
    <w:rsid w:val="00B41592"/>
    <w:rsid w:val="00B41614"/>
    <w:rsid w:val="00B41873"/>
    <w:rsid w:val="00B421DE"/>
    <w:rsid w:val="00B4220C"/>
    <w:rsid w:val="00B42532"/>
    <w:rsid w:val="00B4261D"/>
    <w:rsid w:val="00B42851"/>
    <w:rsid w:val="00B42E7F"/>
    <w:rsid w:val="00B42F80"/>
    <w:rsid w:val="00B435CB"/>
    <w:rsid w:val="00B43C0F"/>
    <w:rsid w:val="00B44018"/>
    <w:rsid w:val="00B44292"/>
    <w:rsid w:val="00B443E0"/>
    <w:rsid w:val="00B44645"/>
    <w:rsid w:val="00B4466A"/>
    <w:rsid w:val="00B446E3"/>
    <w:rsid w:val="00B44AD2"/>
    <w:rsid w:val="00B45101"/>
    <w:rsid w:val="00B45104"/>
    <w:rsid w:val="00B451FD"/>
    <w:rsid w:val="00B462AF"/>
    <w:rsid w:val="00B465EC"/>
    <w:rsid w:val="00B46A18"/>
    <w:rsid w:val="00B46CA4"/>
    <w:rsid w:val="00B47274"/>
    <w:rsid w:val="00B477CC"/>
    <w:rsid w:val="00B478C0"/>
    <w:rsid w:val="00B505C8"/>
    <w:rsid w:val="00B50966"/>
    <w:rsid w:val="00B509EE"/>
    <w:rsid w:val="00B50B16"/>
    <w:rsid w:val="00B50DB8"/>
    <w:rsid w:val="00B511FB"/>
    <w:rsid w:val="00B513DA"/>
    <w:rsid w:val="00B514B0"/>
    <w:rsid w:val="00B519EB"/>
    <w:rsid w:val="00B52333"/>
    <w:rsid w:val="00B5237B"/>
    <w:rsid w:val="00B526B9"/>
    <w:rsid w:val="00B52DAF"/>
    <w:rsid w:val="00B531AF"/>
    <w:rsid w:val="00B53654"/>
    <w:rsid w:val="00B536A3"/>
    <w:rsid w:val="00B536CC"/>
    <w:rsid w:val="00B53905"/>
    <w:rsid w:val="00B53C6A"/>
    <w:rsid w:val="00B53D41"/>
    <w:rsid w:val="00B53D76"/>
    <w:rsid w:val="00B540A4"/>
    <w:rsid w:val="00B546DB"/>
    <w:rsid w:val="00B549D7"/>
    <w:rsid w:val="00B54B5B"/>
    <w:rsid w:val="00B54D22"/>
    <w:rsid w:val="00B54E58"/>
    <w:rsid w:val="00B5524F"/>
    <w:rsid w:val="00B552E4"/>
    <w:rsid w:val="00B5562E"/>
    <w:rsid w:val="00B556AE"/>
    <w:rsid w:val="00B55862"/>
    <w:rsid w:val="00B55D65"/>
    <w:rsid w:val="00B55F5F"/>
    <w:rsid w:val="00B56305"/>
    <w:rsid w:val="00B56448"/>
    <w:rsid w:val="00B56553"/>
    <w:rsid w:val="00B57000"/>
    <w:rsid w:val="00B57149"/>
    <w:rsid w:val="00B57A39"/>
    <w:rsid w:val="00B6011E"/>
    <w:rsid w:val="00B60939"/>
    <w:rsid w:val="00B60AFD"/>
    <w:rsid w:val="00B60FBC"/>
    <w:rsid w:val="00B61338"/>
    <w:rsid w:val="00B6193F"/>
    <w:rsid w:val="00B61980"/>
    <w:rsid w:val="00B619AF"/>
    <w:rsid w:val="00B61B0A"/>
    <w:rsid w:val="00B61E2D"/>
    <w:rsid w:val="00B62471"/>
    <w:rsid w:val="00B62495"/>
    <w:rsid w:val="00B624DB"/>
    <w:rsid w:val="00B625B1"/>
    <w:rsid w:val="00B62715"/>
    <w:rsid w:val="00B63CBD"/>
    <w:rsid w:val="00B63F25"/>
    <w:rsid w:val="00B645E0"/>
    <w:rsid w:val="00B6471F"/>
    <w:rsid w:val="00B649E9"/>
    <w:rsid w:val="00B64FC9"/>
    <w:rsid w:val="00B6523A"/>
    <w:rsid w:val="00B655DD"/>
    <w:rsid w:val="00B65611"/>
    <w:rsid w:val="00B658D7"/>
    <w:rsid w:val="00B65AF1"/>
    <w:rsid w:val="00B665C8"/>
    <w:rsid w:val="00B66702"/>
    <w:rsid w:val="00B6671D"/>
    <w:rsid w:val="00B66E8E"/>
    <w:rsid w:val="00B6752E"/>
    <w:rsid w:val="00B67909"/>
    <w:rsid w:val="00B67B60"/>
    <w:rsid w:val="00B67CD6"/>
    <w:rsid w:val="00B7028A"/>
    <w:rsid w:val="00B70E8E"/>
    <w:rsid w:val="00B7116F"/>
    <w:rsid w:val="00B712EE"/>
    <w:rsid w:val="00B715E4"/>
    <w:rsid w:val="00B71884"/>
    <w:rsid w:val="00B71E29"/>
    <w:rsid w:val="00B721C7"/>
    <w:rsid w:val="00B72231"/>
    <w:rsid w:val="00B7225B"/>
    <w:rsid w:val="00B7233D"/>
    <w:rsid w:val="00B725A4"/>
    <w:rsid w:val="00B726FB"/>
    <w:rsid w:val="00B72715"/>
    <w:rsid w:val="00B7277C"/>
    <w:rsid w:val="00B72929"/>
    <w:rsid w:val="00B72E63"/>
    <w:rsid w:val="00B739DC"/>
    <w:rsid w:val="00B73AB3"/>
    <w:rsid w:val="00B74198"/>
    <w:rsid w:val="00B74FD8"/>
    <w:rsid w:val="00B758C2"/>
    <w:rsid w:val="00B7612F"/>
    <w:rsid w:val="00B76138"/>
    <w:rsid w:val="00B763E8"/>
    <w:rsid w:val="00B76508"/>
    <w:rsid w:val="00B7660D"/>
    <w:rsid w:val="00B766FE"/>
    <w:rsid w:val="00B76973"/>
    <w:rsid w:val="00B76C92"/>
    <w:rsid w:val="00B76E27"/>
    <w:rsid w:val="00B772E9"/>
    <w:rsid w:val="00B774C3"/>
    <w:rsid w:val="00B774D7"/>
    <w:rsid w:val="00B77DA2"/>
    <w:rsid w:val="00B801AA"/>
    <w:rsid w:val="00B801FE"/>
    <w:rsid w:val="00B80632"/>
    <w:rsid w:val="00B80A99"/>
    <w:rsid w:val="00B80CB3"/>
    <w:rsid w:val="00B80EFD"/>
    <w:rsid w:val="00B816BB"/>
    <w:rsid w:val="00B81774"/>
    <w:rsid w:val="00B8184F"/>
    <w:rsid w:val="00B818A4"/>
    <w:rsid w:val="00B81A17"/>
    <w:rsid w:val="00B821E4"/>
    <w:rsid w:val="00B82D93"/>
    <w:rsid w:val="00B82D9B"/>
    <w:rsid w:val="00B82F08"/>
    <w:rsid w:val="00B8308D"/>
    <w:rsid w:val="00B831A4"/>
    <w:rsid w:val="00B83458"/>
    <w:rsid w:val="00B836BC"/>
    <w:rsid w:val="00B83739"/>
    <w:rsid w:val="00B8377A"/>
    <w:rsid w:val="00B83D05"/>
    <w:rsid w:val="00B84117"/>
    <w:rsid w:val="00B846EE"/>
    <w:rsid w:val="00B85417"/>
    <w:rsid w:val="00B8545F"/>
    <w:rsid w:val="00B858F0"/>
    <w:rsid w:val="00B85AA2"/>
    <w:rsid w:val="00B8649C"/>
    <w:rsid w:val="00B8661E"/>
    <w:rsid w:val="00B867EB"/>
    <w:rsid w:val="00B8695D"/>
    <w:rsid w:val="00B86FC6"/>
    <w:rsid w:val="00B87D41"/>
    <w:rsid w:val="00B87F0A"/>
    <w:rsid w:val="00B903E8"/>
    <w:rsid w:val="00B904A6"/>
    <w:rsid w:val="00B90889"/>
    <w:rsid w:val="00B90946"/>
    <w:rsid w:val="00B90E85"/>
    <w:rsid w:val="00B9107A"/>
    <w:rsid w:val="00B912B6"/>
    <w:rsid w:val="00B912D5"/>
    <w:rsid w:val="00B9152A"/>
    <w:rsid w:val="00B91DD7"/>
    <w:rsid w:val="00B920A5"/>
    <w:rsid w:val="00B9244C"/>
    <w:rsid w:val="00B92640"/>
    <w:rsid w:val="00B92BBC"/>
    <w:rsid w:val="00B92C27"/>
    <w:rsid w:val="00B92D0B"/>
    <w:rsid w:val="00B932A2"/>
    <w:rsid w:val="00B93510"/>
    <w:rsid w:val="00B93691"/>
    <w:rsid w:val="00B93BB2"/>
    <w:rsid w:val="00B944E8"/>
    <w:rsid w:val="00B94535"/>
    <w:rsid w:val="00B94945"/>
    <w:rsid w:val="00B94DD6"/>
    <w:rsid w:val="00B94F57"/>
    <w:rsid w:val="00B95295"/>
    <w:rsid w:val="00B95BE3"/>
    <w:rsid w:val="00B95D8E"/>
    <w:rsid w:val="00B95DBB"/>
    <w:rsid w:val="00B95DF1"/>
    <w:rsid w:val="00B96195"/>
    <w:rsid w:val="00B967E9"/>
    <w:rsid w:val="00B96E22"/>
    <w:rsid w:val="00B96E79"/>
    <w:rsid w:val="00B9729F"/>
    <w:rsid w:val="00B9733D"/>
    <w:rsid w:val="00B973B4"/>
    <w:rsid w:val="00BA003C"/>
    <w:rsid w:val="00BA0113"/>
    <w:rsid w:val="00BA04B8"/>
    <w:rsid w:val="00BA0CD2"/>
    <w:rsid w:val="00BA2196"/>
    <w:rsid w:val="00BA26E7"/>
    <w:rsid w:val="00BA2B2C"/>
    <w:rsid w:val="00BA2B55"/>
    <w:rsid w:val="00BA322D"/>
    <w:rsid w:val="00BA32AE"/>
    <w:rsid w:val="00BA3362"/>
    <w:rsid w:val="00BA3CF1"/>
    <w:rsid w:val="00BA3D60"/>
    <w:rsid w:val="00BA435B"/>
    <w:rsid w:val="00BA4838"/>
    <w:rsid w:val="00BA5661"/>
    <w:rsid w:val="00BA61BF"/>
    <w:rsid w:val="00BA63FA"/>
    <w:rsid w:val="00BA6431"/>
    <w:rsid w:val="00BA65C0"/>
    <w:rsid w:val="00BA6D03"/>
    <w:rsid w:val="00BA6F31"/>
    <w:rsid w:val="00BA75F4"/>
    <w:rsid w:val="00BA7883"/>
    <w:rsid w:val="00BA7EF0"/>
    <w:rsid w:val="00BA7F8D"/>
    <w:rsid w:val="00BB00B3"/>
    <w:rsid w:val="00BB04BC"/>
    <w:rsid w:val="00BB0723"/>
    <w:rsid w:val="00BB0BDD"/>
    <w:rsid w:val="00BB0D5B"/>
    <w:rsid w:val="00BB0D66"/>
    <w:rsid w:val="00BB0E06"/>
    <w:rsid w:val="00BB1333"/>
    <w:rsid w:val="00BB14B7"/>
    <w:rsid w:val="00BB154F"/>
    <w:rsid w:val="00BB176C"/>
    <w:rsid w:val="00BB184B"/>
    <w:rsid w:val="00BB1A5E"/>
    <w:rsid w:val="00BB1CF3"/>
    <w:rsid w:val="00BB26C0"/>
    <w:rsid w:val="00BB2A73"/>
    <w:rsid w:val="00BB2CE0"/>
    <w:rsid w:val="00BB2D39"/>
    <w:rsid w:val="00BB2F75"/>
    <w:rsid w:val="00BB3769"/>
    <w:rsid w:val="00BB3A45"/>
    <w:rsid w:val="00BB3E86"/>
    <w:rsid w:val="00BB4939"/>
    <w:rsid w:val="00BB4ACC"/>
    <w:rsid w:val="00BB4B45"/>
    <w:rsid w:val="00BB5025"/>
    <w:rsid w:val="00BB5318"/>
    <w:rsid w:val="00BB56C2"/>
    <w:rsid w:val="00BB6418"/>
    <w:rsid w:val="00BB6D4D"/>
    <w:rsid w:val="00BB6D54"/>
    <w:rsid w:val="00BB6E23"/>
    <w:rsid w:val="00BB703E"/>
    <w:rsid w:val="00BB72C4"/>
    <w:rsid w:val="00BB732D"/>
    <w:rsid w:val="00BB7405"/>
    <w:rsid w:val="00BB7465"/>
    <w:rsid w:val="00BB748A"/>
    <w:rsid w:val="00BB77DF"/>
    <w:rsid w:val="00BB7B95"/>
    <w:rsid w:val="00BB7D5C"/>
    <w:rsid w:val="00BB7D84"/>
    <w:rsid w:val="00BB7E5F"/>
    <w:rsid w:val="00BC0691"/>
    <w:rsid w:val="00BC0BB0"/>
    <w:rsid w:val="00BC0FB1"/>
    <w:rsid w:val="00BC1217"/>
    <w:rsid w:val="00BC1256"/>
    <w:rsid w:val="00BC12BE"/>
    <w:rsid w:val="00BC13C9"/>
    <w:rsid w:val="00BC1BDF"/>
    <w:rsid w:val="00BC1E91"/>
    <w:rsid w:val="00BC21CB"/>
    <w:rsid w:val="00BC2E27"/>
    <w:rsid w:val="00BC3631"/>
    <w:rsid w:val="00BC3A43"/>
    <w:rsid w:val="00BC3AC5"/>
    <w:rsid w:val="00BC3C46"/>
    <w:rsid w:val="00BC3EF3"/>
    <w:rsid w:val="00BC3F33"/>
    <w:rsid w:val="00BC48EB"/>
    <w:rsid w:val="00BC51B2"/>
    <w:rsid w:val="00BC5259"/>
    <w:rsid w:val="00BC5353"/>
    <w:rsid w:val="00BC58C6"/>
    <w:rsid w:val="00BC591F"/>
    <w:rsid w:val="00BC5AF6"/>
    <w:rsid w:val="00BC5FD0"/>
    <w:rsid w:val="00BC6A97"/>
    <w:rsid w:val="00BC799E"/>
    <w:rsid w:val="00BC7D6D"/>
    <w:rsid w:val="00BC7FDF"/>
    <w:rsid w:val="00BD061B"/>
    <w:rsid w:val="00BD0B85"/>
    <w:rsid w:val="00BD0E17"/>
    <w:rsid w:val="00BD12A5"/>
    <w:rsid w:val="00BD1667"/>
    <w:rsid w:val="00BD2108"/>
    <w:rsid w:val="00BD252D"/>
    <w:rsid w:val="00BD253F"/>
    <w:rsid w:val="00BD2C58"/>
    <w:rsid w:val="00BD2CDA"/>
    <w:rsid w:val="00BD342F"/>
    <w:rsid w:val="00BD39EE"/>
    <w:rsid w:val="00BD3C14"/>
    <w:rsid w:val="00BD4071"/>
    <w:rsid w:val="00BD44A1"/>
    <w:rsid w:val="00BD45A5"/>
    <w:rsid w:val="00BD475C"/>
    <w:rsid w:val="00BD4962"/>
    <w:rsid w:val="00BD4B72"/>
    <w:rsid w:val="00BD4B98"/>
    <w:rsid w:val="00BD519B"/>
    <w:rsid w:val="00BD5387"/>
    <w:rsid w:val="00BD5A8C"/>
    <w:rsid w:val="00BD5BAF"/>
    <w:rsid w:val="00BD61AD"/>
    <w:rsid w:val="00BD68A3"/>
    <w:rsid w:val="00BD6938"/>
    <w:rsid w:val="00BD6B70"/>
    <w:rsid w:val="00BD6B7D"/>
    <w:rsid w:val="00BD6CF3"/>
    <w:rsid w:val="00BD7445"/>
    <w:rsid w:val="00BD7F72"/>
    <w:rsid w:val="00BE0716"/>
    <w:rsid w:val="00BE0782"/>
    <w:rsid w:val="00BE0C42"/>
    <w:rsid w:val="00BE0D75"/>
    <w:rsid w:val="00BE0ECA"/>
    <w:rsid w:val="00BE1181"/>
    <w:rsid w:val="00BE11C1"/>
    <w:rsid w:val="00BE136D"/>
    <w:rsid w:val="00BE1901"/>
    <w:rsid w:val="00BE2180"/>
    <w:rsid w:val="00BE21F2"/>
    <w:rsid w:val="00BE2590"/>
    <w:rsid w:val="00BE29AC"/>
    <w:rsid w:val="00BE2A33"/>
    <w:rsid w:val="00BE2EDD"/>
    <w:rsid w:val="00BE2F91"/>
    <w:rsid w:val="00BE32ED"/>
    <w:rsid w:val="00BE36AD"/>
    <w:rsid w:val="00BE4275"/>
    <w:rsid w:val="00BE446D"/>
    <w:rsid w:val="00BE4577"/>
    <w:rsid w:val="00BE4B73"/>
    <w:rsid w:val="00BE4F6A"/>
    <w:rsid w:val="00BE4FE8"/>
    <w:rsid w:val="00BE55A7"/>
    <w:rsid w:val="00BE6074"/>
    <w:rsid w:val="00BE75D4"/>
    <w:rsid w:val="00BE776B"/>
    <w:rsid w:val="00BE7A2B"/>
    <w:rsid w:val="00BE7A6B"/>
    <w:rsid w:val="00BE7D5E"/>
    <w:rsid w:val="00BF01C9"/>
    <w:rsid w:val="00BF0348"/>
    <w:rsid w:val="00BF04A8"/>
    <w:rsid w:val="00BF06AC"/>
    <w:rsid w:val="00BF06AE"/>
    <w:rsid w:val="00BF0F95"/>
    <w:rsid w:val="00BF168A"/>
    <w:rsid w:val="00BF18D7"/>
    <w:rsid w:val="00BF19C7"/>
    <w:rsid w:val="00BF1B24"/>
    <w:rsid w:val="00BF2433"/>
    <w:rsid w:val="00BF2455"/>
    <w:rsid w:val="00BF2561"/>
    <w:rsid w:val="00BF2E6E"/>
    <w:rsid w:val="00BF30D4"/>
    <w:rsid w:val="00BF31AA"/>
    <w:rsid w:val="00BF3AE7"/>
    <w:rsid w:val="00BF495E"/>
    <w:rsid w:val="00BF528F"/>
    <w:rsid w:val="00BF5303"/>
    <w:rsid w:val="00BF57FF"/>
    <w:rsid w:val="00BF59C8"/>
    <w:rsid w:val="00BF61C9"/>
    <w:rsid w:val="00BF639F"/>
    <w:rsid w:val="00BF63A5"/>
    <w:rsid w:val="00BF665F"/>
    <w:rsid w:val="00BF6BD8"/>
    <w:rsid w:val="00BF6C72"/>
    <w:rsid w:val="00BF6C94"/>
    <w:rsid w:val="00BF6DEE"/>
    <w:rsid w:val="00BF6EBB"/>
    <w:rsid w:val="00BF70C1"/>
    <w:rsid w:val="00BF72CE"/>
    <w:rsid w:val="00BF758E"/>
    <w:rsid w:val="00BF77C2"/>
    <w:rsid w:val="00BF7A69"/>
    <w:rsid w:val="00BF7DB0"/>
    <w:rsid w:val="00C00424"/>
    <w:rsid w:val="00C005C5"/>
    <w:rsid w:val="00C0088A"/>
    <w:rsid w:val="00C00B16"/>
    <w:rsid w:val="00C00BB0"/>
    <w:rsid w:val="00C00D5E"/>
    <w:rsid w:val="00C010F7"/>
    <w:rsid w:val="00C011B0"/>
    <w:rsid w:val="00C01275"/>
    <w:rsid w:val="00C021E8"/>
    <w:rsid w:val="00C02F43"/>
    <w:rsid w:val="00C02FA9"/>
    <w:rsid w:val="00C03A46"/>
    <w:rsid w:val="00C04347"/>
    <w:rsid w:val="00C04469"/>
    <w:rsid w:val="00C0475B"/>
    <w:rsid w:val="00C0585C"/>
    <w:rsid w:val="00C058CF"/>
    <w:rsid w:val="00C05D9B"/>
    <w:rsid w:val="00C06029"/>
    <w:rsid w:val="00C060A7"/>
    <w:rsid w:val="00C061F0"/>
    <w:rsid w:val="00C063B8"/>
    <w:rsid w:val="00C06A48"/>
    <w:rsid w:val="00C06C81"/>
    <w:rsid w:val="00C06D1A"/>
    <w:rsid w:val="00C06DC9"/>
    <w:rsid w:val="00C074B7"/>
    <w:rsid w:val="00C07BB5"/>
    <w:rsid w:val="00C07DB9"/>
    <w:rsid w:val="00C10537"/>
    <w:rsid w:val="00C11012"/>
    <w:rsid w:val="00C11113"/>
    <w:rsid w:val="00C116DA"/>
    <w:rsid w:val="00C116E3"/>
    <w:rsid w:val="00C1179F"/>
    <w:rsid w:val="00C11CA3"/>
    <w:rsid w:val="00C11D5D"/>
    <w:rsid w:val="00C11D77"/>
    <w:rsid w:val="00C11E41"/>
    <w:rsid w:val="00C127B9"/>
    <w:rsid w:val="00C128FA"/>
    <w:rsid w:val="00C12C14"/>
    <w:rsid w:val="00C1337E"/>
    <w:rsid w:val="00C13B83"/>
    <w:rsid w:val="00C14001"/>
    <w:rsid w:val="00C1438E"/>
    <w:rsid w:val="00C153AF"/>
    <w:rsid w:val="00C15509"/>
    <w:rsid w:val="00C15925"/>
    <w:rsid w:val="00C15F04"/>
    <w:rsid w:val="00C1608B"/>
    <w:rsid w:val="00C16279"/>
    <w:rsid w:val="00C16410"/>
    <w:rsid w:val="00C166DE"/>
    <w:rsid w:val="00C16C36"/>
    <w:rsid w:val="00C16D0F"/>
    <w:rsid w:val="00C16DBC"/>
    <w:rsid w:val="00C171F1"/>
    <w:rsid w:val="00C179B3"/>
    <w:rsid w:val="00C17E3F"/>
    <w:rsid w:val="00C200AA"/>
    <w:rsid w:val="00C201B3"/>
    <w:rsid w:val="00C2081B"/>
    <w:rsid w:val="00C2161D"/>
    <w:rsid w:val="00C21808"/>
    <w:rsid w:val="00C21B1B"/>
    <w:rsid w:val="00C21DAE"/>
    <w:rsid w:val="00C222E0"/>
    <w:rsid w:val="00C2264D"/>
    <w:rsid w:val="00C226B9"/>
    <w:rsid w:val="00C22872"/>
    <w:rsid w:val="00C22966"/>
    <w:rsid w:val="00C22A42"/>
    <w:rsid w:val="00C22D5C"/>
    <w:rsid w:val="00C22E19"/>
    <w:rsid w:val="00C22EA5"/>
    <w:rsid w:val="00C2368D"/>
    <w:rsid w:val="00C237BD"/>
    <w:rsid w:val="00C237D5"/>
    <w:rsid w:val="00C237ED"/>
    <w:rsid w:val="00C23BE2"/>
    <w:rsid w:val="00C23C48"/>
    <w:rsid w:val="00C24053"/>
    <w:rsid w:val="00C24632"/>
    <w:rsid w:val="00C247D0"/>
    <w:rsid w:val="00C24BBC"/>
    <w:rsid w:val="00C24FC7"/>
    <w:rsid w:val="00C2513D"/>
    <w:rsid w:val="00C252EF"/>
    <w:rsid w:val="00C25418"/>
    <w:rsid w:val="00C254E9"/>
    <w:rsid w:val="00C2573E"/>
    <w:rsid w:val="00C259B4"/>
    <w:rsid w:val="00C25D9C"/>
    <w:rsid w:val="00C2624F"/>
    <w:rsid w:val="00C262EE"/>
    <w:rsid w:val="00C2648C"/>
    <w:rsid w:val="00C26E2D"/>
    <w:rsid w:val="00C271F4"/>
    <w:rsid w:val="00C27663"/>
    <w:rsid w:val="00C2778B"/>
    <w:rsid w:val="00C27A24"/>
    <w:rsid w:val="00C27A41"/>
    <w:rsid w:val="00C304EA"/>
    <w:rsid w:val="00C3053E"/>
    <w:rsid w:val="00C31649"/>
    <w:rsid w:val="00C31BE3"/>
    <w:rsid w:val="00C31F3B"/>
    <w:rsid w:val="00C31F9A"/>
    <w:rsid w:val="00C3214C"/>
    <w:rsid w:val="00C32275"/>
    <w:rsid w:val="00C326F2"/>
    <w:rsid w:val="00C3277F"/>
    <w:rsid w:val="00C32AF4"/>
    <w:rsid w:val="00C32E4E"/>
    <w:rsid w:val="00C333E8"/>
    <w:rsid w:val="00C336EB"/>
    <w:rsid w:val="00C33759"/>
    <w:rsid w:val="00C34191"/>
    <w:rsid w:val="00C3434C"/>
    <w:rsid w:val="00C34362"/>
    <w:rsid w:val="00C3450C"/>
    <w:rsid w:val="00C34611"/>
    <w:rsid w:val="00C3473F"/>
    <w:rsid w:val="00C3488B"/>
    <w:rsid w:val="00C34F6B"/>
    <w:rsid w:val="00C352C0"/>
    <w:rsid w:val="00C35411"/>
    <w:rsid w:val="00C358D1"/>
    <w:rsid w:val="00C35F74"/>
    <w:rsid w:val="00C36085"/>
    <w:rsid w:val="00C36155"/>
    <w:rsid w:val="00C37A13"/>
    <w:rsid w:val="00C40385"/>
    <w:rsid w:val="00C403EB"/>
    <w:rsid w:val="00C41711"/>
    <w:rsid w:val="00C41768"/>
    <w:rsid w:val="00C417DA"/>
    <w:rsid w:val="00C42894"/>
    <w:rsid w:val="00C42ED8"/>
    <w:rsid w:val="00C431C0"/>
    <w:rsid w:val="00C43E4B"/>
    <w:rsid w:val="00C43EB9"/>
    <w:rsid w:val="00C4426E"/>
    <w:rsid w:val="00C445AD"/>
    <w:rsid w:val="00C4472E"/>
    <w:rsid w:val="00C4477E"/>
    <w:rsid w:val="00C44A3E"/>
    <w:rsid w:val="00C44A81"/>
    <w:rsid w:val="00C44D0C"/>
    <w:rsid w:val="00C450A1"/>
    <w:rsid w:val="00C45399"/>
    <w:rsid w:val="00C45482"/>
    <w:rsid w:val="00C45516"/>
    <w:rsid w:val="00C45A0D"/>
    <w:rsid w:val="00C45FEE"/>
    <w:rsid w:val="00C4695D"/>
    <w:rsid w:val="00C475AA"/>
    <w:rsid w:val="00C4772D"/>
    <w:rsid w:val="00C4785C"/>
    <w:rsid w:val="00C47D65"/>
    <w:rsid w:val="00C50B3A"/>
    <w:rsid w:val="00C50C3A"/>
    <w:rsid w:val="00C50E56"/>
    <w:rsid w:val="00C51A59"/>
    <w:rsid w:val="00C51C47"/>
    <w:rsid w:val="00C51CF5"/>
    <w:rsid w:val="00C51E09"/>
    <w:rsid w:val="00C51F89"/>
    <w:rsid w:val="00C5213C"/>
    <w:rsid w:val="00C527C7"/>
    <w:rsid w:val="00C52896"/>
    <w:rsid w:val="00C53C98"/>
    <w:rsid w:val="00C53CAF"/>
    <w:rsid w:val="00C53F8A"/>
    <w:rsid w:val="00C5424A"/>
    <w:rsid w:val="00C5468F"/>
    <w:rsid w:val="00C54AB8"/>
    <w:rsid w:val="00C54EFF"/>
    <w:rsid w:val="00C55361"/>
    <w:rsid w:val="00C555C0"/>
    <w:rsid w:val="00C56537"/>
    <w:rsid w:val="00C56A39"/>
    <w:rsid w:val="00C56CEE"/>
    <w:rsid w:val="00C56F1A"/>
    <w:rsid w:val="00C56F93"/>
    <w:rsid w:val="00C56FCF"/>
    <w:rsid w:val="00C57307"/>
    <w:rsid w:val="00C579E6"/>
    <w:rsid w:val="00C57A1D"/>
    <w:rsid w:val="00C57B0F"/>
    <w:rsid w:val="00C57B6C"/>
    <w:rsid w:val="00C57F32"/>
    <w:rsid w:val="00C606AB"/>
    <w:rsid w:val="00C60D8E"/>
    <w:rsid w:val="00C6106A"/>
    <w:rsid w:val="00C6117B"/>
    <w:rsid w:val="00C612A3"/>
    <w:rsid w:val="00C612E7"/>
    <w:rsid w:val="00C614F4"/>
    <w:rsid w:val="00C61910"/>
    <w:rsid w:val="00C61A44"/>
    <w:rsid w:val="00C61A59"/>
    <w:rsid w:val="00C61AD8"/>
    <w:rsid w:val="00C61CF0"/>
    <w:rsid w:val="00C61FEA"/>
    <w:rsid w:val="00C62028"/>
    <w:rsid w:val="00C628A6"/>
    <w:rsid w:val="00C62CF9"/>
    <w:rsid w:val="00C62DA0"/>
    <w:rsid w:val="00C6344B"/>
    <w:rsid w:val="00C640C8"/>
    <w:rsid w:val="00C64344"/>
    <w:rsid w:val="00C64880"/>
    <w:rsid w:val="00C64D61"/>
    <w:rsid w:val="00C65108"/>
    <w:rsid w:val="00C651DD"/>
    <w:rsid w:val="00C65225"/>
    <w:rsid w:val="00C652F2"/>
    <w:rsid w:val="00C65576"/>
    <w:rsid w:val="00C65825"/>
    <w:rsid w:val="00C65858"/>
    <w:rsid w:val="00C65EDD"/>
    <w:rsid w:val="00C6604C"/>
    <w:rsid w:val="00C66165"/>
    <w:rsid w:val="00C673A7"/>
    <w:rsid w:val="00C67448"/>
    <w:rsid w:val="00C67D76"/>
    <w:rsid w:val="00C701A2"/>
    <w:rsid w:val="00C70381"/>
    <w:rsid w:val="00C7060A"/>
    <w:rsid w:val="00C70A22"/>
    <w:rsid w:val="00C70B89"/>
    <w:rsid w:val="00C713E7"/>
    <w:rsid w:val="00C7151A"/>
    <w:rsid w:val="00C716B6"/>
    <w:rsid w:val="00C717E3"/>
    <w:rsid w:val="00C71F60"/>
    <w:rsid w:val="00C72225"/>
    <w:rsid w:val="00C72241"/>
    <w:rsid w:val="00C72AAD"/>
    <w:rsid w:val="00C72D51"/>
    <w:rsid w:val="00C72EF9"/>
    <w:rsid w:val="00C731E0"/>
    <w:rsid w:val="00C7377A"/>
    <w:rsid w:val="00C73B75"/>
    <w:rsid w:val="00C73D3B"/>
    <w:rsid w:val="00C73E7F"/>
    <w:rsid w:val="00C74077"/>
    <w:rsid w:val="00C7450E"/>
    <w:rsid w:val="00C7498F"/>
    <w:rsid w:val="00C74EC3"/>
    <w:rsid w:val="00C74F86"/>
    <w:rsid w:val="00C750C8"/>
    <w:rsid w:val="00C75582"/>
    <w:rsid w:val="00C755A9"/>
    <w:rsid w:val="00C7560F"/>
    <w:rsid w:val="00C758BA"/>
    <w:rsid w:val="00C75D74"/>
    <w:rsid w:val="00C7624C"/>
    <w:rsid w:val="00C76984"/>
    <w:rsid w:val="00C77DB6"/>
    <w:rsid w:val="00C77F6F"/>
    <w:rsid w:val="00C804BB"/>
    <w:rsid w:val="00C80A0E"/>
    <w:rsid w:val="00C80B7C"/>
    <w:rsid w:val="00C80CC8"/>
    <w:rsid w:val="00C80F8D"/>
    <w:rsid w:val="00C81045"/>
    <w:rsid w:val="00C8173E"/>
    <w:rsid w:val="00C818A3"/>
    <w:rsid w:val="00C8197C"/>
    <w:rsid w:val="00C819B8"/>
    <w:rsid w:val="00C8213F"/>
    <w:rsid w:val="00C82B3F"/>
    <w:rsid w:val="00C8303F"/>
    <w:rsid w:val="00C83486"/>
    <w:rsid w:val="00C83E2D"/>
    <w:rsid w:val="00C842D1"/>
    <w:rsid w:val="00C8451C"/>
    <w:rsid w:val="00C849F7"/>
    <w:rsid w:val="00C84D83"/>
    <w:rsid w:val="00C85037"/>
    <w:rsid w:val="00C85154"/>
    <w:rsid w:val="00C8543E"/>
    <w:rsid w:val="00C854D4"/>
    <w:rsid w:val="00C85854"/>
    <w:rsid w:val="00C85A70"/>
    <w:rsid w:val="00C85E13"/>
    <w:rsid w:val="00C86253"/>
    <w:rsid w:val="00C86358"/>
    <w:rsid w:val="00C86976"/>
    <w:rsid w:val="00C869A1"/>
    <w:rsid w:val="00C86B06"/>
    <w:rsid w:val="00C86B1E"/>
    <w:rsid w:val="00C86C13"/>
    <w:rsid w:val="00C875B5"/>
    <w:rsid w:val="00C8797A"/>
    <w:rsid w:val="00C900B8"/>
    <w:rsid w:val="00C90197"/>
    <w:rsid w:val="00C904BD"/>
    <w:rsid w:val="00C9076D"/>
    <w:rsid w:val="00C90A94"/>
    <w:rsid w:val="00C90C71"/>
    <w:rsid w:val="00C90D20"/>
    <w:rsid w:val="00C91DED"/>
    <w:rsid w:val="00C91FD1"/>
    <w:rsid w:val="00C92512"/>
    <w:rsid w:val="00C92860"/>
    <w:rsid w:val="00C92DED"/>
    <w:rsid w:val="00C930DE"/>
    <w:rsid w:val="00C931CF"/>
    <w:rsid w:val="00C931E0"/>
    <w:rsid w:val="00C9342F"/>
    <w:rsid w:val="00C937E8"/>
    <w:rsid w:val="00C93809"/>
    <w:rsid w:val="00C9385A"/>
    <w:rsid w:val="00C938CF"/>
    <w:rsid w:val="00C93C5F"/>
    <w:rsid w:val="00C93D1E"/>
    <w:rsid w:val="00C94053"/>
    <w:rsid w:val="00C941A9"/>
    <w:rsid w:val="00C9479E"/>
    <w:rsid w:val="00C947CC"/>
    <w:rsid w:val="00C953E3"/>
    <w:rsid w:val="00C954BA"/>
    <w:rsid w:val="00C956BA"/>
    <w:rsid w:val="00C95FFA"/>
    <w:rsid w:val="00C9624D"/>
    <w:rsid w:val="00C9667C"/>
    <w:rsid w:val="00C969DA"/>
    <w:rsid w:val="00C96BC4"/>
    <w:rsid w:val="00C97302"/>
    <w:rsid w:val="00C9739D"/>
    <w:rsid w:val="00C974F5"/>
    <w:rsid w:val="00C9763F"/>
    <w:rsid w:val="00C9768C"/>
    <w:rsid w:val="00C978CE"/>
    <w:rsid w:val="00C97C5D"/>
    <w:rsid w:val="00CA00C1"/>
    <w:rsid w:val="00CA0213"/>
    <w:rsid w:val="00CA021E"/>
    <w:rsid w:val="00CA0E1F"/>
    <w:rsid w:val="00CA1107"/>
    <w:rsid w:val="00CA2048"/>
    <w:rsid w:val="00CA2104"/>
    <w:rsid w:val="00CA219D"/>
    <w:rsid w:val="00CA270D"/>
    <w:rsid w:val="00CA29A9"/>
    <w:rsid w:val="00CA2C77"/>
    <w:rsid w:val="00CA33FF"/>
    <w:rsid w:val="00CA37B2"/>
    <w:rsid w:val="00CA3A06"/>
    <w:rsid w:val="00CA3CC6"/>
    <w:rsid w:val="00CA3D28"/>
    <w:rsid w:val="00CA444F"/>
    <w:rsid w:val="00CA4789"/>
    <w:rsid w:val="00CA4B1B"/>
    <w:rsid w:val="00CA4D99"/>
    <w:rsid w:val="00CA4EF3"/>
    <w:rsid w:val="00CA5129"/>
    <w:rsid w:val="00CA5245"/>
    <w:rsid w:val="00CA53C7"/>
    <w:rsid w:val="00CA5662"/>
    <w:rsid w:val="00CA5B56"/>
    <w:rsid w:val="00CA691B"/>
    <w:rsid w:val="00CA6A9E"/>
    <w:rsid w:val="00CA71F4"/>
    <w:rsid w:val="00CA7335"/>
    <w:rsid w:val="00CA7B09"/>
    <w:rsid w:val="00CA7DE0"/>
    <w:rsid w:val="00CB0219"/>
    <w:rsid w:val="00CB0232"/>
    <w:rsid w:val="00CB063A"/>
    <w:rsid w:val="00CB0813"/>
    <w:rsid w:val="00CB08E6"/>
    <w:rsid w:val="00CB0EAE"/>
    <w:rsid w:val="00CB12A5"/>
    <w:rsid w:val="00CB12B3"/>
    <w:rsid w:val="00CB16C3"/>
    <w:rsid w:val="00CB1991"/>
    <w:rsid w:val="00CB1CAC"/>
    <w:rsid w:val="00CB2409"/>
    <w:rsid w:val="00CB242D"/>
    <w:rsid w:val="00CB2516"/>
    <w:rsid w:val="00CB2F2A"/>
    <w:rsid w:val="00CB2F75"/>
    <w:rsid w:val="00CB2F91"/>
    <w:rsid w:val="00CB3423"/>
    <w:rsid w:val="00CB3881"/>
    <w:rsid w:val="00CB45F7"/>
    <w:rsid w:val="00CB48B4"/>
    <w:rsid w:val="00CB49D0"/>
    <w:rsid w:val="00CB49D4"/>
    <w:rsid w:val="00CB4A8B"/>
    <w:rsid w:val="00CB5AF9"/>
    <w:rsid w:val="00CB5B1A"/>
    <w:rsid w:val="00CB5B1B"/>
    <w:rsid w:val="00CB6952"/>
    <w:rsid w:val="00CB69A4"/>
    <w:rsid w:val="00CB6A49"/>
    <w:rsid w:val="00CB6AD2"/>
    <w:rsid w:val="00CB6B22"/>
    <w:rsid w:val="00CB709F"/>
    <w:rsid w:val="00CB7AFE"/>
    <w:rsid w:val="00CB7F5F"/>
    <w:rsid w:val="00CC074D"/>
    <w:rsid w:val="00CC0E50"/>
    <w:rsid w:val="00CC0E5F"/>
    <w:rsid w:val="00CC1B39"/>
    <w:rsid w:val="00CC1BFA"/>
    <w:rsid w:val="00CC1EDF"/>
    <w:rsid w:val="00CC2119"/>
    <w:rsid w:val="00CC2AC3"/>
    <w:rsid w:val="00CC2E9F"/>
    <w:rsid w:val="00CC3041"/>
    <w:rsid w:val="00CC3192"/>
    <w:rsid w:val="00CC3394"/>
    <w:rsid w:val="00CC35EA"/>
    <w:rsid w:val="00CC3848"/>
    <w:rsid w:val="00CC38EC"/>
    <w:rsid w:val="00CC3939"/>
    <w:rsid w:val="00CC3A0D"/>
    <w:rsid w:val="00CC3C5D"/>
    <w:rsid w:val="00CC3D7B"/>
    <w:rsid w:val="00CC4161"/>
    <w:rsid w:val="00CC468F"/>
    <w:rsid w:val="00CC56F4"/>
    <w:rsid w:val="00CC5858"/>
    <w:rsid w:val="00CC5C46"/>
    <w:rsid w:val="00CC5DD6"/>
    <w:rsid w:val="00CC5F97"/>
    <w:rsid w:val="00CC6BB4"/>
    <w:rsid w:val="00CC6D5E"/>
    <w:rsid w:val="00CC6FC2"/>
    <w:rsid w:val="00CD0200"/>
    <w:rsid w:val="00CD08F7"/>
    <w:rsid w:val="00CD0C42"/>
    <w:rsid w:val="00CD1360"/>
    <w:rsid w:val="00CD1558"/>
    <w:rsid w:val="00CD1912"/>
    <w:rsid w:val="00CD19E1"/>
    <w:rsid w:val="00CD1AC2"/>
    <w:rsid w:val="00CD1B09"/>
    <w:rsid w:val="00CD2323"/>
    <w:rsid w:val="00CD285E"/>
    <w:rsid w:val="00CD3F77"/>
    <w:rsid w:val="00CD41AC"/>
    <w:rsid w:val="00CD470D"/>
    <w:rsid w:val="00CD4977"/>
    <w:rsid w:val="00CD4AC9"/>
    <w:rsid w:val="00CD52BD"/>
    <w:rsid w:val="00CD549C"/>
    <w:rsid w:val="00CD54AC"/>
    <w:rsid w:val="00CD5EDA"/>
    <w:rsid w:val="00CD5FC1"/>
    <w:rsid w:val="00CD644B"/>
    <w:rsid w:val="00CD6995"/>
    <w:rsid w:val="00CD6ADC"/>
    <w:rsid w:val="00CD6B15"/>
    <w:rsid w:val="00CD7193"/>
    <w:rsid w:val="00CD71B2"/>
    <w:rsid w:val="00CD75FC"/>
    <w:rsid w:val="00CE1DCA"/>
    <w:rsid w:val="00CE209F"/>
    <w:rsid w:val="00CE2269"/>
    <w:rsid w:val="00CE240B"/>
    <w:rsid w:val="00CE2688"/>
    <w:rsid w:val="00CE38C8"/>
    <w:rsid w:val="00CE4220"/>
    <w:rsid w:val="00CE495B"/>
    <w:rsid w:val="00CE4F33"/>
    <w:rsid w:val="00CE524F"/>
    <w:rsid w:val="00CE5263"/>
    <w:rsid w:val="00CE579C"/>
    <w:rsid w:val="00CE58CC"/>
    <w:rsid w:val="00CE5AD0"/>
    <w:rsid w:val="00CE5CB3"/>
    <w:rsid w:val="00CE6274"/>
    <w:rsid w:val="00CE6B8E"/>
    <w:rsid w:val="00CE7002"/>
    <w:rsid w:val="00CE7098"/>
    <w:rsid w:val="00CE77B6"/>
    <w:rsid w:val="00CE77DB"/>
    <w:rsid w:val="00CE7D87"/>
    <w:rsid w:val="00CE7E41"/>
    <w:rsid w:val="00CF0A36"/>
    <w:rsid w:val="00CF0D8F"/>
    <w:rsid w:val="00CF1743"/>
    <w:rsid w:val="00CF21D2"/>
    <w:rsid w:val="00CF2474"/>
    <w:rsid w:val="00CF267D"/>
    <w:rsid w:val="00CF2B87"/>
    <w:rsid w:val="00CF2B8D"/>
    <w:rsid w:val="00CF2E29"/>
    <w:rsid w:val="00CF2E3D"/>
    <w:rsid w:val="00CF3091"/>
    <w:rsid w:val="00CF3124"/>
    <w:rsid w:val="00CF3A1B"/>
    <w:rsid w:val="00CF3E3C"/>
    <w:rsid w:val="00CF3EDA"/>
    <w:rsid w:val="00CF4344"/>
    <w:rsid w:val="00CF456B"/>
    <w:rsid w:val="00CF47B7"/>
    <w:rsid w:val="00CF48A4"/>
    <w:rsid w:val="00CF4904"/>
    <w:rsid w:val="00CF4FFD"/>
    <w:rsid w:val="00CF5113"/>
    <w:rsid w:val="00CF5A22"/>
    <w:rsid w:val="00CF5D58"/>
    <w:rsid w:val="00CF62E1"/>
    <w:rsid w:val="00CF6ECC"/>
    <w:rsid w:val="00CF73F8"/>
    <w:rsid w:val="00CF7527"/>
    <w:rsid w:val="00CF7546"/>
    <w:rsid w:val="00D0099E"/>
    <w:rsid w:val="00D009B2"/>
    <w:rsid w:val="00D00C9D"/>
    <w:rsid w:val="00D00F39"/>
    <w:rsid w:val="00D01625"/>
    <w:rsid w:val="00D02440"/>
    <w:rsid w:val="00D0262E"/>
    <w:rsid w:val="00D02786"/>
    <w:rsid w:val="00D02E94"/>
    <w:rsid w:val="00D03180"/>
    <w:rsid w:val="00D03679"/>
    <w:rsid w:val="00D03EF8"/>
    <w:rsid w:val="00D044FC"/>
    <w:rsid w:val="00D04A83"/>
    <w:rsid w:val="00D04E3C"/>
    <w:rsid w:val="00D051FA"/>
    <w:rsid w:val="00D053E6"/>
    <w:rsid w:val="00D05773"/>
    <w:rsid w:val="00D05798"/>
    <w:rsid w:val="00D05E3D"/>
    <w:rsid w:val="00D06139"/>
    <w:rsid w:val="00D06174"/>
    <w:rsid w:val="00D06ED7"/>
    <w:rsid w:val="00D074E2"/>
    <w:rsid w:val="00D07B05"/>
    <w:rsid w:val="00D07DF0"/>
    <w:rsid w:val="00D10010"/>
    <w:rsid w:val="00D10080"/>
    <w:rsid w:val="00D10E09"/>
    <w:rsid w:val="00D10FCB"/>
    <w:rsid w:val="00D110BD"/>
    <w:rsid w:val="00D115D4"/>
    <w:rsid w:val="00D11820"/>
    <w:rsid w:val="00D118E0"/>
    <w:rsid w:val="00D11D61"/>
    <w:rsid w:val="00D12357"/>
    <w:rsid w:val="00D12F26"/>
    <w:rsid w:val="00D1304C"/>
    <w:rsid w:val="00D134FD"/>
    <w:rsid w:val="00D13528"/>
    <w:rsid w:val="00D13675"/>
    <w:rsid w:val="00D139EC"/>
    <w:rsid w:val="00D13EAA"/>
    <w:rsid w:val="00D13ED4"/>
    <w:rsid w:val="00D141E1"/>
    <w:rsid w:val="00D145ED"/>
    <w:rsid w:val="00D14875"/>
    <w:rsid w:val="00D149D8"/>
    <w:rsid w:val="00D14F05"/>
    <w:rsid w:val="00D15314"/>
    <w:rsid w:val="00D156FF"/>
    <w:rsid w:val="00D15A19"/>
    <w:rsid w:val="00D15B48"/>
    <w:rsid w:val="00D15CC4"/>
    <w:rsid w:val="00D15D90"/>
    <w:rsid w:val="00D164AD"/>
    <w:rsid w:val="00D16AF5"/>
    <w:rsid w:val="00D170D2"/>
    <w:rsid w:val="00D174DA"/>
    <w:rsid w:val="00D17A0C"/>
    <w:rsid w:val="00D17D6C"/>
    <w:rsid w:val="00D20EF0"/>
    <w:rsid w:val="00D2111F"/>
    <w:rsid w:val="00D21127"/>
    <w:rsid w:val="00D21514"/>
    <w:rsid w:val="00D2155B"/>
    <w:rsid w:val="00D21B67"/>
    <w:rsid w:val="00D22926"/>
    <w:rsid w:val="00D22A4A"/>
    <w:rsid w:val="00D23823"/>
    <w:rsid w:val="00D23D11"/>
    <w:rsid w:val="00D240D7"/>
    <w:rsid w:val="00D24216"/>
    <w:rsid w:val="00D2440A"/>
    <w:rsid w:val="00D244B6"/>
    <w:rsid w:val="00D24AA9"/>
    <w:rsid w:val="00D25316"/>
    <w:rsid w:val="00D25800"/>
    <w:rsid w:val="00D25AA1"/>
    <w:rsid w:val="00D25D75"/>
    <w:rsid w:val="00D25FBC"/>
    <w:rsid w:val="00D26039"/>
    <w:rsid w:val="00D260F4"/>
    <w:rsid w:val="00D26872"/>
    <w:rsid w:val="00D26974"/>
    <w:rsid w:val="00D26AB8"/>
    <w:rsid w:val="00D26D38"/>
    <w:rsid w:val="00D26DCB"/>
    <w:rsid w:val="00D27202"/>
    <w:rsid w:val="00D2754D"/>
    <w:rsid w:val="00D27769"/>
    <w:rsid w:val="00D27B27"/>
    <w:rsid w:val="00D300D3"/>
    <w:rsid w:val="00D3080D"/>
    <w:rsid w:val="00D308F3"/>
    <w:rsid w:val="00D30D5B"/>
    <w:rsid w:val="00D30F1D"/>
    <w:rsid w:val="00D32829"/>
    <w:rsid w:val="00D32C87"/>
    <w:rsid w:val="00D32E2B"/>
    <w:rsid w:val="00D32EBA"/>
    <w:rsid w:val="00D33203"/>
    <w:rsid w:val="00D336B0"/>
    <w:rsid w:val="00D339DD"/>
    <w:rsid w:val="00D33BE9"/>
    <w:rsid w:val="00D33F93"/>
    <w:rsid w:val="00D342A6"/>
    <w:rsid w:val="00D3567A"/>
    <w:rsid w:val="00D35792"/>
    <w:rsid w:val="00D357FF"/>
    <w:rsid w:val="00D35997"/>
    <w:rsid w:val="00D35D15"/>
    <w:rsid w:val="00D369EC"/>
    <w:rsid w:val="00D36F00"/>
    <w:rsid w:val="00D37024"/>
    <w:rsid w:val="00D374D4"/>
    <w:rsid w:val="00D37D17"/>
    <w:rsid w:val="00D40590"/>
    <w:rsid w:val="00D40DF5"/>
    <w:rsid w:val="00D411B2"/>
    <w:rsid w:val="00D41576"/>
    <w:rsid w:val="00D418A4"/>
    <w:rsid w:val="00D41997"/>
    <w:rsid w:val="00D41DCD"/>
    <w:rsid w:val="00D42271"/>
    <w:rsid w:val="00D424C7"/>
    <w:rsid w:val="00D42507"/>
    <w:rsid w:val="00D428C1"/>
    <w:rsid w:val="00D42FBE"/>
    <w:rsid w:val="00D43284"/>
    <w:rsid w:val="00D436CE"/>
    <w:rsid w:val="00D43953"/>
    <w:rsid w:val="00D43B2A"/>
    <w:rsid w:val="00D43CD9"/>
    <w:rsid w:val="00D43CF1"/>
    <w:rsid w:val="00D43D83"/>
    <w:rsid w:val="00D44323"/>
    <w:rsid w:val="00D44416"/>
    <w:rsid w:val="00D4466A"/>
    <w:rsid w:val="00D446F7"/>
    <w:rsid w:val="00D44893"/>
    <w:rsid w:val="00D44AA4"/>
    <w:rsid w:val="00D44D6B"/>
    <w:rsid w:val="00D44F9F"/>
    <w:rsid w:val="00D45042"/>
    <w:rsid w:val="00D45409"/>
    <w:rsid w:val="00D45431"/>
    <w:rsid w:val="00D45AA4"/>
    <w:rsid w:val="00D46020"/>
    <w:rsid w:val="00D46178"/>
    <w:rsid w:val="00D46C3A"/>
    <w:rsid w:val="00D471CE"/>
    <w:rsid w:val="00D47575"/>
    <w:rsid w:val="00D47F40"/>
    <w:rsid w:val="00D500A3"/>
    <w:rsid w:val="00D51248"/>
    <w:rsid w:val="00D51263"/>
    <w:rsid w:val="00D51782"/>
    <w:rsid w:val="00D51EDA"/>
    <w:rsid w:val="00D5243B"/>
    <w:rsid w:val="00D527BC"/>
    <w:rsid w:val="00D52A5A"/>
    <w:rsid w:val="00D5318E"/>
    <w:rsid w:val="00D5328B"/>
    <w:rsid w:val="00D533EC"/>
    <w:rsid w:val="00D533F2"/>
    <w:rsid w:val="00D5343E"/>
    <w:rsid w:val="00D53BEE"/>
    <w:rsid w:val="00D53BFF"/>
    <w:rsid w:val="00D54567"/>
    <w:rsid w:val="00D548BE"/>
    <w:rsid w:val="00D549FB"/>
    <w:rsid w:val="00D558E9"/>
    <w:rsid w:val="00D55A71"/>
    <w:rsid w:val="00D55B9C"/>
    <w:rsid w:val="00D55CC0"/>
    <w:rsid w:val="00D5647A"/>
    <w:rsid w:val="00D56536"/>
    <w:rsid w:val="00D56A95"/>
    <w:rsid w:val="00D57130"/>
    <w:rsid w:val="00D5778F"/>
    <w:rsid w:val="00D57790"/>
    <w:rsid w:val="00D577D8"/>
    <w:rsid w:val="00D57C28"/>
    <w:rsid w:val="00D57DA7"/>
    <w:rsid w:val="00D6076E"/>
    <w:rsid w:val="00D6097C"/>
    <w:rsid w:val="00D60D37"/>
    <w:rsid w:val="00D60E6C"/>
    <w:rsid w:val="00D6110B"/>
    <w:rsid w:val="00D616CC"/>
    <w:rsid w:val="00D62051"/>
    <w:rsid w:val="00D62971"/>
    <w:rsid w:val="00D62F58"/>
    <w:rsid w:val="00D6304B"/>
    <w:rsid w:val="00D631C5"/>
    <w:rsid w:val="00D632CB"/>
    <w:rsid w:val="00D63685"/>
    <w:rsid w:val="00D639F4"/>
    <w:rsid w:val="00D63ACA"/>
    <w:rsid w:val="00D63CE9"/>
    <w:rsid w:val="00D63D51"/>
    <w:rsid w:val="00D6418D"/>
    <w:rsid w:val="00D642E7"/>
    <w:rsid w:val="00D64927"/>
    <w:rsid w:val="00D64DB5"/>
    <w:rsid w:val="00D65E07"/>
    <w:rsid w:val="00D65F50"/>
    <w:rsid w:val="00D66B50"/>
    <w:rsid w:val="00D66F65"/>
    <w:rsid w:val="00D66FCF"/>
    <w:rsid w:val="00D67326"/>
    <w:rsid w:val="00D67C25"/>
    <w:rsid w:val="00D67CD7"/>
    <w:rsid w:val="00D70506"/>
    <w:rsid w:val="00D7073A"/>
    <w:rsid w:val="00D70883"/>
    <w:rsid w:val="00D70F16"/>
    <w:rsid w:val="00D71200"/>
    <w:rsid w:val="00D71B7C"/>
    <w:rsid w:val="00D71D89"/>
    <w:rsid w:val="00D71F30"/>
    <w:rsid w:val="00D722F2"/>
    <w:rsid w:val="00D72617"/>
    <w:rsid w:val="00D727E0"/>
    <w:rsid w:val="00D72B4D"/>
    <w:rsid w:val="00D72F57"/>
    <w:rsid w:val="00D72F81"/>
    <w:rsid w:val="00D73058"/>
    <w:rsid w:val="00D73558"/>
    <w:rsid w:val="00D73678"/>
    <w:rsid w:val="00D73D20"/>
    <w:rsid w:val="00D74AAB"/>
    <w:rsid w:val="00D75505"/>
    <w:rsid w:val="00D75692"/>
    <w:rsid w:val="00D756CE"/>
    <w:rsid w:val="00D75B85"/>
    <w:rsid w:val="00D761D6"/>
    <w:rsid w:val="00D76469"/>
    <w:rsid w:val="00D767BE"/>
    <w:rsid w:val="00D76A44"/>
    <w:rsid w:val="00D774E7"/>
    <w:rsid w:val="00D779D4"/>
    <w:rsid w:val="00D77E18"/>
    <w:rsid w:val="00D77F56"/>
    <w:rsid w:val="00D8036D"/>
    <w:rsid w:val="00D8077E"/>
    <w:rsid w:val="00D8098C"/>
    <w:rsid w:val="00D80A2E"/>
    <w:rsid w:val="00D80B6E"/>
    <w:rsid w:val="00D815EF"/>
    <w:rsid w:val="00D81837"/>
    <w:rsid w:val="00D81949"/>
    <w:rsid w:val="00D81D0F"/>
    <w:rsid w:val="00D81F26"/>
    <w:rsid w:val="00D822E2"/>
    <w:rsid w:val="00D82466"/>
    <w:rsid w:val="00D82A9F"/>
    <w:rsid w:val="00D837FD"/>
    <w:rsid w:val="00D838A0"/>
    <w:rsid w:val="00D839FB"/>
    <w:rsid w:val="00D83B7D"/>
    <w:rsid w:val="00D840C6"/>
    <w:rsid w:val="00D8437E"/>
    <w:rsid w:val="00D843F2"/>
    <w:rsid w:val="00D848A7"/>
    <w:rsid w:val="00D84AFB"/>
    <w:rsid w:val="00D84F38"/>
    <w:rsid w:val="00D84F8C"/>
    <w:rsid w:val="00D857D2"/>
    <w:rsid w:val="00D8597F"/>
    <w:rsid w:val="00D86231"/>
    <w:rsid w:val="00D86BAF"/>
    <w:rsid w:val="00D8746A"/>
    <w:rsid w:val="00D87D7E"/>
    <w:rsid w:val="00D87DFA"/>
    <w:rsid w:val="00D902F2"/>
    <w:rsid w:val="00D903D8"/>
    <w:rsid w:val="00D90517"/>
    <w:rsid w:val="00D90579"/>
    <w:rsid w:val="00D909C8"/>
    <w:rsid w:val="00D90CC5"/>
    <w:rsid w:val="00D90D23"/>
    <w:rsid w:val="00D912AB"/>
    <w:rsid w:val="00D9147F"/>
    <w:rsid w:val="00D91599"/>
    <w:rsid w:val="00D9159B"/>
    <w:rsid w:val="00D91923"/>
    <w:rsid w:val="00D91D43"/>
    <w:rsid w:val="00D91E26"/>
    <w:rsid w:val="00D91EE9"/>
    <w:rsid w:val="00D9287C"/>
    <w:rsid w:val="00D928A6"/>
    <w:rsid w:val="00D92A7C"/>
    <w:rsid w:val="00D93753"/>
    <w:rsid w:val="00D93F05"/>
    <w:rsid w:val="00D94343"/>
    <w:rsid w:val="00D94660"/>
    <w:rsid w:val="00D948C5"/>
    <w:rsid w:val="00D95492"/>
    <w:rsid w:val="00D966A0"/>
    <w:rsid w:val="00D96755"/>
    <w:rsid w:val="00D96A54"/>
    <w:rsid w:val="00D96FE9"/>
    <w:rsid w:val="00D97074"/>
    <w:rsid w:val="00D9709F"/>
    <w:rsid w:val="00D971A3"/>
    <w:rsid w:val="00D977C3"/>
    <w:rsid w:val="00D97858"/>
    <w:rsid w:val="00DA0118"/>
    <w:rsid w:val="00DA01D6"/>
    <w:rsid w:val="00DA09DC"/>
    <w:rsid w:val="00DA09E8"/>
    <w:rsid w:val="00DA0E91"/>
    <w:rsid w:val="00DA151A"/>
    <w:rsid w:val="00DA1716"/>
    <w:rsid w:val="00DA19CB"/>
    <w:rsid w:val="00DA1A7A"/>
    <w:rsid w:val="00DA1ABF"/>
    <w:rsid w:val="00DA1CD2"/>
    <w:rsid w:val="00DA1E8E"/>
    <w:rsid w:val="00DA2923"/>
    <w:rsid w:val="00DA3167"/>
    <w:rsid w:val="00DA320D"/>
    <w:rsid w:val="00DA333D"/>
    <w:rsid w:val="00DA34DA"/>
    <w:rsid w:val="00DA36A0"/>
    <w:rsid w:val="00DA3BC7"/>
    <w:rsid w:val="00DA43A2"/>
    <w:rsid w:val="00DA4DC3"/>
    <w:rsid w:val="00DA54D6"/>
    <w:rsid w:val="00DA5C6A"/>
    <w:rsid w:val="00DA5C9C"/>
    <w:rsid w:val="00DA69FB"/>
    <w:rsid w:val="00DA6B20"/>
    <w:rsid w:val="00DA6CB2"/>
    <w:rsid w:val="00DA702A"/>
    <w:rsid w:val="00DA77A5"/>
    <w:rsid w:val="00DA7AF5"/>
    <w:rsid w:val="00DA7DF1"/>
    <w:rsid w:val="00DA7FAC"/>
    <w:rsid w:val="00DB0219"/>
    <w:rsid w:val="00DB04B7"/>
    <w:rsid w:val="00DB0BEA"/>
    <w:rsid w:val="00DB0E36"/>
    <w:rsid w:val="00DB0F23"/>
    <w:rsid w:val="00DB16D6"/>
    <w:rsid w:val="00DB1764"/>
    <w:rsid w:val="00DB1F56"/>
    <w:rsid w:val="00DB255C"/>
    <w:rsid w:val="00DB265D"/>
    <w:rsid w:val="00DB3042"/>
    <w:rsid w:val="00DB3AAC"/>
    <w:rsid w:val="00DB3DBF"/>
    <w:rsid w:val="00DB3E55"/>
    <w:rsid w:val="00DB3EB4"/>
    <w:rsid w:val="00DB469E"/>
    <w:rsid w:val="00DB484F"/>
    <w:rsid w:val="00DB4A9E"/>
    <w:rsid w:val="00DB4EFE"/>
    <w:rsid w:val="00DB4FEF"/>
    <w:rsid w:val="00DB50B9"/>
    <w:rsid w:val="00DB58FA"/>
    <w:rsid w:val="00DB65F7"/>
    <w:rsid w:val="00DB6722"/>
    <w:rsid w:val="00DB6BF9"/>
    <w:rsid w:val="00DB7BEB"/>
    <w:rsid w:val="00DC04F6"/>
    <w:rsid w:val="00DC0690"/>
    <w:rsid w:val="00DC0736"/>
    <w:rsid w:val="00DC0F6A"/>
    <w:rsid w:val="00DC0FBF"/>
    <w:rsid w:val="00DC1742"/>
    <w:rsid w:val="00DC1BAE"/>
    <w:rsid w:val="00DC1D65"/>
    <w:rsid w:val="00DC2820"/>
    <w:rsid w:val="00DC2D40"/>
    <w:rsid w:val="00DC34C3"/>
    <w:rsid w:val="00DC3713"/>
    <w:rsid w:val="00DC3797"/>
    <w:rsid w:val="00DC3C57"/>
    <w:rsid w:val="00DC43DD"/>
    <w:rsid w:val="00DC4601"/>
    <w:rsid w:val="00DC46B8"/>
    <w:rsid w:val="00DC4814"/>
    <w:rsid w:val="00DC4A19"/>
    <w:rsid w:val="00DC4F93"/>
    <w:rsid w:val="00DC4FA8"/>
    <w:rsid w:val="00DC4FAC"/>
    <w:rsid w:val="00DC5501"/>
    <w:rsid w:val="00DC562E"/>
    <w:rsid w:val="00DC5DE4"/>
    <w:rsid w:val="00DC5FD0"/>
    <w:rsid w:val="00DC6109"/>
    <w:rsid w:val="00DC626B"/>
    <w:rsid w:val="00DC62E6"/>
    <w:rsid w:val="00DC6C2C"/>
    <w:rsid w:val="00DC6EC9"/>
    <w:rsid w:val="00DC7154"/>
    <w:rsid w:val="00DC795C"/>
    <w:rsid w:val="00DC7E8A"/>
    <w:rsid w:val="00DD0108"/>
    <w:rsid w:val="00DD0233"/>
    <w:rsid w:val="00DD0F78"/>
    <w:rsid w:val="00DD13E0"/>
    <w:rsid w:val="00DD15CE"/>
    <w:rsid w:val="00DD17BD"/>
    <w:rsid w:val="00DD1A47"/>
    <w:rsid w:val="00DD23F6"/>
    <w:rsid w:val="00DD273C"/>
    <w:rsid w:val="00DD294D"/>
    <w:rsid w:val="00DD2CEF"/>
    <w:rsid w:val="00DD2D5E"/>
    <w:rsid w:val="00DD2EA1"/>
    <w:rsid w:val="00DD3214"/>
    <w:rsid w:val="00DD32EF"/>
    <w:rsid w:val="00DD3D40"/>
    <w:rsid w:val="00DD3EF0"/>
    <w:rsid w:val="00DD3F28"/>
    <w:rsid w:val="00DD404D"/>
    <w:rsid w:val="00DD4445"/>
    <w:rsid w:val="00DD4446"/>
    <w:rsid w:val="00DD4474"/>
    <w:rsid w:val="00DD4537"/>
    <w:rsid w:val="00DD46CB"/>
    <w:rsid w:val="00DD49F6"/>
    <w:rsid w:val="00DD4A32"/>
    <w:rsid w:val="00DD4C62"/>
    <w:rsid w:val="00DD4E15"/>
    <w:rsid w:val="00DD5F2D"/>
    <w:rsid w:val="00DD65E7"/>
    <w:rsid w:val="00DD66C1"/>
    <w:rsid w:val="00DD6C7F"/>
    <w:rsid w:val="00DD6EA4"/>
    <w:rsid w:val="00DD7498"/>
    <w:rsid w:val="00DD758D"/>
    <w:rsid w:val="00DD75CC"/>
    <w:rsid w:val="00DD7802"/>
    <w:rsid w:val="00DD7996"/>
    <w:rsid w:val="00DD7B68"/>
    <w:rsid w:val="00DD7B78"/>
    <w:rsid w:val="00DD7CAC"/>
    <w:rsid w:val="00DE009B"/>
    <w:rsid w:val="00DE039D"/>
    <w:rsid w:val="00DE0409"/>
    <w:rsid w:val="00DE06EE"/>
    <w:rsid w:val="00DE0FDE"/>
    <w:rsid w:val="00DE19AE"/>
    <w:rsid w:val="00DE205E"/>
    <w:rsid w:val="00DE227E"/>
    <w:rsid w:val="00DE2304"/>
    <w:rsid w:val="00DE270D"/>
    <w:rsid w:val="00DE29BF"/>
    <w:rsid w:val="00DE2B58"/>
    <w:rsid w:val="00DE2F8F"/>
    <w:rsid w:val="00DE3138"/>
    <w:rsid w:val="00DE31CA"/>
    <w:rsid w:val="00DE37F8"/>
    <w:rsid w:val="00DE3EBD"/>
    <w:rsid w:val="00DE4273"/>
    <w:rsid w:val="00DE4536"/>
    <w:rsid w:val="00DE483D"/>
    <w:rsid w:val="00DE485B"/>
    <w:rsid w:val="00DE4990"/>
    <w:rsid w:val="00DE49DF"/>
    <w:rsid w:val="00DE4A61"/>
    <w:rsid w:val="00DE4E45"/>
    <w:rsid w:val="00DE4FCB"/>
    <w:rsid w:val="00DE52D6"/>
    <w:rsid w:val="00DE551F"/>
    <w:rsid w:val="00DE5867"/>
    <w:rsid w:val="00DE5880"/>
    <w:rsid w:val="00DE5D07"/>
    <w:rsid w:val="00DE6073"/>
    <w:rsid w:val="00DE6106"/>
    <w:rsid w:val="00DE639C"/>
    <w:rsid w:val="00DE63D8"/>
    <w:rsid w:val="00DE6612"/>
    <w:rsid w:val="00DE6674"/>
    <w:rsid w:val="00DE69E1"/>
    <w:rsid w:val="00DE6E24"/>
    <w:rsid w:val="00DE6F33"/>
    <w:rsid w:val="00DE70D3"/>
    <w:rsid w:val="00DE7145"/>
    <w:rsid w:val="00DE718E"/>
    <w:rsid w:val="00DE72A7"/>
    <w:rsid w:val="00DE7832"/>
    <w:rsid w:val="00DE7F63"/>
    <w:rsid w:val="00DF061A"/>
    <w:rsid w:val="00DF0724"/>
    <w:rsid w:val="00DF0778"/>
    <w:rsid w:val="00DF0943"/>
    <w:rsid w:val="00DF0D1E"/>
    <w:rsid w:val="00DF1137"/>
    <w:rsid w:val="00DF18FC"/>
    <w:rsid w:val="00DF1E66"/>
    <w:rsid w:val="00DF227B"/>
    <w:rsid w:val="00DF22A9"/>
    <w:rsid w:val="00DF22BC"/>
    <w:rsid w:val="00DF2E41"/>
    <w:rsid w:val="00DF2F5B"/>
    <w:rsid w:val="00DF4C37"/>
    <w:rsid w:val="00DF4D78"/>
    <w:rsid w:val="00DF4F2F"/>
    <w:rsid w:val="00DF4F79"/>
    <w:rsid w:val="00DF52F7"/>
    <w:rsid w:val="00DF53CE"/>
    <w:rsid w:val="00DF57A2"/>
    <w:rsid w:val="00DF5880"/>
    <w:rsid w:val="00DF5A89"/>
    <w:rsid w:val="00DF5D2B"/>
    <w:rsid w:val="00DF5D66"/>
    <w:rsid w:val="00DF6196"/>
    <w:rsid w:val="00DF6341"/>
    <w:rsid w:val="00DF64CC"/>
    <w:rsid w:val="00DF6643"/>
    <w:rsid w:val="00DF668C"/>
    <w:rsid w:val="00DF6B37"/>
    <w:rsid w:val="00DF6B3F"/>
    <w:rsid w:val="00DF6D45"/>
    <w:rsid w:val="00DF6E20"/>
    <w:rsid w:val="00DF7183"/>
    <w:rsid w:val="00DF7AC4"/>
    <w:rsid w:val="00DF7C86"/>
    <w:rsid w:val="00DF7CA4"/>
    <w:rsid w:val="00E00123"/>
    <w:rsid w:val="00E0056A"/>
    <w:rsid w:val="00E00E8E"/>
    <w:rsid w:val="00E0110F"/>
    <w:rsid w:val="00E01352"/>
    <w:rsid w:val="00E019C3"/>
    <w:rsid w:val="00E01E83"/>
    <w:rsid w:val="00E01F96"/>
    <w:rsid w:val="00E0236C"/>
    <w:rsid w:val="00E0302A"/>
    <w:rsid w:val="00E034CC"/>
    <w:rsid w:val="00E03D95"/>
    <w:rsid w:val="00E04199"/>
    <w:rsid w:val="00E04204"/>
    <w:rsid w:val="00E04DBE"/>
    <w:rsid w:val="00E054FA"/>
    <w:rsid w:val="00E05630"/>
    <w:rsid w:val="00E05E2B"/>
    <w:rsid w:val="00E06232"/>
    <w:rsid w:val="00E064B0"/>
    <w:rsid w:val="00E06B28"/>
    <w:rsid w:val="00E06C6B"/>
    <w:rsid w:val="00E06CDE"/>
    <w:rsid w:val="00E06DBB"/>
    <w:rsid w:val="00E0749D"/>
    <w:rsid w:val="00E07FCE"/>
    <w:rsid w:val="00E10149"/>
    <w:rsid w:val="00E10401"/>
    <w:rsid w:val="00E10629"/>
    <w:rsid w:val="00E10A53"/>
    <w:rsid w:val="00E10A97"/>
    <w:rsid w:val="00E110DA"/>
    <w:rsid w:val="00E1122D"/>
    <w:rsid w:val="00E11340"/>
    <w:rsid w:val="00E11EF6"/>
    <w:rsid w:val="00E1229C"/>
    <w:rsid w:val="00E122A1"/>
    <w:rsid w:val="00E1254D"/>
    <w:rsid w:val="00E126DB"/>
    <w:rsid w:val="00E1294A"/>
    <w:rsid w:val="00E1294B"/>
    <w:rsid w:val="00E12A39"/>
    <w:rsid w:val="00E1350B"/>
    <w:rsid w:val="00E13BBE"/>
    <w:rsid w:val="00E14549"/>
    <w:rsid w:val="00E148BD"/>
    <w:rsid w:val="00E14AAB"/>
    <w:rsid w:val="00E14C88"/>
    <w:rsid w:val="00E153EA"/>
    <w:rsid w:val="00E154FD"/>
    <w:rsid w:val="00E15767"/>
    <w:rsid w:val="00E15D39"/>
    <w:rsid w:val="00E16372"/>
    <w:rsid w:val="00E166B3"/>
    <w:rsid w:val="00E16A25"/>
    <w:rsid w:val="00E16AA2"/>
    <w:rsid w:val="00E16AD8"/>
    <w:rsid w:val="00E16B67"/>
    <w:rsid w:val="00E16F6E"/>
    <w:rsid w:val="00E1750E"/>
    <w:rsid w:val="00E17988"/>
    <w:rsid w:val="00E17D87"/>
    <w:rsid w:val="00E17E66"/>
    <w:rsid w:val="00E17FFA"/>
    <w:rsid w:val="00E200D5"/>
    <w:rsid w:val="00E20483"/>
    <w:rsid w:val="00E208F0"/>
    <w:rsid w:val="00E20C33"/>
    <w:rsid w:val="00E20E4D"/>
    <w:rsid w:val="00E20E81"/>
    <w:rsid w:val="00E20ED6"/>
    <w:rsid w:val="00E21358"/>
    <w:rsid w:val="00E218ED"/>
    <w:rsid w:val="00E21941"/>
    <w:rsid w:val="00E220BC"/>
    <w:rsid w:val="00E2249B"/>
    <w:rsid w:val="00E2268A"/>
    <w:rsid w:val="00E22A0D"/>
    <w:rsid w:val="00E231E2"/>
    <w:rsid w:val="00E23AB4"/>
    <w:rsid w:val="00E23C0C"/>
    <w:rsid w:val="00E23CA7"/>
    <w:rsid w:val="00E23D67"/>
    <w:rsid w:val="00E23F66"/>
    <w:rsid w:val="00E23F75"/>
    <w:rsid w:val="00E242C5"/>
    <w:rsid w:val="00E243A1"/>
    <w:rsid w:val="00E244F6"/>
    <w:rsid w:val="00E25273"/>
    <w:rsid w:val="00E252AF"/>
    <w:rsid w:val="00E2585A"/>
    <w:rsid w:val="00E258DB"/>
    <w:rsid w:val="00E2630B"/>
    <w:rsid w:val="00E26976"/>
    <w:rsid w:val="00E26BA2"/>
    <w:rsid w:val="00E2771E"/>
    <w:rsid w:val="00E278C2"/>
    <w:rsid w:val="00E279F1"/>
    <w:rsid w:val="00E27A34"/>
    <w:rsid w:val="00E27AEA"/>
    <w:rsid w:val="00E27D0F"/>
    <w:rsid w:val="00E27D65"/>
    <w:rsid w:val="00E27F03"/>
    <w:rsid w:val="00E301F4"/>
    <w:rsid w:val="00E303C7"/>
    <w:rsid w:val="00E30495"/>
    <w:rsid w:val="00E305CF"/>
    <w:rsid w:val="00E30C2D"/>
    <w:rsid w:val="00E30C87"/>
    <w:rsid w:val="00E30D47"/>
    <w:rsid w:val="00E311EF"/>
    <w:rsid w:val="00E31668"/>
    <w:rsid w:val="00E31FFC"/>
    <w:rsid w:val="00E32180"/>
    <w:rsid w:val="00E325AD"/>
    <w:rsid w:val="00E32D5D"/>
    <w:rsid w:val="00E3355D"/>
    <w:rsid w:val="00E33A69"/>
    <w:rsid w:val="00E33B7A"/>
    <w:rsid w:val="00E33E3A"/>
    <w:rsid w:val="00E3407F"/>
    <w:rsid w:val="00E340C0"/>
    <w:rsid w:val="00E34948"/>
    <w:rsid w:val="00E35767"/>
    <w:rsid w:val="00E3593D"/>
    <w:rsid w:val="00E35980"/>
    <w:rsid w:val="00E3642E"/>
    <w:rsid w:val="00E3651C"/>
    <w:rsid w:val="00E36627"/>
    <w:rsid w:val="00E367CC"/>
    <w:rsid w:val="00E36800"/>
    <w:rsid w:val="00E36816"/>
    <w:rsid w:val="00E368DA"/>
    <w:rsid w:val="00E36A34"/>
    <w:rsid w:val="00E37569"/>
    <w:rsid w:val="00E401B2"/>
    <w:rsid w:val="00E402BF"/>
    <w:rsid w:val="00E4077F"/>
    <w:rsid w:val="00E40BED"/>
    <w:rsid w:val="00E41525"/>
    <w:rsid w:val="00E41A0C"/>
    <w:rsid w:val="00E41E30"/>
    <w:rsid w:val="00E4227C"/>
    <w:rsid w:val="00E4296F"/>
    <w:rsid w:val="00E42F73"/>
    <w:rsid w:val="00E4312A"/>
    <w:rsid w:val="00E4313C"/>
    <w:rsid w:val="00E43151"/>
    <w:rsid w:val="00E43422"/>
    <w:rsid w:val="00E43794"/>
    <w:rsid w:val="00E43812"/>
    <w:rsid w:val="00E43D70"/>
    <w:rsid w:val="00E44B06"/>
    <w:rsid w:val="00E44C57"/>
    <w:rsid w:val="00E45179"/>
    <w:rsid w:val="00E453F7"/>
    <w:rsid w:val="00E454E2"/>
    <w:rsid w:val="00E45D61"/>
    <w:rsid w:val="00E46551"/>
    <w:rsid w:val="00E466F3"/>
    <w:rsid w:val="00E470C7"/>
    <w:rsid w:val="00E475DC"/>
    <w:rsid w:val="00E47B2C"/>
    <w:rsid w:val="00E47B5A"/>
    <w:rsid w:val="00E50394"/>
    <w:rsid w:val="00E50454"/>
    <w:rsid w:val="00E506F9"/>
    <w:rsid w:val="00E50C04"/>
    <w:rsid w:val="00E50F3E"/>
    <w:rsid w:val="00E510EA"/>
    <w:rsid w:val="00E5123C"/>
    <w:rsid w:val="00E51560"/>
    <w:rsid w:val="00E51583"/>
    <w:rsid w:val="00E516C0"/>
    <w:rsid w:val="00E51821"/>
    <w:rsid w:val="00E52DF2"/>
    <w:rsid w:val="00E52FE2"/>
    <w:rsid w:val="00E530C2"/>
    <w:rsid w:val="00E535C3"/>
    <w:rsid w:val="00E53FC8"/>
    <w:rsid w:val="00E5400C"/>
    <w:rsid w:val="00E54347"/>
    <w:rsid w:val="00E54AE0"/>
    <w:rsid w:val="00E54C93"/>
    <w:rsid w:val="00E54CF0"/>
    <w:rsid w:val="00E55424"/>
    <w:rsid w:val="00E558AB"/>
    <w:rsid w:val="00E55915"/>
    <w:rsid w:val="00E55AA4"/>
    <w:rsid w:val="00E55BB5"/>
    <w:rsid w:val="00E55E0C"/>
    <w:rsid w:val="00E55F0A"/>
    <w:rsid w:val="00E5668A"/>
    <w:rsid w:val="00E566B6"/>
    <w:rsid w:val="00E56B3B"/>
    <w:rsid w:val="00E56CED"/>
    <w:rsid w:val="00E57588"/>
    <w:rsid w:val="00E57712"/>
    <w:rsid w:val="00E57751"/>
    <w:rsid w:val="00E611DF"/>
    <w:rsid w:val="00E61440"/>
    <w:rsid w:val="00E61B52"/>
    <w:rsid w:val="00E62179"/>
    <w:rsid w:val="00E625D3"/>
    <w:rsid w:val="00E627CC"/>
    <w:rsid w:val="00E62BC0"/>
    <w:rsid w:val="00E62ED3"/>
    <w:rsid w:val="00E63569"/>
    <w:rsid w:val="00E6377B"/>
    <w:rsid w:val="00E63DD3"/>
    <w:rsid w:val="00E63F84"/>
    <w:rsid w:val="00E64302"/>
    <w:rsid w:val="00E6442F"/>
    <w:rsid w:val="00E646CD"/>
    <w:rsid w:val="00E64801"/>
    <w:rsid w:val="00E6499E"/>
    <w:rsid w:val="00E64B93"/>
    <w:rsid w:val="00E64D28"/>
    <w:rsid w:val="00E65413"/>
    <w:rsid w:val="00E65448"/>
    <w:rsid w:val="00E65744"/>
    <w:rsid w:val="00E65AC5"/>
    <w:rsid w:val="00E65E36"/>
    <w:rsid w:val="00E65E79"/>
    <w:rsid w:val="00E666CE"/>
    <w:rsid w:val="00E66B33"/>
    <w:rsid w:val="00E66B59"/>
    <w:rsid w:val="00E66BA2"/>
    <w:rsid w:val="00E66C85"/>
    <w:rsid w:val="00E672EA"/>
    <w:rsid w:val="00E67416"/>
    <w:rsid w:val="00E679C1"/>
    <w:rsid w:val="00E67E29"/>
    <w:rsid w:val="00E70119"/>
    <w:rsid w:val="00E7059A"/>
    <w:rsid w:val="00E705BF"/>
    <w:rsid w:val="00E7068D"/>
    <w:rsid w:val="00E70AD5"/>
    <w:rsid w:val="00E718B6"/>
    <w:rsid w:val="00E718C6"/>
    <w:rsid w:val="00E7237C"/>
    <w:rsid w:val="00E723BA"/>
    <w:rsid w:val="00E73581"/>
    <w:rsid w:val="00E735CE"/>
    <w:rsid w:val="00E73670"/>
    <w:rsid w:val="00E73856"/>
    <w:rsid w:val="00E73A16"/>
    <w:rsid w:val="00E73A8E"/>
    <w:rsid w:val="00E73BB0"/>
    <w:rsid w:val="00E73C4F"/>
    <w:rsid w:val="00E75196"/>
    <w:rsid w:val="00E75B5A"/>
    <w:rsid w:val="00E75E80"/>
    <w:rsid w:val="00E763B3"/>
    <w:rsid w:val="00E76A31"/>
    <w:rsid w:val="00E76A6E"/>
    <w:rsid w:val="00E76A95"/>
    <w:rsid w:val="00E76F2C"/>
    <w:rsid w:val="00E77443"/>
    <w:rsid w:val="00E774FD"/>
    <w:rsid w:val="00E77517"/>
    <w:rsid w:val="00E776CE"/>
    <w:rsid w:val="00E77AFB"/>
    <w:rsid w:val="00E77B91"/>
    <w:rsid w:val="00E77FFE"/>
    <w:rsid w:val="00E80424"/>
    <w:rsid w:val="00E80DEC"/>
    <w:rsid w:val="00E8116B"/>
    <w:rsid w:val="00E8134F"/>
    <w:rsid w:val="00E81E8F"/>
    <w:rsid w:val="00E821E3"/>
    <w:rsid w:val="00E82438"/>
    <w:rsid w:val="00E8273D"/>
    <w:rsid w:val="00E828F5"/>
    <w:rsid w:val="00E82D5F"/>
    <w:rsid w:val="00E82E92"/>
    <w:rsid w:val="00E82F55"/>
    <w:rsid w:val="00E833F7"/>
    <w:rsid w:val="00E8349C"/>
    <w:rsid w:val="00E8362C"/>
    <w:rsid w:val="00E836FF"/>
    <w:rsid w:val="00E8381E"/>
    <w:rsid w:val="00E83B10"/>
    <w:rsid w:val="00E83BDF"/>
    <w:rsid w:val="00E83CA6"/>
    <w:rsid w:val="00E83CD5"/>
    <w:rsid w:val="00E83CFF"/>
    <w:rsid w:val="00E84637"/>
    <w:rsid w:val="00E84809"/>
    <w:rsid w:val="00E84F08"/>
    <w:rsid w:val="00E850E5"/>
    <w:rsid w:val="00E85CE2"/>
    <w:rsid w:val="00E860F5"/>
    <w:rsid w:val="00E867FC"/>
    <w:rsid w:val="00E86855"/>
    <w:rsid w:val="00E86960"/>
    <w:rsid w:val="00E86FCC"/>
    <w:rsid w:val="00E87947"/>
    <w:rsid w:val="00E87A1D"/>
    <w:rsid w:val="00E87B9F"/>
    <w:rsid w:val="00E87F37"/>
    <w:rsid w:val="00E87F99"/>
    <w:rsid w:val="00E9094A"/>
    <w:rsid w:val="00E90E37"/>
    <w:rsid w:val="00E916AC"/>
    <w:rsid w:val="00E91C74"/>
    <w:rsid w:val="00E91D35"/>
    <w:rsid w:val="00E92004"/>
    <w:rsid w:val="00E922F1"/>
    <w:rsid w:val="00E926A5"/>
    <w:rsid w:val="00E92925"/>
    <w:rsid w:val="00E92A86"/>
    <w:rsid w:val="00E92CBB"/>
    <w:rsid w:val="00E93A00"/>
    <w:rsid w:val="00E948BB"/>
    <w:rsid w:val="00E949F2"/>
    <w:rsid w:val="00E94DFC"/>
    <w:rsid w:val="00E95701"/>
    <w:rsid w:val="00E95FB7"/>
    <w:rsid w:val="00E962CC"/>
    <w:rsid w:val="00E96606"/>
    <w:rsid w:val="00E96B04"/>
    <w:rsid w:val="00E97040"/>
    <w:rsid w:val="00E9753C"/>
    <w:rsid w:val="00E97707"/>
    <w:rsid w:val="00E97ADA"/>
    <w:rsid w:val="00EA032A"/>
    <w:rsid w:val="00EA08A6"/>
    <w:rsid w:val="00EA0B84"/>
    <w:rsid w:val="00EA10F3"/>
    <w:rsid w:val="00EA1384"/>
    <w:rsid w:val="00EA143B"/>
    <w:rsid w:val="00EA1675"/>
    <w:rsid w:val="00EA1722"/>
    <w:rsid w:val="00EA17C3"/>
    <w:rsid w:val="00EA1857"/>
    <w:rsid w:val="00EA23EC"/>
    <w:rsid w:val="00EA24CA"/>
    <w:rsid w:val="00EA2CAA"/>
    <w:rsid w:val="00EA301A"/>
    <w:rsid w:val="00EA3375"/>
    <w:rsid w:val="00EA3864"/>
    <w:rsid w:val="00EA3894"/>
    <w:rsid w:val="00EA3976"/>
    <w:rsid w:val="00EA3B5E"/>
    <w:rsid w:val="00EA46E3"/>
    <w:rsid w:val="00EA4C08"/>
    <w:rsid w:val="00EA4E59"/>
    <w:rsid w:val="00EA54F3"/>
    <w:rsid w:val="00EA5672"/>
    <w:rsid w:val="00EA630C"/>
    <w:rsid w:val="00EA69C0"/>
    <w:rsid w:val="00EA6A7A"/>
    <w:rsid w:val="00EA6A9A"/>
    <w:rsid w:val="00EA6DE9"/>
    <w:rsid w:val="00EA7A92"/>
    <w:rsid w:val="00EA7E4E"/>
    <w:rsid w:val="00EA7F1C"/>
    <w:rsid w:val="00EB0282"/>
    <w:rsid w:val="00EB04C3"/>
    <w:rsid w:val="00EB0796"/>
    <w:rsid w:val="00EB0E31"/>
    <w:rsid w:val="00EB10C6"/>
    <w:rsid w:val="00EB1243"/>
    <w:rsid w:val="00EB15B6"/>
    <w:rsid w:val="00EB1712"/>
    <w:rsid w:val="00EB175B"/>
    <w:rsid w:val="00EB19DF"/>
    <w:rsid w:val="00EB1FC5"/>
    <w:rsid w:val="00EB25C9"/>
    <w:rsid w:val="00EB2937"/>
    <w:rsid w:val="00EB2A0E"/>
    <w:rsid w:val="00EB319D"/>
    <w:rsid w:val="00EB3A0A"/>
    <w:rsid w:val="00EB3D06"/>
    <w:rsid w:val="00EB3DAA"/>
    <w:rsid w:val="00EB4916"/>
    <w:rsid w:val="00EB4968"/>
    <w:rsid w:val="00EB4D11"/>
    <w:rsid w:val="00EB50E2"/>
    <w:rsid w:val="00EB51F0"/>
    <w:rsid w:val="00EB526F"/>
    <w:rsid w:val="00EB54AD"/>
    <w:rsid w:val="00EB5747"/>
    <w:rsid w:val="00EB5DDF"/>
    <w:rsid w:val="00EB5DF3"/>
    <w:rsid w:val="00EB61B2"/>
    <w:rsid w:val="00EB67BD"/>
    <w:rsid w:val="00EB6899"/>
    <w:rsid w:val="00EB6CDD"/>
    <w:rsid w:val="00EB6D37"/>
    <w:rsid w:val="00EB6F96"/>
    <w:rsid w:val="00EB71D9"/>
    <w:rsid w:val="00EB7B91"/>
    <w:rsid w:val="00EB7DF6"/>
    <w:rsid w:val="00EC00C9"/>
    <w:rsid w:val="00EC0940"/>
    <w:rsid w:val="00EC0CEF"/>
    <w:rsid w:val="00EC0D43"/>
    <w:rsid w:val="00EC0DC9"/>
    <w:rsid w:val="00EC0DD9"/>
    <w:rsid w:val="00EC1005"/>
    <w:rsid w:val="00EC102D"/>
    <w:rsid w:val="00EC1178"/>
    <w:rsid w:val="00EC11AB"/>
    <w:rsid w:val="00EC12C1"/>
    <w:rsid w:val="00EC1D88"/>
    <w:rsid w:val="00EC20C1"/>
    <w:rsid w:val="00EC217B"/>
    <w:rsid w:val="00EC2649"/>
    <w:rsid w:val="00EC2798"/>
    <w:rsid w:val="00EC27F3"/>
    <w:rsid w:val="00EC302A"/>
    <w:rsid w:val="00EC31ED"/>
    <w:rsid w:val="00EC3640"/>
    <w:rsid w:val="00EC3937"/>
    <w:rsid w:val="00EC4A6B"/>
    <w:rsid w:val="00EC4B65"/>
    <w:rsid w:val="00EC507C"/>
    <w:rsid w:val="00EC57FC"/>
    <w:rsid w:val="00EC5836"/>
    <w:rsid w:val="00EC5F07"/>
    <w:rsid w:val="00EC688C"/>
    <w:rsid w:val="00EC69A2"/>
    <w:rsid w:val="00EC6AB2"/>
    <w:rsid w:val="00EC75E2"/>
    <w:rsid w:val="00EC76BB"/>
    <w:rsid w:val="00EC7742"/>
    <w:rsid w:val="00EC7939"/>
    <w:rsid w:val="00EC7AB1"/>
    <w:rsid w:val="00EC7AB8"/>
    <w:rsid w:val="00ED00A3"/>
    <w:rsid w:val="00ED00F6"/>
    <w:rsid w:val="00ED08B9"/>
    <w:rsid w:val="00ED0DF7"/>
    <w:rsid w:val="00ED1282"/>
    <w:rsid w:val="00ED12E3"/>
    <w:rsid w:val="00ED2619"/>
    <w:rsid w:val="00ED278D"/>
    <w:rsid w:val="00ED2886"/>
    <w:rsid w:val="00ED294B"/>
    <w:rsid w:val="00ED2F0E"/>
    <w:rsid w:val="00ED36A9"/>
    <w:rsid w:val="00ED3AB1"/>
    <w:rsid w:val="00ED3EDF"/>
    <w:rsid w:val="00ED4804"/>
    <w:rsid w:val="00ED4AAC"/>
    <w:rsid w:val="00ED4B04"/>
    <w:rsid w:val="00ED4BD7"/>
    <w:rsid w:val="00ED4EA5"/>
    <w:rsid w:val="00ED5272"/>
    <w:rsid w:val="00ED55CB"/>
    <w:rsid w:val="00ED56D9"/>
    <w:rsid w:val="00ED57EA"/>
    <w:rsid w:val="00ED590B"/>
    <w:rsid w:val="00ED5A7D"/>
    <w:rsid w:val="00ED5BD4"/>
    <w:rsid w:val="00ED5D91"/>
    <w:rsid w:val="00ED5EC5"/>
    <w:rsid w:val="00ED6196"/>
    <w:rsid w:val="00ED63BF"/>
    <w:rsid w:val="00ED65A0"/>
    <w:rsid w:val="00ED6A68"/>
    <w:rsid w:val="00ED6BAF"/>
    <w:rsid w:val="00ED72E4"/>
    <w:rsid w:val="00ED7951"/>
    <w:rsid w:val="00ED7D21"/>
    <w:rsid w:val="00ED7DF5"/>
    <w:rsid w:val="00ED7F06"/>
    <w:rsid w:val="00EE07D3"/>
    <w:rsid w:val="00EE0949"/>
    <w:rsid w:val="00EE0E3A"/>
    <w:rsid w:val="00EE132D"/>
    <w:rsid w:val="00EE1996"/>
    <w:rsid w:val="00EE1C01"/>
    <w:rsid w:val="00EE220F"/>
    <w:rsid w:val="00EE22AF"/>
    <w:rsid w:val="00EE2360"/>
    <w:rsid w:val="00EE2ABD"/>
    <w:rsid w:val="00EE2B7F"/>
    <w:rsid w:val="00EE2DC6"/>
    <w:rsid w:val="00EE2EF7"/>
    <w:rsid w:val="00EE2FFB"/>
    <w:rsid w:val="00EE3458"/>
    <w:rsid w:val="00EE3478"/>
    <w:rsid w:val="00EE35B2"/>
    <w:rsid w:val="00EE3A54"/>
    <w:rsid w:val="00EE414B"/>
    <w:rsid w:val="00EE4674"/>
    <w:rsid w:val="00EE46A8"/>
    <w:rsid w:val="00EE4773"/>
    <w:rsid w:val="00EE4B63"/>
    <w:rsid w:val="00EE4BF0"/>
    <w:rsid w:val="00EE6DCC"/>
    <w:rsid w:val="00EE7582"/>
    <w:rsid w:val="00EE7677"/>
    <w:rsid w:val="00EF0171"/>
    <w:rsid w:val="00EF01FA"/>
    <w:rsid w:val="00EF03E9"/>
    <w:rsid w:val="00EF08BA"/>
    <w:rsid w:val="00EF0B79"/>
    <w:rsid w:val="00EF102A"/>
    <w:rsid w:val="00EF1055"/>
    <w:rsid w:val="00EF10DF"/>
    <w:rsid w:val="00EF167E"/>
    <w:rsid w:val="00EF1B25"/>
    <w:rsid w:val="00EF1DA0"/>
    <w:rsid w:val="00EF1FE3"/>
    <w:rsid w:val="00EF2781"/>
    <w:rsid w:val="00EF290E"/>
    <w:rsid w:val="00EF31C8"/>
    <w:rsid w:val="00EF3303"/>
    <w:rsid w:val="00EF35D7"/>
    <w:rsid w:val="00EF37DE"/>
    <w:rsid w:val="00EF402F"/>
    <w:rsid w:val="00EF42C1"/>
    <w:rsid w:val="00EF4459"/>
    <w:rsid w:val="00EF4747"/>
    <w:rsid w:val="00EF491F"/>
    <w:rsid w:val="00EF4BF8"/>
    <w:rsid w:val="00EF50DA"/>
    <w:rsid w:val="00EF5105"/>
    <w:rsid w:val="00EF53AA"/>
    <w:rsid w:val="00EF562C"/>
    <w:rsid w:val="00EF571A"/>
    <w:rsid w:val="00EF5855"/>
    <w:rsid w:val="00EF587F"/>
    <w:rsid w:val="00EF603D"/>
    <w:rsid w:val="00EF6C19"/>
    <w:rsid w:val="00EF6D49"/>
    <w:rsid w:val="00EF786E"/>
    <w:rsid w:val="00EF79A6"/>
    <w:rsid w:val="00EF7D65"/>
    <w:rsid w:val="00F008AD"/>
    <w:rsid w:val="00F00A3E"/>
    <w:rsid w:val="00F0132C"/>
    <w:rsid w:val="00F019B5"/>
    <w:rsid w:val="00F019E5"/>
    <w:rsid w:val="00F02135"/>
    <w:rsid w:val="00F02253"/>
    <w:rsid w:val="00F023DD"/>
    <w:rsid w:val="00F02832"/>
    <w:rsid w:val="00F03428"/>
    <w:rsid w:val="00F03C2E"/>
    <w:rsid w:val="00F03F55"/>
    <w:rsid w:val="00F0405E"/>
    <w:rsid w:val="00F040FE"/>
    <w:rsid w:val="00F04A66"/>
    <w:rsid w:val="00F04B4B"/>
    <w:rsid w:val="00F04D01"/>
    <w:rsid w:val="00F04D8A"/>
    <w:rsid w:val="00F0516C"/>
    <w:rsid w:val="00F05DD3"/>
    <w:rsid w:val="00F0608B"/>
    <w:rsid w:val="00F062D0"/>
    <w:rsid w:val="00F06318"/>
    <w:rsid w:val="00F067A2"/>
    <w:rsid w:val="00F06A70"/>
    <w:rsid w:val="00F06AE9"/>
    <w:rsid w:val="00F0752A"/>
    <w:rsid w:val="00F07835"/>
    <w:rsid w:val="00F07A1E"/>
    <w:rsid w:val="00F07A60"/>
    <w:rsid w:val="00F07B9E"/>
    <w:rsid w:val="00F07BF8"/>
    <w:rsid w:val="00F10015"/>
    <w:rsid w:val="00F104DC"/>
    <w:rsid w:val="00F1116F"/>
    <w:rsid w:val="00F112D0"/>
    <w:rsid w:val="00F11534"/>
    <w:rsid w:val="00F117FA"/>
    <w:rsid w:val="00F12167"/>
    <w:rsid w:val="00F121E6"/>
    <w:rsid w:val="00F12238"/>
    <w:rsid w:val="00F1263A"/>
    <w:rsid w:val="00F127B2"/>
    <w:rsid w:val="00F130C4"/>
    <w:rsid w:val="00F13793"/>
    <w:rsid w:val="00F139C5"/>
    <w:rsid w:val="00F14331"/>
    <w:rsid w:val="00F147E3"/>
    <w:rsid w:val="00F1493C"/>
    <w:rsid w:val="00F14B63"/>
    <w:rsid w:val="00F14D8F"/>
    <w:rsid w:val="00F157A4"/>
    <w:rsid w:val="00F157BF"/>
    <w:rsid w:val="00F158A4"/>
    <w:rsid w:val="00F15913"/>
    <w:rsid w:val="00F15B77"/>
    <w:rsid w:val="00F15BBF"/>
    <w:rsid w:val="00F16214"/>
    <w:rsid w:val="00F16667"/>
    <w:rsid w:val="00F16882"/>
    <w:rsid w:val="00F17201"/>
    <w:rsid w:val="00F1755B"/>
    <w:rsid w:val="00F17864"/>
    <w:rsid w:val="00F201F4"/>
    <w:rsid w:val="00F20991"/>
    <w:rsid w:val="00F21236"/>
    <w:rsid w:val="00F218C3"/>
    <w:rsid w:val="00F21930"/>
    <w:rsid w:val="00F21C70"/>
    <w:rsid w:val="00F224E8"/>
    <w:rsid w:val="00F227B0"/>
    <w:rsid w:val="00F22A8A"/>
    <w:rsid w:val="00F22D4A"/>
    <w:rsid w:val="00F23463"/>
    <w:rsid w:val="00F2355D"/>
    <w:rsid w:val="00F239DF"/>
    <w:rsid w:val="00F24837"/>
    <w:rsid w:val="00F24A37"/>
    <w:rsid w:val="00F2516F"/>
    <w:rsid w:val="00F2572C"/>
    <w:rsid w:val="00F2575F"/>
    <w:rsid w:val="00F259BD"/>
    <w:rsid w:val="00F25C87"/>
    <w:rsid w:val="00F26152"/>
    <w:rsid w:val="00F261DD"/>
    <w:rsid w:val="00F2624C"/>
    <w:rsid w:val="00F26441"/>
    <w:rsid w:val="00F26EFF"/>
    <w:rsid w:val="00F27557"/>
    <w:rsid w:val="00F27565"/>
    <w:rsid w:val="00F27625"/>
    <w:rsid w:val="00F276A5"/>
    <w:rsid w:val="00F276BE"/>
    <w:rsid w:val="00F27C8C"/>
    <w:rsid w:val="00F310D4"/>
    <w:rsid w:val="00F317F2"/>
    <w:rsid w:val="00F317FF"/>
    <w:rsid w:val="00F31D5A"/>
    <w:rsid w:val="00F32142"/>
    <w:rsid w:val="00F32846"/>
    <w:rsid w:val="00F329BB"/>
    <w:rsid w:val="00F32D07"/>
    <w:rsid w:val="00F32DB9"/>
    <w:rsid w:val="00F333BC"/>
    <w:rsid w:val="00F3354A"/>
    <w:rsid w:val="00F33975"/>
    <w:rsid w:val="00F33D00"/>
    <w:rsid w:val="00F33DE9"/>
    <w:rsid w:val="00F33EB3"/>
    <w:rsid w:val="00F341AC"/>
    <w:rsid w:val="00F34BF8"/>
    <w:rsid w:val="00F34C76"/>
    <w:rsid w:val="00F34CBC"/>
    <w:rsid w:val="00F351C1"/>
    <w:rsid w:val="00F3523D"/>
    <w:rsid w:val="00F3541E"/>
    <w:rsid w:val="00F354C6"/>
    <w:rsid w:val="00F35584"/>
    <w:rsid w:val="00F35734"/>
    <w:rsid w:val="00F35869"/>
    <w:rsid w:val="00F35ADD"/>
    <w:rsid w:val="00F35CE2"/>
    <w:rsid w:val="00F35E6D"/>
    <w:rsid w:val="00F36043"/>
    <w:rsid w:val="00F3619A"/>
    <w:rsid w:val="00F3619D"/>
    <w:rsid w:val="00F3671B"/>
    <w:rsid w:val="00F369C1"/>
    <w:rsid w:val="00F374FD"/>
    <w:rsid w:val="00F376D5"/>
    <w:rsid w:val="00F37752"/>
    <w:rsid w:val="00F401A2"/>
    <w:rsid w:val="00F40A04"/>
    <w:rsid w:val="00F40A4A"/>
    <w:rsid w:val="00F40AAA"/>
    <w:rsid w:val="00F40B7A"/>
    <w:rsid w:val="00F40BA7"/>
    <w:rsid w:val="00F40F6F"/>
    <w:rsid w:val="00F40F9D"/>
    <w:rsid w:val="00F417A7"/>
    <w:rsid w:val="00F41943"/>
    <w:rsid w:val="00F41ACD"/>
    <w:rsid w:val="00F41B41"/>
    <w:rsid w:val="00F41F3C"/>
    <w:rsid w:val="00F42043"/>
    <w:rsid w:val="00F4213A"/>
    <w:rsid w:val="00F42746"/>
    <w:rsid w:val="00F427ED"/>
    <w:rsid w:val="00F4295B"/>
    <w:rsid w:val="00F43153"/>
    <w:rsid w:val="00F4342D"/>
    <w:rsid w:val="00F439B5"/>
    <w:rsid w:val="00F43D1C"/>
    <w:rsid w:val="00F4417A"/>
    <w:rsid w:val="00F44552"/>
    <w:rsid w:val="00F449B4"/>
    <w:rsid w:val="00F44DC4"/>
    <w:rsid w:val="00F44E9D"/>
    <w:rsid w:val="00F451D5"/>
    <w:rsid w:val="00F45AE5"/>
    <w:rsid w:val="00F461E7"/>
    <w:rsid w:val="00F4635D"/>
    <w:rsid w:val="00F4641F"/>
    <w:rsid w:val="00F467AB"/>
    <w:rsid w:val="00F4682E"/>
    <w:rsid w:val="00F46922"/>
    <w:rsid w:val="00F46CB6"/>
    <w:rsid w:val="00F46CB9"/>
    <w:rsid w:val="00F474BE"/>
    <w:rsid w:val="00F4756D"/>
    <w:rsid w:val="00F47DE8"/>
    <w:rsid w:val="00F50340"/>
    <w:rsid w:val="00F50343"/>
    <w:rsid w:val="00F50CAB"/>
    <w:rsid w:val="00F50D0C"/>
    <w:rsid w:val="00F51287"/>
    <w:rsid w:val="00F5156B"/>
    <w:rsid w:val="00F518D3"/>
    <w:rsid w:val="00F51C74"/>
    <w:rsid w:val="00F52089"/>
    <w:rsid w:val="00F5208E"/>
    <w:rsid w:val="00F522E6"/>
    <w:rsid w:val="00F52591"/>
    <w:rsid w:val="00F5265E"/>
    <w:rsid w:val="00F52D37"/>
    <w:rsid w:val="00F53082"/>
    <w:rsid w:val="00F539AC"/>
    <w:rsid w:val="00F53E53"/>
    <w:rsid w:val="00F542C1"/>
    <w:rsid w:val="00F545EE"/>
    <w:rsid w:val="00F5497E"/>
    <w:rsid w:val="00F54B02"/>
    <w:rsid w:val="00F54BC5"/>
    <w:rsid w:val="00F550E3"/>
    <w:rsid w:val="00F557B1"/>
    <w:rsid w:val="00F55E73"/>
    <w:rsid w:val="00F55EDA"/>
    <w:rsid w:val="00F56209"/>
    <w:rsid w:val="00F56241"/>
    <w:rsid w:val="00F563D1"/>
    <w:rsid w:val="00F56519"/>
    <w:rsid w:val="00F56B77"/>
    <w:rsid w:val="00F56BC5"/>
    <w:rsid w:val="00F56C80"/>
    <w:rsid w:val="00F56D3F"/>
    <w:rsid w:val="00F56D4B"/>
    <w:rsid w:val="00F571E1"/>
    <w:rsid w:val="00F60092"/>
    <w:rsid w:val="00F60317"/>
    <w:rsid w:val="00F6044A"/>
    <w:rsid w:val="00F605BF"/>
    <w:rsid w:val="00F606C2"/>
    <w:rsid w:val="00F60982"/>
    <w:rsid w:val="00F60A16"/>
    <w:rsid w:val="00F61C18"/>
    <w:rsid w:val="00F61D2A"/>
    <w:rsid w:val="00F61FC2"/>
    <w:rsid w:val="00F62C35"/>
    <w:rsid w:val="00F63149"/>
    <w:rsid w:val="00F634AF"/>
    <w:rsid w:val="00F63D84"/>
    <w:rsid w:val="00F641D4"/>
    <w:rsid w:val="00F65A06"/>
    <w:rsid w:val="00F65A3F"/>
    <w:rsid w:val="00F65D81"/>
    <w:rsid w:val="00F65F4B"/>
    <w:rsid w:val="00F66072"/>
    <w:rsid w:val="00F6642E"/>
    <w:rsid w:val="00F66E4A"/>
    <w:rsid w:val="00F66E6D"/>
    <w:rsid w:val="00F67894"/>
    <w:rsid w:val="00F67A69"/>
    <w:rsid w:val="00F702A2"/>
    <w:rsid w:val="00F702CF"/>
    <w:rsid w:val="00F705AA"/>
    <w:rsid w:val="00F70BFF"/>
    <w:rsid w:val="00F70C9D"/>
    <w:rsid w:val="00F70D17"/>
    <w:rsid w:val="00F712E8"/>
    <w:rsid w:val="00F713D0"/>
    <w:rsid w:val="00F718D6"/>
    <w:rsid w:val="00F71990"/>
    <w:rsid w:val="00F71B5B"/>
    <w:rsid w:val="00F71DBA"/>
    <w:rsid w:val="00F71DDD"/>
    <w:rsid w:val="00F72038"/>
    <w:rsid w:val="00F727EC"/>
    <w:rsid w:val="00F7363A"/>
    <w:rsid w:val="00F73B7C"/>
    <w:rsid w:val="00F73E08"/>
    <w:rsid w:val="00F7427C"/>
    <w:rsid w:val="00F742F5"/>
    <w:rsid w:val="00F74442"/>
    <w:rsid w:val="00F744E9"/>
    <w:rsid w:val="00F74560"/>
    <w:rsid w:val="00F74897"/>
    <w:rsid w:val="00F7496C"/>
    <w:rsid w:val="00F74A96"/>
    <w:rsid w:val="00F74CD9"/>
    <w:rsid w:val="00F755BC"/>
    <w:rsid w:val="00F7596A"/>
    <w:rsid w:val="00F75DD5"/>
    <w:rsid w:val="00F760E0"/>
    <w:rsid w:val="00F760FD"/>
    <w:rsid w:val="00F76649"/>
    <w:rsid w:val="00F76B4D"/>
    <w:rsid w:val="00F76B6A"/>
    <w:rsid w:val="00F76CBE"/>
    <w:rsid w:val="00F76D04"/>
    <w:rsid w:val="00F771FA"/>
    <w:rsid w:val="00F7756C"/>
    <w:rsid w:val="00F7782A"/>
    <w:rsid w:val="00F77884"/>
    <w:rsid w:val="00F779AA"/>
    <w:rsid w:val="00F77AAA"/>
    <w:rsid w:val="00F77B54"/>
    <w:rsid w:val="00F77F34"/>
    <w:rsid w:val="00F80426"/>
    <w:rsid w:val="00F804FA"/>
    <w:rsid w:val="00F80A7B"/>
    <w:rsid w:val="00F80E5D"/>
    <w:rsid w:val="00F80FE6"/>
    <w:rsid w:val="00F8104D"/>
    <w:rsid w:val="00F81587"/>
    <w:rsid w:val="00F81786"/>
    <w:rsid w:val="00F817F3"/>
    <w:rsid w:val="00F81B65"/>
    <w:rsid w:val="00F81E78"/>
    <w:rsid w:val="00F81ECE"/>
    <w:rsid w:val="00F8213F"/>
    <w:rsid w:val="00F8220B"/>
    <w:rsid w:val="00F82519"/>
    <w:rsid w:val="00F826B8"/>
    <w:rsid w:val="00F8272D"/>
    <w:rsid w:val="00F83916"/>
    <w:rsid w:val="00F83961"/>
    <w:rsid w:val="00F83DAC"/>
    <w:rsid w:val="00F84131"/>
    <w:rsid w:val="00F84162"/>
    <w:rsid w:val="00F84545"/>
    <w:rsid w:val="00F84603"/>
    <w:rsid w:val="00F84D53"/>
    <w:rsid w:val="00F851CE"/>
    <w:rsid w:val="00F85555"/>
    <w:rsid w:val="00F8560A"/>
    <w:rsid w:val="00F8569E"/>
    <w:rsid w:val="00F85969"/>
    <w:rsid w:val="00F85E58"/>
    <w:rsid w:val="00F86048"/>
    <w:rsid w:val="00F865A7"/>
    <w:rsid w:val="00F87238"/>
    <w:rsid w:val="00F87C54"/>
    <w:rsid w:val="00F91219"/>
    <w:rsid w:val="00F913CB"/>
    <w:rsid w:val="00F9170E"/>
    <w:rsid w:val="00F91D54"/>
    <w:rsid w:val="00F92444"/>
    <w:rsid w:val="00F92B46"/>
    <w:rsid w:val="00F92C4C"/>
    <w:rsid w:val="00F92E10"/>
    <w:rsid w:val="00F92FFE"/>
    <w:rsid w:val="00F9302C"/>
    <w:rsid w:val="00F93685"/>
    <w:rsid w:val="00F9393E"/>
    <w:rsid w:val="00F93A53"/>
    <w:rsid w:val="00F93C95"/>
    <w:rsid w:val="00F93E48"/>
    <w:rsid w:val="00F93F01"/>
    <w:rsid w:val="00F93F37"/>
    <w:rsid w:val="00F94247"/>
    <w:rsid w:val="00F94575"/>
    <w:rsid w:val="00F9496C"/>
    <w:rsid w:val="00F94E96"/>
    <w:rsid w:val="00F950EF"/>
    <w:rsid w:val="00F95192"/>
    <w:rsid w:val="00F951C1"/>
    <w:rsid w:val="00F95397"/>
    <w:rsid w:val="00F9542C"/>
    <w:rsid w:val="00F9596D"/>
    <w:rsid w:val="00F95B04"/>
    <w:rsid w:val="00F95D89"/>
    <w:rsid w:val="00F95E33"/>
    <w:rsid w:val="00F960E1"/>
    <w:rsid w:val="00F96639"/>
    <w:rsid w:val="00F96646"/>
    <w:rsid w:val="00F96806"/>
    <w:rsid w:val="00F96874"/>
    <w:rsid w:val="00F96FD0"/>
    <w:rsid w:val="00F97976"/>
    <w:rsid w:val="00F97A78"/>
    <w:rsid w:val="00F97F57"/>
    <w:rsid w:val="00FA028D"/>
    <w:rsid w:val="00FA07E6"/>
    <w:rsid w:val="00FA09BF"/>
    <w:rsid w:val="00FA0B20"/>
    <w:rsid w:val="00FA0F66"/>
    <w:rsid w:val="00FA1323"/>
    <w:rsid w:val="00FA1B3B"/>
    <w:rsid w:val="00FA24E7"/>
    <w:rsid w:val="00FA26C8"/>
    <w:rsid w:val="00FA2A49"/>
    <w:rsid w:val="00FA321A"/>
    <w:rsid w:val="00FA3238"/>
    <w:rsid w:val="00FA33CC"/>
    <w:rsid w:val="00FA370D"/>
    <w:rsid w:val="00FA4366"/>
    <w:rsid w:val="00FA47CE"/>
    <w:rsid w:val="00FA50B1"/>
    <w:rsid w:val="00FA5219"/>
    <w:rsid w:val="00FA559C"/>
    <w:rsid w:val="00FA5EE6"/>
    <w:rsid w:val="00FA5FCE"/>
    <w:rsid w:val="00FA65B3"/>
    <w:rsid w:val="00FA68AF"/>
    <w:rsid w:val="00FA696D"/>
    <w:rsid w:val="00FA6C55"/>
    <w:rsid w:val="00FA7548"/>
    <w:rsid w:val="00FA794C"/>
    <w:rsid w:val="00FA7956"/>
    <w:rsid w:val="00FB00A1"/>
    <w:rsid w:val="00FB00BB"/>
    <w:rsid w:val="00FB0672"/>
    <w:rsid w:val="00FB0824"/>
    <w:rsid w:val="00FB113A"/>
    <w:rsid w:val="00FB15BE"/>
    <w:rsid w:val="00FB1780"/>
    <w:rsid w:val="00FB1955"/>
    <w:rsid w:val="00FB19B7"/>
    <w:rsid w:val="00FB1F4B"/>
    <w:rsid w:val="00FB2155"/>
    <w:rsid w:val="00FB2581"/>
    <w:rsid w:val="00FB2FCB"/>
    <w:rsid w:val="00FB31AC"/>
    <w:rsid w:val="00FB380D"/>
    <w:rsid w:val="00FB4000"/>
    <w:rsid w:val="00FB415C"/>
    <w:rsid w:val="00FB43EB"/>
    <w:rsid w:val="00FB4C9C"/>
    <w:rsid w:val="00FB614F"/>
    <w:rsid w:val="00FB6286"/>
    <w:rsid w:val="00FB6441"/>
    <w:rsid w:val="00FB6759"/>
    <w:rsid w:val="00FB72FF"/>
    <w:rsid w:val="00FB77AC"/>
    <w:rsid w:val="00FB7AD7"/>
    <w:rsid w:val="00FB7AF2"/>
    <w:rsid w:val="00FB7C55"/>
    <w:rsid w:val="00FC0410"/>
    <w:rsid w:val="00FC0C00"/>
    <w:rsid w:val="00FC1074"/>
    <w:rsid w:val="00FC1259"/>
    <w:rsid w:val="00FC13BD"/>
    <w:rsid w:val="00FC13E4"/>
    <w:rsid w:val="00FC17F7"/>
    <w:rsid w:val="00FC1884"/>
    <w:rsid w:val="00FC1C29"/>
    <w:rsid w:val="00FC280D"/>
    <w:rsid w:val="00FC2C73"/>
    <w:rsid w:val="00FC35A7"/>
    <w:rsid w:val="00FC371D"/>
    <w:rsid w:val="00FC3810"/>
    <w:rsid w:val="00FC3E68"/>
    <w:rsid w:val="00FC4442"/>
    <w:rsid w:val="00FC478F"/>
    <w:rsid w:val="00FC482A"/>
    <w:rsid w:val="00FC4C70"/>
    <w:rsid w:val="00FC4EBD"/>
    <w:rsid w:val="00FC4F65"/>
    <w:rsid w:val="00FC5011"/>
    <w:rsid w:val="00FC556D"/>
    <w:rsid w:val="00FC5F0B"/>
    <w:rsid w:val="00FC6014"/>
    <w:rsid w:val="00FC63A0"/>
    <w:rsid w:val="00FC640D"/>
    <w:rsid w:val="00FC6817"/>
    <w:rsid w:val="00FC6DC0"/>
    <w:rsid w:val="00FC6F27"/>
    <w:rsid w:val="00FC6F8C"/>
    <w:rsid w:val="00FC7340"/>
    <w:rsid w:val="00FC736F"/>
    <w:rsid w:val="00FC7701"/>
    <w:rsid w:val="00FC7ABA"/>
    <w:rsid w:val="00FD00E9"/>
    <w:rsid w:val="00FD0239"/>
    <w:rsid w:val="00FD0399"/>
    <w:rsid w:val="00FD0E47"/>
    <w:rsid w:val="00FD0E7C"/>
    <w:rsid w:val="00FD0FF3"/>
    <w:rsid w:val="00FD10D4"/>
    <w:rsid w:val="00FD150C"/>
    <w:rsid w:val="00FD1E5D"/>
    <w:rsid w:val="00FD2041"/>
    <w:rsid w:val="00FD20C3"/>
    <w:rsid w:val="00FD2100"/>
    <w:rsid w:val="00FD2133"/>
    <w:rsid w:val="00FD25F2"/>
    <w:rsid w:val="00FD2701"/>
    <w:rsid w:val="00FD2A1C"/>
    <w:rsid w:val="00FD2B8A"/>
    <w:rsid w:val="00FD3046"/>
    <w:rsid w:val="00FD31DC"/>
    <w:rsid w:val="00FD3745"/>
    <w:rsid w:val="00FD3A65"/>
    <w:rsid w:val="00FD3F38"/>
    <w:rsid w:val="00FD3F68"/>
    <w:rsid w:val="00FD3FE3"/>
    <w:rsid w:val="00FD436C"/>
    <w:rsid w:val="00FD43D1"/>
    <w:rsid w:val="00FD446D"/>
    <w:rsid w:val="00FD4795"/>
    <w:rsid w:val="00FD47FD"/>
    <w:rsid w:val="00FD4871"/>
    <w:rsid w:val="00FD4933"/>
    <w:rsid w:val="00FD4CC2"/>
    <w:rsid w:val="00FD4E23"/>
    <w:rsid w:val="00FD4F2C"/>
    <w:rsid w:val="00FD4FF8"/>
    <w:rsid w:val="00FD53EC"/>
    <w:rsid w:val="00FD5478"/>
    <w:rsid w:val="00FD57CF"/>
    <w:rsid w:val="00FD5A48"/>
    <w:rsid w:val="00FD5A63"/>
    <w:rsid w:val="00FD5C80"/>
    <w:rsid w:val="00FD5D4F"/>
    <w:rsid w:val="00FD5EE0"/>
    <w:rsid w:val="00FD6394"/>
    <w:rsid w:val="00FD7496"/>
    <w:rsid w:val="00FD7C26"/>
    <w:rsid w:val="00FE045A"/>
    <w:rsid w:val="00FE0885"/>
    <w:rsid w:val="00FE0E6C"/>
    <w:rsid w:val="00FE10A1"/>
    <w:rsid w:val="00FE127E"/>
    <w:rsid w:val="00FE1CDC"/>
    <w:rsid w:val="00FE1F35"/>
    <w:rsid w:val="00FE2031"/>
    <w:rsid w:val="00FE2968"/>
    <w:rsid w:val="00FE2F61"/>
    <w:rsid w:val="00FE3045"/>
    <w:rsid w:val="00FE34BA"/>
    <w:rsid w:val="00FE34D3"/>
    <w:rsid w:val="00FE3666"/>
    <w:rsid w:val="00FE46ED"/>
    <w:rsid w:val="00FE591D"/>
    <w:rsid w:val="00FE5BA2"/>
    <w:rsid w:val="00FE5F76"/>
    <w:rsid w:val="00FE650C"/>
    <w:rsid w:val="00FE6642"/>
    <w:rsid w:val="00FE6862"/>
    <w:rsid w:val="00FE6A81"/>
    <w:rsid w:val="00FE6BB7"/>
    <w:rsid w:val="00FE70C3"/>
    <w:rsid w:val="00FE724F"/>
    <w:rsid w:val="00FE7554"/>
    <w:rsid w:val="00FF017F"/>
    <w:rsid w:val="00FF0C11"/>
    <w:rsid w:val="00FF11CC"/>
    <w:rsid w:val="00FF12AE"/>
    <w:rsid w:val="00FF1A0C"/>
    <w:rsid w:val="00FF1A8B"/>
    <w:rsid w:val="00FF1C3F"/>
    <w:rsid w:val="00FF23C5"/>
    <w:rsid w:val="00FF266C"/>
    <w:rsid w:val="00FF2887"/>
    <w:rsid w:val="00FF2AD9"/>
    <w:rsid w:val="00FF2F81"/>
    <w:rsid w:val="00FF3308"/>
    <w:rsid w:val="00FF3354"/>
    <w:rsid w:val="00FF359F"/>
    <w:rsid w:val="00FF3CB6"/>
    <w:rsid w:val="00FF3DCF"/>
    <w:rsid w:val="00FF3F3D"/>
    <w:rsid w:val="00FF492C"/>
    <w:rsid w:val="00FF4A21"/>
    <w:rsid w:val="00FF4F4B"/>
    <w:rsid w:val="00FF5004"/>
    <w:rsid w:val="00FF53EA"/>
    <w:rsid w:val="00FF5964"/>
    <w:rsid w:val="00FF5AA3"/>
    <w:rsid w:val="00FF5AD8"/>
    <w:rsid w:val="00FF5B0D"/>
    <w:rsid w:val="00FF5C3D"/>
    <w:rsid w:val="00FF5EC9"/>
    <w:rsid w:val="00FF5F4D"/>
    <w:rsid w:val="00FF6437"/>
    <w:rsid w:val="00FF66C8"/>
    <w:rsid w:val="00FF681D"/>
    <w:rsid w:val="00FF691B"/>
    <w:rsid w:val="00FF6A31"/>
    <w:rsid w:val="00FF6A7E"/>
    <w:rsid w:val="00FF6AA0"/>
    <w:rsid w:val="00FF6CC3"/>
    <w:rsid w:val="00FF727C"/>
    <w:rsid w:val="00FF7873"/>
    <w:rsid w:val="00FF7923"/>
    <w:rsid w:val="00FF7C5B"/>
    <w:rsid w:val="00FF7E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5"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318"/>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_CC_Bullet,Paragraphe de liste1,lp1,new"/>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_CC_Bulle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RTI AMCP Table,MSD Table Grid,Dossier table,Section 3- footnotes,Header Table,Table Grid No Line,Summary Tab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587CC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C6F27"/>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qFormat/>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705B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705BF"/>
    <w:rPr>
      <w:rFonts w:ascii="Arial Narrow" w:hAnsi="Arial Narrow" w:cs="Arial"/>
      <w:snapToGrid w:val="0"/>
      <w:sz w:val="18"/>
      <w:szCs w:val="22"/>
    </w:rPr>
  </w:style>
  <w:style w:type="table" w:customStyle="1" w:styleId="HTATableshaded">
    <w:name w:val="HTA Table shaded"/>
    <w:basedOn w:val="TableNormal"/>
    <w:rsid w:val="008C1B7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Normal"/>
    <w:uiPriority w:val="99"/>
    <w:qFormat/>
    <w:rsid w:val="008C1B72"/>
    <w:pPr>
      <w:spacing w:before="40" w:after="40"/>
      <w:jc w:val="left"/>
    </w:pPr>
    <w:rPr>
      <w:rFonts w:asciiTheme="minorHAnsi" w:eastAsiaTheme="minorHAnsi" w:hAnsiTheme="minorHAnsi" w:cs="Tahoma"/>
      <w:b/>
      <w:sz w:val="18"/>
      <w:szCs w:val="18"/>
      <w:lang w:val="de-DE" w:eastAsia="en-US"/>
    </w:rPr>
  </w:style>
  <w:style w:type="paragraph" w:customStyle="1" w:styleId="Tabletextleft">
    <w:name w:val="Table text left"/>
    <w:basedOn w:val="Normal"/>
    <w:link w:val="TabletextleftChar"/>
    <w:qFormat/>
    <w:rsid w:val="008C1B72"/>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8C1B72"/>
    <w:rPr>
      <w:rFonts w:asciiTheme="minorHAnsi" w:hAnsiTheme="minorHAnsi"/>
      <w:sz w:val="18"/>
    </w:rPr>
  </w:style>
  <w:style w:type="paragraph" w:customStyle="1" w:styleId="Tabletextbold">
    <w:name w:val="Table text bold"/>
    <w:basedOn w:val="Tabletextleft"/>
    <w:qFormat/>
    <w:rsid w:val="008C1B72"/>
    <w:pPr>
      <w:ind w:left="57" w:right="57"/>
    </w:pPr>
    <w:rPr>
      <w:rFonts w:eastAsia="Arial"/>
      <w:b/>
      <w:lang w:val="de-DE"/>
    </w:rPr>
  </w:style>
  <w:style w:type="paragraph" w:customStyle="1" w:styleId="TableFigNotes18">
    <w:name w:val="TableFigNotes+18"/>
    <w:basedOn w:val="BodyText"/>
    <w:next w:val="BodyText"/>
    <w:link w:val="TableFigNotes18Char"/>
    <w:uiPriority w:val="4"/>
    <w:qFormat/>
    <w:rsid w:val="00BF5303"/>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BF5303"/>
    <w:rPr>
      <w:rFonts w:asciiTheme="minorHAnsi" w:eastAsiaTheme="minorHAnsi" w:hAnsiTheme="minorHAnsi" w:cs="Tahoma"/>
      <w:color w:val="000000"/>
      <w:sz w:val="16"/>
      <w:szCs w:val="18"/>
    </w:rPr>
  </w:style>
  <w:style w:type="paragraph" w:customStyle="1" w:styleId="TableH1">
    <w:name w:val="Table H1"/>
    <w:basedOn w:val="BodyText"/>
    <w:uiPriority w:val="4"/>
    <w:qFormat/>
    <w:rsid w:val="009056D3"/>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FigNotes0">
    <w:name w:val="TableFigNotes+0"/>
    <w:basedOn w:val="Normal"/>
    <w:uiPriority w:val="4"/>
    <w:rsid w:val="009056D3"/>
    <w:pPr>
      <w:keepNext/>
      <w:keepLines/>
      <w:jc w:val="left"/>
    </w:pPr>
    <w:rPr>
      <w:rFonts w:cs="Tahoma"/>
      <w:color w:val="000000"/>
      <w:sz w:val="16"/>
      <w:szCs w:val="18"/>
      <w:lang w:val="en-US"/>
    </w:rPr>
  </w:style>
  <w:style w:type="paragraph" w:customStyle="1" w:styleId="Tabletextcent">
    <w:name w:val="Table text cent"/>
    <w:basedOn w:val="Tabletextleft"/>
    <w:qFormat/>
    <w:rsid w:val="009056D3"/>
    <w:pPr>
      <w:jc w:val="center"/>
    </w:pPr>
    <w:rPr>
      <w:lang w:val="de-DE"/>
    </w:rPr>
  </w:style>
  <w:style w:type="paragraph" w:styleId="FootnoteText">
    <w:name w:val="footnote text"/>
    <w:basedOn w:val="BodyText"/>
    <w:link w:val="FootnoteTextChar"/>
    <w:uiPriority w:val="99"/>
    <w:rsid w:val="00810879"/>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810879"/>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810879"/>
    <w:rPr>
      <w:vertAlign w:val="superscript"/>
    </w:rPr>
  </w:style>
  <w:style w:type="paragraph" w:customStyle="1" w:styleId="Tableheadingcent">
    <w:name w:val="Table heading cent"/>
    <w:basedOn w:val="TableHeadingleft"/>
    <w:qFormat/>
    <w:rsid w:val="00810879"/>
    <w:pPr>
      <w:jc w:val="center"/>
    </w:pPr>
  </w:style>
  <w:style w:type="paragraph" w:customStyle="1" w:styleId="Tablename0">
    <w:name w:val="Table name"/>
    <w:basedOn w:val="BodyText"/>
    <w:uiPriority w:val="4"/>
    <w:qFormat/>
    <w:rsid w:val="00810879"/>
    <w:pPr>
      <w:keepNext/>
      <w:tabs>
        <w:tab w:val="left" w:pos="1418"/>
      </w:tabs>
      <w:spacing w:before="120" w:after="120"/>
      <w:ind w:left="1418" w:hanging="1418"/>
    </w:pPr>
    <w:rPr>
      <w:rFonts w:cs="Times New Roman"/>
      <w:b/>
      <w:bCs/>
      <w:sz w:val="22"/>
      <w:szCs w:val="20"/>
      <w:lang w:val="en-US" w:eastAsia="en-US"/>
    </w:rPr>
  </w:style>
  <w:style w:type="character" w:customStyle="1" w:styleId="SmallBold">
    <w:name w:val="Small Bold"/>
    <w:basedOn w:val="DefaultParagraphFont"/>
    <w:uiPriority w:val="4"/>
    <w:qFormat/>
    <w:rsid w:val="00810879"/>
    <w:rPr>
      <w:rFonts w:ascii="Calibri" w:hAnsi="Calibri"/>
      <w:b/>
      <w:sz w:val="20"/>
      <w:lang w:val="en-AU"/>
    </w:rPr>
  </w:style>
  <w:style w:type="paragraph" w:customStyle="1" w:styleId="TableLeft">
    <w:name w:val="Table Left"/>
    <w:basedOn w:val="Normal"/>
    <w:link w:val="TableLeftChar"/>
    <w:uiPriority w:val="99"/>
    <w:qFormat/>
    <w:rsid w:val="00810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810879"/>
    <w:rPr>
      <w:rFonts w:ascii="Calibri" w:hAnsi="Calibri"/>
      <w:szCs w:val="22"/>
      <w:lang w:eastAsia="en-US"/>
    </w:rPr>
  </w:style>
  <w:style w:type="table" w:customStyle="1" w:styleId="Summarybox1">
    <w:name w:val="Summary box1"/>
    <w:basedOn w:val="TableNormal"/>
    <w:next w:val="TableGrid"/>
    <w:uiPriority w:val="59"/>
    <w:rsid w:val="00810879"/>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os0">
    <w:name w:val="ListNos+0"/>
    <w:basedOn w:val="BodyText"/>
    <w:uiPriority w:val="2"/>
    <w:qFormat/>
    <w:rsid w:val="00BF7DB0"/>
    <w:pPr>
      <w:numPr>
        <w:numId w:val="6"/>
      </w:numPr>
      <w:spacing w:line="276" w:lineRule="auto"/>
    </w:pPr>
    <w:rPr>
      <w:rFonts w:asciiTheme="minorHAnsi" w:eastAsiaTheme="minorHAnsi" w:hAnsiTheme="minorHAnsi" w:cs="Tahoma"/>
      <w:sz w:val="22"/>
      <w:szCs w:val="22"/>
      <w:lang w:eastAsia="en-US"/>
    </w:rPr>
  </w:style>
  <w:style w:type="paragraph" w:customStyle="1" w:styleId="Texttodelete">
    <w:name w:val="Text to delete"/>
    <w:basedOn w:val="BodyText"/>
    <w:next w:val="BodyText"/>
    <w:qFormat/>
    <w:rsid w:val="004C3A2A"/>
    <w:pPr>
      <w:spacing w:after="200" w:line="276" w:lineRule="auto"/>
    </w:pPr>
    <w:rPr>
      <w:rFonts w:asciiTheme="minorHAnsi" w:eastAsiaTheme="minorHAnsi" w:hAnsiTheme="minorHAnsi" w:cs="Tahoma"/>
      <w:color w:val="C00000"/>
      <w:sz w:val="22"/>
      <w:szCs w:val="22"/>
      <w:lang w:eastAsia="en-US"/>
    </w:rPr>
  </w:style>
  <w:style w:type="paragraph" w:customStyle="1" w:styleId="EndNoteBibliography">
    <w:name w:val="EndNote Bibliography"/>
    <w:basedOn w:val="Normal"/>
    <w:link w:val="EndNoteBibliographyChar"/>
    <w:rsid w:val="004C3A2A"/>
    <w:pPr>
      <w:spacing w:after="200"/>
      <w:jc w:val="left"/>
    </w:pPr>
    <w:rPr>
      <w:rFonts w:eastAsiaTheme="minorHAnsi" w:cs="Calibri"/>
      <w:noProof/>
      <w:sz w:val="20"/>
      <w:szCs w:val="22"/>
      <w:lang w:val="en-US" w:eastAsia="en-US"/>
    </w:rPr>
  </w:style>
  <w:style w:type="character" w:customStyle="1" w:styleId="EndNoteBibliographyChar">
    <w:name w:val="EndNote Bibliography Char"/>
    <w:basedOn w:val="DefaultParagraphFont"/>
    <w:link w:val="EndNoteBibliography"/>
    <w:rsid w:val="004C3A2A"/>
    <w:rPr>
      <w:rFonts w:ascii="Calibri" w:eastAsiaTheme="minorHAnsi" w:hAnsi="Calibri" w:cs="Calibri"/>
      <w:noProof/>
      <w:szCs w:val="22"/>
      <w:lang w:val="en-US" w:eastAsia="en-US"/>
    </w:rPr>
  </w:style>
  <w:style w:type="paragraph" w:customStyle="1" w:styleId="HAppendix2">
    <w:name w:val="H Appendix 2"/>
    <w:basedOn w:val="Normal"/>
    <w:next w:val="BodyText"/>
    <w:qFormat/>
    <w:rsid w:val="004C3A2A"/>
    <w:pPr>
      <w:keepNext/>
      <w:pageBreakBefore/>
      <w:pBdr>
        <w:bottom w:val="single" w:sz="4" w:space="1" w:color="auto"/>
      </w:pBdr>
      <w:spacing w:after="200" w:line="276" w:lineRule="auto"/>
      <w:jc w:val="left"/>
      <w:outlineLvl w:val="0"/>
    </w:pPr>
    <w:rPr>
      <w:rFonts w:ascii="Tahoma" w:eastAsiaTheme="minorHAnsi" w:hAnsi="Tahoma" w:cs="Tahoma"/>
      <w:sz w:val="40"/>
      <w:szCs w:val="22"/>
      <w:lang w:val="en-GB" w:eastAsia="en-GB"/>
    </w:rPr>
  </w:style>
  <w:style w:type="table" w:customStyle="1" w:styleId="PBACtable1">
    <w:name w:val="PBAC table1"/>
    <w:basedOn w:val="TableNormal"/>
    <w:next w:val="TableGrid"/>
    <w:uiPriority w:val="59"/>
    <w:rsid w:val="009C238E"/>
    <w:pPr>
      <w:spacing w:before="20" w:after="20"/>
      <w:ind w:left="113" w:right="113"/>
      <w:jc w:val="center"/>
    </w:pPr>
    <w:rPr>
      <w:rFonts w:ascii="Calibri" w:eastAsia="Calibri" w:hAnsi="Calibri"/>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top w:w="0" w:type="dxa"/>
        <w:bottom w:w="0" w:type="dxa"/>
      </w:tcMar>
      <w:vAlign w:val="center"/>
    </w:tcPr>
    <w:tblStylePr w:type="firstRow">
      <w:pPr>
        <w:jc w:val="center"/>
      </w:pPr>
      <w:rPr>
        <w:b/>
      </w:rPr>
      <w:tblPr/>
      <w:tcPr>
        <w:shd w:val="clear" w:color="auto" w:fill="D9D9D9"/>
        <w:vAlign w:val="top"/>
      </w:tcPr>
    </w:tblStylePr>
    <w:tblStylePr w:type="firstCol">
      <w:pPr>
        <w:jc w:val="left"/>
      </w:pPr>
    </w:tblStylePr>
    <w:tblStylePr w:type="nwCell">
      <w:pPr>
        <w:jc w:val="left"/>
      </w:pPr>
      <w:tblPr/>
      <w:tcPr>
        <w:vAlign w:val="top"/>
      </w:tcPr>
    </w:tblStylePr>
  </w:style>
  <w:style w:type="character" w:styleId="UnresolvedMention">
    <w:name w:val="Unresolved Mention"/>
    <w:basedOn w:val="DefaultParagraphFont"/>
    <w:uiPriority w:val="99"/>
    <w:semiHidden/>
    <w:unhideWhenUsed/>
    <w:rsid w:val="00162A83"/>
    <w:rPr>
      <w:color w:val="605E5C"/>
      <w:shd w:val="clear" w:color="auto" w:fill="E1DFDD"/>
    </w:rPr>
  </w:style>
  <w:style w:type="table" w:customStyle="1" w:styleId="TableHTAsimple">
    <w:name w:val="Table HTA simple"/>
    <w:basedOn w:val="TableNormal"/>
    <w:uiPriority w:val="99"/>
    <w:rsid w:val="00852175"/>
    <w:rPr>
      <w:rFonts w:asciiTheme="minorHAnsi" w:eastAsiaTheme="minorHAnsi" w:hAnsiTheme="minorHAnsi" w:cs="Tahoma"/>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Style9ptText2">
    <w:name w:val="Style 9 pt Text 2"/>
    <w:basedOn w:val="DefaultParagraphFont"/>
    <w:rsid w:val="00852175"/>
    <w:rPr>
      <w:color w:val="365F91" w:themeColor="accent1" w:themeShade="BF"/>
      <w:sz w:val="18"/>
    </w:rPr>
  </w:style>
  <w:style w:type="table" w:customStyle="1" w:styleId="HTATableshaded2">
    <w:name w:val="HTA Table shaded2"/>
    <w:basedOn w:val="TableNormal"/>
    <w:rsid w:val="0085217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TableText">
    <w:name w:val="PBAC Table Text"/>
    <w:basedOn w:val="Normal"/>
    <w:link w:val="PBACTableTextChar"/>
    <w:qFormat/>
    <w:rsid w:val="006E5DFA"/>
    <w:pPr>
      <w:spacing w:before="40" w:after="40"/>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E5DFA"/>
    <w:rPr>
      <w:rFonts w:ascii="Arial Narrow" w:hAnsi="Arial Narrow"/>
      <w:lang w:eastAsia="en-US"/>
    </w:rPr>
  </w:style>
  <w:style w:type="paragraph" w:customStyle="1" w:styleId="PbacTableHeading">
    <w:name w:val="Pbac Table Heading"/>
    <w:basedOn w:val="PBACTableText"/>
    <w:qFormat/>
    <w:rsid w:val="006E5DFA"/>
    <w:pPr>
      <w:spacing w:before="0" w:after="80"/>
    </w:pPr>
    <w:rPr>
      <w:rFonts w:eastAsiaTheme="minorHAnsi" w:cs="Arial"/>
      <w:b/>
    </w:rPr>
  </w:style>
  <w:style w:type="paragraph" w:customStyle="1" w:styleId="TableHeading0">
    <w:name w:val="Table Heading"/>
    <w:basedOn w:val="Normal"/>
    <w:qFormat/>
    <w:rsid w:val="006E5DFA"/>
    <w:pPr>
      <w:keepNext/>
      <w:spacing w:after="60"/>
      <w:jc w:val="left"/>
    </w:pPr>
    <w:rPr>
      <w:rFonts w:ascii="Arial Narrow" w:eastAsiaTheme="minorHAnsi" w:hAnsi="Arial Narrow" w:cstheme="minorBidi"/>
      <w:b/>
      <w:sz w:val="20"/>
      <w:szCs w:val="22"/>
      <w:lang w:eastAsia="en-US"/>
    </w:rPr>
  </w:style>
  <w:style w:type="paragraph" w:customStyle="1" w:styleId="TableH2">
    <w:name w:val="Table H2"/>
    <w:basedOn w:val="Normal"/>
    <w:next w:val="Tabletextleft"/>
    <w:uiPriority w:val="4"/>
    <w:qFormat/>
    <w:rsid w:val="00851D26"/>
    <w:pPr>
      <w:keepNext/>
      <w:tabs>
        <w:tab w:val="left" w:pos="416"/>
        <w:tab w:val="left" w:pos="582"/>
        <w:tab w:val="left" w:pos="1134"/>
      </w:tabs>
      <w:spacing w:before="40" w:after="40"/>
      <w:jc w:val="left"/>
    </w:pPr>
    <w:rPr>
      <w:rFonts w:asciiTheme="minorHAnsi" w:eastAsiaTheme="minorHAnsi" w:hAnsiTheme="minorHAnsi" w:cs="Tahoma"/>
      <w:b/>
      <w:spacing w:val="-1"/>
      <w:sz w:val="18"/>
      <w:szCs w:val="18"/>
      <w:lang w:val="en-US" w:eastAsia="en-US"/>
    </w:rPr>
  </w:style>
  <w:style w:type="paragraph" w:customStyle="1" w:styleId="captionresub">
    <w:name w:val="caption resub"/>
    <w:basedOn w:val="Normal"/>
    <w:qFormat/>
    <w:rsid w:val="00851D26"/>
    <w:pPr>
      <w:keepNext/>
      <w:keepLines/>
      <w:spacing w:after="200"/>
      <w:ind w:left="1418" w:hanging="1418"/>
      <w:jc w:val="left"/>
    </w:pPr>
    <w:rPr>
      <w:rFonts w:cs="Times New Roman"/>
      <w:b/>
      <w:bCs/>
      <w:color w:val="365F91" w:themeColor="accent1" w:themeShade="BF"/>
      <w:sz w:val="20"/>
      <w:szCs w:val="18"/>
      <w:lang w:val="en-US" w:eastAsia="en-US"/>
    </w:rPr>
  </w:style>
  <w:style w:type="paragraph" w:customStyle="1" w:styleId="PBACTabletext0">
    <w:name w:val="PBAC Table text"/>
    <w:basedOn w:val="Normal"/>
    <w:uiPriority w:val="99"/>
    <w:qFormat/>
    <w:rsid w:val="00851D26"/>
    <w:pPr>
      <w:keepNext/>
      <w:spacing w:after="20"/>
      <w:jc w:val="left"/>
    </w:pPr>
    <w:rPr>
      <w:rFonts w:ascii="Arial Narrow" w:eastAsiaTheme="minorHAnsi" w:hAnsi="Arial Narrow" w:cs="Times New Roman"/>
      <w:sz w:val="20"/>
      <w:szCs w:val="20"/>
      <w:lang w:eastAsia="en-GB"/>
    </w:rPr>
  </w:style>
  <w:style w:type="paragraph" w:customStyle="1" w:styleId="RJWBulltedlist">
    <w:name w:val="RJW Bullted list"/>
    <w:basedOn w:val="ListParagraph"/>
    <w:link w:val="RJWBulltedlistChar"/>
    <w:uiPriority w:val="99"/>
    <w:unhideWhenUsed/>
    <w:qFormat/>
    <w:rsid w:val="00851D26"/>
    <w:pPr>
      <w:numPr>
        <w:numId w:val="10"/>
      </w:numPr>
      <w:spacing w:before="120" w:line="276" w:lineRule="auto"/>
      <w:ind w:left="714" w:hanging="357"/>
      <w:jc w:val="left"/>
    </w:pPr>
    <w:rPr>
      <w:rFonts w:cstheme="minorBidi"/>
      <w:snapToGrid/>
      <w:sz w:val="22"/>
      <w:szCs w:val="22"/>
      <w:lang w:val="en-US" w:eastAsia="en-US"/>
    </w:rPr>
  </w:style>
  <w:style w:type="character" w:customStyle="1" w:styleId="RJWBulltedlistChar">
    <w:name w:val="RJW Bullted list Char"/>
    <w:basedOn w:val="DefaultParagraphFont"/>
    <w:link w:val="RJWBulltedlist"/>
    <w:uiPriority w:val="99"/>
    <w:locked/>
    <w:rsid w:val="00851D26"/>
    <w:rPr>
      <w:rFonts w:asciiTheme="minorHAnsi" w:hAnsiTheme="minorHAnsi" w:cstheme="minorBidi"/>
      <w:sz w:val="22"/>
      <w:szCs w:val="22"/>
      <w:lang w:val="en-US" w:eastAsia="en-US"/>
    </w:rPr>
  </w:style>
  <w:style w:type="paragraph" w:customStyle="1" w:styleId="VRTXRTF">
    <w:name w:val="VRTXRTF"/>
    <w:unhideWhenUsed/>
    <w:rsid w:val="00851D26"/>
    <w:pPr>
      <w:autoSpaceDE w:val="0"/>
      <w:autoSpaceDN w:val="0"/>
    </w:pPr>
    <w:rPr>
      <w:lang w:val="en-US" w:eastAsia="en-US"/>
    </w:rPr>
  </w:style>
  <w:style w:type="table" w:customStyle="1" w:styleId="TableHTAsimple5">
    <w:name w:val="Table HTA simple5"/>
    <w:basedOn w:val="TableNormal"/>
    <w:uiPriority w:val="99"/>
    <w:rsid w:val="00851D26"/>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Bodytextresubtextblue">
    <w:name w:val="Body text resub text blue"/>
    <w:basedOn w:val="DefaultParagraphFont"/>
    <w:uiPriority w:val="1"/>
    <w:qFormat/>
    <w:rsid w:val="00851D26"/>
    <w:rPr>
      <w:color w:val="365F91" w:themeColor="accent1" w:themeShade="BF"/>
    </w:rPr>
  </w:style>
  <w:style w:type="paragraph" w:customStyle="1" w:styleId="StyleLatinCalibri8ptText2After0ptLinespacings">
    <w:name w:val="Style (Latin) Calibri 8 pt Text 2 After:  0 pt Line spacing:  s..."/>
    <w:basedOn w:val="Normal"/>
    <w:rsid w:val="00851D26"/>
    <w:pPr>
      <w:spacing w:after="360"/>
      <w:contextualSpacing/>
      <w:jc w:val="left"/>
    </w:pPr>
    <w:rPr>
      <w:rFonts w:cs="Times New Roman"/>
      <w:color w:val="1F497D" w:themeColor="text2"/>
      <w:sz w:val="16"/>
      <w:szCs w:val="20"/>
      <w:lang w:eastAsia="en-US"/>
    </w:rPr>
  </w:style>
  <w:style w:type="table" w:customStyle="1" w:styleId="TableHTAsimple3">
    <w:name w:val="Table HTA simple3"/>
    <w:basedOn w:val="TableNormal"/>
    <w:uiPriority w:val="99"/>
    <w:rsid w:val="00851D26"/>
    <w:rPr>
      <w:rFonts w:asciiTheme="minorHAnsi" w:eastAsiaTheme="minorHAnsi" w:hAnsiTheme="minorHAnsi" w:cs="Tahoma"/>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TableHTAsimple1">
    <w:name w:val="Table HTA simple1"/>
    <w:basedOn w:val="TableNormal"/>
    <w:uiPriority w:val="99"/>
    <w:rsid w:val="00851D26"/>
    <w:rPr>
      <w:rFonts w:asciiTheme="minorHAnsi" w:eastAsiaTheme="minorHAnsi" w:hAnsiTheme="minorHAnsi" w:cs="Tahoma"/>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Heading4Char">
    <w:name w:val="Heading 4 Char"/>
    <w:basedOn w:val="DefaultParagraphFont"/>
    <w:link w:val="Heading4"/>
    <w:rsid w:val="00851D26"/>
    <w:rPr>
      <w:rFonts w:ascii="Calibri" w:hAnsi="Calibri" w:cs="Arial"/>
      <w:b/>
      <w:bCs/>
      <w:i/>
      <w:sz w:val="26"/>
      <w:szCs w:val="28"/>
    </w:rPr>
  </w:style>
  <w:style w:type="paragraph" w:customStyle="1" w:styleId="Tabletext10pt">
    <w:name w:val="Table text 10pt"/>
    <w:basedOn w:val="BodyText"/>
    <w:uiPriority w:val="4"/>
    <w:qFormat/>
    <w:rsid w:val="00851D26"/>
    <w:pPr>
      <w:keepNext/>
      <w:spacing w:before="20" w:after="20"/>
      <w:ind w:left="113" w:right="113"/>
    </w:pPr>
    <w:rPr>
      <w:rFonts w:eastAsia="Calibri" w:cs="Calibri"/>
      <w:sz w:val="20"/>
      <w:szCs w:val="16"/>
      <w:lang w:eastAsia="en-US"/>
    </w:rPr>
  </w:style>
  <w:style w:type="paragraph" w:customStyle="1" w:styleId="Tabletextindent">
    <w:name w:val="Table text indent"/>
    <w:basedOn w:val="Normal"/>
    <w:uiPriority w:val="4"/>
    <w:qFormat/>
    <w:rsid w:val="00851D26"/>
    <w:pPr>
      <w:tabs>
        <w:tab w:val="left" w:pos="416"/>
        <w:tab w:val="left" w:pos="582"/>
      </w:tabs>
      <w:spacing w:before="20" w:after="20"/>
      <w:ind w:left="170"/>
      <w:jc w:val="left"/>
    </w:pPr>
    <w:rPr>
      <w:rFonts w:cs="Times New Roman"/>
      <w:sz w:val="18"/>
      <w:szCs w:val="18"/>
      <w:lang w:eastAsia="en-GB"/>
    </w:rPr>
  </w:style>
  <w:style w:type="table" w:customStyle="1" w:styleId="HTATableshaded1">
    <w:name w:val="HTA Table shaded1"/>
    <w:basedOn w:val="TableNormal"/>
    <w:rsid w:val="00851D26"/>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Dash0">
    <w:name w:val="Dash+0"/>
    <w:basedOn w:val="Normal"/>
    <w:uiPriority w:val="2"/>
    <w:rsid w:val="00851D26"/>
    <w:pPr>
      <w:numPr>
        <w:numId w:val="11"/>
      </w:numPr>
      <w:tabs>
        <w:tab w:val="left" w:pos="1134"/>
      </w:tabs>
      <w:spacing w:line="276" w:lineRule="auto"/>
      <w:jc w:val="left"/>
    </w:pPr>
    <w:rPr>
      <w:rFonts w:asciiTheme="minorHAnsi" w:eastAsiaTheme="minorHAnsi" w:hAnsiTheme="minorHAnsi" w:cs="Tahoma"/>
      <w:color w:val="000000"/>
      <w:sz w:val="22"/>
      <w:szCs w:val="22"/>
    </w:rPr>
  </w:style>
  <w:style w:type="paragraph" w:customStyle="1" w:styleId="Tablebulletlist">
    <w:name w:val="Table bullet list"/>
    <w:basedOn w:val="Normal"/>
    <w:qFormat/>
    <w:rsid w:val="00851D26"/>
    <w:pPr>
      <w:widowControl w:val="0"/>
      <w:numPr>
        <w:numId w:val="12"/>
      </w:numPr>
      <w:tabs>
        <w:tab w:val="left" w:pos="464"/>
      </w:tabs>
      <w:spacing w:before="34"/>
      <w:jc w:val="left"/>
    </w:pPr>
    <w:rPr>
      <w:rFonts w:asciiTheme="minorHAnsi" w:eastAsia="Calibri" w:hAnsiTheme="minorHAnsi" w:cs="Times New Roman"/>
      <w:sz w:val="18"/>
      <w:szCs w:val="18"/>
      <w:lang w:val="en-US"/>
    </w:rPr>
  </w:style>
  <w:style w:type="character" w:customStyle="1" w:styleId="A0">
    <w:name w:val="A0"/>
    <w:uiPriority w:val="99"/>
    <w:rsid w:val="00851D26"/>
    <w:rPr>
      <w:rFonts w:cs="Helvetica Neue LT Std"/>
      <w:b/>
      <w:bCs/>
      <w:color w:val="000000"/>
      <w:sz w:val="57"/>
      <w:szCs w:val="57"/>
    </w:rPr>
  </w:style>
  <w:style w:type="character" w:customStyle="1" w:styleId="cf01">
    <w:name w:val="cf01"/>
    <w:basedOn w:val="DefaultParagraphFont"/>
    <w:rsid w:val="00851D26"/>
    <w:rPr>
      <w:rFonts w:ascii="Segoe UI" w:hAnsi="Segoe UI" w:cs="Segoe UI" w:hint="default"/>
      <w:sz w:val="18"/>
      <w:szCs w:val="18"/>
    </w:rPr>
  </w:style>
  <w:style w:type="character" w:styleId="Emphasis">
    <w:name w:val="Emphasis"/>
    <w:basedOn w:val="DefaultParagraphFont"/>
    <w:uiPriority w:val="20"/>
    <w:qFormat/>
    <w:rsid w:val="00851D26"/>
    <w:rPr>
      <w:i/>
      <w:iCs/>
    </w:rPr>
  </w:style>
  <w:style w:type="paragraph" w:styleId="EndnoteText">
    <w:name w:val="endnote text"/>
    <w:basedOn w:val="Normal"/>
    <w:link w:val="EndnoteTextChar"/>
    <w:semiHidden/>
    <w:unhideWhenUsed/>
    <w:rsid w:val="00851D26"/>
    <w:rPr>
      <w:sz w:val="20"/>
      <w:szCs w:val="20"/>
    </w:rPr>
  </w:style>
  <w:style w:type="character" w:customStyle="1" w:styleId="EndnoteTextChar">
    <w:name w:val="Endnote Text Char"/>
    <w:basedOn w:val="DefaultParagraphFont"/>
    <w:link w:val="EndnoteText"/>
    <w:semiHidden/>
    <w:rsid w:val="00851D26"/>
    <w:rPr>
      <w:rFonts w:ascii="Calibri" w:hAnsi="Calibri" w:cs="Arial"/>
    </w:rPr>
  </w:style>
  <w:style w:type="character" w:styleId="EndnoteReference">
    <w:name w:val="endnote reference"/>
    <w:basedOn w:val="DefaultParagraphFont"/>
    <w:semiHidden/>
    <w:unhideWhenUsed/>
    <w:rsid w:val="00851D26"/>
    <w:rPr>
      <w:vertAlign w:val="superscript"/>
    </w:rPr>
  </w:style>
  <w:style w:type="character" w:customStyle="1" w:styleId="Heading1Char">
    <w:name w:val="Heading 1 Char"/>
    <w:basedOn w:val="DefaultParagraphFont"/>
    <w:link w:val="Heading1"/>
    <w:uiPriority w:val="1"/>
    <w:rsid w:val="00B30051"/>
    <w:rPr>
      <w:rFonts w:ascii="Calibri" w:hAnsi="Calibri" w:cs="Arial"/>
      <w:b/>
      <w:caps/>
      <w:sz w:val="32"/>
      <w:szCs w:val="24"/>
    </w:rPr>
  </w:style>
  <w:style w:type="table" w:customStyle="1" w:styleId="HTAtableplain1">
    <w:name w:val="HTAtableplain1"/>
    <w:basedOn w:val="TableNormal"/>
    <w:next w:val="TableGrid"/>
    <w:uiPriority w:val="39"/>
    <w:rsid w:val="00D63A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6"/>
    <w:qFormat/>
    <w:rsid w:val="00C27A41"/>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aliases w:val="Char1"/>
    <w:basedOn w:val="Normal"/>
    <w:uiPriority w:val="16"/>
    <w:qFormat/>
    <w:rsid w:val="00C27A41"/>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C27A41"/>
    <w:pPr>
      <w:numPr>
        <w:numId w:val="19"/>
      </w:numPr>
    </w:pPr>
  </w:style>
  <w:style w:type="paragraph" w:styleId="ListNumber3">
    <w:name w:val="List Number 3"/>
    <w:aliases w:val="Char"/>
    <w:basedOn w:val="Normal"/>
    <w:uiPriority w:val="16"/>
    <w:qFormat/>
    <w:rsid w:val="00C27A41"/>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C27A41"/>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styleId="TableGridLight">
    <w:name w:val="Grid Table Light"/>
    <w:basedOn w:val="TableNormal"/>
    <w:uiPriority w:val="40"/>
    <w:rsid w:val="006104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SubsectionHeading">
    <w:name w:val="3-Subsection Heading"/>
    <w:basedOn w:val="Heading2"/>
    <w:next w:val="Normal"/>
    <w:link w:val="3-SubsectionHeadingChar"/>
    <w:qFormat/>
    <w:rsid w:val="00163B3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63B39"/>
    <w:rPr>
      <w:rFonts w:asciiTheme="minorHAnsi" w:eastAsiaTheme="majorEastAsia" w:hAnsiTheme="minorHAnsi" w:cstheme="majorBidi"/>
      <w:b/>
      <w:i/>
      <w:snapToGrid/>
      <w:spacing w:val="5"/>
      <w:kern w:val="28"/>
      <w:sz w:val="28"/>
      <w:szCs w:val="36"/>
      <w:lang w:eastAsia="en-US"/>
    </w:rPr>
  </w:style>
  <w:style w:type="paragraph" w:customStyle="1" w:styleId="PBACheading10">
    <w:name w:val="PBAC heading 1"/>
    <w:qFormat/>
    <w:rsid w:val="00CA3CC6"/>
    <w:pPr>
      <w:ind w:left="720" w:hanging="720"/>
      <w:outlineLvl w:val="0"/>
    </w:pPr>
    <w:rPr>
      <w:rFonts w:ascii="Arial" w:eastAsia="Times New Roman" w:hAnsi="Arial" w:cs="Arial"/>
      <w:b/>
      <w:snapToGrid w:val="0"/>
      <w:sz w:val="22"/>
      <w:szCs w:val="22"/>
      <w:lang w:eastAsia="en-US"/>
    </w:rPr>
  </w:style>
  <w:style w:type="table" w:styleId="GridTable1Light-Accent5">
    <w:name w:val="Grid Table 1 Light Accent 5"/>
    <w:basedOn w:val="TableNormal"/>
    <w:uiPriority w:val="46"/>
    <w:rsid w:val="00895F6C"/>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920088">
      <w:bodyDiv w:val="1"/>
      <w:marLeft w:val="0"/>
      <w:marRight w:val="0"/>
      <w:marTop w:val="0"/>
      <w:marBottom w:val="0"/>
      <w:divBdr>
        <w:top w:val="none" w:sz="0" w:space="0" w:color="auto"/>
        <w:left w:val="none" w:sz="0" w:space="0" w:color="auto"/>
        <w:bottom w:val="none" w:sz="0" w:space="0" w:color="auto"/>
        <w:right w:val="none" w:sz="0" w:space="0" w:color="auto"/>
      </w:divBdr>
    </w:div>
    <w:div w:id="226111372">
      <w:bodyDiv w:val="1"/>
      <w:marLeft w:val="0"/>
      <w:marRight w:val="0"/>
      <w:marTop w:val="0"/>
      <w:marBottom w:val="0"/>
      <w:divBdr>
        <w:top w:val="none" w:sz="0" w:space="0" w:color="auto"/>
        <w:left w:val="none" w:sz="0" w:space="0" w:color="auto"/>
        <w:bottom w:val="none" w:sz="0" w:space="0" w:color="auto"/>
        <w:right w:val="none" w:sz="0" w:space="0" w:color="auto"/>
      </w:divBdr>
    </w:div>
    <w:div w:id="279188987">
      <w:bodyDiv w:val="1"/>
      <w:marLeft w:val="0"/>
      <w:marRight w:val="0"/>
      <w:marTop w:val="0"/>
      <w:marBottom w:val="0"/>
      <w:divBdr>
        <w:top w:val="none" w:sz="0" w:space="0" w:color="auto"/>
        <w:left w:val="none" w:sz="0" w:space="0" w:color="auto"/>
        <w:bottom w:val="none" w:sz="0" w:space="0" w:color="auto"/>
        <w:right w:val="none" w:sz="0" w:space="0" w:color="auto"/>
      </w:divBdr>
    </w:div>
    <w:div w:id="30867543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5378549">
      <w:bodyDiv w:val="1"/>
      <w:marLeft w:val="0"/>
      <w:marRight w:val="0"/>
      <w:marTop w:val="0"/>
      <w:marBottom w:val="0"/>
      <w:divBdr>
        <w:top w:val="none" w:sz="0" w:space="0" w:color="auto"/>
        <w:left w:val="none" w:sz="0" w:space="0" w:color="auto"/>
        <w:bottom w:val="none" w:sz="0" w:space="0" w:color="auto"/>
        <w:right w:val="none" w:sz="0" w:space="0" w:color="auto"/>
      </w:divBdr>
    </w:div>
    <w:div w:id="341712059">
      <w:bodyDiv w:val="1"/>
      <w:marLeft w:val="0"/>
      <w:marRight w:val="0"/>
      <w:marTop w:val="0"/>
      <w:marBottom w:val="0"/>
      <w:divBdr>
        <w:top w:val="none" w:sz="0" w:space="0" w:color="auto"/>
        <w:left w:val="none" w:sz="0" w:space="0" w:color="auto"/>
        <w:bottom w:val="none" w:sz="0" w:space="0" w:color="auto"/>
        <w:right w:val="none" w:sz="0" w:space="0" w:color="auto"/>
      </w:divBdr>
    </w:div>
    <w:div w:id="366411903">
      <w:bodyDiv w:val="1"/>
      <w:marLeft w:val="0"/>
      <w:marRight w:val="0"/>
      <w:marTop w:val="0"/>
      <w:marBottom w:val="0"/>
      <w:divBdr>
        <w:top w:val="none" w:sz="0" w:space="0" w:color="auto"/>
        <w:left w:val="none" w:sz="0" w:space="0" w:color="auto"/>
        <w:bottom w:val="none" w:sz="0" w:space="0" w:color="auto"/>
        <w:right w:val="none" w:sz="0" w:space="0" w:color="auto"/>
      </w:divBdr>
    </w:div>
    <w:div w:id="519273591">
      <w:bodyDiv w:val="1"/>
      <w:marLeft w:val="0"/>
      <w:marRight w:val="0"/>
      <w:marTop w:val="0"/>
      <w:marBottom w:val="0"/>
      <w:divBdr>
        <w:top w:val="none" w:sz="0" w:space="0" w:color="auto"/>
        <w:left w:val="none" w:sz="0" w:space="0" w:color="auto"/>
        <w:bottom w:val="none" w:sz="0" w:space="0" w:color="auto"/>
        <w:right w:val="none" w:sz="0" w:space="0" w:color="auto"/>
      </w:divBdr>
    </w:div>
    <w:div w:id="521632312">
      <w:bodyDiv w:val="1"/>
      <w:marLeft w:val="0"/>
      <w:marRight w:val="0"/>
      <w:marTop w:val="0"/>
      <w:marBottom w:val="0"/>
      <w:divBdr>
        <w:top w:val="none" w:sz="0" w:space="0" w:color="auto"/>
        <w:left w:val="none" w:sz="0" w:space="0" w:color="auto"/>
        <w:bottom w:val="none" w:sz="0" w:space="0" w:color="auto"/>
        <w:right w:val="none" w:sz="0" w:space="0" w:color="auto"/>
      </w:divBdr>
      <w:divsChild>
        <w:div w:id="347607963">
          <w:marLeft w:val="360"/>
          <w:marRight w:val="0"/>
          <w:marTop w:val="200"/>
          <w:marBottom w:val="0"/>
          <w:divBdr>
            <w:top w:val="none" w:sz="0" w:space="0" w:color="auto"/>
            <w:left w:val="none" w:sz="0" w:space="0" w:color="auto"/>
            <w:bottom w:val="none" w:sz="0" w:space="0" w:color="auto"/>
            <w:right w:val="none" w:sz="0" w:space="0" w:color="auto"/>
          </w:divBdr>
        </w:div>
      </w:divsChild>
    </w:div>
    <w:div w:id="542013096">
      <w:bodyDiv w:val="1"/>
      <w:marLeft w:val="0"/>
      <w:marRight w:val="0"/>
      <w:marTop w:val="0"/>
      <w:marBottom w:val="0"/>
      <w:divBdr>
        <w:top w:val="none" w:sz="0" w:space="0" w:color="auto"/>
        <w:left w:val="none" w:sz="0" w:space="0" w:color="auto"/>
        <w:bottom w:val="none" w:sz="0" w:space="0" w:color="auto"/>
        <w:right w:val="none" w:sz="0" w:space="0" w:color="auto"/>
      </w:divBdr>
    </w:div>
    <w:div w:id="543059304">
      <w:bodyDiv w:val="1"/>
      <w:marLeft w:val="0"/>
      <w:marRight w:val="0"/>
      <w:marTop w:val="0"/>
      <w:marBottom w:val="0"/>
      <w:divBdr>
        <w:top w:val="none" w:sz="0" w:space="0" w:color="auto"/>
        <w:left w:val="none" w:sz="0" w:space="0" w:color="auto"/>
        <w:bottom w:val="none" w:sz="0" w:space="0" w:color="auto"/>
        <w:right w:val="none" w:sz="0" w:space="0" w:color="auto"/>
      </w:divBdr>
    </w:div>
    <w:div w:id="573780371">
      <w:bodyDiv w:val="1"/>
      <w:marLeft w:val="0"/>
      <w:marRight w:val="0"/>
      <w:marTop w:val="0"/>
      <w:marBottom w:val="0"/>
      <w:divBdr>
        <w:top w:val="none" w:sz="0" w:space="0" w:color="auto"/>
        <w:left w:val="none" w:sz="0" w:space="0" w:color="auto"/>
        <w:bottom w:val="none" w:sz="0" w:space="0" w:color="auto"/>
        <w:right w:val="none" w:sz="0" w:space="0" w:color="auto"/>
      </w:divBdr>
    </w:div>
    <w:div w:id="661465021">
      <w:bodyDiv w:val="1"/>
      <w:marLeft w:val="0"/>
      <w:marRight w:val="0"/>
      <w:marTop w:val="0"/>
      <w:marBottom w:val="0"/>
      <w:divBdr>
        <w:top w:val="none" w:sz="0" w:space="0" w:color="auto"/>
        <w:left w:val="none" w:sz="0" w:space="0" w:color="auto"/>
        <w:bottom w:val="none" w:sz="0" w:space="0" w:color="auto"/>
        <w:right w:val="none" w:sz="0" w:space="0" w:color="auto"/>
      </w:divBdr>
    </w:div>
    <w:div w:id="680788010">
      <w:bodyDiv w:val="1"/>
      <w:marLeft w:val="0"/>
      <w:marRight w:val="0"/>
      <w:marTop w:val="0"/>
      <w:marBottom w:val="0"/>
      <w:divBdr>
        <w:top w:val="none" w:sz="0" w:space="0" w:color="auto"/>
        <w:left w:val="none" w:sz="0" w:space="0" w:color="auto"/>
        <w:bottom w:val="none" w:sz="0" w:space="0" w:color="auto"/>
        <w:right w:val="none" w:sz="0" w:space="0" w:color="auto"/>
      </w:divBdr>
      <w:divsChild>
        <w:div w:id="582759063">
          <w:marLeft w:val="360"/>
          <w:marRight w:val="0"/>
          <w:marTop w:val="200"/>
          <w:marBottom w:val="0"/>
          <w:divBdr>
            <w:top w:val="none" w:sz="0" w:space="0" w:color="auto"/>
            <w:left w:val="none" w:sz="0" w:space="0" w:color="auto"/>
            <w:bottom w:val="none" w:sz="0" w:space="0" w:color="auto"/>
            <w:right w:val="none" w:sz="0" w:space="0" w:color="auto"/>
          </w:divBdr>
        </w:div>
        <w:div w:id="888221463">
          <w:marLeft w:val="360"/>
          <w:marRight w:val="0"/>
          <w:marTop w:val="200"/>
          <w:marBottom w:val="0"/>
          <w:divBdr>
            <w:top w:val="none" w:sz="0" w:space="0" w:color="auto"/>
            <w:left w:val="none" w:sz="0" w:space="0" w:color="auto"/>
            <w:bottom w:val="none" w:sz="0" w:space="0" w:color="auto"/>
            <w:right w:val="none" w:sz="0" w:space="0" w:color="auto"/>
          </w:divBdr>
        </w:div>
      </w:divsChild>
    </w:div>
    <w:div w:id="747266246">
      <w:bodyDiv w:val="1"/>
      <w:marLeft w:val="0"/>
      <w:marRight w:val="0"/>
      <w:marTop w:val="0"/>
      <w:marBottom w:val="0"/>
      <w:divBdr>
        <w:top w:val="none" w:sz="0" w:space="0" w:color="auto"/>
        <w:left w:val="none" w:sz="0" w:space="0" w:color="auto"/>
        <w:bottom w:val="none" w:sz="0" w:space="0" w:color="auto"/>
        <w:right w:val="none" w:sz="0" w:space="0" w:color="auto"/>
      </w:divBdr>
    </w:div>
    <w:div w:id="814952723">
      <w:bodyDiv w:val="1"/>
      <w:marLeft w:val="0"/>
      <w:marRight w:val="0"/>
      <w:marTop w:val="0"/>
      <w:marBottom w:val="0"/>
      <w:divBdr>
        <w:top w:val="none" w:sz="0" w:space="0" w:color="auto"/>
        <w:left w:val="none" w:sz="0" w:space="0" w:color="auto"/>
        <w:bottom w:val="none" w:sz="0" w:space="0" w:color="auto"/>
        <w:right w:val="none" w:sz="0" w:space="0" w:color="auto"/>
      </w:divBdr>
      <w:divsChild>
        <w:div w:id="2064206220">
          <w:marLeft w:val="547"/>
          <w:marRight w:val="0"/>
          <w:marTop w:val="200"/>
          <w:marBottom w:val="0"/>
          <w:divBdr>
            <w:top w:val="none" w:sz="0" w:space="0" w:color="auto"/>
            <w:left w:val="none" w:sz="0" w:space="0" w:color="auto"/>
            <w:bottom w:val="none" w:sz="0" w:space="0" w:color="auto"/>
            <w:right w:val="none" w:sz="0" w:space="0" w:color="auto"/>
          </w:divBdr>
        </w:div>
      </w:divsChild>
    </w:div>
    <w:div w:id="829324117">
      <w:bodyDiv w:val="1"/>
      <w:marLeft w:val="0"/>
      <w:marRight w:val="0"/>
      <w:marTop w:val="0"/>
      <w:marBottom w:val="0"/>
      <w:divBdr>
        <w:top w:val="none" w:sz="0" w:space="0" w:color="auto"/>
        <w:left w:val="none" w:sz="0" w:space="0" w:color="auto"/>
        <w:bottom w:val="none" w:sz="0" w:space="0" w:color="auto"/>
        <w:right w:val="none" w:sz="0" w:space="0" w:color="auto"/>
      </w:divBdr>
      <w:divsChild>
        <w:div w:id="1140727024">
          <w:marLeft w:val="547"/>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3808875">
      <w:bodyDiv w:val="1"/>
      <w:marLeft w:val="0"/>
      <w:marRight w:val="0"/>
      <w:marTop w:val="0"/>
      <w:marBottom w:val="0"/>
      <w:divBdr>
        <w:top w:val="none" w:sz="0" w:space="0" w:color="auto"/>
        <w:left w:val="none" w:sz="0" w:space="0" w:color="auto"/>
        <w:bottom w:val="none" w:sz="0" w:space="0" w:color="auto"/>
        <w:right w:val="none" w:sz="0" w:space="0" w:color="auto"/>
      </w:divBdr>
    </w:div>
    <w:div w:id="906960742">
      <w:bodyDiv w:val="1"/>
      <w:marLeft w:val="0"/>
      <w:marRight w:val="0"/>
      <w:marTop w:val="0"/>
      <w:marBottom w:val="0"/>
      <w:divBdr>
        <w:top w:val="none" w:sz="0" w:space="0" w:color="auto"/>
        <w:left w:val="none" w:sz="0" w:space="0" w:color="auto"/>
        <w:bottom w:val="none" w:sz="0" w:space="0" w:color="auto"/>
        <w:right w:val="none" w:sz="0" w:space="0" w:color="auto"/>
      </w:divBdr>
    </w:div>
    <w:div w:id="938105816">
      <w:bodyDiv w:val="1"/>
      <w:marLeft w:val="0"/>
      <w:marRight w:val="0"/>
      <w:marTop w:val="0"/>
      <w:marBottom w:val="0"/>
      <w:divBdr>
        <w:top w:val="none" w:sz="0" w:space="0" w:color="auto"/>
        <w:left w:val="none" w:sz="0" w:space="0" w:color="auto"/>
        <w:bottom w:val="none" w:sz="0" w:space="0" w:color="auto"/>
        <w:right w:val="none" w:sz="0" w:space="0" w:color="auto"/>
      </w:divBdr>
    </w:div>
    <w:div w:id="973288582">
      <w:bodyDiv w:val="1"/>
      <w:marLeft w:val="0"/>
      <w:marRight w:val="0"/>
      <w:marTop w:val="0"/>
      <w:marBottom w:val="0"/>
      <w:divBdr>
        <w:top w:val="none" w:sz="0" w:space="0" w:color="auto"/>
        <w:left w:val="none" w:sz="0" w:space="0" w:color="auto"/>
        <w:bottom w:val="none" w:sz="0" w:space="0" w:color="auto"/>
        <w:right w:val="none" w:sz="0" w:space="0" w:color="auto"/>
      </w:divBdr>
    </w:div>
    <w:div w:id="994069685">
      <w:bodyDiv w:val="1"/>
      <w:marLeft w:val="0"/>
      <w:marRight w:val="0"/>
      <w:marTop w:val="0"/>
      <w:marBottom w:val="0"/>
      <w:divBdr>
        <w:top w:val="none" w:sz="0" w:space="0" w:color="auto"/>
        <w:left w:val="none" w:sz="0" w:space="0" w:color="auto"/>
        <w:bottom w:val="none" w:sz="0" w:space="0" w:color="auto"/>
        <w:right w:val="none" w:sz="0" w:space="0" w:color="auto"/>
      </w:divBdr>
    </w:div>
    <w:div w:id="1013848918">
      <w:bodyDiv w:val="1"/>
      <w:marLeft w:val="0"/>
      <w:marRight w:val="0"/>
      <w:marTop w:val="0"/>
      <w:marBottom w:val="0"/>
      <w:divBdr>
        <w:top w:val="none" w:sz="0" w:space="0" w:color="auto"/>
        <w:left w:val="none" w:sz="0" w:space="0" w:color="auto"/>
        <w:bottom w:val="none" w:sz="0" w:space="0" w:color="auto"/>
        <w:right w:val="none" w:sz="0" w:space="0" w:color="auto"/>
      </w:divBdr>
    </w:div>
    <w:div w:id="1036348772">
      <w:bodyDiv w:val="1"/>
      <w:marLeft w:val="0"/>
      <w:marRight w:val="0"/>
      <w:marTop w:val="0"/>
      <w:marBottom w:val="0"/>
      <w:divBdr>
        <w:top w:val="none" w:sz="0" w:space="0" w:color="auto"/>
        <w:left w:val="none" w:sz="0" w:space="0" w:color="auto"/>
        <w:bottom w:val="none" w:sz="0" w:space="0" w:color="auto"/>
        <w:right w:val="none" w:sz="0" w:space="0" w:color="auto"/>
      </w:divBdr>
    </w:div>
    <w:div w:id="1059017335">
      <w:bodyDiv w:val="1"/>
      <w:marLeft w:val="0"/>
      <w:marRight w:val="0"/>
      <w:marTop w:val="0"/>
      <w:marBottom w:val="0"/>
      <w:divBdr>
        <w:top w:val="none" w:sz="0" w:space="0" w:color="auto"/>
        <w:left w:val="none" w:sz="0" w:space="0" w:color="auto"/>
        <w:bottom w:val="none" w:sz="0" w:space="0" w:color="auto"/>
        <w:right w:val="none" w:sz="0" w:space="0" w:color="auto"/>
      </w:divBdr>
    </w:div>
    <w:div w:id="1160585868">
      <w:bodyDiv w:val="1"/>
      <w:marLeft w:val="0"/>
      <w:marRight w:val="0"/>
      <w:marTop w:val="0"/>
      <w:marBottom w:val="0"/>
      <w:divBdr>
        <w:top w:val="none" w:sz="0" w:space="0" w:color="auto"/>
        <w:left w:val="none" w:sz="0" w:space="0" w:color="auto"/>
        <w:bottom w:val="none" w:sz="0" w:space="0" w:color="auto"/>
        <w:right w:val="none" w:sz="0" w:space="0" w:color="auto"/>
      </w:divBdr>
    </w:div>
    <w:div w:id="11724476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57201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5892903">
      <w:bodyDiv w:val="1"/>
      <w:marLeft w:val="0"/>
      <w:marRight w:val="0"/>
      <w:marTop w:val="0"/>
      <w:marBottom w:val="0"/>
      <w:divBdr>
        <w:top w:val="none" w:sz="0" w:space="0" w:color="auto"/>
        <w:left w:val="none" w:sz="0" w:space="0" w:color="auto"/>
        <w:bottom w:val="none" w:sz="0" w:space="0" w:color="auto"/>
        <w:right w:val="none" w:sz="0" w:space="0" w:color="auto"/>
      </w:divBdr>
    </w:div>
    <w:div w:id="1373311283">
      <w:bodyDiv w:val="1"/>
      <w:marLeft w:val="0"/>
      <w:marRight w:val="0"/>
      <w:marTop w:val="0"/>
      <w:marBottom w:val="0"/>
      <w:divBdr>
        <w:top w:val="none" w:sz="0" w:space="0" w:color="auto"/>
        <w:left w:val="none" w:sz="0" w:space="0" w:color="auto"/>
        <w:bottom w:val="none" w:sz="0" w:space="0" w:color="auto"/>
        <w:right w:val="none" w:sz="0" w:space="0" w:color="auto"/>
      </w:divBdr>
    </w:div>
    <w:div w:id="1425148291">
      <w:bodyDiv w:val="1"/>
      <w:marLeft w:val="0"/>
      <w:marRight w:val="0"/>
      <w:marTop w:val="0"/>
      <w:marBottom w:val="0"/>
      <w:divBdr>
        <w:top w:val="none" w:sz="0" w:space="0" w:color="auto"/>
        <w:left w:val="none" w:sz="0" w:space="0" w:color="auto"/>
        <w:bottom w:val="none" w:sz="0" w:space="0" w:color="auto"/>
        <w:right w:val="none" w:sz="0" w:space="0" w:color="auto"/>
      </w:divBdr>
    </w:div>
    <w:div w:id="1484391893">
      <w:bodyDiv w:val="1"/>
      <w:marLeft w:val="0"/>
      <w:marRight w:val="0"/>
      <w:marTop w:val="0"/>
      <w:marBottom w:val="0"/>
      <w:divBdr>
        <w:top w:val="none" w:sz="0" w:space="0" w:color="auto"/>
        <w:left w:val="none" w:sz="0" w:space="0" w:color="auto"/>
        <w:bottom w:val="none" w:sz="0" w:space="0" w:color="auto"/>
        <w:right w:val="none" w:sz="0" w:space="0" w:color="auto"/>
      </w:divBdr>
    </w:div>
    <w:div w:id="1544252640">
      <w:bodyDiv w:val="1"/>
      <w:marLeft w:val="0"/>
      <w:marRight w:val="0"/>
      <w:marTop w:val="0"/>
      <w:marBottom w:val="0"/>
      <w:divBdr>
        <w:top w:val="none" w:sz="0" w:space="0" w:color="auto"/>
        <w:left w:val="none" w:sz="0" w:space="0" w:color="auto"/>
        <w:bottom w:val="none" w:sz="0" w:space="0" w:color="auto"/>
        <w:right w:val="none" w:sz="0" w:space="0" w:color="auto"/>
      </w:divBdr>
    </w:div>
    <w:div w:id="1570268510">
      <w:bodyDiv w:val="1"/>
      <w:marLeft w:val="0"/>
      <w:marRight w:val="0"/>
      <w:marTop w:val="0"/>
      <w:marBottom w:val="0"/>
      <w:divBdr>
        <w:top w:val="none" w:sz="0" w:space="0" w:color="auto"/>
        <w:left w:val="none" w:sz="0" w:space="0" w:color="auto"/>
        <w:bottom w:val="none" w:sz="0" w:space="0" w:color="auto"/>
        <w:right w:val="none" w:sz="0" w:space="0" w:color="auto"/>
      </w:divBdr>
    </w:div>
    <w:div w:id="1766882908">
      <w:bodyDiv w:val="1"/>
      <w:marLeft w:val="0"/>
      <w:marRight w:val="0"/>
      <w:marTop w:val="0"/>
      <w:marBottom w:val="0"/>
      <w:divBdr>
        <w:top w:val="none" w:sz="0" w:space="0" w:color="auto"/>
        <w:left w:val="none" w:sz="0" w:space="0" w:color="auto"/>
        <w:bottom w:val="none" w:sz="0" w:space="0" w:color="auto"/>
        <w:right w:val="none" w:sz="0" w:space="0" w:color="auto"/>
      </w:divBdr>
    </w:div>
    <w:div w:id="1845433628">
      <w:bodyDiv w:val="1"/>
      <w:marLeft w:val="0"/>
      <w:marRight w:val="0"/>
      <w:marTop w:val="0"/>
      <w:marBottom w:val="0"/>
      <w:divBdr>
        <w:top w:val="none" w:sz="0" w:space="0" w:color="auto"/>
        <w:left w:val="none" w:sz="0" w:space="0" w:color="auto"/>
        <w:bottom w:val="none" w:sz="0" w:space="0" w:color="auto"/>
        <w:right w:val="none" w:sz="0" w:space="0" w:color="auto"/>
      </w:divBdr>
    </w:div>
    <w:div w:id="1892961567">
      <w:bodyDiv w:val="1"/>
      <w:marLeft w:val="0"/>
      <w:marRight w:val="0"/>
      <w:marTop w:val="0"/>
      <w:marBottom w:val="0"/>
      <w:divBdr>
        <w:top w:val="none" w:sz="0" w:space="0" w:color="auto"/>
        <w:left w:val="none" w:sz="0" w:space="0" w:color="auto"/>
        <w:bottom w:val="none" w:sz="0" w:space="0" w:color="auto"/>
        <w:right w:val="none" w:sz="0" w:space="0" w:color="auto"/>
      </w:divBdr>
    </w:div>
    <w:div w:id="191497042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9330352">
      <w:bodyDiv w:val="1"/>
      <w:marLeft w:val="0"/>
      <w:marRight w:val="0"/>
      <w:marTop w:val="0"/>
      <w:marBottom w:val="0"/>
      <w:divBdr>
        <w:top w:val="none" w:sz="0" w:space="0" w:color="auto"/>
        <w:left w:val="none" w:sz="0" w:space="0" w:color="auto"/>
        <w:bottom w:val="none" w:sz="0" w:space="0" w:color="auto"/>
        <w:right w:val="none" w:sz="0" w:space="0" w:color="auto"/>
      </w:divBdr>
    </w:div>
    <w:div w:id="2087073950">
      <w:bodyDiv w:val="1"/>
      <w:marLeft w:val="0"/>
      <w:marRight w:val="0"/>
      <w:marTop w:val="0"/>
      <w:marBottom w:val="0"/>
      <w:divBdr>
        <w:top w:val="none" w:sz="0" w:space="0" w:color="auto"/>
        <w:left w:val="none" w:sz="0" w:space="0" w:color="auto"/>
        <w:bottom w:val="none" w:sz="0" w:space="0" w:color="auto"/>
        <w:right w:val="none" w:sz="0" w:space="0" w:color="auto"/>
      </w:divBdr>
      <w:divsChild>
        <w:div w:id="567619924">
          <w:marLeft w:val="360"/>
          <w:marRight w:val="0"/>
          <w:marTop w:val="200"/>
          <w:marBottom w:val="0"/>
          <w:divBdr>
            <w:top w:val="none" w:sz="0" w:space="0" w:color="auto"/>
            <w:left w:val="none" w:sz="0" w:space="0" w:color="auto"/>
            <w:bottom w:val="none" w:sz="0" w:space="0" w:color="auto"/>
            <w:right w:val="none" w:sz="0" w:space="0" w:color="auto"/>
          </w:divBdr>
        </w:div>
      </w:divsChild>
    </w:div>
    <w:div w:id="2095936059">
      <w:bodyDiv w:val="1"/>
      <w:marLeft w:val="0"/>
      <w:marRight w:val="0"/>
      <w:marTop w:val="0"/>
      <w:marBottom w:val="0"/>
      <w:divBdr>
        <w:top w:val="none" w:sz="0" w:space="0" w:color="auto"/>
        <w:left w:val="none" w:sz="0" w:space="0" w:color="auto"/>
        <w:bottom w:val="none" w:sz="0" w:space="0" w:color="auto"/>
        <w:right w:val="none" w:sz="0" w:space="0" w:color="auto"/>
      </w:divBdr>
    </w:div>
    <w:div w:id="20977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AB74-9062-4DA7-9B8A-D2C58A0B273A}">
  <ds:schemaRefs>
    <ds:schemaRef ds:uri="http://schemas.openxmlformats.org/officeDocument/2006/bibliography"/>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17495</Words>
  <Characters>94513</Characters>
  <Application>Microsoft Office Word</Application>
  <DocSecurity>0</DocSecurity>
  <Lines>787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111785</CharactersWithSpaces>
  <SharedDoc>false</SharedDoc>
  <HLinks>
    <vt:vector size="492" baseType="variant">
      <vt:variant>
        <vt:i4>2752635</vt:i4>
      </vt:variant>
      <vt:variant>
        <vt:i4>642</vt:i4>
      </vt:variant>
      <vt:variant>
        <vt:i4>0</vt:i4>
      </vt:variant>
      <vt:variant>
        <vt:i4>5</vt:i4>
      </vt:variant>
      <vt:variant>
        <vt:lpwstr>http://handbook.cochrane.org/chapter_8/table_8_5_a_the_cochrane_collaborations_tool_for_assessing.htm</vt:lpwstr>
      </vt:variant>
      <vt:variant>
        <vt:lpwstr/>
      </vt:variant>
      <vt:variant>
        <vt:i4>1638422</vt:i4>
      </vt:variant>
      <vt:variant>
        <vt:i4>636</vt:i4>
      </vt:variant>
      <vt:variant>
        <vt:i4>0</vt:i4>
      </vt:variant>
      <vt:variant>
        <vt:i4>5</vt:i4>
      </vt:variant>
      <vt:variant>
        <vt:lpwstr>https://sites.google.com/site/riskofbiastool/ROBINS-I_detailed_guidance.pdf?attredirects=0&amp;d=1</vt:lpwstr>
      </vt:variant>
      <vt:variant>
        <vt:lpwstr/>
      </vt:variant>
      <vt:variant>
        <vt:i4>7733302</vt:i4>
      </vt:variant>
      <vt:variant>
        <vt:i4>603</vt:i4>
      </vt:variant>
      <vt:variant>
        <vt:i4>0</vt:i4>
      </vt:variant>
      <vt:variant>
        <vt:i4>5</vt:i4>
      </vt:variant>
      <vt:variant>
        <vt:lpwstr>https://pbac.pbs.gov.au/information/checklists.html</vt:lpwstr>
      </vt:variant>
      <vt:variant>
        <vt:lpwstr/>
      </vt:variant>
      <vt:variant>
        <vt:i4>1048626</vt:i4>
      </vt:variant>
      <vt:variant>
        <vt:i4>470</vt:i4>
      </vt:variant>
      <vt:variant>
        <vt:i4>0</vt:i4>
      </vt:variant>
      <vt:variant>
        <vt:i4>5</vt:i4>
      </vt:variant>
      <vt:variant>
        <vt:lpwstr/>
      </vt:variant>
      <vt:variant>
        <vt:lpwstr>_Toc107927690</vt:lpwstr>
      </vt:variant>
      <vt:variant>
        <vt:i4>1114162</vt:i4>
      </vt:variant>
      <vt:variant>
        <vt:i4>464</vt:i4>
      </vt:variant>
      <vt:variant>
        <vt:i4>0</vt:i4>
      </vt:variant>
      <vt:variant>
        <vt:i4>5</vt:i4>
      </vt:variant>
      <vt:variant>
        <vt:lpwstr/>
      </vt:variant>
      <vt:variant>
        <vt:lpwstr>_Toc107927689</vt:lpwstr>
      </vt:variant>
      <vt:variant>
        <vt:i4>1114162</vt:i4>
      </vt:variant>
      <vt:variant>
        <vt:i4>458</vt:i4>
      </vt:variant>
      <vt:variant>
        <vt:i4>0</vt:i4>
      </vt:variant>
      <vt:variant>
        <vt:i4>5</vt:i4>
      </vt:variant>
      <vt:variant>
        <vt:lpwstr/>
      </vt:variant>
      <vt:variant>
        <vt:lpwstr>_Toc107927688</vt:lpwstr>
      </vt:variant>
      <vt:variant>
        <vt:i4>1114162</vt:i4>
      </vt:variant>
      <vt:variant>
        <vt:i4>452</vt:i4>
      </vt:variant>
      <vt:variant>
        <vt:i4>0</vt:i4>
      </vt:variant>
      <vt:variant>
        <vt:i4>5</vt:i4>
      </vt:variant>
      <vt:variant>
        <vt:lpwstr/>
      </vt:variant>
      <vt:variant>
        <vt:lpwstr>_Toc107927687</vt:lpwstr>
      </vt:variant>
      <vt:variant>
        <vt:i4>1114162</vt:i4>
      </vt:variant>
      <vt:variant>
        <vt:i4>446</vt:i4>
      </vt:variant>
      <vt:variant>
        <vt:i4>0</vt:i4>
      </vt:variant>
      <vt:variant>
        <vt:i4>5</vt:i4>
      </vt:variant>
      <vt:variant>
        <vt:lpwstr/>
      </vt:variant>
      <vt:variant>
        <vt:lpwstr>_Toc107927686</vt:lpwstr>
      </vt:variant>
      <vt:variant>
        <vt:i4>1114162</vt:i4>
      </vt:variant>
      <vt:variant>
        <vt:i4>440</vt:i4>
      </vt:variant>
      <vt:variant>
        <vt:i4>0</vt:i4>
      </vt:variant>
      <vt:variant>
        <vt:i4>5</vt:i4>
      </vt:variant>
      <vt:variant>
        <vt:lpwstr/>
      </vt:variant>
      <vt:variant>
        <vt:lpwstr>_Toc107927685</vt:lpwstr>
      </vt:variant>
      <vt:variant>
        <vt:i4>1114162</vt:i4>
      </vt:variant>
      <vt:variant>
        <vt:i4>434</vt:i4>
      </vt:variant>
      <vt:variant>
        <vt:i4>0</vt:i4>
      </vt:variant>
      <vt:variant>
        <vt:i4>5</vt:i4>
      </vt:variant>
      <vt:variant>
        <vt:lpwstr/>
      </vt:variant>
      <vt:variant>
        <vt:lpwstr>_Toc107927684</vt:lpwstr>
      </vt:variant>
      <vt:variant>
        <vt:i4>1114162</vt:i4>
      </vt:variant>
      <vt:variant>
        <vt:i4>428</vt:i4>
      </vt:variant>
      <vt:variant>
        <vt:i4>0</vt:i4>
      </vt:variant>
      <vt:variant>
        <vt:i4>5</vt:i4>
      </vt:variant>
      <vt:variant>
        <vt:lpwstr/>
      </vt:variant>
      <vt:variant>
        <vt:lpwstr>_Toc107927683</vt:lpwstr>
      </vt:variant>
      <vt:variant>
        <vt:i4>1114162</vt:i4>
      </vt:variant>
      <vt:variant>
        <vt:i4>422</vt:i4>
      </vt:variant>
      <vt:variant>
        <vt:i4>0</vt:i4>
      </vt:variant>
      <vt:variant>
        <vt:i4>5</vt:i4>
      </vt:variant>
      <vt:variant>
        <vt:lpwstr/>
      </vt:variant>
      <vt:variant>
        <vt:lpwstr>_Toc107927682</vt:lpwstr>
      </vt:variant>
      <vt:variant>
        <vt:i4>1114162</vt:i4>
      </vt:variant>
      <vt:variant>
        <vt:i4>416</vt:i4>
      </vt:variant>
      <vt:variant>
        <vt:i4>0</vt:i4>
      </vt:variant>
      <vt:variant>
        <vt:i4>5</vt:i4>
      </vt:variant>
      <vt:variant>
        <vt:lpwstr/>
      </vt:variant>
      <vt:variant>
        <vt:lpwstr>_Toc107927681</vt:lpwstr>
      </vt:variant>
      <vt:variant>
        <vt:i4>1114162</vt:i4>
      </vt:variant>
      <vt:variant>
        <vt:i4>410</vt:i4>
      </vt:variant>
      <vt:variant>
        <vt:i4>0</vt:i4>
      </vt:variant>
      <vt:variant>
        <vt:i4>5</vt:i4>
      </vt:variant>
      <vt:variant>
        <vt:lpwstr/>
      </vt:variant>
      <vt:variant>
        <vt:lpwstr>_Toc107927680</vt:lpwstr>
      </vt:variant>
      <vt:variant>
        <vt:i4>1966130</vt:i4>
      </vt:variant>
      <vt:variant>
        <vt:i4>404</vt:i4>
      </vt:variant>
      <vt:variant>
        <vt:i4>0</vt:i4>
      </vt:variant>
      <vt:variant>
        <vt:i4>5</vt:i4>
      </vt:variant>
      <vt:variant>
        <vt:lpwstr/>
      </vt:variant>
      <vt:variant>
        <vt:lpwstr>_Toc107927679</vt:lpwstr>
      </vt:variant>
      <vt:variant>
        <vt:i4>1966130</vt:i4>
      </vt:variant>
      <vt:variant>
        <vt:i4>398</vt:i4>
      </vt:variant>
      <vt:variant>
        <vt:i4>0</vt:i4>
      </vt:variant>
      <vt:variant>
        <vt:i4>5</vt:i4>
      </vt:variant>
      <vt:variant>
        <vt:lpwstr/>
      </vt:variant>
      <vt:variant>
        <vt:lpwstr>_Toc107927678</vt:lpwstr>
      </vt:variant>
      <vt:variant>
        <vt:i4>1966130</vt:i4>
      </vt:variant>
      <vt:variant>
        <vt:i4>392</vt:i4>
      </vt:variant>
      <vt:variant>
        <vt:i4>0</vt:i4>
      </vt:variant>
      <vt:variant>
        <vt:i4>5</vt:i4>
      </vt:variant>
      <vt:variant>
        <vt:lpwstr/>
      </vt:variant>
      <vt:variant>
        <vt:lpwstr>_Toc107927677</vt:lpwstr>
      </vt:variant>
      <vt:variant>
        <vt:i4>1966130</vt:i4>
      </vt:variant>
      <vt:variant>
        <vt:i4>386</vt:i4>
      </vt:variant>
      <vt:variant>
        <vt:i4>0</vt:i4>
      </vt:variant>
      <vt:variant>
        <vt:i4>5</vt:i4>
      </vt:variant>
      <vt:variant>
        <vt:lpwstr/>
      </vt:variant>
      <vt:variant>
        <vt:lpwstr>_Toc107927676</vt:lpwstr>
      </vt:variant>
      <vt:variant>
        <vt:i4>1966130</vt:i4>
      </vt:variant>
      <vt:variant>
        <vt:i4>380</vt:i4>
      </vt:variant>
      <vt:variant>
        <vt:i4>0</vt:i4>
      </vt:variant>
      <vt:variant>
        <vt:i4>5</vt:i4>
      </vt:variant>
      <vt:variant>
        <vt:lpwstr/>
      </vt:variant>
      <vt:variant>
        <vt:lpwstr>_Toc107927675</vt:lpwstr>
      </vt:variant>
      <vt:variant>
        <vt:i4>1966130</vt:i4>
      </vt:variant>
      <vt:variant>
        <vt:i4>374</vt:i4>
      </vt:variant>
      <vt:variant>
        <vt:i4>0</vt:i4>
      </vt:variant>
      <vt:variant>
        <vt:i4>5</vt:i4>
      </vt:variant>
      <vt:variant>
        <vt:lpwstr/>
      </vt:variant>
      <vt:variant>
        <vt:lpwstr>_Toc107927674</vt:lpwstr>
      </vt:variant>
      <vt:variant>
        <vt:i4>1966130</vt:i4>
      </vt:variant>
      <vt:variant>
        <vt:i4>368</vt:i4>
      </vt:variant>
      <vt:variant>
        <vt:i4>0</vt:i4>
      </vt:variant>
      <vt:variant>
        <vt:i4>5</vt:i4>
      </vt:variant>
      <vt:variant>
        <vt:lpwstr/>
      </vt:variant>
      <vt:variant>
        <vt:lpwstr>_Toc107927673</vt:lpwstr>
      </vt:variant>
      <vt:variant>
        <vt:i4>1966130</vt:i4>
      </vt:variant>
      <vt:variant>
        <vt:i4>362</vt:i4>
      </vt:variant>
      <vt:variant>
        <vt:i4>0</vt:i4>
      </vt:variant>
      <vt:variant>
        <vt:i4>5</vt:i4>
      </vt:variant>
      <vt:variant>
        <vt:lpwstr/>
      </vt:variant>
      <vt:variant>
        <vt:lpwstr>_Toc107927672</vt:lpwstr>
      </vt:variant>
      <vt:variant>
        <vt:i4>1966130</vt:i4>
      </vt:variant>
      <vt:variant>
        <vt:i4>356</vt:i4>
      </vt:variant>
      <vt:variant>
        <vt:i4>0</vt:i4>
      </vt:variant>
      <vt:variant>
        <vt:i4>5</vt:i4>
      </vt:variant>
      <vt:variant>
        <vt:lpwstr/>
      </vt:variant>
      <vt:variant>
        <vt:lpwstr>_Toc107927671</vt:lpwstr>
      </vt:variant>
      <vt:variant>
        <vt:i4>1966130</vt:i4>
      </vt:variant>
      <vt:variant>
        <vt:i4>350</vt:i4>
      </vt:variant>
      <vt:variant>
        <vt:i4>0</vt:i4>
      </vt:variant>
      <vt:variant>
        <vt:i4>5</vt:i4>
      </vt:variant>
      <vt:variant>
        <vt:lpwstr/>
      </vt:variant>
      <vt:variant>
        <vt:lpwstr>_Toc107927670</vt:lpwstr>
      </vt:variant>
      <vt:variant>
        <vt:i4>2031666</vt:i4>
      </vt:variant>
      <vt:variant>
        <vt:i4>344</vt:i4>
      </vt:variant>
      <vt:variant>
        <vt:i4>0</vt:i4>
      </vt:variant>
      <vt:variant>
        <vt:i4>5</vt:i4>
      </vt:variant>
      <vt:variant>
        <vt:lpwstr/>
      </vt:variant>
      <vt:variant>
        <vt:lpwstr>_Toc107927669</vt:lpwstr>
      </vt:variant>
      <vt:variant>
        <vt:i4>2031666</vt:i4>
      </vt:variant>
      <vt:variant>
        <vt:i4>338</vt:i4>
      </vt:variant>
      <vt:variant>
        <vt:i4>0</vt:i4>
      </vt:variant>
      <vt:variant>
        <vt:i4>5</vt:i4>
      </vt:variant>
      <vt:variant>
        <vt:lpwstr/>
      </vt:variant>
      <vt:variant>
        <vt:lpwstr>_Toc107927668</vt:lpwstr>
      </vt:variant>
      <vt:variant>
        <vt:i4>2031666</vt:i4>
      </vt:variant>
      <vt:variant>
        <vt:i4>332</vt:i4>
      </vt:variant>
      <vt:variant>
        <vt:i4>0</vt:i4>
      </vt:variant>
      <vt:variant>
        <vt:i4>5</vt:i4>
      </vt:variant>
      <vt:variant>
        <vt:lpwstr/>
      </vt:variant>
      <vt:variant>
        <vt:lpwstr>_Toc107927667</vt:lpwstr>
      </vt:variant>
      <vt:variant>
        <vt:i4>2031666</vt:i4>
      </vt:variant>
      <vt:variant>
        <vt:i4>326</vt:i4>
      </vt:variant>
      <vt:variant>
        <vt:i4>0</vt:i4>
      </vt:variant>
      <vt:variant>
        <vt:i4>5</vt:i4>
      </vt:variant>
      <vt:variant>
        <vt:lpwstr/>
      </vt:variant>
      <vt:variant>
        <vt:lpwstr>_Toc107927666</vt:lpwstr>
      </vt:variant>
      <vt:variant>
        <vt:i4>2031666</vt:i4>
      </vt:variant>
      <vt:variant>
        <vt:i4>320</vt:i4>
      </vt:variant>
      <vt:variant>
        <vt:i4>0</vt:i4>
      </vt:variant>
      <vt:variant>
        <vt:i4>5</vt:i4>
      </vt:variant>
      <vt:variant>
        <vt:lpwstr/>
      </vt:variant>
      <vt:variant>
        <vt:lpwstr>_Toc107927665</vt:lpwstr>
      </vt:variant>
      <vt:variant>
        <vt:i4>2031666</vt:i4>
      </vt:variant>
      <vt:variant>
        <vt:i4>314</vt:i4>
      </vt:variant>
      <vt:variant>
        <vt:i4>0</vt:i4>
      </vt:variant>
      <vt:variant>
        <vt:i4>5</vt:i4>
      </vt:variant>
      <vt:variant>
        <vt:lpwstr/>
      </vt:variant>
      <vt:variant>
        <vt:lpwstr>_Toc107927664</vt:lpwstr>
      </vt:variant>
      <vt:variant>
        <vt:i4>2031666</vt:i4>
      </vt:variant>
      <vt:variant>
        <vt:i4>308</vt:i4>
      </vt:variant>
      <vt:variant>
        <vt:i4>0</vt:i4>
      </vt:variant>
      <vt:variant>
        <vt:i4>5</vt:i4>
      </vt:variant>
      <vt:variant>
        <vt:lpwstr/>
      </vt:variant>
      <vt:variant>
        <vt:lpwstr>_Toc107927663</vt:lpwstr>
      </vt:variant>
      <vt:variant>
        <vt:i4>2031666</vt:i4>
      </vt:variant>
      <vt:variant>
        <vt:i4>302</vt:i4>
      </vt:variant>
      <vt:variant>
        <vt:i4>0</vt:i4>
      </vt:variant>
      <vt:variant>
        <vt:i4>5</vt:i4>
      </vt:variant>
      <vt:variant>
        <vt:lpwstr/>
      </vt:variant>
      <vt:variant>
        <vt:lpwstr>_Toc107927662</vt:lpwstr>
      </vt:variant>
      <vt:variant>
        <vt:i4>2031666</vt:i4>
      </vt:variant>
      <vt:variant>
        <vt:i4>296</vt:i4>
      </vt:variant>
      <vt:variant>
        <vt:i4>0</vt:i4>
      </vt:variant>
      <vt:variant>
        <vt:i4>5</vt:i4>
      </vt:variant>
      <vt:variant>
        <vt:lpwstr/>
      </vt:variant>
      <vt:variant>
        <vt:lpwstr>_Toc107927661</vt:lpwstr>
      </vt:variant>
      <vt:variant>
        <vt:i4>2031666</vt:i4>
      </vt:variant>
      <vt:variant>
        <vt:i4>290</vt:i4>
      </vt:variant>
      <vt:variant>
        <vt:i4>0</vt:i4>
      </vt:variant>
      <vt:variant>
        <vt:i4>5</vt:i4>
      </vt:variant>
      <vt:variant>
        <vt:lpwstr/>
      </vt:variant>
      <vt:variant>
        <vt:lpwstr>_Toc107927660</vt:lpwstr>
      </vt:variant>
      <vt:variant>
        <vt:i4>1835058</vt:i4>
      </vt:variant>
      <vt:variant>
        <vt:i4>284</vt:i4>
      </vt:variant>
      <vt:variant>
        <vt:i4>0</vt:i4>
      </vt:variant>
      <vt:variant>
        <vt:i4>5</vt:i4>
      </vt:variant>
      <vt:variant>
        <vt:lpwstr/>
      </vt:variant>
      <vt:variant>
        <vt:lpwstr>_Toc107927659</vt:lpwstr>
      </vt:variant>
      <vt:variant>
        <vt:i4>1835058</vt:i4>
      </vt:variant>
      <vt:variant>
        <vt:i4>278</vt:i4>
      </vt:variant>
      <vt:variant>
        <vt:i4>0</vt:i4>
      </vt:variant>
      <vt:variant>
        <vt:i4>5</vt:i4>
      </vt:variant>
      <vt:variant>
        <vt:lpwstr/>
      </vt:variant>
      <vt:variant>
        <vt:lpwstr>_Toc107927658</vt:lpwstr>
      </vt:variant>
      <vt:variant>
        <vt:i4>1835058</vt:i4>
      </vt:variant>
      <vt:variant>
        <vt:i4>272</vt:i4>
      </vt:variant>
      <vt:variant>
        <vt:i4>0</vt:i4>
      </vt:variant>
      <vt:variant>
        <vt:i4>5</vt:i4>
      </vt:variant>
      <vt:variant>
        <vt:lpwstr/>
      </vt:variant>
      <vt:variant>
        <vt:lpwstr>_Toc107927657</vt:lpwstr>
      </vt:variant>
      <vt:variant>
        <vt:i4>1835058</vt:i4>
      </vt:variant>
      <vt:variant>
        <vt:i4>266</vt:i4>
      </vt:variant>
      <vt:variant>
        <vt:i4>0</vt:i4>
      </vt:variant>
      <vt:variant>
        <vt:i4>5</vt:i4>
      </vt:variant>
      <vt:variant>
        <vt:lpwstr/>
      </vt:variant>
      <vt:variant>
        <vt:lpwstr>_Toc107927656</vt:lpwstr>
      </vt:variant>
      <vt:variant>
        <vt:i4>1835058</vt:i4>
      </vt:variant>
      <vt:variant>
        <vt:i4>260</vt:i4>
      </vt:variant>
      <vt:variant>
        <vt:i4>0</vt:i4>
      </vt:variant>
      <vt:variant>
        <vt:i4>5</vt:i4>
      </vt:variant>
      <vt:variant>
        <vt:lpwstr/>
      </vt:variant>
      <vt:variant>
        <vt:lpwstr>_Toc107927655</vt:lpwstr>
      </vt:variant>
      <vt:variant>
        <vt:i4>1835058</vt:i4>
      </vt:variant>
      <vt:variant>
        <vt:i4>254</vt:i4>
      </vt:variant>
      <vt:variant>
        <vt:i4>0</vt:i4>
      </vt:variant>
      <vt:variant>
        <vt:i4>5</vt:i4>
      </vt:variant>
      <vt:variant>
        <vt:lpwstr/>
      </vt:variant>
      <vt:variant>
        <vt:lpwstr>_Toc107927654</vt:lpwstr>
      </vt:variant>
      <vt:variant>
        <vt:i4>1835058</vt:i4>
      </vt:variant>
      <vt:variant>
        <vt:i4>248</vt:i4>
      </vt:variant>
      <vt:variant>
        <vt:i4>0</vt:i4>
      </vt:variant>
      <vt:variant>
        <vt:i4>5</vt:i4>
      </vt:variant>
      <vt:variant>
        <vt:lpwstr/>
      </vt:variant>
      <vt:variant>
        <vt:lpwstr>_Toc107927653</vt:lpwstr>
      </vt:variant>
      <vt:variant>
        <vt:i4>1835058</vt:i4>
      </vt:variant>
      <vt:variant>
        <vt:i4>242</vt:i4>
      </vt:variant>
      <vt:variant>
        <vt:i4>0</vt:i4>
      </vt:variant>
      <vt:variant>
        <vt:i4>5</vt:i4>
      </vt:variant>
      <vt:variant>
        <vt:lpwstr/>
      </vt:variant>
      <vt:variant>
        <vt:lpwstr>_Toc107927652</vt:lpwstr>
      </vt:variant>
      <vt:variant>
        <vt:i4>1835058</vt:i4>
      </vt:variant>
      <vt:variant>
        <vt:i4>236</vt:i4>
      </vt:variant>
      <vt:variant>
        <vt:i4>0</vt:i4>
      </vt:variant>
      <vt:variant>
        <vt:i4>5</vt:i4>
      </vt:variant>
      <vt:variant>
        <vt:lpwstr/>
      </vt:variant>
      <vt:variant>
        <vt:lpwstr>_Toc107927651</vt:lpwstr>
      </vt:variant>
      <vt:variant>
        <vt:i4>1835058</vt:i4>
      </vt:variant>
      <vt:variant>
        <vt:i4>230</vt:i4>
      </vt:variant>
      <vt:variant>
        <vt:i4>0</vt:i4>
      </vt:variant>
      <vt:variant>
        <vt:i4>5</vt:i4>
      </vt:variant>
      <vt:variant>
        <vt:lpwstr/>
      </vt:variant>
      <vt:variant>
        <vt:lpwstr>_Toc107927650</vt:lpwstr>
      </vt:variant>
      <vt:variant>
        <vt:i4>1900594</vt:i4>
      </vt:variant>
      <vt:variant>
        <vt:i4>224</vt:i4>
      </vt:variant>
      <vt:variant>
        <vt:i4>0</vt:i4>
      </vt:variant>
      <vt:variant>
        <vt:i4>5</vt:i4>
      </vt:variant>
      <vt:variant>
        <vt:lpwstr/>
      </vt:variant>
      <vt:variant>
        <vt:lpwstr>_Toc107927649</vt:lpwstr>
      </vt:variant>
      <vt:variant>
        <vt:i4>1900594</vt:i4>
      </vt:variant>
      <vt:variant>
        <vt:i4>218</vt:i4>
      </vt:variant>
      <vt:variant>
        <vt:i4>0</vt:i4>
      </vt:variant>
      <vt:variant>
        <vt:i4>5</vt:i4>
      </vt:variant>
      <vt:variant>
        <vt:lpwstr/>
      </vt:variant>
      <vt:variant>
        <vt:lpwstr>_Toc107927648</vt:lpwstr>
      </vt:variant>
      <vt:variant>
        <vt:i4>1900594</vt:i4>
      </vt:variant>
      <vt:variant>
        <vt:i4>212</vt:i4>
      </vt:variant>
      <vt:variant>
        <vt:i4>0</vt:i4>
      </vt:variant>
      <vt:variant>
        <vt:i4>5</vt:i4>
      </vt:variant>
      <vt:variant>
        <vt:lpwstr/>
      </vt:variant>
      <vt:variant>
        <vt:lpwstr>_Toc107927647</vt:lpwstr>
      </vt:variant>
      <vt:variant>
        <vt:i4>1900594</vt:i4>
      </vt:variant>
      <vt:variant>
        <vt:i4>206</vt:i4>
      </vt:variant>
      <vt:variant>
        <vt:i4>0</vt:i4>
      </vt:variant>
      <vt:variant>
        <vt:i4>5</vt:i4>
      </vt:variant>
      <vt:variant>
        <vt:lpwstr/>
      </vt:variant>
      <vt:variant>
        <vt:lpwstr>_Toc107927646</vt:lpwstr>
      </vt:variant>
      <vt:variant>
        <vt:i4>1900594</vt:i4>
      </vt:variant>
      <vt:variant>
        <vt:i4>200</vt:i4>
      </vt:variant>
      <vt:variant>
        <vt:i4>0</vt:i4>
      </vt:variant>
      <vt:variant>
        <vt:i4>5</vt:i4>
      </vt:variant>
      <vt:variant>
        <vt:lpwstr/>
      </vt:variant>
      <vt:variant>
        <vt:lpwstr>_Toc107927645</vt:lpwstr>
      </vt:variant>
      <vt:variant>
        <vt:i4>1900594</vt:i4>
      </vt:variant>
      <vt:variant>
        <vt:i4>194</vt:i4>
      </vt:variant>
      <vt:variant>
        <vt:i4>0</vt:i4>
      </vt:variant>
      <vt:variant>
        <vt:i4>5</vt:i4>
      </vt:variant>
      <vt:variant>
        <vt:lpwstr/>
      </vt:variant>
      <vt:variant>
        <vt:lpwstr>_Toc107927644</vt:lpwstr>
      </vt:variant>
      <vt:variant>
        <vt:i4>1900594</vt:i4>
      </vt:variant>
      <vt:variant>
        <vt:i4>188</vt:i4>
      </vt:variant>
      <vt:variant>
        <vt:i4>0</vt:i4>
      </vt:variant>
      <vt:variant>
        <vt:i4>5</vt:i4>
      </vt:variant>
      <vt:variant>
        <vt:lpwstr/>
      </vt:variant>
      <vt:variant>
        <vt:lpwstr>_Toc107927643</vt:lpwstr>
      </vt:variant>
      <vt:variant>
        <vt:i4>1900594</vt:i4>
      </vt:variant>
      <vt:variant>
        <vt:i4>182</vt:i4>
      </vt:variant>
      <vt:variant>
        <vt:i4>0</vt:i4>
      </vt:variant>
      <vt:variant>
        <vt:i4>5</vt:i4>
      </vt:variant>
      <vt:variant>
        <vt:lpwstr/>
      </vt:variant>
      <vt:variant>
        <vt:lpwstr>_Toc107927642</vt:lpwstr>
      </vt:variant>
      <vt:variant>
        <vt:i4>1900594</vt:i4>
      </vt:variant>
      <vt:variant>
        <vt:i4>176</vt:i4>
      </vt:variant>
      <vt:variant>
        <vt:i4>0</vt:i4>
      </vt:variant>
      <vt:variant>
        <vt:i4>5</vt:i4>
      </vt:variant>
      <vt:variant>
        <vt:lpwstr/>
      </vt:variant>
      <vt:variant>
        <vt:lpwstr>_Toc107927641</vt:lpwstr>
      </vt:variant>
      <vt:variant>
        <vt:i4>1900594</vt:i4>
      </vt:variant>
      <vt:variant>
        <vt:i4>170</vt:i4>
      </vt:variant>
      <vt:variant>
        <vt:i4>0</vt:i4>
      </vt:variant>
      <vt:variant>
        <vt:i4>5</vt:i4>
      </vt:variant>
      <vt:variant>
        <vt:lpwstr/>
      </vt:variant>
      <vt:variant>
        <vt:lpwstr>_Toc107927640</vt:lpwstr>
      </vt:variant>
      <vt:variant>
        <vt:i4>1703986</vt:i4>
      </vt:variant>
      <vt:variant>
        <vt:i4>164</vt:i4>
      </vt:variant>
      <vt:variant>
        <vt:i4>0</vt:i4>
      </vt:variant>
      <vt:variant>
        <vt:i4>5</vt:i4>
      </vt:variant>
      <vt:variant>
        <vt:lpwstr/>
      </vt:variant>
      <vt:variant>
        <vt:lpwstr>_Toc107927639</vt:lpwstr>
      </vt:variant>
      <vt:variant>
        <vt:i4>1703986</vt:i4>
      </vt:variant>
      <vt:variant>
        <vt:i4>158</vt:i4>
      </vt:variant>
      <vt:variant>
        <vt:i4>0</vt:i4>
      </vt:variant>
      <vt:variant>
        <vt:i4>5</vt:i4>
      </vt:variant>
      <vt:variant>
        <vt:lpwstr/>
      </vt:variant>
      <vt:variant>
        <vt:lpwstr>_Toc107927638</vt:lpwstr>
      </vt:variant>
      <vt:variant>
        <vt:i4>1703986</vt:i4>
      </vt:variant>
      <vt:variant>
        <vt:i4>152</vt:i4>
      </vt:variant>
      <vt:variant>
        <vt:i4>0</vt:i4>
      </vt:variant>
      <vt:variant>
        <vt:i4>5</vt:i4>
      </vt:variant>
      <vt:variant>
        <vt:lpwstr/>
      </vt:variant>
      <vt:variant>
        <vt:lpwstr>_Toc107927637</vt:lpwstr>
      </vt:variant>
      <vt:variant>
        <vt:i4>1703986</vt:i4>
      </vt:variant>
      <vt:variant>
        <vt:i4>146</vt:i4>
      </vt:variant>
      <vt:variant>
        <vt:i4>0</vt:i4>
      </vt:variant>
      <vt:variant>
        <vt:i4>5</vt:i4>
      </vt:variant>
      <vt:variant>
        <vt:lpwstr/>
      </vt:variant>
      <vt:variant>
        <vt:lpwstr>_Toc107927636</vt:lpwstr>
      </vt:variant>
      <vt:variant>
        <vt:i4>1703986</vt:i4>
      </vt:variant>
      <vt:variant>
        <vt:i4>140</vt:i4>
      </vt:variant>
      <vt:variant>
        <vt:i4>0</vt:i4>
      </vt:variant>
      <vt:variant>
        <vt:i4>5</vt:i4>
      </vt:variant>
      <vt:variant>
        <vt:lpwstr/>
      </vt:variant>
      <vt:variant>
        <vt:lpwstr>_Toc107927635</vt:lpwstr>
      </vt:variant>
      <vt:variant>
        <vt:i4>1703986</vt:i4>
      </vt:variant>
      <vt:variant>
        <vt:i4>134</vt:i4>
      </vt:variant>
      <vt:variant>
        <vt:i4>0</vt:i4>
      </vt:variant>
      <vt:variant>
        <vt:i4>5</vt:i4>
      </vt:variant>
      <vt:variant>
        <vt:lpwstr/>
      </vt:variant>
      <vt:variant>
        <vt:lpwstr>_Toc107927634</vt:lpwstr>
      </vt:variant>
      <vt:variant>
        <vt:i4>1703986</vt:i4>
      </vt:variant>
      <vt:variant>
        <vt:i4>128</vt:i4>
      </vt:variant>
      <vt:variant>
        <vt:i4>0</vt:i4>
      </vt:variant>
      <vt:variant>
        <vt:i4>5</vt:i4>
      </vt:variant>
      <vt:variant>
        <vt:lpwstr/>
      </vt:variant>
      <vt:variant>
        <vt:lpwstr>_Toc107927633</vt:lpwstr>
      </vt:variant>
      <vt:variant>
        <vt:i4>1703986</vt:i4>
      </vt:variant>
      <vt:variant>
        <vt:i4>122</vt:i4>
      </vt:variant>
      <vt:variant>
        <vt:i4>0</vt:i4>
      </vt:variant>
      <vt:variant>
        <vt:i4>5</vt:i4>
      </vt:variant>
      <vt:variant>
        <vt:lpwstr/>
      </vt:variant>
      <vt:variant>
        <vt:lpwstr>_Toc107927632</vt:lpwstr>
      </vt:variant>
      <vt:variant>
        <vt:i4>1703986</vt:i4>
      </vt:variant>
      <vt:variant>
        <vt:i4>116</vt:i4>
      </vt:variant>
      <vt:variant>
        <vt:i4>0</vt:i4>
      </vt:variant>
      <vt:variant>
        <vt:i4>5</vt:i4>
      </vt:variant>
      <vt:variant>
        <vt:lpwstr/>
      </vt:variant>
      <vt:variant>
        <vt:lpwstr>_Toc107927631</vt:lpwstr>
      </vt:variant>
      <vt:variant>
        <vt:i4>1703986</vt:i4>
      </vt:variant>
      <vt:variant>
        <vt:i4>110</vt:i4>
      </vt:variant>
      <vt:variant>
        <vt:i4>0</vt:i4>
      </vt:variant>
      <vt:variant>
        <vt:i4>5</vt:i4>
      </vt:variant>
      <vt:variant>
        <vt:lpwstr/>
      </vt:variant>
      <vt:variant>
        <vt:lpwstr>_Toc107927630</vt:lpwstr>
      </vt:variant>
      <vt:variant>
        <vt:i4>1769522</vt:i4>
      </vt:variant>
      <vt:variant>
        <vt:i4>104</vt:i4>
      </vt:variant>
      <vt:variant>
        <vt:i4>0</vt:i4>
      </vt:variant>
      <vt:variant>
        <vt:i4>5</vt:i4>
      </vt:variant>
      <vt:variant>
        <vt:lpwstr/>
      </vt:variant>
      <vt:variant>
        <vt:lpwstr>_Toc107927629</vt:lpwstr>
      </vt:variant>
      <vt:variant>
        <vt:i4>1769522</vt:i4>
      </vt:variant>
      <vt:variant>
        <vt:i4>98</vt:i4>
      </vt:variant>
      <vt:variant>
        <vt:i4>0</vt:i4>
      </vt:variant>
      <vt:variant>
        <vt:i4>5</vt:i4>
      </vt:variant>
      <vt:variant>
        <vt:lpwstr/>
      </vt:variant>
      <vt:variant>
        <vt:lpwstr>_Toc107927628</vt:lpwstr>
      </vt:variant>
      <vt:variant>
        <vt:i4>1769522</vt:i4>
      </vt:variant>
      <vt:variant>
        <vt:i4>92</vt:i4>
      </vt:variant>
      <vt:variant>
        <vt:i4>0</vt:i4>
      </vt:variant>
      <vt:variant>
        <vt:i4>5</vt:i4>
      </vt:variant>
      <vt:variant>
        <vt:lpwstr/>
      </vt:variant>
      <vt:variant>
        <vt:lpwstr>_Toc107927627</vt:lpwstr>
      </vt:variant>
      <vt:variant>
        <vt:i4>1769522</vt:i4>
      </vt:variant>
      <vt:variant>
        <vt:i4>86</vt:i4>
      </vt:variant>
      <vt:variant>
        <vt:i4>0</vt:i4>
      </vt:variant>
      <vt:variant>
        <vt:i4>5</vt:i4>
      </vt:variant>
      <vt:variant>
        <vt:lpwstr/>
      </vt:variant>
      <vt:variant>
        <vt:lpwstr>_Toc107927626</vt:lpwstr>
      </vt:variant>
      <vt:variant>
        <vt:i4>1769522</vt:i4>
      </vt:variant>
      <vt:variant>
        <vt:i4>80</vt:i4>
      </vt:variant>
      <vt:variant>
        <vt:i4>0</vt:i4>
      </vt:variant>
      <vt:variant>
        <vt:i4>5</vt:i4>
      </vt:variant>
      <vt:variant>
        <vt:lpwstr/>
      </vt:variant>
      <vt:variant>
        <vt:lpwstr>_Toc107927625</vt:lpwstr>
      </vt:variant>
      <vt:variant>
        <vt:i4>1769522</vt:i4>
      </vt:variant>
      <vt:variant>
        <vt:i4>74</vt:i4>
      </vt:variant>
      <vt:variant>
        <vt:i4>0</vt:i4>
      </vt:variant>
      <vt:variant>
        <vt:i4>5</vt:i4>
      </vt:variant>
      <vt:variant>
        <vt:lpwstr/>
      </vt:variant>
      <vt:variant>
        <vt:lpwstr>_Toc107927624</vt:lpwstr>
      </vt:variant>
      <vt:variant>
        <vt:i4>1769522</vt:i4>
      </vt:variant>
      <vt:variant>
        <vt:i4>68</vt:i4>
      </vt:variant>
      <vt:variant>
        <vt:i4>0</vt:i4>
      </vt:variant>
      <vt:variant>
        <vt:i4>5</vt:i4>
      </vt:variant>
      <vt:variant>
        <vt:lpwstr/>
      </vt:variant>
      <vt:variant>
        <vt:lpwstr>_Toc107927623</vt:lpwstr>
      </vt:variant>
      <vt:variant>
        <vt:i4>1769522</vt:i4>
      </vt:variant>
      <vt:variant>
        <vt:i4>62</vt:i4>
      </vt:variant>
      <vt:variant>
        <vt:i4>0</vt:i4>
      </vt:variant>
      <vt:variant>
        <vt:i4>5</vt:i4>
      </vt:variant>
      <vt:variant>
        <vt:lpwstr/>
      </vt:variant>
      <vt:variant>
        <vt:lpwstr>_Toc107927622</vt:lpwstr>
      </vt:variant>
      <vt:variant>
        <vt:i4>1769522</vt:i4>
      </vt:variant>
      <vt:variant>
        <vt:i4>56</vt:i4>
      </vt:variant>
      <vt:variant>
        <vt:i4>0</vt:i4>
      </vt:variant>
      <vt:variant>
        <vt:i4>5</vt:i4>
      </vt:variant>
      <vt:variant>
        <vt:lpwstr/>
      </vt:variant>
      <vt:variant>
        <vt:lpwstr>_Toc107927621</vt:lpwstr>
      </vt:variant>
      <vt:variant>
        <vt:i4>1769522</vt:i4>
      </vt:variant>
      <vt:variant>
        <vt:i4>50</vt:i4>
      </vt:variant>
      <vt:variant>
        <vt:i4>0</vt:i4>
      </vt:variant>
      <vt:variant>
        <vt:i4>5</vt:i4>
      </vt:variant>
      <vt:variant>
        <vt:lpwstr/>
      </vt:variant>
      <vt:variant>
        <vt:lpwstr>_Toc107927620</vt:lpwstr>
      </vt:variant>
      <vt:variant>
        <vt:i4>1572914</vt:i4>
      </vt:variant>
      <vt:variant>
        <vt:i4>44</vt:i4>
      </vt:variant>
      <vt:variant>
        <vt:i4>0</vt:i4>
      </vt:variant>
      <vt:variant>
        <vt:i4>5</vt:i4>
      </vt:variant>
      <vt:variant>
        <vt:lpwstr/>
      </vt:variant>
      <vt:variant>
        <vt:lpwstr>_Toc107927619</vt:lpwstr>
      </vt:variant>
      <vt:variant>
        <vt:i4>1572914</vt:i4>
      </vt:variant>
      <vt:variant>
        <vt:i4>38</vt:i4>
      </vt:variant>
      <vt:variant>
        <vt:i4>0</vt:i4>
      </vt:variant>
      <vt:variant>
        <vt:i4>5</vt:i4>
      </vt:variant>
      <vt:variant>
        <vt:lpwstr/>
      </vt:variant>
      <vt:variant>
        <vt:lpwstr>_Toc107927618</vt:lpwstr>
      </vt:variant>
      <vt:variant>
        <vt:i4>1572914</vt:i4>
      </vt:variant>
      <vt:variant>
        <vt:i4>32</vt:i4>
      </vt:variant>
      <vt:variant>
        <vt:i4>0</vt:i4>
      </vt:variant>
      <vt:variant>
        <vt:i4>5</vt:i4>
      </vt:variant>
      <vt:variant>
        <vt:lpwstr/>
      </vt:variant>
      <vt:variant>
        <vt:lpwstr>_Toc107927617</vt:lpwstr>
      </vt:variant>
      <vt:variant>
        <vt:i4>1572914</vt:i4>
      </vt:variant>
      <vt:variant>
        <vt:i4>26</vt:i4>
      </vt:variant>
      <vt:variant>
        <vt:i4>0</vt:i4>
      </vt:variant>
      <vt:variant>
        <vt:i4>5</vt:i4>
      </vt:variant>
      <vt:variant>
        <vt:lpwstr/>
      </vt:variant>
      <vt:variant>
        <vt:lpwstr>_Toc107927616</vt:lpwstr>
      </vt:variant>
      <vt:variant>
        <vt:i4>1572914</vt:i4>
      </vt:variant>
      <vt:variant>
        <vt:i4>20</vt:i4>
      </vt:variant>
      <vt:variant>
        <vt:i4>0</vt:i4>
      </vt:variant>
      <vt:variant>
        <vt:i4>5</vt:i4>
      </vt:variant>
      <vt:variant>
        <vt:lpwstr/>
      </vt:variant>
      <vt:variant>
        <vt:lpwstr>_Toc107927615</vt:lpwstr>
      </vt:variant>
      <vt:variant>
        <vt:i4>1572914</vt:i4>
      </vt:variant>
      <vt:variant>
        <vt:i4>14</vt:i4>
      </vt:variant>
      <vt:variant>
        <vt:i4>0</vt:i4>
      </vt:variant>
      <vt:variant>
        <vt:i4>5</vt:i4>
      </vt:variant>
      <vt:variant>
        <vt:lpwstr/>
      </vt:variant>
      <vt:variant>
        <vt:lpwstr>_Toc107927614</vt:lpwstr>
      </vt:variant>
      <vt:variant>
        <vt:i4>1572914</vt:i4>
      </vt:variant>
      <vt:variant>
        <vt:i4>8</vt:i4>
      </vt:variant>
      <vt:variant>
        <vt:i4>0</vt:i4>
      </vt:variant>
      <vt:variant>
        <vt:i4>5</vt:i4>
      </vt:variant>
      <vt:variant>
        <vt:lpwstr/>
      </vt:variant>
      <vt:variant>
        <vt:lpwstr>_Toc107927613</vt:lpwstr>
      </vt:variant>
      <vt:variant>
        <vt:i4>1572914</vt:i4>
      </vt:variant>
      <vt:variant>
        <vt:i4>2</vt:i4>
      </vt:variant>
      <vt:variant>
        <vt:i4>0</vt:i4>
      </vt:variant>
      <vt:variant>
        <vt:i4>5</vt:i4>
      </vt:variant>
      <vt:variant>
        <vt:lpwstr/>
      </vt:variant>
      <vt:variant>
        <vt:lpwstr>_Toc107927612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2023-06-21T02:54:00Z</dcterms:created>
  <dcterms:modified xsi:type="dcterms:W3CDTF">2023-06-21T02:55:00Z</dcterms:modified>
</cp:coreProperties>
</file>