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8E1A" w14:textId="37B43A36" w:rsidR="007D4D11" w:rsidRPr="004A6040" w:rsidRDefault="007D4D11" w:rsidP="007D4D11">
      <w:pPr>
        <w:pStyle w:val="1-MainHeading"/>
      </w:pPr>
      <w:bookmarkStart w:id="0" w:name="_Toc114061387"/>
      <w:r>
        <w:t>5.07</w:t>
      </w:r>
      <w:r>
        <w:tab/>
      </w:r>
      <w:r w:rsidRPr="00BF2CD5">
        <w:t>PNEUMOCOCCAL POLYSACCHARIDE CONJUGATE VACCINE, 20-VALENT ADSORBED</w:t>
      </w:r>
      <w:r>
        <w:t>,</w:t>
      </w:r>
      <w:r>
        <w:br/>
        <w:t>0.5 mL pre-filled syringe,</w:t>
      </w:r>
      <w:r>
        <w:br/>
      </w:r>
      <w:r w:rsidRPr="00BF2CD5">
        <w:t>Prevenar 20</w:t>
      </w:r>
      <w:r w:rsidRPr="004A6040">
        <w:rPr>
          <w:vertAlign w:val="superscript"/>
        </w:rPr>
        <w:t>®</w:t>
      </w:r>
      <w:r w:rsidRPr="004A6040">
        <w:t>,</w:t>
      </w:r>
      <w:r w:rsidR="009A4113">
        <w:t xml:space="preserve"> </w:t>
      </w:r>
      <w:r w:rsidRPr="004A6040">
        <w:br/>
      </w:r>
      <w:r>
        <w:t>Pfizer Australia Pty Ltd</w:t>
      </w:r>
      <w:r w:rsidRPr="004A6040">
        <w:t>.</w:t>
      </w:r>
      <w:bookmarkEnd w:id="0"/>
      <w:r>
        <w:t xml:space="preserve"> </w:t>
      </w:r>
    </w:p>
    <w:p w14:paraId="1C1D1915" w14:textId="77777777" w:rsidR="007D4D11" w:rsidRPr="00CD5C51" w:rsidRDefault="007D4D11" w:rsidP="00AA77E6">
      <w:pPr>
        <w:pStyle w:val="2-SectionHeading"/>
        <w:numPr>
          <w:ilvl w:val="0"/>
          <w:numId w:val="15"/>
        </w:numPr>
        <w:spacing w:after="120"/>
        <w:jc w:val="left"/>
        <w:outlineLvl w:val="0"/>
        <w:rPr>
          <w:rFonts w:asciiTheme="minorHAnsi" w:hAnsiTheme="minorHAnsi"/>
          <w:bCs w:val="0"/>
          <w:snapToGrid w:val="0"/>
        </w:rPr>
      </w:pPr>
      <w:bookmarkStart w:id="1" w:name="_Toc114061389"/>
      <w:bookmarkStart w:id="2" w:name="_Hlk112656714"/>
      <w:r w:rsidRPr="00CD5C51">
        <w:rPr>
          <w:rFonts w:asciiTheme="minorHAnsi" w:hAnsiTheme="minorHAnsi"/>
          <w:bCs w:val="0"/>
          <w:snapToGrid w:val="0"/>
        </w:rPr>
        <w:t>Purpose of submission</w:t>
      </w:r>
      <w:bookmarkEnd w:id="1"/>
    </w:p>
    <w:p w14:paraId="76E456A4" w14:textId="784B20D0" w:rsidR="00793F8B" w:rsidRPr="00800FAC" w:rsidRDefault="00793F8B" w:rsidP="00AE65AF">
      <w:pPr>
        <w:pStyle w:val="3-BodyText"/>
      </w:pPr>
      <w:r w:rsidRPr="00C07A17">
        <w:t xml:space="preserve">The Category 2 submission requested a National Immunisation Program </w:t>
      </w:r>
      <w:r w:rsidR="009A477A">
        <w:t xml:space="preserve">(NIP) </w:t>
      </w:r>
      <w:r w:rsidRPr="00C07A17">
        <w:t>listing for</w:t>
      </w:r>
      <w:r w:rsidR="009A477A">
        <w:t xml:space="preserve"> 20-valent pneumococcal conjugate vaccine (20vPCV) for</w:t>
      </w:r>
      <w:r w:rsidRPr="00C07A17">
        <w:t xml:space="preserve"> the prevention of pneumococcal disease</w:t>
      </w:r>
      <w:r w:rsidR="009A477A">
        <w:t xml:space="preserve"> in individuals with an at-risk</w:t>
      </w:r>
      <w:r w:rsidR="00453227">
        <w:t xml:space="preserve"> </w:t>
      </w:r>
      <w:r w:rsidR="009A477A">
        <w:t>condition (</w:t>
      </w:r>
      <w:r w:rsidR="38ADD4D0">
        <w:t>≥</w:t>
      </w:r>
      <w:r w:rsidR="00822E03">
        <w:t xml:space="preserve"> </w:t>
      </w:r>
      <w:r w:rsidR="009A477A">
        <w:t>18 years), non-Indigenous adults aged ≥</w:t>
      </w:r>
      <w:r w:rsidR="00800FAC">
        <w:t xml:space="preserve"> </w:t>
      </w:r>
      <w:r w:rsidR="009A477A">
        <w:t>70 years</w:t>
      </w:r>
      <w:r w:rsidR="00DF49D4">
        <w:t xml:space="preserve"> and</w:t>
      </w:r>
      <w:r w:rsidR="00800FAC">
        <w:t xml:space="preserve"> </w:t>
      </w:r>
      <w:r w:rsidR="009A477A">
        <w:t>Aboriginal and Torres Strait Islander adults aged ≥</w:t>
      </w:r>
      <w:r w:rsidR="00800FAC">
        <w:t xml:space="preserve"> </w:t>
      </w:r>
      <w:r w:rsidR="009A477A">
        <w:t>25 years</w:t>
      </w:r>
      <w:r w:rsidR="00800FAC">
        <w:t xml:space="preserve">. </w:t>
      </w:r>
      <w:r w:rsidR="009A477A" w:rsidRPr="004E375B">
        <w:rPr>
          <w:iCs/>
        </w:rPr>
        <w:t xml:space="preserve">This is the first submission of 20vPCV for the proposed vaccination populations. </w:t>
      </w:r>
      <w:r w:rsidRPr="00C07A17">
        <w:t xml:space="preserve"> </w:t>
      </w:r>
    </w:p>
    <w:p w14:paraId="30DCC6D8" w14:textId="54E2EA73" w:rsidR="00793F8B" w:rsidRPr="00036C51" w:rsidRDefault="00DC0A9D" w:rsidP="003776D7">
      <w:pPr>
        <w:pStyle w:val="3-BodyText"/>
        <w:rPr>
          <w:color w:val="0066FF"/>
        </w:rPr>
      </w:pPr>
      <w:r>
        <w:t>For the current NIP populations l</w:t>
      </w:r>
      <w:r w:rsidR="00793F8B" w:rsidRPr="00C07A17">
        <w:t xml:space="preserve">isting was requested </w:t>
      </w:r>
      <w:proofErr w:type="gramStart"/>
      <w:r w:rsidR="00793F8B" w:rsidRPr="00C07A17">
        <w:t>on the basis of</w:t>
      </w:r>
      <w:proofErr w:type="gramEnd"/>
      <w:r w:rsidR="00793F8B" w:rsidRPr="00C07A17">
        <w:t xml:space="preserve"> a cost-effectiveness </w:t>
      </w:r>
      <w:r w:rsidR="00800FAC">
        <w:t>analysis</w:t>
      </w:r>
      <w:r w:rsidR="00800FAC" w:rsidRPr="00C07A17">
        <w:t xml:space="preserve"> </w:t>
      </w:r>
      <w:r w:rsidR="00793F8B" w:rsidRPr="00C07A17">
        <w:t>versus the currently listed 13-valent pneumococcal conjugate vaccine (13vPCV) and the near market 15-valent pneumococcal conjugate vaccine (15vPCV). For the proposed expanded population</w:t>
      </w:r>
      <w:r w:rsidR="00A7497E">
        <w:t xml:space="preserve">, Aboriginal and Torres Strait Islander adults aged </w:t>
      </w:r>
      <w:r w:rsidR="008501FB">
        <w:t>25-49</w:t>
      </w:r>
      <w:r w:rsidR="00A7497E">
        <w:t xml:space="preserve"> years</w:t>
      </w:r>
      <w:r w:rsidR="00793F8B" w:rsidRPr="00C07A17">
        <w:t xml:space="preserve">, a cost-effectiveness </w:t>
      </w:r>
      <w:r w:rsidR="009E36B6">
        <w:t>analysis</w:t>
      </w:r>
      <w:r w:rsidR="009E36B6" w:rsidRPr="00C07A17">
        <w:t xml:space="preserve"> </w:t>
      </w:r>
      <w:r w:rsidR="00793F8B" w:rsidRPr="00C07A17">
        <w:t xml:space="preserve">was </w:t>
      </w:r>
      <w:r w:rsidR="009E36B6">
        <w:t>presented</w:t>
      </w:r>
      <w:r w:rsidR="009E36B6" w:rsidRPr="00C07A17">
        <w:t xml:space="preserve"> </w:t>
      </w:r>
      <w:r w:rsidR="00793F8B" w:rsidRPr="00C07A17">
        <w:t>versus ‘no vaccine’.</w:t>
      </w:r>
      <w:r w:rsidR="00793F8B" w:rsidRPr="00036C51">
        <w:rPr>
          <w:color w:val="0066FF"/>
        </w:rPr>
        <w:t xml:space="preserve">   </w:t>
      </w:r>
    </w:p>
    <w:p w14:paraId="5CD4AF3F" w14:textId="77777777" w:rsidR="00AA552A" w:rsidRDefault="00AA552A">
      <w:pPr>
        <w:spacing w:after="160" w:line="259" w:lineRule="auto"/>
        <w:jc w:val="left"/>
        <w:rPr>
          <w:rStyle w:val="CommentReference"/>
        </w:rPr>
      </w:pPr>
      <w:r>
        <w:rPr>
          <w:rStyle w:val="CommentReference"/>
          <w:b w:val="0"/>
          <w:bCs w:val="0"/>
        </w:rPr>
        <w:br w:type="page"/>
      </w:r>
    </w:p>
    <w:p w14:paraId="5E529D86" w14:textId="11EC33D6" w:rsidR="007D4D11" w:rsidRPr="00F244EA" w:rsidRDefault="007D4D11" w:rsidP="005A3D21">
      <w:pPr>
        <w:pStyle w:val="Caption"/>
        <w:rPr>
          <w:rStyle w:val="CommentReference"/>
          <w:b/>
          <w:bCs/>
        </w:rPr>
      </w:pPr>
      <w:r w:rsidRPr="00F244EA">
        <w:rPr>
          <w:rStyle w:val="CommentReference"/>
          <w:b/>
          <w:bCs/>
        </w:rPr>
        <w:lastRenderedPageBreak/>
        <w:t xml:space="preserve">Table </w:t>
      </w:r>
      <w:r w:rsidRPr="00F244EA">
        <w:rPr>
          <w:rStyle w:val="CommentReference"/>
          <w:b/>
          <w:bCs/>
        </w:rPr>
        <w:fldChar w:fldCharType="begin"/>
      </w:r>
      <w:r w:rsidRPr="00F244EA">
        <w:rPr>
          <w:rStyle w:val="CommentReference"/>
          <w:b/>
          <w:bCs/>
        </w:rPr>
        <w:instrText xml:space="preserve"> SEQ Table \* ARABIC </w:instrText>
      </w:r>
      <w:r w:rsidRPr="00F244EA">
        <w:rPr>
          <w:rStyle w:val="CommentReference"/>
          <w:b/>
          <w:bCs/>
        </w:rPr>
        <w:fldChar w:fldCharType="separate"/>
      </w:r>
      <w:r w:rsidR="00137984">
        <w:rPr>
          <w:rStyle w:val="CommentReference"/>
          <w:b/>
          <w:bCs/>
          <w:noProof/>
        </w:rPr>
        <w:t>1</w:t>
      </w:r>
      <w:r w:rsidRPr="00F244EA">
        <w:rPr>
          <w:rStyle w:val="CommentReference"/>
          <w:b/>
          <w:bCs/>
        </w:rPr>
        <w:fldChar w:fldCharType="end"/>
      </w:r>
      <w:r w:rsidRPr="00F244EA">
        <w:rPr>
          <w:rStyle w:val="CommentReference"/>
          <w:b/>
          <w:bCs/>
        </w:rPr>
        <w:t>: Key components of the clinical issue addressed by the submission (as stated in the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565"/>
        <w:gridCol w:w="2373"/>
      </w:tblGrid>
      <w:tr w:rsidR="00793F8B" w:rsidRPr="00635341" w14:paraId="51C48873" w14:textId="77777777" w:rsidTr="00822E03">
        <w:trPr>
          <w:trHeight w:val="300"/>
        </w:trPr>
        <w:tc>
          <w:tcPr>
            <w:tcW w:w="1129" w:type="dxa"/>
          </w:tcPr>
          <w:p w14:paraId="2272072E" w14:textId="5F87F751" w:rsidR="00793F8B" w:rsidRPr="00635341" w:rsidRDefault="00793F8B" w:rsidP="00793F8B">
            <w:pPr>
              <w:pStyle w:val="TableFigureHeading"/>
            </w:pPr>
            <w:r w:rsidRPr="00635341">
              <w:rPr>
                <w:rStyle w:val="normaltextrun"/>
              </w:rPr>
              <w:t>Component</w:t>
            </w:r>
          </w:p>
        </w:tc>
        <w:tc>
          <w:tcPr>
            <w:tcW w:w="7938" w:type="dxa"/>
            <w:gridSpan w:val="2"/>
          </w:tcPr>
          <w:p w14:paraId="0B8A3FF6" w14:textId="5689C6B7" w:rsidR="00793F8B" w:rsidRPr="00635341" w:rsidRDefault="00793F8B" w:rsidP="00793F8B">
            <w:pPr>
              <w:pStyle w:val="TableFigureHeading"/>
            </w:pPr>
            <w:r w:rsidRPr="00635341">
              <w:rPr>
                <w:rStyle w:val="normaltextrun"/>
              </w:rPr>
              <w:t>Description </w:t>
            </w:r>
          </w:p>
        </w:tc>
      </w:tr>
      <w:tr w:rsidR="00793F8B" w:rsidRPr="00635341" w14:paraId="3937CBE2" w14:textId="77777777" w:rsidTr="00822E03">
        <w:trPr>
          <w:trHeight w:val="1155"/>
        </w:trPr>
        <w:tc>
          <w:tcPr>
            <w:tcW w:w="1129" w:type="dxa"/>
          </w:tcPr>
          <w:p w14:paraId="7BB37393" w14:textId="5A4A537D"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Population </w:t>
            </w:r>
          </w:p>
        </w:tc>
        <w:tc>
          <w:tcPr>
            <w:tcW w:w="7938" w:type="dxa"/>
            <w:gridSpan w:val="2"/>
          </w:tcPr>
          <w:p w14:paraId="590195E2" w14:textId="77777777"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Prevention of pneumococcal disease in: </w:t>
            </w:r>
          </w:p>
          <w:p w14:paraId="2CDFE109" w14:textId="77777777"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u w:val="single"/>
              </w:rPr>
              <w:t>Current NIP populations:</w:t>
            </w:r>
            <w:r w:rsidRPr="00635341">
              <w:rPr>
                <w:rStyle w:val="eop"/>
                <w:rFonts w:ascii="Arial Narrow" w:eastAsia="Arial Narrow" w:hAnsi="Arial Narrow" w:cs="Arial Narrow"/>
                <w:color w:val="000000" w:themeColor="text1"/>
                <w:sz w:val="20"/>
                <w:szCs w:val="20"/>
              </w:rPr>
              <w:t> </w:t>
            </w:r>
          </w:p>
          <w:p w14:paraId="23C8D942" w14:textId="22953FB6" w:rsidR="00793F8B" w:rsidRPr="003F3A1E" w:rsidRDefault="00793F8B" w:rsidP="007B7379">
            <w:pPr>
              <w:pStyle w:val="TableText0"/>
              <w:numPr>
                <w:ilvl w:val="0"/>
                <w:numId w:val="13"/>
              </w:numPr>
              <w:rPr>
                <w:rStyle w:val="normaltextrun"/>
                <w:rFonts w:eastAsia="Arial Narrow" w:cs="Arial Narrow"/>
                <w:color w:val="000000" w:themeColor="text1"/>
              </w:rPr>
            </w:pPr>
            <w:bookmarkStart w:id="3" w:name="_Hlk112836712"/>
            <w:r w:rsidRPr="003F3A1E">
              <w:rPr>
                <w:rStyle w:val="normaltextrun"/>
                <w:rFonts w:eastAsia="Arial Narrow" w:cs="Arial Narrow"/>
                <w:color w:val="000000" w:themeColor="text1"/>
                <w:szCs w:val="20"/>
              </w:rPr>
              <w:t>Non-Indigenous adults aged ≥</w:t>
            </w:r>
            <w:r w:rsidR="00822E03">
              <w:rPr>
                <w:rStyle w:val="normaltextrun"/>
                <w:rFonts w:eastAsia="Arial Narrow" w:cs="Arial Narrow"/>
                <w:color w:val="000000" w:themeColor="text1"/>
                <w:szCs w:val="20"/>
              </w:rPr>
              <w:t xml:space="preserve"> </w:t>
            </w:r>
            <w:r w:rsidRPr="003F3A1E">
              <w:rPr>
                <w:rStyle w:val="normaltextrun"/>
                <w:rFonts w:eastAsia="Arial Narrow" w:cs="Arial Narrow"/>
                <w:color w:val="000000" w:themeColor="text1"/>
                <w:szCs w:val="20"/>
              </w:rPr>
              <w:t>70 years (regardless of risk conditions) </w:t>
            </w:r>
          </w:p>
          <w:p w14:paraId="6B437B49" w14:textId="601A4262" w:rsidR="00793F8B" w:rsidRPr="003F3A1E" w:rsidRDefault="00793F8B" w:rsidP="007B7379">
            <w:pPr>
              <w:pStyle w:val="TableText0"/>
              <w:numPr>
                <w:ilvl w:val="0"/>
                <w:numId w:val="13"/>
              </w:numPr>
              <w:rPr>
                <w:rStyle w:val="normaltextrun"/>
                <w:rFonts w:eastAsia="Arial Narrow" w:cs="Arial Narrow"/>
                <w:color w:val="000000" w:themeColor="text1"/>
              </w:rPr>
            </w:pPr>
            <w:r w:rsidRPr="003F3A1E">
              <w:rPr>
                <w:rStyle w:val="normaltextrun"/>
                <w:rFonts w:eastAsia="Arial Narrow" w:cs="Arial Narrow"/>
                <w:color w:val="000000" w:themeColor="text1"/>
                <w:szCs w:val="20"/>
              </w:rPr>
              <w:t>Aboriginal and Torres Strait Islander adults</w:t>
            </w:r>
            <w:r w:rsidRPr="003F3A1E">
              <w:rPr>
                <w:rStyle w:val="normaltextrun"/>
                <w:rFonts w:ascii="Arial" w:eastAsia="Arial" w:hAnsi="Arial"/>
                <w:color w:val="000000" w:themeColor="text1"/>
                <w:szCs w:val="20"/>
              </w:rPr>
              <w:t> </w:t>
            </w:r>
            <w:r w:rsidRPr="003F3A1E">
              <w:rPr>
                <w:rStyle w:val="normaltextrun"/>
                <w:rFonts w:eastAsia="Arial Narrow" w:cs="Arial Narrow"/>
                <w:color w:val="000000" w:themeColor="text1"/>
                <w:szCs w:val="20"/>
              </w:rPr>
              <w:t>aged ≥</w:t>
            </w:r>
            <w:r w:rsidR="00822E03">
              <w:rPr>
                <w:rStyle w:val="normaltextrun"/>
                <w:rFonts w:eastAsia="Arial Narrow" w:cs="Arial Narrow"/>
                <w:color w:val="000000" w:themeColor="text1"/>
                <w:szCs w:val="20"/>
              </w:rPr>
              <w:t xml:space="preserve"> </w:t>
            </w:r>
            <w:r w:rsidRPr="003F3A1E">
              <w:rPr>
                <w:rStyle w:val="normaltextrun"/>
                <w:rFonts w:eastAsia="Arial Narrow" w:cs="Arial Narrow"/>
                <w:color w:val="000000" w:themeColor="text1"/>
                <w:szCs w:val="20"/>
              </w:rPr>
              <w:t>50 years (regardless of risk conditions) </w:t>
            </w:r>
          </w:p>
          <w:p w14:paraId="16DD9635" w14:textId="7B5F2842" w:rsidR="00793F8B" w:rsidRPr="003F3A1E" w:rsidRDefault="00793F8B" w:rsidP="007B7379">
            <w:pPr>
              <w:pStyle w:val="TableText0"/>
              <w:numPr>
                <w:ilvl w:val="0"/>
                <w:numId w:val="13"/>
              </w:numPr>
              <w:rPr>
                <w:rStyle w:val="normaltextrun"/>
                <w:rFonts w:eastAsia="Arial Narrow" w:cs="Arial Narrow"/>
                <w:color w:val="000000" w:themeColor="text1"/>
              </w:rPr>
            </w:pPr>
            <w:r w:rsidRPr="702B3F51">
              <w:rPr>
                <w:rStyle w:val="normaltextrun"/>
                <w:rFonts w:eastAsia="Arial Narrow" w:cs="Arial Narrow"/>
                <w:color w:val="000000" w:themeColor="text1"/>
              </w:rPr>
              <w:t xml:space="preserve">Adults </w:t>
            </w:r>
            <w:r w:rsidRPr="4F8FC5D3">
              <w:rPr>
                <w:rStyle w:val="normaltextrun"/>
                <w:rFonts w:eastAsia="Arial Narrow" w:cs="Arial Narrow"/>
                <w:color w:val="000000" w:themeColor="text1"/>
              </w:rPr>
              <w:t>(</w:t>
            </w:r>
            <w:r w:rsidR="68896455" w:rsidRPr="4F8FC5D3">
              <w:rPr>
                <w:rStyle w:val="normaltextrun"/>
                <w:rFonts w:eastAsia="Arial Narrow" w:cs="Arial Narrow"/>
                <w:color w:val="000000" w:themeColor="text1"/>
              </w:rPr>
              <w:t>≥</w:t>
            </w:r>
            <w:r w:rsidR="00822E03">
              <w:rPr>
                <w:rStyle w:val="normaltextrun"/>
                <w:rFonts w:eastAsia="Arial Narrow" w:cs="Arial Narrow"/>
                <w:color w:val="000000" w:themeColor="text1"/>
              </w:rPr>
              <w:t xml:space="preserve"> </w:t>
            </w:r>
            <w:r w:rsidRPr="702B3F51">
              <w:rPr>
                <w:rStyle w:val="normaltextrun"/>
                <w:rFonts w:eastAsia="Arial Narrow" w:cs="Arial Narrow"/>
                <w:color w:val="000000" w:themeColor="text1"/>
              </w:rPr>
              <w:t>18 years) with NIP-funded risk conditions for pneumococcal disease. </w:t>
            </w:r>
          </w:p>
          <w:p w14:paraId="4DD83E4E" w14:textId="1E575C46" w:rsidR="00793F8B" w:rsidRPr="00635341" w:rsidRDefault="00793F8B" w:rsidP="00793F8B">
            <w:pPr>
              <w:pStyle w:val="TableText0"/>
            </w:pPr>
            <w:r w:rsidRPr="70514C67">
              <w:rPr>
                <w:rStyle w:val="normaltextrun"/>
                <w:rFonts w:eastAsia="Arial Narrow" w:cs="Arial Narrow"/>
                <w:color w:val="000000" w:themeColor="text1"/>
                <w:u w:val="single"/>
              </w:rPr>
              <w:t xml:space="preserve">Potential </w:t>
            </w:r>
            <w:r w:rsidR="009E36B6" w:rsidRPr="70514C67">
              <w:rPr>
                <w:rStyle w:val="normaltextrun"/>
                <w:rFonts w:eastAsia="Arial Narrow" w:cs="Arial Narrow"/>
                <w:color w:val="000000" w:themeColor="text1"/>
                <w:u w:val="single"/>
              </w:rPr>
              <w:t>e</w:t>
            </w:r>
            <w:r w:rsidRPr="70514C67">
              <w:rPr>
                <w:rStyle w:val="normaltextrun"/>
                <w:rFonts w:eastAsia="Arial Narrow" w:cs="Arial Narrow"/>
                <w:color w:val="000000" w:themeColor="text1"/>
                <w:u w:val="single"/>
              </w:rPr>
              <w:t>xpanded NIP population:</w:t>
            </w:r>
            <w:r w:rsidRPr="70514C67">
              <w:rPr>
                <w:rStyle w:val="eop"/>
                <w:rFonts w:eastAsia="Arial Narrow" w:cs="Arial Narrow"/>
                <w:color w:val="000000" w:themeColor="text1"/>
              </w:rPr>
              <w:t> </w:t>
            </w:r>
          </w:p>
          <w:p w14:paraId="3638B9AC" w14:textId="40CCEF96" w:rsidR="00793F8B" w:rsidRPr="00635341" w:rsidRDefault="00793F8B" w:rsidP="007B7379">
            <w:pPr>
              <w:pStyle w:val="TableText0"/>
              <w:numPr>
                <w:ilvl w:val="0"/>
                <w:numId w:val="13"/>
              </w:numPr>
              <w:rPr>
                <w:rStyle w:val="normaltextrun"/>
                <w:rFonts w:eastAsia="Arial Narrow" w:cs="Arial Narrow"/>
                <w:color w:val="000000" w:themeColor="text1"/>
              </w:rPr>
            </w:pPr>
            <w:r w:rsidRPr="00635341">
              <w:rPr>
                <w:rStyle w:val="normaltextrun"/>
                <w:rFonts w:eastAsia="Arial Narrow" w:cs="Arial Narrow"/>
                <w:color w:val="000000" w:themeColor="text1"/>
                <w:szCs w:val="20"/>
              </w:rPr>
              <w:t>Aboriginal and Torres Strait Islander adults</w:t>
            </w:r>
            <w:r w:rsidRPr="00635341">
              <w:rPr>
                <w:rStyle w:val="normaltextrun"/>
                <w:rFonts w:ascii="Arial" w:eastAsia="Arial" w:hAnsi="Arial"/>
                <w:color w:val="000000" w:themeColor="text1"/>
                <w:szCs w:val="20"/>
              </w:rPr>
              <w:t> </w:t>
            </w:r>
            <w:r w:rsidRPr="00635341">
              <w:rPr>
                <w:rStyle w:val="normaltextrun"/>
                <w:rFonts w:eastAsia="Arial Narrow" w:cs="Arial Narrow"/>
                <w:color w:val="000000" w:themeColor="text1"/>
                <w:szCs w:val="20"/>
              </w:rPr>
              <w:t>aged 25</w:t>
            </w:r>
            <w:r w:rsidR="00DB1CDF">
              <w:rPr>
                <w:rStyle w:val="normaltextrun"/>
                <w:rFonts w:eastAsia="Arial Narrow" w:cs="Arial Narrow"/>
                <w:color w:val="000000" w:themeColor="text1"/>
                <w:szCs w:val="20"/>
              </w:rPr>
              <w:t>-49</w:t>
            </w:r>
            <w:r w:rsidRPr="00635341">
              <w:rPr>
                <w:rStyle w:val="normaltextrun"/>
                <w:rFonts w:eastAsia="Arial Narrow" w:cs="Arial Narrow"/>
                <w:color w:val="000000" w:themeColor="text1"/>
                <w:szCs w:val="20"/>
              </w:rPr>
              <w:t xml:space="preserve"> years (regardless of risk factors) </w:t>
            </w:r>
            <w:bookmarkEnd w:id="3"/>
          </w:p>
        </w:tc>
      </w:tr>
      <w:tr w:rsidR="00793F8B" w:rsidRPr="00635341" w14:paraId="316DE34B" w14:textId="77777777" w:rsidTr="00DD7E70">
        <w:trPr>
          <w:trHeight w:val="30"/>
        </w:trPr>
        <w:tc>
          <w:tcPr>
            <w:tcW w:w="1129" w:type="dxa"/>
            <w:vMerge w:val="restart"/>
          </w:tcPr>
          <w:p w14:paraId="75FC59E0" w14:textId="202601F2" w:rsidR="00793F8B" w:rsidRPr="00635341" w:rsidRDefault="00DD7E70" w:rsidP="00DD7E70">
            <w:pPr>
              <w:jc w:val="left"/>
            </w:pPr>
            <w:r w:rsidRPr="00DD7E70">
              <w:rPr>
                <w:rStyle w:val="normaltextrun"/>
                <w:rFonts w:ascii="Arial Narrow" w:eastAsia="Arial Narrow" w:hAnsi="Arial Narrow" w:cs="Arial Narrow"/>
                <w:color w:val="000000" w:themeColor="text1"/>
                <w:sz w:val="20"/>
                <w:szCs w:val="20"/>
              </w:rPr>
              <w:t>Intervention</w:t>
            </w:r>
          </w:p>
        </w:tc>
        <w:tc>
          <w:tcPr>
            <w:tcW w:w="5565" w:type="dxa"/>
          </w:tcPr>
          <w:p w14:paraId="6D10E7D9" w14:textId="16906E43" w:rsidR="00793F8B" w:rsidRPr="00237ED7" w:rsidRDefault="00793F8B" w:rsidP="00793F8B">
            <w:pPr>
              <w:pStyle w:val="TableText0"/>
              <w:jc w:val="center"/>
              <w:rPr>
                <w:b/>
                <w:bCs w:val="0"/>
              </w:rPr>
            </w:pPr>
            <w:r w:rsidRPr="00237ED7">
              <w:rPr>
                <w:rStyle w:val="normaltextrun"/>
                <w:b/>
                <w:bCs w:val="0"/>
              </w:rPr>
              <w:t>Current NIP populations</w:t>
            </w:r>
          </w:p>
        </w:tc>
        <w:tc>
          <w:tcPr>
            <w:tcW w:w="2373" w:type="dxa"/>
            <w:vAlign w:val="center"/>
          </w:tcPr>
          <w:p w14:paraId="3C9B6B3D" w14:textId="77777777" w:rsidR="00793F8B" w:rsidRPr="00237ED7" w:rsidRDefault="00793F8B" w:rsidP="00793F8B">
            <w:pPr>
              <w:pStyle w:val="TableText0"/>
              <w:jc w:val="center"/>
              <w:rPr>
                <w:b/>
                <w:bCs w:val="0"/>
              </w:rPr>
            </w:pPr>
            <w:r w:rsidRPr="00237ED7">
              <w:rPr>
                <w:rStyle w:val="normaltextrun"/>
                <w:b/>
                <w:bCs w:val="0"/>
              </w:rPr>
              <w:t>Proposed program</w:t>
            </w:r>
          </w:p>
        </w:tc>
      </w:tr>
      <w:tr w:rsidR="00793F8B" w:rsidRPr="00635341" w14:paraId="7BB766B1" w14:textId="77777777" w:rsidTr="00822E03">
        <w:trPr>
          <w:trHeight w:val="30"/>
        </w:trPr>
        <w:tc>
          <w:tcPr>
            <w:tcW w:w="1129" w:type="dxa"/>
            <w:vMerge/>
            <w:vAlign w:val="center"/>
          </w:tcPr>
          <w:p w14:paraId="5FB58FCF" w14:textId="77777777" w:rsidR="00793F8B" w:rsidRPr="00635341" w:rsidRDefault="00793F8B" w:rsidP="00793F8B"/>
        </w:tc>
        <w:tc>
          <w:tcPr>
            <w:tcW w:w="5565" w:type="dxa"/>
          </w:tcPr>
          <w:p w14:paraId="535AD0B0" w14:textId="4118179F"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Non-Indigenous adults aged ≥</w:t>
            </w:r>
            <w:r w:rsidR="00B03F6B">
              <w:rPr>
                <w:rStyle w:val="normaltextrun"/>
                <w:rFonts w:ascii="Arial Narrow" w:eastAsia="Arial Narrow" w:hAnsi="Arial Narrow" w:cs="Arial Narrow"/>
                <w:color w:val="000000" w:themeColor="text1"/>
                <w:sz w:val="20"/>
                <w:szCs w:val="20"/>
              </w:rPr>
              <w:t xml:space="preserve"> </w:t>
            </w:r>
            <w:r w:rsidRPr="00635341">
              <w:rPr>
                <w:rStyle w:val="normaltextrun"/>
                <w:rFonts w:ascii="Arial Narrow" w:eastAsia="Arial Narrow" w:hAnsi="Arial Narrow" w:cs="Arial Narrow"/>
                <w:color w:val="000000" w:themeColor="text1"/>
                <w:sz w:val="20"/>
                <w:szCs w:val="20"/>
              </w:rPr>
              <w:t>70 years (regardless of risk conditions) </w:t>
            </w:r>
          </w:p>
        </w:tc>
        <w:tc>
          <w:tcPr>
            <w:tcW w:w="2373" w:type="dxa"/>
            <w:vAlign w:val="center"/>
          </w:tcPr>
          <w:p w14:paraId="5E04DDA2" w14:textId="77777777"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20vPCV </w:t>
            </w:r>
          </w:p>
        </w:tc>
      </w:tr>
      <w:tr w:rsidR="00793F8B" w:rsidRPr="00635341" w14:paraId="66A2FC5F" w14:textId="77777777" w:rsidTr="00822E03">
        <w:trPr>
          <w:trHeight w:val="30"/>
        </w:trPr>
        <w:tc>
          <w:tcPr>
            <w:tcW w:w="1129" w:type="dxa"/>
            <w:vMerge/>
            <w:vAlign w:val="center"/>
          </w:tcPr>
          <w:p w14:paraId="45EB8225" w14:textId="77777777" w:rsidR="00793F8B" w:rsidRPr="00635341" w:rsidRDefault="00793F8B" w:rsidP="00793F8B"/>
        </w:tc>
        <w:tc>
          <w:tcPr>
            <w:tcW w:w="5565" w:type="dxa"/>
          </w:tcPr>
          <w:p w14:paraId="76ECAA5E" w14:textId="544F17F6"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Aboriginal and Torres Strait Islander adults</w:t>
            </w:r>
            <w:r w:rsidRPr="00635341">
              <w:rPr>
                <w:rStyle w:val="normaltextrun"/>
                <w:rFonts w:ascii="Arial" w:eastAsia="Arial" w:hAnsi="Arial"/>
                <w:color w:val="000000" w:themeColor="text1"/>
                <w:sz w:val="20"/>
                <w:szCs w:val="20"/>
              </w:rPr>
              <w:t> </w:t>
            </w:r>
            <w:r w:rsidRPr="00635341">
              <w:rPr>
                <w:rStyle w:val="normaltextrun"/>
                <w:rFonts w:ascii="Arial Narrow" w:eastAsia="Arial Narrow" w:hAnsi="Arial Narrow" w:cs="Arial Narrow"/>
                <w:color w:val="000000" w:themeColor="text1"/>
                <w:sz w:val="20"/>
                <w:szCs w:val="20"/>
              </w:rPr>
              <w:t xml:space="preserve">aged </w:t>
            </w:r>
            <w:r w:rsidRPr="00635341">
              <w:rPr>
                <w:rStyle w:val="normaltextrun"/>
                <w:rFonts w:ascii="Segoe UI" w:eastAsia="Segoe UI" w:hAnsi="Segoe UI" w:cs="Segoe UI"/>
                <w:color w:val="000000" w:themeColor="text1"/>
                <w:sz w:val="20"/>
                <w:szCs w:val="20"/>
              </w:rPr>
              <w:t>≥</w:t>
            </w:r>
            <w:r w:rsidR="00B03F6B">
              <w:rPr>
                <w:rStyle w:val="normaltextrun"/>
                <w:rFonts w:ascii="Segoe UI" w:eastAsia="Segoe UI" w:hAnsi="Segoe UI" w:cs="Segoe UI"/>
                <w:color w:val="000000" w:themeColor="text1"/>
                <w:sz w:val="20"/>
                <w:szCs w:val="20"/>
              </w:rPr>
              <w:t xml:space="preserve"> </w:t>
            </w:r>
            <w:r w:rsidRPr="00635341">
              <w:rPr>
                <w:rStyle w:val="normaltextrun"/>
                <w:rFonts w:ascii="Arial Narrow" w:eastAsia="Arial Narrow" w:hAnsi="Arial Narrow" w:cs="Arial Narrow"/>
                <w:color w:val="000000" w:themeColor="text1"/>
                <w:sz w:val="20"/>
                <w:szCs w:val="20"/>
              </w:rPr>
              <w:t>50 years (regardless of risk conditions) </w:t>
            </w:r>
          </w:p>
        </w:tc>
        <w:tc>
          <w:tcPr>
            <w:tcW w:w="2373" w:type="dxa"/>
            <w:vAlign w:val="center"/>
          </w:tcPr>
          <w:p w14:paraId="7050CBAF" w14:textId="72E36E12"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 xml:space="preserve">20vPCV + </w:t>
            </w:r>
            <w:r w:rsidR="00DB1CDF" w:rsidRPr="00683533">
              <w:rPr>
                <w:rStyle w:val="normaltextrun"/>
                <w:rFonts w:ascii="Arial Narrow" w:eastAsia="Arial Narrow" w:hAnsi="Arial Narrow" w:cs="Arial Narrow"/>
                <w:iCs/>
                <w:color w:val="000000" w:themeColor="text1"/>
                <w:sz w:val="20"/>
                <w:szCs w:val="20"/>
              </w:rPr>
              <w:t xml:space="preserve">2 x </w:t>
            </w:r>
            <w:r w:rsidRPr="00635341">
              <w:rPr>
                <w:rStyle w:val="normaltextrun"/>
                <w:rFonts w:ascii="Arial Narrow" w:eastAsia="Arial Narrow" w:hAnsi="Arial Narrow" w:cs="Arial Narrow"/>
                <w:color w:val="000000" w:themeColor="text1"/>
                <w:sz w:val="20"/>
                <w:szCs w:val="20"/>
              </w:rPr>
              <w:t>23vPPV </w:t>
            </w:r>
          </w:p>
        </w:tc>
      </w:tr>
      <w:tr w:rsidR="00793F8B" w:rsidRPr="00635341" w14:paraId="634E2C13" w14:textId="77777777" w:rsidTr="00822E03">
        <w:trPr>
          <w:trHeight w:val="30"/>
        </w:trPr>
        <w:tc>
          <w:tcPr>
            <w:tcW w:w="1129" w:type="dxa"/>
            <w:vMerge/>
            <w:vAlign w:val="center"/>
          </w:tcPr>
          <w:p w14:paraId="15B8B5D6" w14:textId="77777777" w:rsidR="00793F8B" w:rsidRPr="00635341" w:rsidRDefault="00793F8B" w:rsidP="00793F8B"/>
        </w:tc>
        <w:tc>
          <w:tcPr>
            <w:tcW w:w="5565" w:type="dxa"/>
          </w:tcPr>
          <w:p w14:paraId="6A2486BD" w14:textId="39A767C1"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Adults (</w:t>
            </w:r>
            <w:r w:rsidR="6E30DF89" w:rsidRPr="4AA6B923">
              <w:rPr>
                <w:rStyle w:val="normaltextrun"/>
                <w:rFonts w:eastAsia="Arial Narrow" w:cs="Arial Narrow"/>
                <w:color w:val="000000" w:themeColor="text1"/>
                <w:sz w:val="20"/>
                <w:szCs w:val="20"/>
              </w:rPr>
              <w:t>≥</w:t>
            </w:r>
            <w:r w:rsidR="009900AC">
              <w:rPr>
                <w:rStyle w:val="normaltextrun"/>
                <w:rFonts w:eastAsia="Arial Narrow" w:cs="Arial Narrow"/>
                <w:color w:val="000000" w:themeColor="text1"/>
                <w:sz w:val="20"/>
                <w:szCs w:val="20"/>
              </w:rPr>
              <w:t xml:space="preserve"> </w:t>
            </w:r>
            <w:r w:rsidRPr="00635341">
              <w:rPr>
                <w:rStyle w:val="normaltextrun"/>
                <w:rFonts w:ascii="Arial Narrow" w:eastAsia="Arial Narrow" w:hAnsi="Arial Narrow" w:cs="Arial Narrow"/>
                <w:color w:val="000000" w:themeColor="text1"/>
                <w:sz w:val="20"/>
                <w:szCs w:val="20"/>
              </w:rPr>
              <w:t>18 years) with NIP-funded risk conditions for pneumococcal disease. </w:t>
            </w:r>
          </w:p>
        </w:tc>
        <w:tc>
          <w:tcPr>
            <w:tcW w:w="2373" w:type="dxa"/>
            <w:vAlign w:val="center"/>
          </w:tcPr>
          <w:p w14:paraId="1652031D" w14:textId="7151E2F9"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 xml:space="preserve">20vPCV + </w:t>
            </w:r>
            <w:r w:rsidR="00DB1CDF" w:rsidRPr="00683533">
              <w:rPr>
                <w:rStyle w:val="normaltextrun"/>
                <w:rFonts w:ascii="Arial Narrow" w:eastAsia="Arial Narrow" w:hAnsi="Arial Narrow" w:cs="Arial Narrow"/>
                <w:iCs/>
                <w:color w:val="000000" w:themeColor="text1"/>
                <w:sz w:val="20"/>
                <w:szCs w:val="20"/>
              </w:rPr>
              <w:t xml:space="preserve">2 x </w:t>
            </w:r>
            <w:r w:rsidRPr="00635341">
              <w:rPr>
                <w:rStyle w:val="normaltextrun"/>
                <w:rFonts w:ascii="Arial Narrow" w:eastAsia="Arial Narrow" w:hAnsi="Arial Narrow" w:cs="Arial Narrow"/>
                <w:color w:val="000000" w:themeColor="text1"/>
                <w:sz w:val="20"/>
                <w:szCs w:val="20"/>
              </w:rPr>
              <w:t>23vPPV  </w:t>
            </w:r>
          </w:p>
        </w:tc>
      </w:tr>
      <w:tr w:rsidR="00793F8B" w:rsidRPr="00635341" w14:paraId="6F1AE4CB" w14:textId="77777777" w:rsidTr="00822E03">
        <w:trPr>
          <w:trHeight w:val="30"/>
        </w:trPr>
        <w:tc>
          <w:tcPr>
            <w:tcW w:w="1129" w:type="dxa"/>
            <w:vMerge/>
            <w:vAlign w:val="center"/>
          </w:tcPr>
          <w:p w14:paraId="48FDCC1D" w14:textId="77777777" w:rsidR="00793F8B" w:rsidRPr="00635341" w:rsidRDefault="00793F8B" w:rsidP="00793F8B"/>
        </w:tc>
        <w:tc>
          <w:tcPr>
            <w:tcW w:w="5565" w:type="dxa"/>
          </w:tcPr>
          <w:p w14:paraId="4B8C4E00" w14:textId="2CF762CC" w:rsidR="00793F8B" w:rsidRPr="00237ED7" w:rsidRDefault="00793F8B" w:rsidP="00793F8B">
            <w:pPr>
              <w:pStyle w:val="TableText0"/>
              <w:jc w:val="center"/>
              <w:rPr>
                <w:b/>
                <w:bCs w:val="0"/>
              </w:rPr>
            </w:pPr>
            <w:r w:rsidRPr="00237ED7">
              <w:rPr>
                <w:rStyle w:val="normaltextrun"/>
                <w:b/>
                <w:bCs w:val="0"/>
              </w:rPr>
              <w:t>Expanded NIP populations</w:t>
            </w:r>
          </w:p>
        </w:tc>
        <w:tc>
          <w:tcPr>
            <w:tcW w:w="2373" w:type="dxa"/>
            <w:vAlign w:val="center"/>
          </w:tcPr>
          <w:p w14:paraId="60992B31" w14:textId="77777777" w:rsidR="00793F8B" w:rsidRPr="00635341" w:rsidRDefault="00793F8B" w:rsidP="00793F8B">
            <w:pPr>
              <w:jc w:val="left"/>
              <w:rPr>
                <w:rFonts w:ascii="Arial" w:eastAsia="Arial" w:hAnsi="Arial"/>
                <w:color w:val="000000" w:themeColor="text1"/>
                <w:sz w:val="18"/>
                <w:szCs w:val="18"/>
              </w:rPr>
            </w:pPr>
            <w:r w:rsidRPr="00635341">
              <w:rPr>
                <w:rStyle w:val="eop"/>
                <w:rFonts w:ascii="Arial" w:eastAsia="Arial" w:hAnsi="Arial"/>
                <w:color w:val="000000" w:themeColor="text1"/>
                <w:sz w:val="18"/>
                <w:szCs w:val="18"/>
              </w:rPr>
              <w:t> </w:t>
            </w:r>
          </w:p>
        </w:tc>
      </w:tr>
      <w:tr w:rsidR="00793F8B" w:rsidRPr="00635341" w14:paraId="4AF6389C" w14:textId="77777777" w:rsidTr="00822E03">
        <w:trPr>
          <w:trHeight w:val="30"/>
        </w:trPr>
        <w:tc>
          <w:tcPr>
            <w:tcW w:w="1129" w:type="dxa"/>
            <w:vMerge/>
            <w:vAlign w:val="center"/>
          </w:tcPr>
          <w:p w14:paraId="75C83275" w14:textId="77777777" w:rsidR="00793F8B" w:rsidRPr="00635341" w:rsidRDefault="00793F8B" w:rsidP="00793F8B"/>
        </w:tc>
        <w:tc>
          <w:tcPr>
            <w:tcW w:w="5565" w:type="dxa"/>
          </w:tcPr>
          <w:p w14:paraId="1C44B64E" w14:textId="77785A99"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Aboriginal and Torres Strait Islander adults</w:t>
            </w:r>
            <w:r w:rsidRPr="00635341">
              <w:rPr>
                <w:rStyle w:val="normaltextrun"/>
                <w:rFonts w:ascii="Arial" w:eastAsia="Arial" w:hAnsi="Arial"/>
                <w:color w:val="000000" w:themeColor="text1"/>
                <w:sz w:val="20"/>
                <w:szCs w:val="20"/>
              </w:rPr>
              <w:t> </w:t>
            </w:r>
            <w:r w:rsidRPr="00635341">
              <w:rPr>
                <w:rStyle w:val="normaltextrun"/>
                <w:rFonts w:ascii="Arial Narrow" w:eastAsia="Arial Narrow" w:hAnsi="Arial Narrow" w:cs="Arial Narrow"/>
                <w:color w:val="000000" w:themeColor="text1"/>
                <w:sz w:val="20"/>
                <w:szCs w:val="20"/>
              </w:rPr>
              <w:t>aged 25-49 years (regardless of risk conditions) </w:t>
            </w:r>
          </w:p>
        </w:tc>
        <w:tc>
          <w:tcPr>
            <w:tcW w:w="2373" w:type="dxa"/>
            <w:vAlign w:val="center"/>
          </w:tcPr>
          <w:p w14:paraId="1312954C" w14:textId="74BC75A1" w:rsidR="00793F8B" w:rsidRPr="00BC5575" w:rsidRDefault="00793F8B" w:rsidP="00793F8B">
            <w:pPr>
              <w:jc w:val="left"/>
              <w:rPr>
                <w:rFonts w:ascii="Arial Narrow" w:eastAsia="Arial Narrow" w:hAnsi="Arial Narrow" w:cs="Arial Narrow"/>
                <w:i/>
                <w:iCs/>
                <w:color w:val="000000" w:themeColor="text1"/>
                <w:sz w:val="20"/>
                <w:szCs w:val="20"/>
              </w:rPr>
            </w:pPr>
            <w:r w:rsidRPr="00635341">
              <w:rPr>
                <w:rStyle w:val="normaltextrun"/>
                <w:rFonts w:ascii="Arial Narrow" w:eastAsia="Arial Narrow" w:hAnsi="Arial Narrow" w:cs="Arial Narrow"/>
                <w:color w:val="000000" w:themeColor="text1"/>
                <w:sz w:val="20"/>
                <w:szCs w:val="20"/>
              </w:rPr>
              <w:t>20vPCV </w:t>
            </w:r>
          </w:p>
        </w:tc>
      </w:tr>
      <w:tr w:rsidR="00793F8B" w:rsidRPr="00635341" w14:paraId="300ED63E" w14:textId="77777777" w:rsidTr="00822E03">
        <w:trPr>
          <w:trHeight w:val="30"/>
        </w:trPr>
        <w:tc>
          <w:tcPr>
            <w:tcW w:w="1129" w:type="dxa"/>
            <w:vMerge w:val="restart"/>
          </w:tcPr>
          <w:p w14:paraId="62E694C2" w14:textId="19CF99C6"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Comparator </w:t>
            </w:r>
          </w:p>
        </w:tc>
        <w:tc>
          <w:tcPr>
            <w:tcW w:w="5565" w:type="dxa"/>
          </w:tcPr>
          <w:p w14:paraId="42E5B962" w14:textId="72C5A8FE" w:rsidR="00793F8B" w:rsidRPr="00237ED7" w:rsidRDefault="00793F8B" w:rsidP="00793F8B">
            <w:pPr>
              <w:pStyle w:val="TableText0"/>
              <w:jc w:val="center"/>
              <w:rPr>
                <w:b/>
                <w:bCs w:val="0"/>
              </w:rPr>
            </w:pPr>
            <w:r w:rsidRPr="00237ED7">
              <w:rPr>
                <w:rStyle w:val="normaltextrun"/>
                <w:b/>
                <w:bCs w:val="0"/>
              </w:rPr>
              <w:t>Current NIP populations</w:t>
            </w:r>
          </w:p>
        </w:tc>
        <w:tc>
          <w:tcPr>
            <w:tcW w:w="2373" w:type="dxa"/>
          </w:tcPr>
          <w:p w14:paraId="0205B574" w14:textId="4E1A814C" w:rsidR="00793F8B" w:rsidRPr="009E36B6" w:rsidRDefault="00793F8B" w:rsidP="00793F8B">
            <w:pPr>
              <w:pStyle w:val="TableText0"/>
              <w:jc w:val="center"/>
              <w:rPr>
                <w:b/>
                <w:bCs w:val="0"/>
              </w:rPr>
            </w:pPr>
            <w:r w:rsidRPr="008F544B">
              <w:rPr>
                <w:rStyle w:val="normaltextrun"/>
                <w:rFonts w:eastAsia="Arial Narrow" w:cs="Arial Narrow"/>
                <w:b/>
                <w:bCs w:val="0"/>
                <w:color w:val="000000" w:themeColor="text1"/>
                <w:szCs w:val="20"/>
              </w:rPr>
              <w:t>Comparator </w:t>
            </w:r>
          </w:p>
        </w:tc>
      </w:tr>
      <w:tr w:rsidR="00793F8B" w:rsidRPr="00635341" w14:paraId="64D7DF47" w14:textId="77777777" w:rsidTr="00822E03">
        <w:trPr>
          <w:trHeight w:val="30"/>
        </w:trPr>
        <w:tc>
          <w:tcPr>
            <w:tcW w:w="1129" w:type="dxa"/>
            <w:vMerge/>
            <w:vAlign w:val="center"/>
          </w:tcPr>
          <w:p w14:paraId="443DDDB8" w14:textId="77777777" w:rsidR="00793F8B" w:rsidRPr="00635341" w:rsidRDefault="00793F8B" w:rsidP="00793F8B"/>
        </w:tc>
        <w:tc>
          <w:tcPr>
            <w:tcW w:w="5565" w:type="dxa"/>
          </w:tcPr>
          <w:p w14:paraId="146FBA7B" w14:textId="7957131A"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Non-Indigenous adults aged ≥</w:t>
            </w:r>
            <w:r w:rsidR="00B03F6B">
              <w:rPr>
                <w:rStyle w:val="normaltextrun"/>
                <w:rFonts w:ascii="Arial Narrow" w:eastAsia="Arial Narrow" w:hAnsi="Arial Narrow" w:cs="Arial Narrow"/>
                <w:color w:val="000000" w:themeColor="text1"/>
                <w:sz w:val="20"/>
                <w:szCs w:val="20"/>
              </w:rPr>
              <w:t xml:space="preserve"> </w:t>
            </w:r>
            <w:r w:rsidRPr="00635341">
              <w:rPr>
                <w:rStyle w:val="normaltextrun"/>
                <w:rFonts w:ascii="Arial Narrow" w:eastAsia="Arial Narrow" w:hAnsi="Arial Narrow" w:cs="Arial Narrow"/>
                <w:color w:val="000000" w:themeColor="text1"/>
                <w:sz w:val="20"/>
                <w:szCs w:val="20"/>
              </w:rPr>
              <w:t>70 years (regardless of risk conditions)</w:t>
            </w:r>
            <w:r w:rsidRPr="00635341">
              <w:rPr>
                <w:rFonts w:ascii="Arial Narrow" w:eastAsia="Arial Narrow" w:hAnsi="Arial Narrow" w:cs="Arial Narrow"/>
                <w:color w:val="000000" w:themeColor="text1"/>
                <w:sz w:val="20"/>
                <w:szCs w:val="20"/>
              </w:rPr>
              <w:t> </w:t>
            </w:r>
          </w:p>
        </w:tc>
        <w:tc>
          <w:tcPr>
            <w:tcW w:w="2373" w:type="dxa"/>
            <w:vAlign w:val="center"/>
          </w:tcPr>
          <w:p w14:paraId="1D51C3F9" w14:textId="77777777"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15vPCV or 13vPCV </w:t>
            </w:r>
          </w:p>
        </w:tc>
      </w:tr>
      <w:tr w:rsidR="00793F8B" w:rsidRPr="00635341" w14:paraId="229650D8" w14:textId="77777777" w:rsidTr="00822E03">
        <w:trPr>
          <w:trHeight w:val="30"/>
        </w:trPr>
        <w:tc>
          <w:tcPr>
            <w:tcW w:w="1129" w:type="dxa"/>
            <w:vMerge/>
            <w:vAlign w:val="center"/>
          </w:tcPr>
          <w:p w14:paraId="489D8CFF" w14:textId="77777777" w:rsidR="00793F8B" w:rsidRPr="00635341" w:rsidRDefault="00793F8B" w:rsidP="00793F8B"/>
        </w:tc>
        <w:tc>
          <w:tcPr>
            <w:tcW w:w="5565" w:type="dxa"/>
          </w:tcPr>
          <w:p w14:paraId="5F36E32F" w14:textId="1C84CB60"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Aboriginal and Torres Strait Islander adults</w:t>
            </w:r>
            <w:r w:rsidRPr="00635341">
              <w:rPr>
                <w:rStyle w:val="normaltextrun"/>
                <w:rFonts w:ascii="Arial" w:eastAsia="Arial" w:hAnsi="Arial"/>
                <w:color w:val="000000" w:themeColor="text1"/>
                <w:sz w:val="20"/>
                <w:szCs w:val="20"/>
              </w:rPr>
              <w:t> </w:t>
            </w:r>
            <w:r w:rsidRPr="00635341">
              <w:rPr>
                <w:rStyle w:val="normaltextrun"/>
                <w:rFonts w:ascii="Arial Narrow" w:eastAsia="Arial Narrow" w:hAnsi="Arial Narrow" w:cs="Arial Narrow"/>
                <w:color w:val="000000" w:themeColor="text1"/>
                <w:sz w:val="20"/>
                <w:szCs w:val="20"/>
              </w:rPr>
              <w:t xml:space="preserve">aged </w:t>
            </w:r>
            <w:r w:rsidRPr="00635341">
              <w:rPr>
                <w:rStyle w:val="normaltextrun"/>
                <w:rFonts w:ascii="Segoe UI" w:eastAsia="Segoe UI" w:hAnsi="Segoe UI" w:cs="Segoe UI"/>
                <w:color w:val="000000" w:themeColor="text1"/>
                <w:sz w:val="20"/>
                <w:szCs w:val="20"/>
              </w:rPr>
              <w:t>≥</w:t>
            </w:r>
            <w:r w:rsidR="00B03F6B">
              <w:rPr>
                <w:rStyle w:val="normaltextrun"/>
                <w:rFonts w:ascii="Segoe UI" w:eastAsia="Segoe UI" w:hAnsi="Segoe UI" w:cs="Segoe UI"/>
                <w:color w:val="000000" w:themeColor="text1"/>
                <w:sz w:val="20"/>
                <w:szCs w:val="20"/>
              </w:rPr>
              <w:t xml:space="preserve"> </w:t>
            </w:r>
            <w:r w:rsidRPr="00635341">
              <w:rPr>
                <w:rStyle w:val="normaltextrun"/>
                <w:rFonts w:ascii="Arial Narrow" w:eastAsia="Arial Narrow" w:hAnsi="Arial Narrow" w:cs="Arial Narrow"/>
                <w:color w:val="000000" w:themeColor="text1"/>
                <w:sz w:val="20"/>
                <w:szCs w:val="20"/>
              </w:rPr>
              <w:t>50 years (regardless of risk conditions)</w:t>
            </w:r>
            <w:r w:rsidRPr="00635341">
              <w:rPr>
                <w:rFonts w:ascii="Arial Narrow" w:eastAsia="Arial Narrow" w:hAnsi="Arial Narrow" w:cs="Arial Narrow"/>
                <w:color w:val="000000" w:themeColor="text1"/>
                <w:sz w:val="20"/>
                <w:szCs w:val="20"/>
              </w:rPr>
              <w:t> </w:t>
            </w:r>
          </w:p>
        </w:tc>
        <w:tc>
          <w:tcPr>
            <w:tcW w:w="2373" w:type="dxa"/>
            <w:vAlign w:val="center"/>
          </w:tcPr>
          <w:p w14:paraId="57B66607" w14:textId="7EF8C909"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 xml:space="preserve">15vPCV + </w:t>
            </w:r>
            <w:r w:rsidR="00DB1CDF" w:rsidRPr="00683533">
              <w:rPr>
                <w:rStyle w:val="normaltextrun"/>
                <w:rFonts w:ascii="Arial Narrow" w:eastAsia="Arial Narrow" w:hAnsi="Arial Narrow" w:cs="Arial Narrow"/>
                <w:iCs/>
                <w:color w:val="000000" w:themeColor="text1"/>
                <w:sz w:val="20"/>
                <w:szCs w:val="20"/>
              </w:rPr>
              <w:t xml:space="preserve">2 x </w:t>
            </w:r>
            <w:r w:rsidRPr="00635341">
              <w:rPr>
                <w:rStyle w:val="normaltextrun"/>
                <w:rFonts w:ascii="Arial Narrow" w:eastAsia="Arial Narrow" w:hAnsi="Arial Narrow" w:cs="Arial Narrow"/>
                <w:color w:val="000000" w:themeColor="text1"/>
                <w:sz w:val="20"/>
                <w:szCs w:val="20"/>
              </w:rPr>
              <w:t>23vPPV or  </w:t>
            </w:r>
          </w:p>
          <w:p w14:paraId="0B750039" w14:textId="7E1FB48D"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 xml:space="preserve">13vPCV + </w:t>
            </w:r>
            <w:r w:rsidR="00DB1CDF" w:rsidRPr="00683533">
              <w:rPr>
                <w:rStyle w:val="normaltextrun"/>
                <w:rFonts w:ascii="Arial Narrow" w:eastAsia="Arial Narrow" w:hAnsi="Arial Narrow" w:cs="Arial Narrow"/>
                <w:iCs/>
                <w:color w:val="000000" w:themeColor="text1"/>
                <w:sz w:val="20"/>
                <w:szCs w:val="20"/>
              </w:rPr>
              <w:t xml:space="preserve">2 x </w:t>
            </w:r>
            <w:r w:rsidRPr="00635341">
              <w:rPr>
                <w:rStyle w:val="normaltextrun"/>
                <w:rFonts w:ascii="Arial Narrow" w:eastAsia="Arial Narrow" w:hAnsi="Arial Narrow" w:cs="Arial Narrow"/>
                <w:color w:val="000000" w:themeColor="text1"/>
                <w:sz w:val="20"/>
                <w:szCs w:val="20"/>
              </w:rPr>
              <w:t>23vPPV </w:t>
            </w:r>
          </w:p>
        </w:tc>
      </w:tr>
      <w:tr w:rsidR="00793F8B" w:rsidRPr="00635341" w14:paraId="3316D1E0" w14:textId="77777777" w:rsidTr="00822E03">
        <w:trPr>
          <w:trHeight w:val="30"/>
        </w:trPr>
        <w:tc>
          <w:tcPr>
            <w:tcW w:w="1129" w:type="dxa"/>
            <w:vMerge/>
            <w:vAlign w:val="center"/>
          </w:tcPr>
          <w:p w14:paraId="7BA8228A" w14:textId="77777777" w:rsidR="00793F8B" w:rsidRPr="00635341" w:rsidRDefault="00793F8B" w:rsidP="00793F8B"/>
        </w:tc>
        <w:tc>
          <w:tcPr>
            <w:tcW w:w="5565" w:type="dxa"/>
          </w:tcPr>
          <w:p w14:paraId="7C42118C" w14:textId="2D7AF054"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Adults (</w:t>
            </w:r>
            <w:r w:rsidR="00B233F2" w:rsidRPr="4AA6B923">
              <w:rPr>
                <w:rStyle w:val="normaltextrun"/>
                <w:rFonts w:eastAsia="Arial Narrow" w:cs="Arial Narrow"/>
                <w:color w:val="000000" w:themeColor="text1"/>
                <w:sz w:val="20"/>
                <w:szCs w:val="20"/>
              </w:rPr>
              <w:t>≥</w:t>
            </w:r>
            <w:r w:rsidR="00B03F6B">
              <w:rPr>
                <w:rStyle w:val="normaltextrun"/>
                <w:rFonts w:eastAsia="Arial Narrow" w:cs="Arial Narrow"/>
                <w:color w:val="000000" w:themeColor="text1"/>
                <w:sz w:val="20"/>
                <w:szCs w:val="20"/>
              </w:rPr>
              <w:t xml:space="preserve"> </w:t>
            </w:r>
            <w:r w:rsidRPr="00635341">
              <w:rPr>
                <w:rStyle w:val="normaltextrun"/>
                <w:rFonts w:ascii="Arial Narrow" w:eastAsia="Arial Narrow" w:hAnsi="Arial Narrow" w:cs="Arial Narrow"/>
                <w:color w:val="000000" w:themeColor="text1"/>
                <w:sz w:val="20"/>
                <w:szCs w:val="20"/>
              </w:rPr>
              <w:t>18 years) with NIP-funded risk conditions for pneumococcal disease.</w:t>
            </w:r>
            <w:r w:rsidRPr="00635341">
              <w:rPr>
                <w:rFonts w:ascii="Arial Narrow" w:eastAsia="Arial Narrow" w:hAnsi="Arial Narrow" w:cs="Arial Narrow"/>
                <w:color w:val="000000" w:themeColor="text1"/>
                <w:sz w:val="20"/>
                <w:szCs w:val="20"/>
              </w:rPr>
              <w:t> </w:t>
            </w:r>
          </w:p>
        </w:tc>
        <w:tc>
          <w:tcPr>
            <w:tcW w:w="2373" w:type="dxa"/>
            <w:vAlign w:val="center"/>
          </w:tcPr>
          <w:p w14:paraId="0DA82D29" w14:textId="4466E405"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 xml:space="preserve">15vPCV + </w:t>
            </w:r>
            <w:r w:rsidR="00DB1CDF" w:rsidRPr="00683533">
              <w:rPr>
                <w:rStyle w:val="normaltextrun"/>
                <w:rFonts w:ascii="Arial Narrow" w:eastAsia="Arial Narrow" w:hAnsi="Arial Narrow" w:cs="Arial Narrow"/>
                <w:iCs/>
                <w:color w:val="000000" w:themeColor="text1"/>
                <w:sz w:val="20"/>
                <w:szCs w:val="20"/>
              </w:rPr>
              <w:t xml:space="preserve">2 x </w:t>
            </w:r>
            <w:r w:rsidRPr="00635341">
              <w:rPr>
                <w:rStyle w:val="normaltextrun"/>
                <w:rFonts w:ascii="Arial Narrow" w:eastAsia="Arial Narrow" w:hAnsi="Arial Narrow" w:cs="Arial Narrow"/>
                <w:color w:val="000000" w:themeColor="text1"/>
                <w:sz w:val="20"/>
                <w:szCs w:val="20"/>
              </w:rPr>
              <w:t>23vPPV or  </w:t>
            </w:r>
          </w:p>
          <w:p w14:paraId="07D936C5" w14:textId="36CBAF46"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 xml:space="preserve">13vPCV + </w:t>
            </w:r>
            <w:r w:rsidR="00DB1CDF" w:rsidRPr="00683533">
              <w:rPr>
                <w:rStyle w:val="normaltextrun"/>
                <w:rFonts w:ascii="Arial Narrow" w:eastAsia="Arial Narrow" w:hAnsi="Arial Narrow" w:cs="Arial Narrow"/>
                <w:iCs/>
                <w:color w:val="000000" w:themeColor="text1"/>
                <w:sz w:val="20"/>
                <w:szCs w:val="20"/>
              </w:rPr>
              <w:t xml:space="preserve">2 x </w:t>
            </w:r>
            <w:r w:rsidRPr="00635341">
              <w:rPr>
                <w:rStyle w:val="normaltextrun"/>
                <w:rFonts w:ascii="Arial Narrow" w:eastAsia="Arial Narrow" w:hAnsi="Arial Narrow" w:cs="Arial Narrow"/>
                <w:color w:val="000000" w:themeColor="text1"/>
                <w:sz w:val="20"/>
                <w:szCs w:val="20"/>
              </w:rPr>
              <w:t>23vPPV </w:t>
            </w:r>
          </w:p>
        </w:tc>
      </w:tr>
      <w:tr w:rsidR="00793F8B" w:rsidRPr="00635341" w14:paraId="2C053F38" w14:textId="77777777" w:rsidTr="00822E03">
        <w:trPr>
          <w:trHeight w:val="30"/>
        </w:trPr>
        <w:tc>
          <w:tcPr>
            <w:tcW w:w="1129" w:type="dxa"/>
            <w:vMerge/>
            <w:vAlign w:val="center"/>
          </w:tcPr>
          <w:p w14:paraId="0D7E3B98" w14:textId="77777777" w:rsidR="00793F8B" w:rsidRPr="00635341" w:rsidRDefault="00793F8B" w:rsidP="00793F8B"/>
        </w:tc>
        <w:tc>
          <w:tcPr>
            <w:tcW w:w="5565" w:type="dxa"/>
          </w:tcPr>
          <w:p w14:paraId="3EC0F90E" w14:textId="0CF0FA82" w:rsidR="00793F8B" w:rsidRPr="00237ED7" w:rsidRDefault="00793F8B" w:rsidP="1D639EE8">
            <w:pPr>
              <w:pStyle w:val="TableText0"/>
              <w:jc w:val="center"/>
              <w:rPr>
                <w:b/>
              </w:rPr>
            </w:pPr>
            <w:r w:rsidRPr="1D639EE8">
              <w:rPr>
                <w:rStyle w:val="normaltextrun"/>
                <w:b/>
              </w:rPr>
              <w:t>Expanded NIP populations</w:t>
            </w:r>
          </w:p>
        </w:tc>
        <w:tc>
          <w:tcPr>
            <w:tcW w:w="2373" w:type="dxa"/>
            <w:vAlign w:val="center"/>
          </w:tcPr>
          <w:p w14:paraId="0C1F68D4" w14:textId="77777777" w:rsidR="00793F8B" w:rsidRPr="00237ED7" w:rsidRDefault="00793F8B" w:rsidP="00793F8B">
            <w:pPr>
              <w:pStyle w:val="TableText0"/>
              <w:jc w:val="center"/>
              <w:rPr>
                <w:b/>
                <w:bCs w:val="0"/>
              </w:rPr>
            </w:pPr>
            <w:r w:rsidRPr="00237ED7">
              <w:rPr>
                <w:rStyle w:val="normaltextrun"/>
                <w:b/>
                <w:bCs w:val="0"/>
              </w:rPr>
              <w:t>Comparator</w:t>
            </w:r>
          </w:p>
        </w:tc>
      </w:tr>
      <w:tr w:rsidR="00793F8B" w:rsidRPr="00635341" w14:paraId="5BA25A4A" w14:textId="77777777" w:rsidTr="00822E03">
        <w:trPr>
          <w:trHeight w:val="30"/>
        </w:trPr>
        <w:tc>
          <w:tcPr>
            <w:tcW w:w="1129" w:type="dxa"/>
            <w:vMerge/>
            <w:vAlign w:val="center"/>
          </w:tcPr>
          <w:p w14:paraId="605715A4" w14:textId="77777777" w:rsidR="00793F8B" w:rsidRPr="00635341" w:rsidRDefault="00793F8B" w:rsidP="00793F8B"/>
        </w:tc>
        <w:tc>
          <w:tcPr>
            <w:tcW w:w="5565" w:type="dxa"/>
          </w:tcPr>
          <w:p w14:paraId="07E62DAA" w14:textId="600285A9"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Aboriginal and Torres Strait Islander adults</w:t>
            </w:r>
            <w:r w:rsidRPr="00635341">
              <w:rPr>
                <w:rStyle w:val="normaltextrun"/>
                <w:rFonts w:ascii="Arial" w:eastAsia="Arial" w:hAnsi="Arial"/>
                <w:color w:val="000000" w:themeColor="text1"/>
                <w:sz w:val="20"/>
                <w:szCs w:val="20"/>
              </w:rPr>
              <w:t> </w:t>
            </w:r>
            <w:r w:rsidRPr="00635341">
              <w:rPr>
                <w:rStyle w:val="normaltextrun"/>
                <w:rFonts w:ascii="Arial Narrow" w:eastAsia="Arial Narrow" w:hAnsi="Arial Narrow" w:cs="Arial Narrow"/>
                <w:color w:val="000000" w:themeColor="text1"/>
                <w:sz w:val="20"/>
                <w:szCs w:val="20"/>
              </w:rPr>
              <w:t>aged 25-49 years (regardless of risk conditions)</w:t>
            </w:r>
            <w:r w:rsidRPr="00635341">
              <w:rPr>
                <w:rFonts w:ascii="Arial Narrow" w:eastAsia="Arial Narrow" w:hAnsi="Arial Narrow" w:cs="Arial Narrow"/>
                <w:color w:val="000000" w:themeColor="text1"/>
                <w:sz w:val="20"/>
                <w:szCs w:val="20"/>
              </w:rPr>
              <w:t> </w:t>
            </w:r>
          </w:p>
        </w:tc>
        <w:tc>
          <w:tcPr>
            <w:tcW w:w="2373" w:type="dxa"/>
            <w:vAlign w:val="center"/>
          </w:tcPr>
          <w:p w14:paraId="24729A9E" w14:textId="77777777"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No vaccine </w:t>
            </w:r>
          </w:p>
        </w:tc>
      </w:tr>
      <w:tr w:rsidR="00793F8B" w:rsidRPr="00635341" w14:paraId="1B4DEDFE" w14:textId="77777777" w:rsidTr="00822E03">
        <w:trPr>
          <w:trHeight w:val="1026"/>
        </w:trPr>
        <w:tc>
          <w:tcPr>
            <w:tcW w:w="1129" w:type="dxa"/>
          </w:tcPr>
          <w:p w14:paraId="7E6EC03D" w14:textId="20CCBBEC"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Outcomes </w:t>
            </w:r>
          </w:p>
        </w:tc>
        <w:tc>
          <w:tcPr>
            <w:tcW w:w="7938" w:type="dxa"/>
            <w:gridSpan w:val="2"/>
          </w:tcPr>
          <w:p w14:paraId="0AEFFD02" w14:textId="728424B1" w:rsidR="00793F8B" w:rsidRPr="00635341" w:rsidRDefault="00793F8B" w:rsidP="007B7379">
            <w:pPr>
              <w:pStyle w:val="TableText0"/>
              <w:numPr>
                <w:ilvl w:val="0"/>
                <w:numId w:val="12"/>
              </w:numPr>
              <w:ind w:left="316" w:hanging="284"/>
              <w:rPr>
                <w:rStyle w:val="normaltextrun"/>
                <w:rFonts w:eastAsia="Arial Narrow" w:cs="Arial Narrow"/>
                <w:color w:val="000000" w:themeColor="text1"/>
              </w:rPr>
            </w:pPr>
            <w:r w:rsidRPr="00635341">
              <w:rPr>
                <w:rStyle w:val="normaltextrun"/>
                <w:rFonts w:eastAsia="Arial Narrow" w:cs="Arial Narrow"/>
                <w:color w:val="000000" w:themeColor="text1"/>
                <w:szCs w:val="20"/>
              </w:rPr>
              <w:t>Efficacy</w:t>
            </w:r>
            <w:r w:rsidR="00DB1CDF">
              <w:rPr>
                <w:rStyle w:val="normaltextrun"/>
                <w:rFonts w:eastAsia="Arial Narrow" w:cs="Arial Narrow"/>
                <w:color w:val="000000" w:themeColor="text1"/>
                <w:szCs w:val="20"/>
              </w:rPr>
              <w:t xml:space="preserve"> (</w:t>
            </w:r>
            <w:r w:rsidR="00DB1CDF" w:rsidRPr="00683533">
              <w:rPr>
                <w:rStyle w:val="normaltextrun"/>
                <w:rFonts w:eastAsia="Arial Narrow" w:cs="Arial Narrow"/>
                <w:iCs/>
                <w:color w:val="000000" w:themeColor="text1"/>
                <w:szCs w:val="20"/>
              </w:rPr>
              <w:t>for 13vPCV, not 20vPCV)</w:t>
            </w:r>
            <w:r w:rsidRPr="00635341">
              <w:rPr>
                <w:rStyle w:val="normaltextrun"/>
                <w:rFonts w:eastAsia="Arial Narrow" w:cs="Arial Narrow"/>
                <w:color w:val="000000" w:themeColor="text1"/>
                <w:szCs w:val="20"/>
              </w:rPr>
              <w:t xml:space="preserve">: </w:t>
            </w:r>
            <w:r w:rsidR="00B03F6B">
              <w:rPr>
                <w:rStyle w:val="normaltextrun"/>
                <w:rFonts w:eastAsia="Arial Narrow" w:cs="Arial Narrow"/>
                <w:color w:val="000000" w:themeColor="text1"/>
                <w:szCs w:val="20"/>
              </w:rPr>
              <w:t>c</w:t>
            </w:r>
            <w:r w:rsidRPr="00635341">
              <w:rPr>
                <w:rStyle w:val="normaltextrun"/>
                <w:rFonts w:eastAsia="Arial Narrow" w:cs="Arial Narrow"/>
                <w:color w:val="000000" w:themeColor="text1"/>
                <w:szCs w:val="20"/>
              </w:rPr>
              <w:t>ases of invasive pneumococcal disease (IPD) and pneumococcal pneumonia</w:t>
            </w:r>
            <w:r w:rsidR="00B03F6B">
              <w:rPr>
                <w:rStyle w:val="normaltextrun"/>
                <w:rFonts w:eastAsia="Arial Narrow" w:cs="Arial Narrow"/>
                <w:color w:val="000000" w:themeColor="text1"/>
                <w:szCs w:val="20"/>
              </w:rPr>
              <w:t xml:space="preserve"> </w:t>
            </w:r>
            <w:r w:rsidR="00B03F6B" w:rsidRPr="00683533">
              <w:rPr>
                <w:rStyle w:val="normaltextrun"/>
                <w:rFonts w:eastAsia="Arial Narrow" w:cs="Arial Narrow"/>
                <w:iCs/>
                <w:color w:val="000000" w:themeColor="text1"/>
                <w:szCs w:val="20"/>
              </w:rPr>
              <w:t>(PP)</w:t>
            </w:r>
            <w:r w:rsidRPr="00635341">
              <w:rPr>
                <w:rStyle w:val="normaltextrun"/>
                <w:rFonts w:eastAsia="Arial Narrow" w:cs="Arial Narrow"/>
                <w:color w:val="000000" w:themeColor="text1"/>
                <w:szCs w:val="20"/>
              </w:rPr>
              <w:t>; sequelae of IPD cases; hospitalisations; deaths. </w:t>
            </w:r>
          </w:p>
          <w:p w14:paraId="33C9E0E3" w14:textId="77777777" w:rsidR="00793F8B" w:rsidRPr="00635341" w:rsidRDefault="00793F8B" w:rsidP="007B7379">
            <w:pPr>
              <w:pStyle w:val="TableText0"/>
              <w:numPr>
                <w:ilvl w:val="0"/>
                <w:numId w:val="12"/>
              </w:numPr>
              <w:ind w:left="316" w:hanging="284"/>
              <w:rPr>
                <w:rStyle w:val="normaltextrun"/>
                <w:rFonts w:eastAsia="Arial Narrow" w:cs="Arial Narrow"/>
                <w:color w:val="000000" w:themeColor="text1"/>
              </w:rPr>
            </w:pPr>
            <w:r w:rsidRPr="00635341">
              <w:rPr>
                <w:rStyle w:val="normaltextrun"/>
                <w:rFonts w:eastAsia="Arial Narrow" w:cs="Arial Narrow"/>
                <w:color w:val="000000" w:themeColor="text1"/>
                <w:szCs w:val="20"/>
              </w:rPr>
              <w:t>Immunogenicity. </w:t>
            </w:r>
          </w:p>
          <w:p w14:paraId="1B65612E" w14:textId="21632C16" w:rsidR="00793F8B" w:rsidRPr="00635341" w:rsidRDefault="00793F8B" w:rsidP="007B7379">
            <w:pPr>
              <w:pStyle w:val="TableText0"/>
              <w:numPr>
                <w:ilvl w:val="0"/>
                <w:numId w:val="12"/>
              </w:numPr>
              <w:ind w:left="316" w:hanging="284"/>
              <w:rPr>
                <w:rFonts w:eastAsia="Arial Narrow" w:cs="Arial Narrow"/>
                <w:color w:val="000000" w:themeColor="text1"/>
              </w:rPr>
            </w:pPr>
            <w:r w:rsidRPr="00635341">
              <w:rPr>
                <w:rStyle w:val="normaltextrun"/>
                <w:rFonts w:eastAsia="Arial Narrow" w:cs="Arial Narrow"/>
                <w:color w:val="000000" w:themeColor="text1"/>
                <w:szCs w:val="20"/>
              </w:rPr>
              <w:t>Safety: local reactions</w:t>
            </w:r>
            <w:r w:rsidR="00DD7E70">
              <w:rPr>
                <w:rStyle w:val="normaltextrun"/>
                <w:rFonts w:eastAsia="Arial Narrow" w:cs="Arial Narrow"/>
                <w:color w:val="000000" w:themeColor="text1"/>
                <w:szCs w:val="20"/>
              </w:rPr>
              <w:t>;</w:t>
            </w:r>
            <w:r w:rsidRPr="00635341">
              <w:rPr>
                <w:rStyle w:val="normaltextrun"/>
                <w:rFonts w:eastAsia="Arial Narrow" w:cs="Arial Narrow"/>
                <w:color w:val="000000" w:themeColor="text1"/>
                <w:szCs w:val="20"/>
              </w:rPr>
              <w:t xml:space="preserve"> systemic reactions; serious adverse events; non-serious reactions; adverse events of special interest.</w:t>
            </w:r>
            <w:r w:rsidRPr="00635341">
              <w:rPr>
                <w:rFonts w:eastAsia="Arial Narrow" w:cs="Arial Narrow"/>
                <w:color w:val="000000" w:themeColor="text1"/>
                <w:szCs w:val="20"/>
              </w:rPr>
              <w:t> </w:t>
            </w:r>
          </w:p>
        </w:tc>
      </w:tr>
      <w:tr w:rsidR="00793F8B" w:rsidRPr="00635341" w14:paraId="7FD21478" w14:textId="77777777" w:rsidTr="00694FA9">
        <w:trPr>
          <w:trHeight w:val="528"/>
        </w:trPr>
        <w:tc>
          <w:tcPr>
            <w:tcW w:w="1129" w:type="dxa"/>
          </w:tcPr>
          <w:p w14:paraId="17AFD94E" w14:textId="4F14A31C" w:rsidR="00793F8B" w:rsidRPr="00635341" w:rsidRDefault="00793F8B" w:rsidP="00793F8B">
            <w:pPr>
              <w:jc w:val="left"/>
              <w:rPr>
                <w:rFonts w:ascii="Arial Narrow" w:eastAsia="Arial Narrow" w:hAnsi="Arial Narrow" w:cs="Arial Narrow"/>
                <w:color w:val="000000" w:themeColor="text1"/>
                <w:sz w:val="20"/>
                <w:szCs w:val="20"/>
              </w:rPr>
            </w:pPr>
            <w:r w:rsidRPr="00635341">
              <w:rPr>
                <w:rStyle w:val="normaltextrun"/>
                <w:rFonts w:ascii="Arial Narrow" w:eastAsia="Arial Narrow" w:hAnsi="Arial Narrow" w:cs="Arial Narrow"/>
                <w:color w:val="000000" w:themeColor="text1"/>
                <w:sz w:val="20"/>
                <w:szCs w:val="20"/>
              </w:rPr>
              <w:t>Clinical claim</w:t>
            </w:r>
            <w:r w:rsidRPr="00635341">
              <w:rPr>
                <w:rFonts w:ascii="Arial Narrow" w:eastAsia="Arial Narrow" w:hAnsi="Arial Narrow" w:cs="Arial Narrow"/>
                <w:color w:val="000000" w:themeColor="text1"/>
                <w:sz w:val="20"/>
                <w:szCs w:val="20"/>
              </w:rPr>
              <w:t> </w:t>
            </w:r>
          </w:p>
        </w:tc>
        <w:tc>
          <w:tcPr>
            <w:tcW w:w="7938" w:type="dxa"/>
            <w:gridSpan w:val="2"/>
          </w:tcPr>
          <w:p w14:paraId="2FDEA899" w14:textId="127B4860" w:rsidR="00793F8B" w:rsidRPr="00635341" w:rsidRDefault="00695637" w:rsidP="00822E03">
            <w:pPr>
              <w:pStyle w:val="Tabletext"/>
              <w:rPr>
                <w:rFonts w:eastAsia="Arial Narrow"/>
              </w:rPr>
            </w:pPr>
            <w:r>
              <w:rPr>
                <w:rFonts w:eastAsia="Arial Narrow"/>
                <w:b/>
                <w:bCs/>
              </w:rPr>
              <w:t>Efficacy</w:t>
            </w:r>
            <w:r w:rsidRPr="2BF7D964">
              <w:rPr>
                <w:rFonts w:eastAsia="Arial Narrow"/>
                <w:b/>
                <w:bCs/>
              </w:rPr>
              <w:t xml:space="preserve"> </w:t>
            </w:r>
            <w:r w:rsidR="7B9EEC0C" w:rsidRPr="2BF7D964">
              <w:rPr>
                <w:rFonts w:eastAsia="Arial Narrow"/>
                <w:b/>
                <w:bCs/>
              </w:rPr>
              <w:t>Claim</w:t>
            </w:r>
          </w:p>
          <w:p w14:paraId="3AB821FE" w14:textId="3632A780" w:rsidR="00434771" w:rsidRDefault="7B9EEC0C" w:rsidP="00822E03">
            <w:pPr>
              <w:pStyle w:val="Tabletext"/>
              <w:ind w:left="32"/>
            </w:pPr>
            <w:r w:rsidRPr="00822E03">
              <w:rPr>
                <w:rFonts w:eastAsiaTheme="majorEastAsia" w:cstheme="majorBidi"/>
              </w:rPr>
              <w:t xml:space="preserve">For </w:t>
            </w:r>
            <w:r w:rsidR="00434771">
              <w:t>non-Indigenous adults</w:t>
            </w:r>
            <w:r w:rsidR="00337246">
              <w:t xml:space="preserve"> aged</w:t>
            </w:r>
            <w:r w:rsidR="00434771">
              <w:t xml:space="preserve"> </w:t>
            </w:r>
            <w:r w:rsidR="00434771" w:rsidRPr="00D5529A">
              <w:rPr>
                <w:rFonts w:eastAsiaTheme="majorEastAsia" w:cstheme="majorBidi"/>
                <w:bCs/>
              </w:rPr>
              <w:t>≥ 70 years</w:t>
            </w:r>
            <w:r w:rsidR="00434771">
              <w:rPr>
                <w:rFonts w:eastAsiaTheme="majorEastAsia" w:cstheme="majorBidi"/>
                <w:bCs/>
              </w:rPr>
              <w:t>,</w:t>
            </w:r>
            <w:r w:rsidR="00434771" w:rsidRPr="00D5529A">
              <w:rPr>
                <w:rFonts w:eastAsiaTheme="majorEastAsia" w:cstheme="majorBidi"/>
                <w:bCs/>
              </w:rPr>
              <w:t xml:space="preserve"> </w:t>
            </w:r>
            <w:r w:rsidR="00434771" w:rsidRPr="00002EA5">
              <w:rPr>
                <w:rFonts w:eastAsiaTheme="majorEastAsia" w:cstheme="majorBidi"/>
                <w:bCs/>
              </w:rPr>
              <w:t xml:space="preserve">Aboriginal or Torres Strait Islander adults </w:t>
            </w:r>
            <w:r w:rsidR="00337246">
              <w:rPr>
                <w:rFonts w:eastAsiaTheme="majorEastAsia" w:cstheme="majorBidi"/>
                <w:bCs/>
              </w:rPr>
              <w:t xml:space="preserve">aged </w:t>
            </w:r>
            <w:r w:rsidR="00434771" w:rsidRPr="00002EA5">
              <w:rPr>
                <w:rFonts w:eastAsiaTheme="majorEastAsia" w:cstheme="majorBidi"/>
                <w:bCs/>
              </w:rPr>
              <w:t>≥ 50 years</w:t>
            </w:r>
            <w:r w:rsidR="00434771" w:rsidRPr="00434771">
              <w:rPr>
                <w:rFonts w:eastAsiaTheme="majorEastAsia" w:cstheme="majorBidi"/>
              </w:rPr>
              <w:t xml:space="preserve"> </w:t>
            </w:r>
            <w:r w:rsidR="00434771">
              <w:rPr>
                <w:rFonts w:eastAsiaTheme="majorEastAsia" w:cstheme="majorBidi"/>
              </w:rPr>
              <w:t xml:space="preserve">and </w:t>
            </w:r>
            <w:r w:rsidRPr="00822E03">
              <w:rPr>
                <w:rFonts w:eastAsiaTheme="majorEastAsia" w:cstheme="majorBidi"/>
              </w:rPr>
              <w:t xml:space="preserve">adults </w:t>
            </w:r>
            <w:r w:rsidR="00337246">
              <w:rPr>
                <w:rFonts w:eastAsiaTheme="majorEastAsia" w:cstheme="majorBidi"/>
              </w:rPr>
              <w:t xml:space="preserve">aged </w:t>
            </w:r>
            <w:r w:rsidRPr="00822E03">
              <w:rPr>
                <w:rFonts w:eastAsiaTheme="majorEastAsia" w:cstheme="majorBidi"/>
              </w:rPr>
              <w:t>≥</w:t>
            </w:r>
            <w:r w:rsidR="00822E03">
              <w:rPr>
                <w:rFonts w:eastAsiaTheme="majorEastAsia" w:cstheme="majorBidi"/>
              </w:rPr>
              <w:t xml:space="preserve"> </w:t>
            </w:r>
            <w:r w:rsidRPr="00822E03">
              <w:rPr>
                <w:rFonts w:eastAsiaTheme="majorEastAsia" w:cstheme="majorBidi"/>
              </w:rPr>
              <w:t>18 years</w:t>
            </w:r>
            <w:r w:rsidR="16FC44D1">
              <w:t xml:space="preserve"> with NIP listed risk conditions</w:t>
            </w:r>
            <w:r w:rsidR="00434771">
              <w:t xml:space="preserve">: </w:t>
            </w:r>
          </w:p>
          <w:p w14:paraId="424DD52E" w14:textId="539A4712" w:rsidR="0069485F" w:rsidRPr="00A86088" w:rsidRDefault="0069485F" w:rsidP="007B7379">
            <w:pPr>
              <w:pStyle w:val="Tabletext"/>
              <w:numPr>
                <w:ilvl w:val="0"/>
                <w:numId w:val="12"/>
              </w:numPr>
              <w:ind w:left="599" w:hanging="284"/>
            </w:pPr>
            <w:r>
              <w:t>20vPCV has equivalent efficacy against IPD and PP to 13vPCV</w:t>
            </w:r>
            <w:r w:rsidR="00DB1CDF">
              <w:t xml:space="preserve"> (15vPCV)</w:t>
            </w:r>
            <w:r>
              <w:t xml:space="preserve"> for the shared serotypes and superior efficacy against IPD and PP for the additional 7</w:t>
            </w:r>
            <w:r w:rsidR="00DB1CDF">
              <w:t xml:space="preserve"> (5)</w:t>
            </w:r>
            <w:r>
              <w:t xml:space="preserve"> serotypes</w:t>
            </w:r>
            <w:r w:rsidR="00822E03">
              <w:t>.</w:t>
            </w:r>
          </w:p>
          <w:p w14:paraId="75B79AE1" w14:textId="77777777" w:rsidR="0069485F" w:rsidRPr="00A86088" w:rsidRDefault="0069485F" w:rsidP="00822E03">
            <w:pPr>
              <w:pStyle w:val="Tabletext"/>
              <w:ind w:left="316" w:hanging="284"/>
            </w:pPr>
          </w:p>
          <w:p w14:paraId="2234EB5E" w14:textId="15D058B8" w:rsidR="0069485F" w:rsidRDefault="0069485F" w:rsidP="00822E03">
            <w:pPr>
              <w:pStyle w:val="Tabletext"/>
              <w:ind w:left="316" w:hanging="284"/>
            </w:pPr>
            <w:r>
              <w:t>For Aboriginal and Torres Strait Islander adults aged 25-49</w:t>
            </w:r>
            <w:r w:rsidR="00337246">
              <w:t xml:space="preserve"> years</w:t>
            </w:r>
            <w:r>
              <w:t>:</w:t>
            </w:r>
          </w:p>
          <w:p w14:paraId="33E2F25A" w14:textId="66441C59" w:rsidR="0069485F" w:rsidRPr="002B63A2" w:rsidRDefault="0069485F" w:rsidP="007B7379">
            <w:pPr>
              <w:pStyle w:val="Tabletext"/>
              <w:numPr>
                <w:ilvl w:val="0"/>
                <w:numId w:val="12"/>
              </w:numPr>
              <w:ind w:left="599" w:hanging="284"/>
            </w:pPr>
            <w:r w:rsidRPr="002B63A2">
              <w:t>20vPCV has superior efficacy against IPD and PP to no vaccine</w:t>
            </w:r>
            <w:r w:rsidR="009900AC">
              <w:t>.</w:t>
            </w:r>
          </w:p>
          <w:p w14:paraId="6C61048E" w14:textId="77777777" w:rsidR="00822E03" w:rsidRPr="002B63A2" w:rsidRDefault="00822E03" w:rsidP="00822E03">
            <w:pPr>
              <w:pStyle w:val="Tabletext"/>
              <w:ind w:left="316"/>
            </w:pPr>
          </w:p>
          <w:p w14:paraId="204B63EC" w14:textId="576E0C84" w:rsidR="00793F8B" w:rsidRDefault="7A3ECB3A" w:rsidP="00822E03">
            <w:pPr>
              <w:pStyle w:val="Tabletext"/>
              <w:ind w:left="316" w:hanging="284"/>
              <w:rPr>
                <w:b/>
                <w:bCs/>
              </w:rPr>
            </w:pPr>
            <w:r w:rsidRPr="7C80ED40">
              <w:rPr>
                <w:b/>
                <w:bCs/>
              </w:rPr>
              <w:t>Safety Claim</w:t>
            </w:r>
          </w:p>
          <w:p w14:paraId="20D86924" w14:textId="6740D68F" w:rsidR="0069485F" w:rsidRDefault="0069485F" w:rsidP="00822E03">
            <w:pPr>
              <w:pStyle w:val="Tabletext"/>
              <w:ind w:left="32"/>
            </w:pPr>
            <w:r w:rsidRPr="004B2A04">
              <w:rPr>
                <w:rFonts w:eastAsiaTheme="majorEastAsia" w:cstheme="majorBidi"/>
              </w:rPr>
              <w:t xml:space="preserve">For </w:t>
            </w:r>
            <w:r>
              <w:t>non-Indigenous adults</w:t>
            </w:r>
            <w:r w:rsidR="00337246">
              <w:t xml:space="preserve"> aged</w:t>
            </w:r>
            <w:r>
              <w:t xml:space="preserve"> </w:t>
            </w:r>
            <w:r w:rsidRPr="00D5529A">
              <w:rPr>
                <w:rFonts w:eastAsiaTheme="majorEastAsia" w:cstheme="majorBidi"/>
                <w:bCs/>
              </w:rPr>
              <w:t>≥ 70 years</w:t>
            </w:r>
            <w:r>
              <w:rPr>
                <w:rFonts w:eastAsiaTheme="majorEastAsia" w:cstheme="majorBidi"/>
                <w:bCs/>
              </w:rPr>
              <w:t>,</w:t>
            </w:r>
            <w:r w:rsidRPr="00D5529A">
              <w:rPr>
                <w:rFonts w:eastAsiaTheme="majorEastAsia" w:cstheme="majorBidi"/>
                <w:bCs/>
              </w:rPr>
              <w:t xml:space="preserve"> </w:t>
            </w:r>
            <w:r w:rsidRPr="00002EA5">
              <w:rPr>
                <w:rFonts w:eastAsiaTheme="majorEastAsia" w:cstheme="majorBidi"/>
                <w:bCs/>
              </w:rPr>
              <w:t>Aboriginal or Torres Strait Islander adults</w:t>
            </w:r>
            <w:r w:rsidR="00337246">
              <w:rPr>
                <w:rFonts w:eastAsiaTheme="majorEastAsia" w:cstheme="majorBidi"/>
                <w:bCs/>
              </w:rPr>
              <w:t xml:space="preserve"> aged</w:t>
            </w:r>
            <w:r w:rsidRPr="00002EA5">
              <w:rPr>
                <w:rFonts w:eastAsiaTheme="majorEastAsia" w:cstheme="majorBidi"/>
                <w:bCs/>
              </w:rPr>
              <w:t xml:space="preserve"> ≥ 50 years</w:t>
            </w:r>
            <w:r w:rsidRPr="00434771">
              <w:rPr>
                <w:rFonts w:eastAsiaTheme="majorEastAsia" w:cstheme="majorBidi"/>
              </w:rPr>
              <w:t xml:space="preserve"> </w:t>
            </w:r>
            <w:r>
              <w:rPr>
                <w:rFonts w:eastAsiaTheme="majorEastAsia" w:cstheme="majorBidi"/>
              </w:rPr>
              <w:t xml:space="preserve">and </w:t>
            </w:r>
            <w:r w:rsidRPr="004B2A04">
              <w:rPr>
                <w:rFonts w:eastAsiaTheme="majorEastAsia" w:cstheme="majorBidi"/>
              </w:rPr>
              <w:t xml:space="preserve">adults </w:t>
            </w:r>
            <w:r w:rsidR="00337246">
              <w:rPr>
                <w:rFonts w:eastAsiaTheme="majorEastAsia" w:cstheme="majorBidi"/>
              </w:rPr>
              <w:t xml:space="preserve">aged </w:t>
            </w:r>
            <w:r w:rsidRPr="004B2A04">
              <w:rPr>
                <w:rFonts w:eastAsiaTheme="majorEastAsia" w:cstheme="majorBidi"/>
                <w:bCs/>
              </w:rPr>
              <w:t>≥ 18 years</w:t>
            </w:r>
            <w:r>
              <w:t xml:space="preserve"> with NIP listed risk conditions: </w:t>
            </w:r>
          </w:p>
          <w:p w14:paraId="0DF22446" w14:textId="5EED182C" w:rsidR="0069485F" w:rsidRDefault="0069485F" w:rsidP="007B7379">
            <w:pPr>
              <w:pStyle w:val="Tabletext"/>
              <w:numPr>
                <w:ilvl w:val="0"/>
                <w:numId w:val="12"/>
              </w:numPr>
              <w:ind w:left="599" w:hanging="284"/>
            </w:pPr>
            <w:r w:rsidRPr="00A86088">
              <w:t>20vPCV has equivalent safety to 13vPCV and 15vPCV</w:t>
            </w:r>
            <w:r w:rsidR="00337246">
              <w:t>.</w:t>
            </w:r>
          </w:p>
          <w:p w14:paraId="42092030" w14:textId="77777777" w:rsidR="0069485F" w:rsidRDefault="0069485F" w:rsidP="00822E03">
            <w:pPr>
              <w:pStyle w:val="Tabletext"/>
              <w:ind w:left="316" w:hanging="284"/>
            </w:pPr>
            <w:r>
              <w:t>For Aboriginal and Torres Strait Islander adults aged 25-49:</w:t>
            </w:r>
          </w:p>
          <w:p w14:paraId="0B9C2207" w14:textId="3338A7C6" w:rsidR="00793F8B" w:rsidRPr="00822E03" w:rsidRDefault="0069485F" w:rsidP="007B7379">
            <w:pPr>
              <w:pStyle w:val="Tabletext"/>
              <w:numPr>
                <w:ilvl w:val="0"/>
                <w:numId w:val="12"/>
              </w:numPr>
              <w:ind w:left="599" w:hanging="284"/>
              <w:rPr>
                <w:rFonts w:ascii="Arial" w:eastAsiaTheme="minorHAnsi" w:hAnsi="Arial" w:cstheme="minorBidi"/>
                <w:sz w:val="18"/>
                <w:szCs w:val="22"/>
              </w:rPr>
            </w:pPr>
            <w:r w:rsidRPr="002B63A2">
              <w:t>20vPCV has inferior safety to no vaccine</w:t>
            </w:r>
            <w:r w:rsidR="00337246">
              <w:t>.</w:t>
            </w:r>
          </w:p>
        </w:tc>
      </w:tr>
    </w:tbl>
    <w:p w14:paraId="39684D0F" w14:textId="37739067" w:rsidR="007D4D11" w:rsidRDefault="007D4D11" w:rsidP="007D4D11">
      <w:pPr>
        <w:pStyle w:val="FooterTableFigure"/>
        <w:rPr>
          <w:rFonts w:eastAsia="Arial Narrow" w:cs="Arial Narrow"/>
          <w:color w:val="000000" w:themeColor="text1"/>
          <w:szCs w:val="18"/>
          <w:lang w:val="en-US"/>
        </w:rPr>
      </w:pPr>
      <w:r w:rsidRPr="665DC62B">
        <w:rPr>
          <w:rFonts w:eastAsia="Arial Narrow" w:cs="Arial Narrow"/>
          <w:color w:val="000000" w:themeColor="text1"/>
          <w:szCs w:val="18"/>
        </w:rPr>
        <w:t>Source: Table 1.1.1, p4-5-S1 of the submission.</w:t>
      </w:r>
    </w:p>
    <w:p w14:paraId="71610FE3" w14:textId="02EA19FE" w:rsidR="007D4D11" w:rsidRDefault="007D4D11" w:rsidP="007D4D11">
      <w:pPr>
        <w:pStyle w:val="FooterTableFigure"/>
        <w:rPr>
          <w:rFonts w:eastAsia="Arial Narrow" w:cs="Arial Narrow"/>
          <w:color w:val="000000" w:themeColor="text1"/>
        </w:rPr>
      </w:pPr>
      <w:r w:rsidRPr="4AA6B923">
        <w:rPr>
          <w:rFonts w:eastAsia="Arial Narrow" w:cs="Arial Narrow"/>
          <w:color w:val="000000" w:themeColor="text1"/>
        </w:rPr>
        <w:t>Abbreviations:13vPCV, 13</w:t>
      </w:r>
      <w:r w:rsidR="00C82D65">
        <w:rPr>
          <w:rFonts w:eastAsia="Arial Narrow" w:cs="Arial Narrow"/>
          <w:color w:val="000000" w:themeColor="text1"/>
        </w:rPr>
        <w:t xml:space="preserve"> </w:t>
      </w:r>
      <w:r w:rsidRPr="4AA6B923">
        <w:rPr>
          <w:rFonts w:eastAsia="Arial Narrow" w:cs="Arial Narrow"/>
          <w:color w:val="000000" w:themeColor="text1"/>
        </w:rPr>
        <w:t xml:space="preserve">valent pneumococcal conjugate </w:t>
      </w:r>
      <w:proofErr w:type="gramStart"/>
      <w:r w:rsidRPr="4AA6B923">
        <w:rPr>
          <w:rFonts w:eastAsia="Arial Narrow" w:cs="Arial Narrow"/>
          <w:color w:val="000000" w:themeColor="text1"/>
        </w:rPr>
        <w:t>vaccine</w:t>
      </w:r>
      <w:proofErr w:type="gramEnd"/>
      <w:r w:rsidRPr="4AA6B923">
        <w:rPr>
          <w:rFonts w:eastAsia="Arial Narrow" w:cs="Arial Narrow"/>
          <w:color w:val="000000" w:themeColor="text1"/>
        </w:rPr>
        <w:t>; 15vPCV, 15</w:t>
      </w:r>
      <w:r w:rsidR="00C82D65">
        <w:rPr>
          <w:rFonts w:eastAsia="Arial Narrow" w:cs="Arial Narrow"/>
          <w:color w:val="000000" w:themeColor="text1"/>
        </w:rPr>
        <w:t xml:space="preserve"> </w:t>
      </w:r>
      <w:r w:rsidRPr="4AA6B923">
        <w:rPr>
          <w:rFonts w:eastAsia="Arial Narrow" w:cs="Arial Narrow"/>
          <w:color w:val="000000" w:themeColor="text1"/>
        </w:rPr>
        <w:t xml:space="preserve">valent pneumococcal conjugate vaccine; </w:t>
      </w:r>
      <w:r w:rsidR="09477D4A" w:rsidRPr="78DD89F2">
        <w:rPr>
          <w:rFonts w:eastAsia="Arial Narrow" w:cs="Arial Narrow"/>
          <w:color w:val="000000" w:themeColor="text1"/>
        </w:rPr>
        <w:t>20vPCV, 20</w:t>
      </w:r>
      <w:r w:rsidR="00C82D65">
        <w:rPr>
          <w:rFonts w:eastAsia="Arial Narrow" w:cs="Arial Narrow"/>
          <w:color w:val="000000" w:themeColor="text1"/>
        </w:rPr>
        <w:t xml:space="preserve"> </w:t>
      </w:r>
      <w:r w:rsidR="09477D4A" w:rsidRPr="78DD89F2">
        <w:rPr>
          <w:rFonts w:eastAsia="Arial Narrow" w:cs="Arial Narrow"/>
          <w:color w:val="000000" w:themeColor="text1"/>
        </w:rPr>
        <w:t>valent pneumococcal conjugate vaccine;</w:t>
      </w:r>
      <w:r w:rsidRPr="78DD89F2">
        <w:rPr>
          <w:rFonts w:eastAsia="Arial Narrow" w:cs="Arial Narrow"/>
          <w:color w:val="000000" w:themeColor="text1"/>
        </w:rPr>
        <w:t xml:space="preserve"> </w:t>
      </w:r>
      <w:r w:rsidRPr="4AA6B923">
        <w:rPr>
          <w:rFonts w:eastAsia="Arial Narrow" w:cs="Arial Narrow"/>
          <w:color w:val="000000" w:themeColor="text1"/>
        </w:rPr>
        <w:t>23vPPV, 23</w:t>
      </w:r>
      <w:r w:rsidR="00C82D65">
        <w:rPr>
          <w:rFonts w:eastAsia="Arial Narrow" w:cs="Arial Narrow"/>
          <w:color w:val="000000" w:themeColor="text1"/>
        </w:rPr>
        <w:t xml:space="preserve"> </w:t>
      </w:r>
      <w:r w:rsidRPr="4AA6B923">
        <w:rPr>
          <w:rFonts w:eastAsia="Arial Narrow" w:cs="Arial Narrow"/>
          <w:color w:val="000000" w:themeColor="text1"/>
        </w:rPr>
        <w:t>valent pneumococcal polysaccharide vaccine;</w:t>
      </w:r>
      <w:r w:rsidR="00F442B2">
        <w:rPr>
          <w:rFonts w:eastAsia="Arial Narrow" w:cs="Arial Narrow"/>
          <w:color w:val="000000" w:themeColor="text1"/>
        </w:rPr>
        <w:t xml:space="preserve"> </w:t>
      </w:r>
      <w:r w:rsidR="005C61AA" w:rsidRPr="5D6993B2">
        <w:rPr>
          <w:rFonts w:eastAsia="Arial Narrow" w:cs="Arial Narrow"/>
          <w:color w:val="000000" w:themeColor="text1"/>
        </w:rPr>
        <w:t xml:space="preserve">IPD, invasive </w:t>
      </w:r>
      <w:r w:rsidR="005C61AA" w:rsidRPr="38374DD3">
        <w:rPr>
          <w:rFonts w:eastAsia="Arial Narrow" w:cs="Arial Narrow"/>
          <w:color w:val="000000" w:themeColor="text1"/>
        </w:rPr>
        <w:t>pneumococcal</w:t>
      </w:r>
      <w:r w:rsidR="005C61AA" w:rsidRPr="5D6993B2">
        <w:rPr>
          <w:rFonts w:eastAsia="Arial Narrow" w:cs="Arial Narrow"/>
          <w:color w:val="000000" w:themeColor="text1"/>
        </w:rPr>
        <w:t xml:space="preserve"> disease</w:t>
      </w:r>
      <w:r w:rsidR="1CFD728C" w:rsidRPr="78DD89F2">
        <w:rPr>
          <w:rFonts w:eastAsia="Arial Narrow" w:cs="Arial Narrow"/>
          <w:color w:val="000000" w:themeColor="text1"/>
        </w:rPr>
        <w:t>;</w:t>
      </w:r>
      <w:r w:rsidR="005C61AA" w:rsidRPr="4AA6B923">
        <w:rPr>
          <w:rFonts w:eastAsia="Arial Narrow" w:cs="Arial Narrow"/>
          <w:color w:val="000000" w:themeColor="text1"/>
        </w:rPr>
        <w:t xml:space="preserve"> </w:t>
      </w:r>
      <w:r w:rsidRPr="4AA6B923">
        <w:rPr>
          <w:rFonts w:eastAsia="Arial Narrow" w:cs="Arial Narrow"/>
          <w:color w:val="000000" w:themeColor="text1"/>
        </w:rPr>
        <w:t xml:space="preserve">NIP, National Immunisation Program; </w:t>
      </w:r>
      <w:r w:rsidR="005C61AA">
        <w:rPr>
          <w:rFonts w:eastAsia="Arial Narrow" w:cs="Arial Narrow"/>
          <w:color w:val="000000" w:themeColor="text1"/>
        </w:rPr>
        <w:t>PP, pneumococcal pneumonia</w:t>
      </w:r>
    </w:p>
    <w:p w14:paraId="04D6204D" w14:textId="26BBCA2A" w:rsidR="007D4D11" w:rsidRPr="00CD5C51" w:rsidRDefault="007D4D11" w:rsidP="00AA77E6">
      <w:pPr>
        <w:pStyle w:val="2-SectionHeading"/>
        <w:numPr>
          <w:ilvl w:val="0"/>
          <w:numId w:val="15"/>
        </w:numPr>
        <w:spacing w:after="120"/>
        <w:jc w:val="left"/>
        <w:outlineLvl w:val="0"/>
        <w:rPr>
          <w:rFonts w:asciiTheme="minorHAnsi" w:hAnsiTheme="minorHAnsi"/>
          <w:bCs w:val="0"/>
          <w:snapToGrid w:val="0"/>
        </w:rPr>
      </w:pPr>
      <w:bookmarkStart w:id="4" w:name="_Toc114061390"/>
      <w:r w:rsidRPr="00CD5C51">
        <w:rPr>
          <w:rFonts w:asciiTheme="minorHAnsi" w:hAnsiTheme="minorHAnsi"/>
          <w:bCs w:val="0"/>
          <w:snapToGrid w:val="0"/>
        </w:rPr>
        <w:lastRenderedPageBreak/>
        <w:t>Background</w:t>
      </w:r>
      <w:bookmarkEnd w:id="4"/>
    </w:p>
    <w:p w14:paraId="25A1EB16" w14:textId="44661C74" w:rsidR="007D4D11" w:rsidRPr="004151CF" w:rsidRDefault="007D4D11" w:rsidP="007D4D11">
      <w:pPr>
        <w:pStyle w:val="4-SubsectionHeading"/>
      </w:pPr>
      <w:bookmarkStart w:id="5" w:name="_Toc22897638"/>
      <w:bookmarkStart w:id="6" w:name="_Toc114061391"/>
      <w:r w:rsidRPr="004151CF">
        <w:t>Registration status</w:t>
      </w:r>
      <w:bookmarkEnd w:id="5"/>
      <w:bookmarkEnd w:id="6"/>
    </w:p>
    <w:p w14:paraId="6B9B0655" w14:textId="0426D73F" w:rsidR="00C13EAD" w:rsidRPr="00B03F6B" w:rsidRDefault="00001074" w:rsidP="00227608">
      <w:pPr>
        <w:pStyle w:val="3-BodyText"/>
        <w:numPr>
          <w:ilvl w:val="1"/>
          <w:numId w:val="23"/>
        </w:numPr>
      </w:pPr>
      <w:bookmarkStart w:id="7" w:name="_Toc22897639"/>
      <w:r>
        <w:t xml:space="preserve">TGA status at time of PBAC consideration: not registered. </w:t>
      </w:r>
      <w:r w:rsidR="007D4D11" w:rsidRPr="00AA6D0E">
        <w:t xml:space="preserve">The submission was made under the TGA/PBAC Parallel Process. </w:t>
      </w:r>
      <w:r w:rsidR="00C13EAD" w:rsidRPr="00AA6D0E">
        <w:t xml:space="preserve"> </w:t>
      </w:r>
      <w:r>
        <w:rPr>
          <w:iCs/>
        </w:rPr>
        <w:t>At the time of PBAC consideration, the</w:t>
      </w:r>
      <w:r w:rsidRPr="00AA6D0E">
        <w:rPr>
          <w:iCs/>
        </w:rPr>
        <w:t xml:space="preserve"> </w:t>
      </w:r>
      <w:r w:rsidR="00B03F6B" w:rsidRPr="00AA6D0E">
        <w:rPr>
          <w:iCs/>
        </w:rPr>
        <w:t>TGA Delegate’s Overview</w:t>
      </w:r>
      <w:r w:rsidR="00B03F6B" w:rsidRPr="00AA6D0E">
        <w:t xml:space="preserve"> </w:t>
      </w:r>
      <w:r w:rsidR="00B03F6B" w:rsidRPr="00AA6D0E">
        <w:rPr>
          <w:iCs/>
        </w:rPr>
        <w:t>was</w:t>
      </w:r>
      <w:r>
        <w:rPr>
          <w:iCs/>
        </w:rPr>
        <w:t xml:space="preserve"> available</w:t>
      </w:r>
      <w:r w:rsidR="00B03F6B" w:rsidRPr="00AA6D0E">
        <w:rPr>
          <w:iCs/>
        </w:rPr>
        <w:t>.</w:t>
      </w:r>
      <w:r w:rsidR="00B03F6B" w:rsidRPr="00735552">
        <w:t xml:space="preserve"> </w:t>
      </w:r>
      <w:r w:rsidR="00C13EAD" w:rsidRPr="00B03F6B">
        <w:t xml:space="preserve">The </w:t>
      </w:r>
      <w:r w:rsidR="00B03F6B" w:rsidRPr="00683533">
        <w:rPr>
          <w:iCs/>
        </w:rPr>
        <w:t>proposed</w:t>
      </w:r>
      <w:r w:rsidR="00B03F6B" w:rsidRPr="00B03F6B">
        <w:t xml:space="preserve"> </w:t>
      </w:r>
      <w:r w:rsidR="00C13EAD" w:rsidRPr="00B03F6B">
        <w:t xml:space="preserve">TGA indication for 20vPCV </w:t>
      </w:r>
      <w:r>
        <w:t>wa</w:t>
      </w:r>
      <w:r w:rsidR="00C13EAD" w:rsidRPr="00B03F6B">
        <w:t>s:</w:t>
      </w:r>
    </w:p>
    <w:p w14:paraId="67BB58DD" w14:textId="5D02A88E" w:rsidR="002B43B5" w:rsidRDefault="002B43B5" w:rsidP="00337246">
      <w:pPr>
        <w:pStyle w:val="3-BodyText"/>
        <w:numPr>
          <w:ilvl w:val="0"/>
          <w:numId w:val="0"/>
        </w:numPr>
        <w:ind w:left="720"/>
      </w:pPr>
      <w:r w:rsidRPr="00B03F6B">
        <w:t xml:space="preserve">Active immunisation for the prevention of invasive disease and pneumonia caused by Streptococcus pneumoniae </w:t>
      </w:r>
      <w:r w:rsidR="00924B4F" w:rsidRPr="00825086">
        <w:rPr>
          <w:rStyle w:val="normaltextrun"/>
        </w:rPr>
        <w:t>(</w:t>
      </w:r>
      <w:r w:rsidR="00924B4F" w:rsidRPr="00924B4F">
        <w:rPr>
          <w:rStyle w:val="normaltextrun"/>
          <w:i/>
        </w:rPr>
        <w:t>S. pneumoniae</w:t>
      </w:r>
      <w:r w:rsidR="00924B4F" w:rsidRPr="00924B4F">
        <w:rPr>
          <w:rStyle w:val="normaltextrun"/>
          <w:iCs/>
        </w:rPr>
        <w:t>)</w:t>
      </w:r>
      <w:r w:rsidR="00924B4F">
        <w:rPr>
          <w:rStyle w:val="normaltextrun"/>
          <w:i/>
        </w:rPr>
        <w:t xml:space="preserve"> </w:t>
      </w:r>
      <w:r w:rsidRPr="00B03F6B">
        <w:t>serotypes 1, 3, 4, 5, 6A, 6B, 7F, 8, 9V, 10A, 11A, 12F, 14, 15B, 18C, 19A, 19F, 22F, 23F, and 33F in adults 18 years of age and older. Prevenar 20 should be used in accordance with official recommendations.</w:t>
      </w:r>
    </w:p>
    <w:p w14:paraId="6D499201" w14:textId="1AB04071" w:rsidR="00B03F6B" w:rsidRPr="00694FA9" w:rsidRDefault="00B03F6B" w:rsidP="00227608">
      <w:pPr>
        <w:pStyle w:val="3-BodyText"/>
        <w:numPr>
          <w:ilvl w:val="1"/>
          <w:numId w:val="23"/>
        </w:numPr>
      </w:pPr>
      <w:r w:rsidRPr="00683533">
        <w:rPr>
          <w:iCs/>
        </w:rPr>
        <w:t>20vPCV received an accelerated approval by the United States Food and Drug Administration (FDA) in June 2021.</w:t>
      </w:r>
      <w:r>
        <w:t xml:space="preserve"> </w:t>
      </w:r>
      <w:r w:rsidRPr="00683533">
        <w:rPr>
          <w:iCs/>
        </w:rPr>
        <w:t>Approval was based on immune responses as measured by opsonophagocytic activity (OPA) assay and was</w:t>
      </w:r>
      <w:r>
        <w:t xml:space="preserve"> </w:t>
      </w:r>
      <w:r w:rsidRPr="00683533">
        <w:rPr>
          <w:iCs/>
        </w:rPr>
        <w:t>contingent upon verification of clinical benefit in a confirmatory trial. The European Medicines Agency (EMA) approved 20vPCV in December 2021. The EMA requested post-authorisation efficacy studies to confirm long-term effectiveness.</w:t>
      </w:r>
    </w:p>
    <w:p w14:paraId="05A8C583" w14:textId="1749C54F" w:rsidR="002D319C" w:rsidRPr="00337246" w:rsidRDefault="002D319C" w:rsidP="00337246">
      <w:pPr>
        <w:pStyle w:val="4-SubsectionHeading"/>
      </w:pPr>
      <w:bookmarkStart w:id="8" w:name="_Toc114061392"/>
      <w:r w:rsidRPr="00337246">
        <w:t xml:space="preserve">Previous PBAC </w:t>
      </w:r>
      <w:r w:rsidR="009F1772" w:rsidRPr="00337246">
        <w:t>c</w:t>
      </w:r>
      <w:r w:rsidRPr="00337246">
        <w:t>onsiderations</w:t>
      </w:r>
      <w:bookmarkEnd w:id="8"/>
      <w:r w:rsidRPr="00337246">
        <w:t xml:space="preserve">  </w:t>
      </w:r>
    </w:p>
    <w:p w14:paraId="7CAD143F" w14:textId="339AA7A4" w:rsidR="00926026" w:rsidRDefault="00926026" w:rsidP="00AA77E6">
      <w:pPr>
        <w:pStyle w:val="3-BodyText"/>
        <w:numPr>
          <w:ilvl w:val="1"/>
          <w:numId w:val="15"/>
        </w:numPr>
      </w:pPr>
      <w:r>
        <w:t xml:space="preserve">There have been no previous PBAC considerations for 20vPCV. </w:t>
      </w:r>
    </w:p>
    <w:p w14:paraId="77501F86" w14:textId="18C94369" w:rsidR="002D319C" w:rsidRDefault="002D319C" w:rsidP="00AA77E6">
      <w:pPr>
        <w:pStyle w:val="3-BodyText"/>
        <w:numPr>
          <w:ilvl w:val="1"/>
          <w:numId w:val="15"/>
        </w:numPr>
      </w:pPr>
      <w:r>
        <w:t xml:space="preserve">The PBAC has previously considered </w:t>
      </w:r>
      <w:r w:rsidR="00A80419">
        <w:t>four</w:t>
      </w:r>
      <w:r>
        <w:t xml:space="preserve"> submissions for 13vPCV and </w:t>
      </w:r>
      <w:r w:rsidR="00A80419">
        <w:t>one</w:t>
      </w:r>
      <w:r>
        <w:t xml:space="preserve"> for 15vPCV. A summary of these submissions is presented in </w:t>
      </w:r>
      <w:r w:rsidR="00587284">
        <w:t>the table below</w:t>
      </w:r>
      <w:r w:rsidR="00DC564D" w:rsidRPr="00A81564">
        <w:t>.</w:t>
      </w:r>
    </w:p>
    <w:p w14:paraId="4803EFFC" w14:textId="6E7D1E00" w:rsidR="002D319C" w:rsidRPr="004E375B" w:rsidRDefault="002D319C" w:rsidP="00F2769B">
      <w:pPr>
        <w:pStyle w:val="Caption"/>
        <w:keepLines w:val="0"/>
        <w:widowControl w:val="0"/>
        <w:rPr>
          <w:rStyle w:val="CommentReference"/>
          <w:snapToGrid w:val="0"/>
        </w:rPr>
      </w:pPr>
      <w:r w:rsidRPr="00A81564">
        <w:rPr>
          <w:rStyle w:val="CommentReference"/>
          <w:b/>
        </w:rPr>
        <w:t xml:space="preserve">Table </w:t>
      </w:r>
      <w:r w:rsidR="00A81564" w:rsidRPr="00A81564">
        <w:rPr>
          <w:rStyle w:val="CommentReference"/>
          <w:b/>
          <w:bCs/>
        </w:rPr>
        <w:fldChar w:fldCharType="begin"/>
      </w:r>
      <w:r w:rsidR="00A81564" w:rsidRPr="00A81564">
        <w:rPr>
          <w:rStyle w:val="CommentReference"/>
          <w:b/>
          <w:bCs/>
        </w:rPr>
        <w:instrText xml:space="preserve"> SEQ Table \* ARABIC </w:instrText>
      </w:r>
      <w:r w:rsidR="00A81564" w:rsidRPr="00A81564">
        <w:rPr>
          <w:rStyle w:val="CommentReference"/>
          <w:b/>
          <w:bCs/>
        </w:rPr>
        <w:fldChar w:fldCharType="separate"/>
      </w:r>
      <w:r w:rsidR="00137984">
        <w:rPr>
          <w:rStyle w:val="CommentReference"/>
          <w:b/>
          <w:bCs/>
          <w:noProof/>
        </w:rPr>
        <w:t>2</w:t>
      </w:r>
      <w:r w:rsidR="00A81564" w:rsidRPr="00A81564">
        <w:rPr>
          <w:rStyle w:val="CommentReference"/>
          <w:b/>
          <w:bCs/>
        </w:rPr>
        <w:fldChar w:fldCharType="end"/>
      </w:r>
      <w:r w:rsidRPr="00A81564">
        <w:rPr>
          <w:rStyle w:val="CommentReference"/>
          <w:b/>
          <w:bCs/>
        </w:rPr>
        <w:t>:</w:t>
      </w:r>
      <w:r w:rsidRPr="00A81564">
        <w:rPr>
          <w:rStyle w:val="CommentReference"/>
          <w:b/>
        </w:rPr>
        <w:t xml:space="preserve"> Summary of PBAC considerations of pneumococcal vaccine for adults</w:t>
      </w:r>
    </w:p>
    <w:tbl>
      <w:tblPr>
        <w:tblStyle w:val="TableGrid"/>
        <w:tblW w:w="5000" w:type="pct"/>
        <w:tblLook w:val="04A0" w:firstRow="1" w:lastRow="0" w:firstColumn="1" w:lastColumn="0" w:noHBand="0" w:noVBand="1"/>
      </w:tblPr>
      <w:tblGrid>
        <w:gridCol w:w="1414"/>
        <w:gridCol w:w="2692"/>
        <w:gridCol w:w="4911"/>
      </w:tblGrid>
      <w:tr w:rsidR="00011CD3" w:rsidRPr="00B03F6B" w14:paraId="592AC6F7" w14:textId="77777777" w:rsidTr="0045783E">
        <w:trPr>
          <w:tblHeader/>
        </w:trPr>
        <w:tc>
          <w:tcPr>
            <w:tcW w:w="784" w:type="pct"/>
            <w:shd w:val="clear" w:color="auto" w:fill="auto"/>
          </w:tcPr>
          <w:p w14:paraId="2C88B329" w14:textId="77777777" w:rsidR="0030695B" w:rsidRPr="00B03F6B" w:rsidRDefault="0030695B" w:rsidP="00084079">
            <w:pPr>
              <w:pStyle w:val="TableHeading0"/>
              <w:widowControl w:val="0"/>
              <w:rPr>
                <w:szCs w:val="20"/>
              </w:rPr>
            </w:pPr>
            <w:r w:rsidRPr="00B03F6B">
              <w:rPr>
                <w:szCs w:val="20"/>
              </w:rPr>
              <w:t>PBAC meeting</w:t>
            </w:r>
          </w:p>
        </w:tc>
        <w:tc>
          <w:tcPr>
            <w:tcW w:w="1493" w:type="pct"/>
            <w:shd w:val="clear" w:color="auto" w:fill="auto"/>
          </w:tcPr>
          <w:p w14:paraId="134DE691" w14:textId="77777777" w:rsidR="0030695B" w:rsidRPr="00DD7E70" w:rsidRDefault="0030695B" w:rsidP="0045783E">
            <w:pPr>
              <w:pStyle w:val="TableHeading0"/>
              <w:widowControl w:val="0"/>
              <w:jc w:val="center"/>
              <w:rPr>
                <w:szCs w:val="20"/>
              </w:rPr>
            </w:pPr>
            <w:r w:rsidRPr="00DD7E70">
              <w:rPr>
                <w:szCs w:val="20"/>
              </w:rPr>
              <w:t>Population</w:t>
            </w:r>
          </w:p>
        </w:tc>
        <w:tc>
          <w:tcPr>
            <w:tcW w:w="2724" w:type="pct"/>
            <w:shd w:val="clear" w:color="auto" w:fill="auto"/>
          </w:tcPr>
          <w:p w14:paraId="2E9304C5" w14:textId="77777777" w:rsidR="0030695B" w:rsidRPr="00C929EB" w:rsidRDefault="0030695B" w:rsidP="0045783E">
            <w:pPr>
              <w:pStyle w:val="TableHeading0"/>
              <w:widowControl w:val="0"/>
              <w:jc w:val="center"/>
              <w:rPr>
                <w:szCs w:val="20"/>
              </w:rPr>
            </w:pPr>
            <w:r w:rsidRPr="00C929EB">
              <w:rPr>
                <w:szCs w:val="20"/>
              </w:rPr>
              <w:t>Outcome</w:t>
            </w:r>
          </w:p>
        </w:tc>
      </w:tr>
      <w:tr w:rsidR="00011CD3" w:rsidRPr="00B03F6B" w14:paraId="3C0E175A" w14:textId="77777777" w:rsidTr="00A03A42">
        <w:tc>
          <w:tcPr>
            <w:tcW w:w="784" w:type="pct"/>
          </w:tcPr>
          <w:p w14:paraId="591FE3EC" w14:textId="356F974A" w:rsidR="0030695B" w:rsidRPr="00B03F6B" w:rsidRDefault="0030695B" w:rsidP="0045783E">
            <w:pPr>
              <w:pStyle w:val="TableText0"/>
              <w:keepNext w:val="0"/>
              <w:widowControl w:val="0"/>
              <w:rPr>
                <w:szCs w:val="20"/>
              </w:rPr>
            </w:pPr>
            <w:r w:rsidRPr="00B03F6B">
              <w:rPr>
                <w:szCs w:val="20"/>
              </w:rPr>
              <w:t>March 2015</w:t>
            </w:r>
            <w:r w:rsidR="003E0654" w:rsidRPr="00B03F6B">
              <w:rPr>
                <w:szCs w:val="20"/>
              </w:rPr>
              <w:t xml:space="preserve"> (13vPCV)</w:t>
            </w:r>
          </w:p>
        </w:tc>
        <w:tc>
          <w:tcPr>
            <w:tcW w:w="1493" w:type="pct"/>
          </w:tcPr>
          <w:p w14:paraId="270DC12B" w14:textId="5EEADCE5" w:rsidR="00212D37" w:rsidRPr="00B03F6B" w:rsidRDefault="0030695B" w:rsidP="0045783E">
            <w:pPr>
              <w:pStyle w:val="TableText0"/>
              <w:keepNext w:val="0"/>
              <w:widowControl w:val="0"/>
              <w:rPr>
                <w:szCs w:val="20"/>
              </w:rPr>
            </w:pPr>
            <w:r w:rsidRPr="00B03F6B">
              <w:rPr>
                <w:szCs w:val="20"/>
              </w:rPr>
              <w:t>Non-indigenous adults ≥</w:t>
            </w:r>
            <w:r w:rsidR="00B03F6B" w:rsidRPr="00B03F6B">
              <w:rPr>
                <w:szCs w:val="20"/>
              </w:rPr>
              <w:t xml:space="preserve"> </w:t>
            </w:r>
            <w:r w:rsidRPr="00B03F6B">
              <w:rPr>
                <w:szCs w:val="20"/>
              </w:rPr>
              <w:t>65 years</w:t>
            </w:r>
          </w:p>
          <w:p w14:paraId="3777A7AE" w14:textId="73689CBC" w:rsidR="0030695B" w:rsidRPr="00B03F6B" w:rsidRDefault="0030695B" w:rsidP="0045783E">
            <w:pPr>
              <w:pStyle w:val="TableText0"/>
              <w:keepNext w:val="0"/>
              <w:widowControl w:val="0"/>
              <w:rPr>
                <w:szCs w:val="20"/>
              </w:rPr>
            </w:pPr>
            <w:r w:rsidRPr="00B03F6B">
              <w:rPr>
                <w:szCs w:val="20"/>
              </w:rPr>
              <w:t>Aboriginal and Torres Strait Islander individuals ≥</w:t>
            </w:r>
            <w:r w:rsidR="002A7C0D">
              <w:rPr>
                <w:szCs w:val="20"/>
              </w:rPr>
              <w:t xml:space="preserve"> </w:t>
            </w:r>
            <w:r w:rsidRPr="00B03F6B">
              <w:rPr>
                <w:szCs w:val="20"/>
              </w:rPr>
              <w:t>50 years</w:t>
            </w:r>
          </w:p>
        </w:tc>
        <w:tc>
          <w:tcPr>
            <w:tcW w:w="2724" w:type="pct"/>
          </w:tcPr>
          <w:p w14:paraId="04689AFA" w14:textId="0F51C146" w:rsidR="0030695B" w:rsidRPr="00B03F6B" w:rsidRDefault="00B03F6B" w:rsidP="0045783E">
            <w:pPr>
              <w:pStyle w:val="TableText0"/>
              <w:keepNext w:val="0"/>
              <w:widowControl w:val="0"/>
              <w:rPr>
                <w:szCs w:val="20"/>
              </w:rPr>
            </w:pPr>
            <w:r w:rsidRPr="00683533">
              <w:rPr>
                <w:iCs/>
                <w:szCs w:val="20"/>
              </w:rPr>
              <w:t>Not recommended</w:t>
            </w:r>
            <w:r w:rsidR="0030695B" w:rsidRPr="00B03F6B">
              <w:rPr>
                <w:szCs w:val="20"/>
              </w:rPr>
              <w:t xml:space="preserve">. </w:t>
            </w:r>
            <w:r w:rsidR="00671D93" w:rsidRPr="00B03F6B">
              <w:rPr>
                <w:szCs w:val="20"/>
              </w:rPr>
              <w:t>The</w:t>
            </w:r>
            <w:r w:rsidR="0030695B" w:rsidRPr="00B03F6B">
              <w:rPr>
                <w:szCs w:val="20"/>
              </w:rPr>
              <w:t xml:space="preserve"> PBAC considered </w:t>
            </w:r>
            <w:r w:rsidR="00222F89" w:rsidRPr="00683533">
              <w:rPr>
                <w:iCs/>
                <w:szCs w:val="20"/>
              </w:rPr>
              <w:t xml:space="preserve">the </w:t>
            </w:r>
            <w:r w:rsidR="0030695B" w:rsidRPr="00B03F6B">
              <w:rPr>
                <w:szCs w:val="20"/>
              </w:rPr>
              <w:t>evidence provided was not sufficient for the PBAC to be confident that recommending 13vPCV at the requested price would be cost effective (paragraph 7.1)</w:t>
            </w:r>
            <w:r w:rsidR="002A7C0D">
              <w:rPr>
                <w:szCs w:val="20"/>
              </w:rPr>
              <w:t>.</w:t>
            </w:r>
          </w:p>
        </w:tc>
      </w:tr>
      <w:tr w:rsidR="00011CD3" w:rsidRPr="00B03F6B" w14:paraId="307EB78A" w14:textId="77777777" w:rsidTr="00A03A42">
        <w:tc>
          <w:tcPr>
            <w:tcW w:w="784" w:type="pct"/>
          </w:tcPr>
          <w:p w14:paraId="03A2A9D2" w14:textId="71FC5B53" w:rsidR="0030695B" w:rsidRPr="00B03F6B" w:rsidRDefault="0030695B" w:rsidP="0045783E">
            <w:pPr>
              <w:pStyle w:val="TableText0"/>
              <w:keepNext w:val="0"/>
              <w:widowControl w:val="0"/>
              <w:rPr>
                <w:szCs w:val="20"/>
              </w:rPr>
            </w:pPr>
            <w:r w:rsidRPr="00B03F6B">
              <w:rPr>
                <w:szCs w:val="20"/>
              </w:rPr>
              <w:t>July 2015</w:t>
            </w:r>
            <w:r w:rsidR="003E0654" w:rsidRPr="00B03F6B">
              <w:rPr>
                <w:szCs w:val="20"/>
              </w:rPr>
              <w:t xml:space="preserve"> (13vPCV)</w:t>
            </w:r>
          </w:p>
        </w:tc>
        <w:tc>
          <w:tcPr>
            <w:tcW w:w="1493" w:type="pct"/>
          </w:tcPr>
          <w:p w14:paraId="62A390D6" w14:textId="732932D3" w:rsidR="00212D37" w:rsidRPr="00B03F6B" w:rsidRDefault="0030695B" w:rsidP="0045783E">
            <w:pPr>
              <w:pStyle w:val="TableText0"/>
              <w:keepNext w:val="0"/>
              <w:widowControl w:val="0"/>
              <w:rPr>
                <w:szCs w:val="20"/>
              </w:rPr>
            </w:pPr>
            <w:r w:rsidRPr="00B03F6B">
              <w:rPr>
                <w:szCs w:val="20"/>
              </w:rPr>
              <w:t>Non-indigenous adults ≥</w:t>
            </w:r>
            <w:r w:rsidR="00B03F6B" w:rsidRPr="00B03F6B">
              <w:rPr>
                <w:szCs w:val="20"/>
              </w:rPr>
              <w:t xml:space="preserve"> </w:t>
            </w:r>
            <w:r w:rsidRPr="00B03F6B">
              <w:rPr>
                <w:szCs w:val="20"/>
              </w:rPr>
              <w:t>65 years</w:t>
            </w:r>
          </w:p>
          <w:p w14:paraId="11867BB5" w14:textId="0E8FCF9A" w:rsidR="0030695B" w:rsidRPr="00B03F6B" w:rsidRDefault="0030695B" w:rsidP="0045783E">
            <w:pPr>
              <w:pStyle w:val="TableText0"/>
              <w:keepNext w:val="0"/>
              <w:widowControl w:val="0"/>
              <w:rPr>
                <w:szCs w:val="20"/>
              </w:rPr>
            </w:pPr>
            <w:r w:rsidRPr="00B03F6B">
              <w:rPr>
                <w:szCs w:val="20"/>
              </w:rPr>
              <w:t>Aboriginal and Torres Strait Islander individuals ≥</w:t>
            </w:r>
            <w:r w:rsidR="00B03F6B" w:rsidRPr="00B03F6B">
              <w:rPr>
                <w:szCs w:val="20"/>
              </w:rPr>
              <w:t xml:space="preserve"> </w:t>
            </w:r>
            <w:r w:rsidRPr="00B03F6B">
              <w:rPr>
                <w:szCs w:val="20"/>
              </w:rPr>
              <w:t>50 years</w:t>
            </w:r>
          </w:p>
        </w:tc>
        <w:tc>
          <w:tcPr>
            <w:tcW w:w="2724" w:type="pct"/>
          </w:tcPr>
          <w:p w14:paraId="6F447663" w14:textId="1C4FB475" w:rsidR="0030695B" w:rsidRPr="0016324A" w:rsidRDefault="0030695B" w:rsidP="0045783E">
            <w:pPr>
              <w:pStyle w:val="TableText0"/>
              <w:keepNext w:val="0"/>
              <w:widowControl w:val="0"/>
              <w:rPr>
                <w:szCs w:val="20"/>
              </w:rPr>
            </w:pPr>
            <w:r w:rsidRPr="00B03F6B">
              <w:rPr>
                <w:szCs w:val="20"/>
              </w:rPr>
              <w:t xml:space="preserve">Recommended </w:t>
            </w:r>
            <w:proofErr w:type="gramStart"/>
            <w:r w:rsidRPr="00B03F6B">
              <w:rPr>
                <w:szCs w:val="20"/>
              </w:rPr>
              <w:t>on the basis of</w:t>
            </w:r>
            <w:proofErr w:type="gramEnd"/>
            <w:r w:rsidRPr="00B03F6B">
              <w:rPr>
                <w:szCs w:val="20"/>
              </w:rPr>
              <w:t xml:space="preserve"> cost-minimisation to 23vPPV. In the absence of directly comparative evidence between 13vPCV and 23vPPV, the PBAC accepted that the effectiveness of 13vPCV against CAP is likely to be superior to that of 23vPPV, whereas effectiveness against IPD was likely to be at least equivalent to that of 23vPPV where IPD was caused by serotypes common to both vaccines but not where IPD was caused by serotypes contained only within 23vPPV (paragraph 7.6).</w:t>
            </w:r>
            <w:r w:rsidR="003D0975" w:rsidRPr="00DD7E70">
              <w:rPr>
                <w:szCs w:val="20"/>
              </w:rPr>
              <w:t>T</w:t>
            </w:r>
            <w:r w:rsidRPr="00DD7E70">
              <w:rPr>
                <w:szCs w:val="20"/>
              </w:rPr>
              <w:t>he PBAC noted that the claim of 13vPCV superiority in prevention of VT pneumonia remain</w:t>
            </w:r>
            <w:r w:rsidR="003D0975" w:rsidRPr="00C929EB">
              <w:rPr>
                <w:szCs w:val="20"/>
              </w:rPr>
              <w:t>ed</w:t>
            </w:r>
            <w:r w:rsidRPr="00C929EB">
              <w:rPr>
                <w:szCs w:val="20"/>
              </w:rPr>
              <w:t xml:space="preserve"> uncertain (paragraph 7.7). </w:t>
            </w:r>
          </w:p>
        </w:tc>
      </w:tr>
      <w:tr w:rsidR="00011CD3" w:rsidRPr="00B03F6B" w14:paraId="5B925778" w14:textId="77777777" w:rsidTr="00A03A42">
        <w:tc>
          <w:tcPr>
            <w:tcW w:w="784" w:type="pct"/>
          </w:tcPr>
          <w:p w14:paraId="0854017A" w14:textId="3C5A0E08" w:rsidR="0030695B" w:rsidRPr="00B03F6B" w:rsidRDefault="0030695B" w:rsidP="0045783E">
            <w:pPr>
              <w:pStyle w:val="TableText0"/>
              <w:keepNext w:val="0"/>
              <w:widowControl w:val="0"/>
              <w:rPr>
                <w:szCs w:val="20"/>
              </w:rPr>
            </w:pPr>
            <w:r w:rsidRPr="00B03F6B">
              <w:rPr>
                <w:szCs w:val="20"/>
              </w:rPr>
              <w:t>July 2016</w:t>
            </w:r>
            <w:r w:rsidR="003E0654" w:rsidRPr="00B03F6B">
              <w:rPr>
                <w:szCs w:val="20"/>
              </w:rPr>
              <w:t xml:space="preserve"> (13vPCV)</w:t>
            </w:r>
          </w:p>
        </w:tc>
        <w:tc>
          <w:tcPr>
            <w:tcW w:w="1493" w:type="pct"/>
          </w:tcPr>
          <w:p w14:paraId="19C95EB8" w14:textId="3E1BFFAB" w:rsidR="0030695B" w:rsidRPr="00B03F6B" w:rsidRDefault="0030695B" w:rsidP="0045783E">
            <w:pPr>
              <w:pStyle w:val="TableText0"/>
              <w:keepNext w:val="0"/>
              <w:widowControl w:val="0"/>
              <w:rPr>
                <w:szCs w:val="20"/>
              </w:rPr>
            </w:pPr>
            <w:r w:rsidRPr="00B03F6B">
              <w:rPr>
                <w:szCs w:val="20"/>
              </w:rPr>
              <w:t>Non-indigenous adults ≥</w:t>
            </w:r>
            <w:r w:rsidR="00B03F6B" w:rsidRPr="00B03F6B">
              <w:rPr>
                <w:szCs w:val="20"/>
              </w:rPr>
              <w:t xml:space="preserve"> </w:t>
            </w:r>
            <w:r w:rsidRPr="00B03F6B">
              <w:rPr>
                <w:szCs w:val="20"/>
              </w:rPr>
              <w:t>65 years</w:t>
            </w:r>
          </w:p>
          <w:p w14:paraId="5D437190" w14:textId="532C09DA" w:rsidR="0030695B" w:rsidRPr="00B03F6B" w:rsidRDefault="0030695B" w:rsidP="0045783E">
            <w:pPr>
              <w:pStyle w:val="TableText0"/>
              <w:keepNext w:val="0"/>
              <w:widowControl w:val="0"/>
              <w:rPr>
                <w:szCs w:val="20"/>
              </w:rPr>
            </w:pPr>
            <w:r w:rsidRPr="00B03F6B">
              <w:rPr>
                <w:szCs w:val="20"/>
              </w:rPr>
              <w:t>Aboriginal and Torres Strait Islander individuals ≥</w:t>
            </w:r>
            <w:r w:rsidR="00B03F6B" w:rsidRPr="00B03F6B">
              <w:rPr>
                <w:szCs w:val="20"/>
              </w:rPr>
              <w:t xml:space="preserve"> </w:t>
            </w:r>
            <w:r w:rsidRPr="00B03F6B">
              <w:rPr>
                <w:szCs w:val="20"/>
              </w:rPr>
              <w:t>50 years</w:t>
            </w:r>
          </w:p>
        </w:tc>
        <w:tc>
          <w:tcPr>
            <w:tcW w:w="2724" w:type="pct"/>
          </w:tcPr>
          <w:p w14:paraId="692C179A" w14:textId="611C3B17" w:rsidR="0030695B" w:rsidRPr="00DD7E70" w:rsidRDefault="002A7C0D" w:rsidP="0045783E">
            <w:pPr>
              <w:pStyle w:val="TableText0"/>
              <w:keepNext w:val="0"/>
              <w:widowControl w:val="0"/>
              <w:rPr>
                <w:szCs w:val="20"/>
              </w:rPr>
            </w:pPr>
            <w:r>
              <w:rPr>
                <w:szCs w:val="20"/>
              </w:rPr>
              <w:t>The PBAC r</w:t>
            </w:r>
            <w:r w:rsidR="0030695B" w:rsidRPr="00B03F6B">
              <w:rPr>
                <w:szCs w:val="20"/>
              </w:rPr>
              <w:t xml:space="preserve">ecommended a change to the circumstances under which 13vPCV is made available as a designated vaccine for the NIP for the prevention of pneumococcal pneumonia and IPD in adults </w:t>
            </w:r>
            <w:proofErr w:type="gramStart"/>
            <w:r w:rsidR="0030695B" w:rsidRPr="00B03F6B">
              <w:rPr>
                <w:szCs w:val="20"/>
              </w:rPr>
              <w:t>on the basis of</w:t>
            </w:r>
            <w:proofErr w:type="gramEnd"/>
            <w:r w:rsidR="0030695B" w:rsidRPr="00B03F6B">
              <w:rPr>
                <w:szCs w:val="20"/>
              </w:rPr>
              <w:t xml:space="preserve"> cost-effectiveness compared with 23vPPV. The PBAC noted that no new evidence on comparative effectiveness of 13vPCV and 23vPPV was presented (paragraph 7.5). The PBAC considered that the revised model, and the price reduction offered in the submission, enabled it to </w:t>
            </w:r>
            <w:r w:rsidR="0030695B" w:rsidRPr="00B03F6B">
              <w:rPr>
                <w:szCs w:val="20"/>
              </w:rPr>
              <w:lastRenderedPageBreak/>
              <w:t>have greater confidence that the requested listing would be cost effective compared with 23vPPV (paragraph 7.7).</w:t>
            </w:r>
          </w:p>
        </w:tc>
      </w:tr>
      <w:tr w:rsidR="00011CD3" w:rsidRPr="00B03F6B" w14:paraId="01262CC1" w14:textId="77777777" w:rsidTr="00A03A42">
        <w:tc>
          <w:tcPr>
            <w:tcW w:w="784" w:type="pct"/>
          </w:tcPr>
          <w:p w14:paraId="18327F59" w14:textId="01B44054" w:rsidR="0030695B" w:rsidRPr="00B03F6B" w:rsidRDefault="0030695B" w:rsidP="0045783E">
            <w:pPr>
              <w:pStyle w:val="TableText0"/>
              <w:keepNext w:val="0"/>
              <w:widowControl w:val="0"/>
              <w:rPr>
                <w:szCs w:val="20"/>
              </w:rPr>
            </w:pPr>
            <w:r w:rsidRPr="00B03F6B">
              <w:rPr>
                <w:szCs w:val="20"/>
              </w:rPr>
              <w:lastRenderedPageBreak/>
              <w:t>November 2018</w:t>
            </w:r>
            <w:r w:rsidR="003E0654" w:rsidRPr="00B03F6B">
              <w:rPr>
                <w:szCs w:val="20"/>
              </w:rPr>
              <w:t xml:space="preserve"> (13vPCV)</w:t>
            </w:r>
          </w:p>
        </w:tc>
        <w:tc>
          <w:tcPr>
            <w:tcW w:w="1493" w:type="pct"/>
          </w:tcPr>
          <w:p w14:paraId="18F35AAD" w14:textId="463F6DE7" w:rsidR="00212D37" w:rsidRPr="00B03F6B" w:rsidRDefault="0030695B" w:rsidP="0045783E">
            <w:pPr>
              <w:pStyle w:val="TableText0"/>
              <w:keepNext w:val="0"/>
              <w:widowControl w:val="0"/>
              <w:rPr>
                <w:szCs w:val="20"/>
              </w:rPr>
            </w:pPr>
            <w:r w:rsidRPr="00B03F6B">
              <w:rPr>
                <w:szCs w:val="20"/>
              </w:rPr>
              <w:t>Children aged ≥</w:t>
            </w:r>
            <w:r w:rsidR="00B03F6B" w:rsidRPr="00B03F6B">
              <w:rPr>
                <w:szCs w:val="20"/>
              </w:rPr>
              <w:t xml:space="preserve"> </w:t>
            </w:r>
            <w:r w:rsidRPr="00B03F6B">
              <w:rPr>
                <w:szCs w:val="20"/>
              </w:rPr>
              <w:t>5 years to &lt;</w:t>
            </w:r>
            <w:r w:rsidR="00B03F6B" w:rsidRPr="00B03F6B">
              <w:rPr>
                <w:szCs w:val="20"/>
              </w:rPr>
              <w:t xml:space="preserve"> </w:t>
            </w:r>
            <w:r w:rsidRPr="00B03F6B">
              <w:rPr>
                <w:szCs w:val="20"/>
              </w:rPr>
              <w:t>15 years</w:t>
            </w:r>
          </w:p>
          <w:p w14:paraId="644C2A42" w14:textId="56886670" w:rsidR="0030695B" w:rsidRPr="00DD7E70" w:rsidRDefault="00212D37" w:rsidP="0045783E">
            <w:pPr>
              <w:pStyle w:val="TableText0"/>
              <w:keepNext w:val="0"/>
              <w:widowControl w:val="0"/>
              <w:rPr>
                <w:szCs w:val="20"/>
              </w:rPr>
            </w:pPr>
            <w:r w:rsidRPr="00B03F6B">
              <w:rPr>
                <w:szCs w:val="20"/>
              </w:rPr>
              <w:t>A</w:t>
            </w:r>
            <w:r w:rsidR="0030695B" w:rsidRPr="00B03F6B">
              <w:rPr>
                <w:szCs w:val="20"/>
              </w:rPr>
              <w:t>dults aged ≥</w:t>
            </w:r>
            <w:r w:rsidR="00B03F6B" w:rsidRPr="00B03F6B">
              <w:rPr>
                <w:szCs w:val="20"/>
              </w:rPr>
              <w:t xml:space="preserve"> </w:t>
            </w:r>
            <w:r w:rsidR="0030695B" w:rsidRPr="00222F89">
              <w:rPr>
                <w:szCs w:val="20"/>
              </w:rPr>
              <w:t>15 years and &lt;</w:t>
            </w:r>
            <w:r w:rsidR="00B03F6B" w:rsidRPr="00222F89">
              <w:rPr>
                <w:szCs w:val="20"/>
              </w:rPr>
              <w:t xml:space="preserve"> </w:t>
            </w:r>
            <w:r w:rsidR="0030695B" w:rsidRPr="00222F89">
              <w:rPr>
                <w:szCs w:val="20"/>
              </w:rPr>
              <w:t>65 years with conditions increasing their risk of pneumococcal disease</w:t>
            </w:r>
          </w:p>
          <w:p w14:paraId="58FE1744" w14:textId="49CEC79B" w:rsidR="0030695B" w:rsidRPr="00B03F6B" w:rsidRDefault="0030695B" w:rsidP="0045783E">
            <w:pPr>
              <w:pStyle w:val="TableText0"/>
              <w:keepNext w:val="0"/>
              <w:widowControl w:val="0"/>
              <w:rPr>
                <w:szCs w:val="20"/>
              </w:rPr>
            </w:pPr>
            <w:r w:rsidRPr="00C929EB">
              <w:rPr>
                <w:szCs w:val="20"/>
              </w:rPr>
              <w:t xml:space="preserve">Aboriginal and Torres Strait Islander </w:t>
            </w:r>
            <w:r w:rsidRPr="0016324A">
              <w:rPr>
                <w:szCs w:val="20"/>
              </w:rPr>
              <w:t>adults ≥</w:t>
            </w:r>
            <w:r w:rsidR="00B03F6B" w:rsidRPr="0016324A">
              <w:rPr>
                <w:szCs w:val="20"/>
              </w:rPr>
              <w:t xml:space="preserve"> </w:t>
            </w:r>
            <w:r w:rsidRPr="0016324A">
              <w:rPr>
                <w:szCs w:val="20"/>
              </w:rPr>
              <w:t>25 years</w:t>
            </w:r>
            <w:r w:rsidRPr="00B03F6B">
              <w:rPr>
                <w:color w:val="000000" w:themeColor="text1"/>
                <w:szCs w:val="20"/>
                <w:lang w:val="en-US"/>
              </w:rPr>
              <w:t xml:space="preserve"> </w:t>
            </w:r>
          </w:p>
        </w:tc>
        <w:tc>
          <w:tcPr>
            <w:tcW w:w="2724" w:type="pct"/>
          </w:tcPr>
          <w:p w14:paraId="26CF7E1F" w14:textId="431E4CC8" w:rsidR="0030695B" w:rsidRPr="00B03F6B" w:rsidRDefault="00B03F6B" w:rsidP="0045783E">
            <w:pPr>
              <w:pStyle w:val="TableText0"/>
              <w:keepNext w:val="0"/>
              <w:widowControl w:val="0"/>
              <w:rPr>
                <w:szCs w:val="20"/>
              </w:rPr>
            </w:pPr>
            <w:r w:rsidRPr="00282E77">
              <w:rPr>
                <w:szCs w:val="20"/>
              </w:rPr>
              <w:t>Not recommended</w:t>
            </w:r>
            <w:r w:rsidRPr="00B03F6B" w:rsidDel="00B03F6B">
              <w:rPr>
                <w:szCs w:val="20"/>
              </w:rPr>
              <w:t xml:space="preserve"> </w:t>
            </w:r>
            <w:proofErr w:type="gramStart"/>
            <w:r w:rsidR="0030695B" w:rsidRPr="00EA5940">
              <w:rPr>
                <w:szCs w:val="20"/>
              </w:rPr>
              <w:t>on the basis of</w:t>
            </w:r>
            <w:proofErr w:type="gramEnd"/>
            <w:r w:rsidR="0030695B" w:rsidRPr="00EA5940">
              <w:rPr>
                <w:szCs w:val="20"/>
              </w:rPr>
              <w:t xml:space="preserve"> unacceptably high and uncertain estimated ICERs. The PBAC noted that the key evidence from </w:t>
            </w:r>
            <w:proofErr w:type="spellStart"/>
            <w:r w:rsidR="0030695B" w:rsidRPr="00EA5940">
              <w:rPr>
                <w:szCs w:val="20"/>
              </w:rPr>
              <w:t>CAPiTA</w:t>
            </w:r>
            <w:proofErr w:type="spellEnd"/>
            <w:r w:rsidR="0030695B" w:rsidRPr="00EA5940">
              <w:rPr>
                <w:szCs w:val="20"/>
              </w:rPr>
              <w:t xml:space="preserve"> was in immunocompetent individuals ≥ 65 years. </w:t>
            </w:r>
            <w:r w:rsidR="00AE4B5A" w:rsidRPr="00683533">
              <w:rPr>
                <w:iCs/>
                <w:szCs w:val="20"/>
              </w:rPr>
              <w:t xml:space="preserve">The submission relied on the application of immunogenicity results from immunocompromised individuals (GMFR) to infer the application of efficacy outcomes from </w:t>
            </w:r>
            <w:proofErr w:type="spellStart"/>
            <w:r w:rsidR="00AE4B5A" w:rsidRPr="00683533">
              <w:rPr>
                <w:iCs/>
                <w:szCs w:val="20"/>
              </w:rPr>
              <w:t>CAPiTA</w:t>
            </w:r>
            <w:proofErr w:type="spellEnd"/>
            <w:r w:rsidR="00AE4B5A" w:rsidRPr="00683533">
              <w:rPr>
                <w:iCs/>
                <w:szCs w:val="20"/>
              </w:rPr>
              <w:t xml:space="preserve"> to the immunosuppressed population</w:t>
            </w:r>
            <w:r w:rsidR="00282E77" w:rsidRPr="00683533">
              <w:rPr>
                <w:iCs/>
                <w:szCs w:val="20"/>
              </w:rPr>
              <w:t xml:space="preserve"> </w:t>
            </w:r>
            <w:r w:rsidR="0030695B" w:rsidRPr="00AE4B5A">
              <w:rPr>
                <w:szCs w:val="20"/>
              </w:rPr>
              <w:t>(paragraph 7.4).</w:t>
            </w:r>
          </w:p>
        </w:tc>
      </w:tr>
      <w:tr w:rsidR="00011CD3" w:rsidRPr="00B03F6B" w14:paraId="781F9CC6" w14:textId="77777777" w:rsidTr="00A03A42">
        <w:tc>
          <w:tcPr>
            <w:tcW w:w="784" w:type="pct"/>
          </w:tcPr>
          <w:p w14:paraId="308F9226" w14:textId="0F395964" w:rsidR="0030695B" w:rsidRPr="00556C78" w:rsidRDefault="0030695B" w:rsidP="0045783E">
            <w:pPr>
              <w:pStyle w:val="TableText0"/>
              <w:keepNext w:val="0"/>
              <w:widowControl w:val="0"/>
              <w:rPr>
                <w:szCs w:val="20"/>
              </w:rPr>
            </w:pPr>
            <w:r w:rsidRPr="00B03F6B">
              <w:rPr>
                <w:szCs w:val="20"/>
              </w:rPr>
              <w:t>July 2019</w:t>
            </w:r>
            <w:r w:rsidR="003E0654" w:rsidRPr="00B03F6B">
              <w:rPr>
                <w:szCs w:val="20"/>
              </w:rPr>
              <w:t xml:space="preserve"> (13vPCV)</w:t>
            </w:r>
          </w:p>
        </w:tc>
        <w:tc>
          <w:tcPr>
            <w:tcW w:w="1493" w:type="pct"/>
          </w:tcPr>
          <w:p w14:paraId="0EE691D4" w14:textId="77777777" w:rsidR="0030695B" w:rsidRPr="00556C78" w:rsidRDefault="0030695B" w:rsidP="0045783E">
            <w:pPr>
              <w:pStyle w:val="TableText0"/>
              <w:keepNext w:val="0"/>
              <w:widowControl w:val="0"/>
              <w:rPr>
                <w:szCs w:val="20"/>
              </w:rPr>
            </w:pPr>
            <w:r w:rsidRPr="00B03F6B">
              <w:rPr>
                <w:szCs w:val="20"/>
              </w:rPr>
              <w:t>Individuals at high risk of pneumococ</w:t>
            </w:r>
            <w:r w:rsidRPr="00556C78">
              <w:rPr>
                <w:szCs w:val="20"/>
              </w:rPr>
              <w:t>cal disease</w:t>
            </w:r>
          </w:p>
        </w:tc>
        <w:tc>
          <w:tcPr>
            <w:tcW w:w="2724" w:type="pct"/>
          </w:tcPr>
          <w:p w14:paraId="3E751EB6" w14:textId="77777777" w:rsidR="0030695B" w:rsidRPr="00DD7E70" w:rsidRDefault="0030695B" w:rsidP="0045783E">
            <w:pPr>
              <w:pStyle w:val="TableText0"/>
              <w:keepNext w:val="0"/>
              <w:widowControl w:val="0"/>
              <w:rPr>
                <w:szCs w:val="20"/>
              </w:rPr>
            </w:pPr>
            <w:r w:rsidRPr="00B03F6B">
              <w:rPr>
                <w:szCs w:val="20"/>
              </w:rPr>
              <w:t>The PBAC recommended the implementation of a whole-of-life NIP-funded pneumococcal vaccine schedule, in line with ATAGI’s June 2019 advice</w:t>
            </w:r>
            <w:r w:rsidRPr="00DD7E70">
              <w:rPr>
                <w:szCs w:val="20"/>
              </w:rPr>
              <w:t xml:space="preserve"> (paragraph 4.1). Recommendations relevant to adult populations were as follows:</w:t>
            </w:r>
          </w:p>
          <w:p w14:paraId="2E280027" w14:textId="77777777" w:rsidR="0030695B" w:rsidRPr="00DD7E70" w:rsidRDefault="0030695B" w:rsidP="00282E77">
            <w:pPr>
              <w:pStyle w:val="TableText0"/>
              <w:keepNext w:val="0"/>
              <w:widowControl w:val="0"/>
              <w:numPr>
                <w:ilvl w:val="0"/>
                <w:numId w:val="12"/>
              </w:numPr>
              <w:ind w:left="175" w:hanging="175"/>
              <w:rPr>
                <w:szCs w:val="20"/>
              </w:rPr>
            </w:pPr>
            <w:r w:rsidRPr="00DD7E70">
              <w:rPr>
                <w:szCs w:val="20"/>
              </w:rPr>
              <w:t xml:space="preserve">Non-Aboriginal and Torres Strait Islander adults ≥ 70 years: 13vPCV (single dose) </w:t>
            </w:r>
          </w:p>
          <w:p w14:paraId="4F9A93A9" w14:textId="77777777" w:rsidR="0030695B" w:rsidRPr="00DD7E70" w:rsidRDefault="0030695B" w:rsidP="00282E77">
            <w:pPr>
              <w:pStyle w:val="TableText0"/>
              <w:keepNext w:val="0"/>
              <w:widowControl w:val="0"/>
              <w:numPr>
                <w:ilvl w:val="0"/>
                <w:numId w:val="12"/>
              </w:numPr>
              <w:ind w:left="175" w:hanging="175"/>
              <w:rPr>
                <w:szCs w:val="20"/>
              </w:rPr>
            </w:pPr>
            <w:r w:rsidRPr="00DD7E70">
              <w:rPr>
                <w:szCs w:val="20"/>
              </w:rPr>
              <w:t xml:space="preserve">Aboriginal and Torres Strait Islander adults ≥50 years: 13vPCV (single dose) and 23vPPV (two subsequent doses approximately five years apart) </w:t>
            </w:r>
          </w:p>
        </w:tc>
      </w:tr>
      <w:tr w:rsidR="00011CD3" w:rsidRPr="00B03F6B" w14:paraId="33585C9F" w14:textId="77777777" w:rsidTr="00A03A42">
        <w:tc>
          <w:tcPr>
            <w:tcW w:w="784" w:type="pct"/>
          </w:tcPr>
          <w:p w14:paraId="48389552" w14:textId="394DB05A" w:rsidR="009776E4" w:rsidRPr="00DD7E70" w:rsidRDefault="009776E4" w:rsidP="0045783E">
            <w:pPr>
              <w:pStyle w:val="TableText0"/>
              <w:keepNext w:val="0"/>
              <w:widowControl w:val="0"/>
              <w:rPr>
                <w:szCs w:val="20"/>
              </w:rPr>
            </w:pPr>
            <w:r w:rsidRPr="00B03F6B">
              <w:rPr>
                <w:szCs w:val="20"/>
              </w:rPr>
              <w:t>November 2021</w:t>
            </w:r>
            <w:r w:rsidR="003E0654" w:rsidRPr="00B03F6B">
              <w:rPr>
                <w:szCs w:val="20"/>
              </w:rPr>
              <w:t xml:space="preserve"> (15vPCV)</w:t>
            </w:r>
          </w:p>
        </w:tc>
        <w:tc>
          <w:tcPr>
            <w:tcW w:w="1493" w:type="pct"/>
          </w:tcPr>
          <w:p w14:paraId="3FB79C5E" w14:textId="77777777" w:rsidR="009B5FCB" w:rsidRPr="0016324A" w:rsidRDefault="009B5FCB" w:rsidP="0045783E">
            <w:pPr>
              <w:pStyle w:val="TableText0"/>
              <w:keepNext w:val="0"/>
              <w:widowControl w:val="0"/>
              <w:rPr>
                <w:color w:val="000000"/>
                <w:szCs w:val="20"/>
              </w:rPr>
            </w:pPr>
            <w:r w:rsidRPr="00C929EB">
              <w:rPr>
                <w:color w:val="000000"/>
                <w:szCs w:val="20"/>
              </w:rPr>
              <w:t>Non-Aboriginal and Torres Strait Islander adults ≥ 70 years</w:t>
            </w:r>
          </w:p>
          <w:p w14:paraId="5FE3FF63" w14:textId="1CCC54E3" w:rsidR="00607C65" w:rsidRPr="00222CE7" w:rsidRDefault="009B5FCB" w:rsidP="00084079">
            <w:pPr>
              <w:pStyle w:val="TableText0"/>
              <w:keepNext w:val="0"/>
              <w:widowControl w:val="0"/>
              <w:rPr>
                <w:color w:val="000000"/>
                <w:szCs w:val="20"/>
              </w:rPr>
            </w:pPr>
            <w:r w:rsidRPr="0016324A">
              <w:rPr>
                <w:color w:val="000000"/>
                <w:szCs w:val="20"/>
              </w:rPr>
              <w:t>Aboriginal and Torres Strait Islander adults ≥</w:t>
            </w:r>
            <w:r w:rsidR="00B03F6B" w:rsidRPr="00222CE7">
              <w:rPr>
                <w:color w:val="000000"/>
                <w:szCs w:val="20"/>
              </w:rPr>
              <w:t xml:space="preserve"> </w:t>
            </w:r>
            <w:r w:rsidRPr="00222CE7">
              <w:rPr>
                <w:color w:val="000000"/>
                <w:szCs w:val="20"/>
              </w:rPr>
              <w:t>50 years</w:t>
            </w:r>
          </w:p>
          <w:p w14:paraId="32AB8A5D" w14:textId="65E13831" w:rsidR="00607C65" w:rsidRPr="006844B5" w:rsidRDefault="00607C65" w:rsidP="0045783E">
            <w:pPr>
              <w:pStyle w:val="TableText0"/>
              <w:keepNext w:val="0"/>
              <w:widowControl w:val="0"/>
              <w:rPr>
                <w:szCs w:val="20"/>
              </w:rPr>
            </w:pPr>
            <w:r w:rsidRPr="0071677E">
              <w:rPr>
                <w:szCs w:val="20"/>
              </w:rPr>
              <w:t>All persons ≥</w:t>
            </w:r>
            <w:r w:rsidR="00B03F6B" w:rsidRPr="0071677E">
              <w:rPr>
                <w:szCs w:val="20"/>
              </w:rPr>
              <w:t xml:space="preserve"> </w:t>
            </w:r>
            <w:r w:rsidRPr="0071677E">
              <w:rPr>
                <w:szCs w:val="20"/>
              </w:rPr>
              <w:t xml:space="preserve">18 years newly diagnosed with a condition putting them at-risk of pneumococcal infection </w:t>
            </w:r>
          </w:p>
          <w:p w14:paraId="1CF1266C" w14:textId="44CBF788" w:rsidR="009776E4" w:rsidRPr="006844B5" w:rsidRDefault="009776E4" w:rsidP="0045783E">
            <w:pPr>
              <w:pStyle w:val="TableText0"/>
              <w:keepNext w:val="0"/>
              <w:widowControl w:val="0"/>
              <w:rPr>
                <w:color w:val="000000"/>
                <w:szCs w:val="20"/>
              </w:rPr>
            </w:pPr>
          </w:p>
          <w:p w14:paraId="3DC536B1" w14:textId="775BEF1D" w:rsidR="009776E4" w:rsidRPr="0052582F" w:rsidRDefault="009776E4" w:rsidP="0045783E">
            <w:pPr>
              <w:pStyle w:val="TableText0"/>
              <w:keepNext w:val="0"/>
              <w:widowControl w:val="0"/>
              <w:rPr>
                <w:szCs w:val="20"/>
              </w:rPr>
            </w:pPr>
          </w:p>
        </w:tc>
        <w:tc>
          <w:tcPr>
            <w:tcW w:w="2724" w:type="pct"/>
          </w:tcPr>
          <w:p w14:paraId="534DAE60" w14:textId="446F8F81" w:rsidR="007B2959" w:rsidRPr="00282E77" w:rsidRDefault="00164E14" w:rsidP="0045783E">
            <w:pPr>
              <w:pStyle w:val="TableText0"/>
              <w:keepNext w:val="0"/>
              <w:widowControl w:val="0"/>
              <w:rPr>
                <w:szCs w:val="20"/>
              </w:rPr>
            </w:pPr>
            <w:r w:rsidRPr="0052582F">
              <w:rPr>
                <w:szCs w:val="20"/>
              </w:rPr>
              <w:t>The PBAC recommended</w:t>
            </w:r>
            <w:r w:rsidR="008C417A" w:rsidRPr="0052582F">
              <w:rPr>
                <w:szCs w:val="20"/>
              </w:rPr>
              <w:t xml:space="preserve"> listing of 15vPCV </w:t>
            </w:r>
            <w:r w:rsidR="00222F89" w:rsidRPr="00282E77">
              <w:rPr>
                <w:szCs w:val="20"/>
              </w:rPr>
              <w:t xml:space="preserve">was </w:t>
            </w:r>
            <w:r w:rsidR="008C417A" w:rsidRPr="00282E77">
              <w:rPr>
                <w:szCs w:val="20"/>
              </w:rPr>
              <w:t>based on</w:t>
            </w:r>
            <w:r w:rsidR="00222F89" w:rsidRPr="00282E77">
              <w:rPr>
                <w:szCs w:val="20"/>
              </w:rPr>
              <w:t>,</w:t>
            </w:r>
            <w:r w:rsidR="008C417A" w:rsidRPr="00282E77">
              <w:rPr>
                <w:szCs w:val="20"/>
              </w:rPr>
              <w:t xml:space="preserve"> </w:t>
            </w:r>
          </w:p>
          <w:p w14:paraId="51CFFE37" w14:textId="50EFF110" w:rsidR="009776E4" w:rsidRPr="00DD7E70" w:rsidRDefault="007B2959" w:rsidP="0045783E">
            <w:pPr>
              <w:pStyle w:val="TableText0"/>
              <w:keepNext w:val="0"/>
              <w:widowControl w:val="0"/>
              <w:rPr>
                <w:szCs w:val="20"/>
              </w:rPr>
            </w:pPr>
            <w:r w:rsidRPr="00282E77">
              <w:rPr>
                <w:szCs w:val="20"/>
              </w:rPr>
              <w:t xml:space="preserve">among other matters, its assessment that the cost-effectiveness of 15vPCV would be acceptable if it were cost-minimised against 13vPCV (paragraph 7.1). </w:t>
            </w:r>
            <w:r w:rsidR="0098797C" w:rsidRPr="00282E77">
              <w:rPr>
                <w:szCs w:val="20"/>
              </w:rPr>
              <w:t>The PBAC considered</w:t>
            </w:r>
            <w:r w:rsidR="000657F7" w:rsidRPr="00282E77">
              <w:rPr>
                <w:szCs w:val="20"/>
              </w:rPr>
              <w:t xml:space="preserve"> it reasonable that 15vPCV was non-inferior compared to 13vPCV</w:t>
            </w:r>
            <w:r w:rsidR="00B669B8" w:rsidRPr="00282E77">
              <w:rPr>
                <w:szCs w:val="20"/>
              </w:rPr>
              <w:t xml:space="preserve"> based on data from one</w:t>
            </w:r>
            <w:r w:rsidR="0028772C" w:rsidRPr="00282E77">
              <w:rPr>
                <w:szCs w:val="20"/>
              </w:rPr>
              <w:t xml:space="preserve"> randomised</w:t>
            </w:r>
            <w:r w:rsidR="00E52396" w:rsidRPr="00282E77">
              <w:rPr>
                <w:szCs w:val="20"/>
              </w:rPr>
              <w:t>, noninferiority immunogenicity trial</w:t>
            </w:r>
            <w:r w:rsidR="007C73D1" w:rsidRPr="00282E77">
              <w:rPr>
                <w:szCs w:val="20"/>
              </w:rPr>
              <w:t xml:space="preserve"> (paragraph 7.5 and 7.6). The PBAC did not accept </w:t>
            </w:r>
            <w:r w:rsidR="00222F89" w:rsidRPr="00282E77">
              <w:rPr>
                <w:szCs w:val="20"/>
              </w:rPr>
              <w:t>the</w:t>
            </w:r>
            <w:r w:rsidR="00AB2C57" w:rsidRPr="00282E77">
              <w:rPr>
                <w:szCs w:val="20"/>
              </w:rPr>
              <w:t xml:space="preserve"> </w:t>
            </w:r>
            <w:r w:rsidR="007C73D1" w:rsidRPr="00282E77">
              <w:rPr>
                <w:szCs w:val="20"/>
              </w:rPr>
              <w:t>claim of superior effectiveness for serotype</w:t>
            </w:r>
            <w:r w:rsidR="007C73D1" w:rsidRPr="00222F89">
              <w:rPr>
                <w:szCs w:val="20"/>
              </w:rPr>
              <w:t xml:space="preserve"> 3</w:t>
            </w:r>
            <w:r w:rsidR="00355A33" w:rsidRPr="00222F89">
              <w:rPr>
                <w:szCs w:val="20"/>
              </w:rPr>
              <w:t>, noting that</w:t>
            </w:r>
            <w:r w:rsidR="0049102E" w:rsidRPr="00222F89">
              <w:rPr>
                <w:szCs w:val="20"/>
              </w:rPr>
              <w:t xml:space="preserve"> a su</w:t>
            </w:r>
            <w:r w:rsidR="0049102E" w:rsidRPr="00DD7E70">
              <w:rPr>
                <w:szCs w:val="20"/>
              </w:rPr>
              <w:t>periority threshold which correlates with additional clinical protection was uncertain (pa</w:t>
            </w:r>
            <w:r w:rsidR="00A81564" w:rsidRPr="00DD7E70">
              <w:rPr>
                <w:szCs w:val="20"/>
              </w:rPr>
              <w:t xml:space="preserve">ragraph 7.7). </w:t>
            </w:r>
          </w:p>
        </w:tc>
      </w:tr>
    </w:tbl>
    <w:p w14:paraId="5A1A80B8" w14:textId="106BA656" w:rsidR="002D319C" w:rsidRPr="00DC564D" w:rsidRDefault="0030695B" w:rsidP="0045783E">
      <w:pPr>
        <w:pStyle w:val="FooterTableFigure"/>
        <w:widowControl w:val="0"/>
        <w:rPr>
          <w:rStyle w:val="CommentReference"/>
          <w:b w:val="0"/>
          <w:sz w:val="18"/>
          <w:szCs w:val="22"/>
        </w:rPr>
      </w:pPr>
      <w:r w:rsidRPr="00DC564D">
        <w:rPr>
          <w:rStyle w:val="CommentReference"/>
          <w:b w:val="0"/>
          <w:bCs w:val="0"/>
          <w:sz w:val="18"/>
          <w:szCs w:val="22"/>
        </w:rPr>
        <w:t xml:space="preserve">Source: Table </w:t>
      </w:r>
      <w:r w:rsidR="00DC564D" w:rsidRPr="00DC564D">
        <w:rPr>
          <w:rStyle w:val="CommentReference"/>
          <w:b w:val="0"/>
          <w:bCs w:val="0"/>
          <w:sz w:val="18"/>
          <w:szCs w:val="22"/>
        </w:rPr>
        <w:t>1.1.17, p 29-30-S1 of the submission</w:t>
      </w:r>
      <w:r w:rsidR="009776E4">
        <w:rPr>
          <w:rStyle w:val="CommentReference"/>
          <w:b w:val="0"/>
          <w:bCs w:val="0"/>
          <w:sz w:val="18"/>
          <w:szCs w:val="22"/>
        </w:rPr>
        <w:t xml:space="preserve"> </w:t>
      </w:r>
      <w:r w:rsidR="009776E4" w:rsidRPr="004E375B">
        <w:rPr>
          <w:rStyle w:val="CommentReference"/>
          <w:b w:val="0"/>
          <w:bCs w:val="0"/>
          <w:iCs/>
          <w:sz w:val="18"/>
          <w:szCs w:val="22"/>
        </w:rPr>
        <w:t>and compiled during the evaluation</w:t>
      </w:r>
      <w:r w:rsidR="00D147C7" w:rsidRPr="004E375B">
        <w:rPr>
          <w:rStyle w:val="CommentReference"/>
          <w:b w:val="0"/>
          <w:bCs w:val="0"/>
          <w:iCs/>
          <w:sz w:val="18"/>
          <w:szCs w:val="22"/>
        </w:rPr>
        <w:t>.</w:t>
      </w:r>
    </w:p>
    <w:p w14:paraId="3F7220DF" w14:textId="149C95F1" w:rsidR="00DC564D" w:rsidRPr="00DC564D" w:rsidRDefault="00DC564D" w:rsidP="0045783E">
      <w:pPr>
        <w:pStyle w:val="FooterTableFigure"/>
        <w:widowControl w:val="0"/>
        <w:rPr>
          <w:rStyle w:val="CommentReference"/>
          <w:b w:val="0"/>
          <w:bCs w:val="0"/>
          <w:sz w:val="18"/>
          <w:szCs w:val="22"/>
        </w:rPr>
      </w:pPr>
      <w:r w:rsidRPr="00DC564D">
        <w:rPr>
          <w:rStyle w:val="CommentReference"/>
          <w:b w:val="0"/>
          <w:bCs w:val="0"/>
          <w:sz w:val="18"/>
          <w:szCs w:val="22"/>
        </w:rPr>
        <w:t xml:space="preserve">Abbreviations: </w:t>
      </w:r>
      <w:r w:rsidRPr="4AA6B923">
        <w:rPr>
          <w:rFonts w:eastAsia="Arial Narrow" w:cs="Arial Narrow"/>
          <w:color w:val="000000" w:themeColor="text1"/>
        </w:rPr>
        <w:t>13vPCV, 13</w:t>
      </w:r>
      <w:r w:rsidR="00C82D65">
        <w:rPr>
          <w:rFonts w:eastAsia="Arial Narrow" w:cs="Arial Narrow"/>
          <w:color w:val="000000" w:themeColor="text1"/>
        </w:rPr>
        <w:t xml:space="preserve"> </w:t>
      </w:r>
      <w:r w:rsidRPr="4AA6B923">
        <w:rPr>
          <w:rFonts w:eastAsia="Arial Narrow" w:cs="Arial Narrow"/>
          <w:color w:val="000000" w:themeColor="text1"/>
        </w:rPr>
        <w:t xml:space="preserve">valent pneumococcal conjugate </w:t>
      </w:r>
      <w:proofErr w:type="gramStart"/>
      <w:r w:rsidRPr="4AA6B923">
        <w:rPr>
          <w:rFonts w:eastAsia="Arial Narrow" w:cs="Arial Narrow"/>
          <w:color w:val="000000" w:themeColor="text1"/>
        </w:rPr>
        <w:t>vaccine</w:t>
      </w:r>
      <w:proofErr w:type="gramEnd"/>
      <w:r w:rsidRPr="4AA6B923">
        <w:rPr>
          <w:rFonts w:eastAsia="Arial Narrow" w:cs="Arial Narrow"/>
          <w:color w:val="000000" w:themeColor="text1"/>
        </w:rPr>
        <w:t>; 15vPCV, 15</w:t>
      </w:r>
      <w:r w:rsidR="00C82D65">
        <w:rPr>
          <w:rFonts w:eastAsia="Arial Narrow" w:cs="Arial Narrow"/>
          <w:color w:val="000000" w:themeColor="text1"/>
        </w:rPr>
        <w:t xml:space="preserve"> </w:t>
      </w:r>
      <w:r w:rsidRPr="4AA6B923">
        <w:rPr>
          <w:rFonts w:eastAsia="Arial Narrow" w:cs="Arial Narrow"/>
          <w:color w:val="000000" w:themeColor="text1"/>
        </w:rPr>
        <w:t xml:space="preserve">valent pneumococcal conjugate vaccine; </w:t>
      </w:r>
      <w:r w:rsidRPr="78DD89F2">
        <w:rPr>
          <w:rFonts w:eastAsia="Arial Narrow" w:cs="Arial Narrow"/>
          <w:color w:val="000000" w:themeColor="text1"/>
        </w:rPr>
        <w:t>20vPCV, 20</w:t>
      </w:r>
      <w:r w:rsidR="00C82D65">
        <w:rPr>
          <w:rFonts w:eastAsia="Arial Narrow" w:cs="Arial Narrow"/>
          <w:color w:val="000000" w:themeColor="text1"/>
        </w:rPr>
        <w:t xml:space="preserve"> </w:t>
      </w:r>
      <w:r w:rsidRPr="78DD89F2">
        <w:rPr>
          <w:rFonts w:eastAsia="Arial Narrow" w:cs="Arial Narrow"/>
          <w:color w:val="000000" w:themeColor="text1"/>
        </w:rPr>
        <w:t xml:space="preserve">valent pneumococcal conjugate vaccine; </w:t>
      </w:r>
      <w:r w:rsidRPr="4AA6B923">
        <w:rPr>
          <w:rFonts w:eastAsia="Arial Narrow" w:cs="Arial Narrow"/>
          <w:color w:val="000000" w:themeColor="text1"/>
        </w:rPr>
        <w:t>23vPPV, 23</w:t>
      </w:r>
      <w:r w:rsidR="00C82D65">
        <w:rPr>
          <w:rFonts w:eastAsia="Arial Narrow" w:cs="Arial Narrow"/>
          <w:color w:val="000000" w:themeColor="text1"/>
        </w:rPr>
        <w:t xml:space="preserve"> </w:t>
      </w:r>
      <w:r w:rsidRPr="4AA6B923">
        <w:rPr>
          <w:rFonts w:eastAsia="Arial Narrow" w:cs="Arial Narrow"/>
          <w:color w:val="000000" w:themeColor="text1"/>
        </w:rPr>
        <w:t>valent pneumococcal polysaccharide vaccine;</w:t>
      </w:r>
      <w:r>
        <w:rPr>
          <w:rFonts w:eastAsia="Arial Narrow" w:cs="Arial Narrow"/>
          <w:color w:val="000000" w:themeColor="text1"/>
        </w:rPr>
        <w:t xml:space="preserve"> </w:t>
      </w:r>
      <w:r w:rsidR="00491331">
        <w:rPr>
          <w:rFonts w:eastAsia="Arial Narrow" w:cs="Arial Narrow"/>
          <w:color w:val="000000" w:themeColor="text1"/>
        </w:rPr>
        <w:t>CAP</w:t>
      </w:r>
      <w:r w:rsidR="00A22A67">
        <w:rPr>
          <w:rFonts w:eastAsia="Arial Narrow" w:cs="Arial Narrow"/>
          <w:color w:val="000000" w:themeColor="text1"/>
        </w:rPr>
        <w:t>, community acquired pneumonia;</w:t>
      </w:r>
      <w:r w:rsidR="00140CB1">
        <w:rPr>
          <w:rFonts w:eastAsia="Arial Narrow" w:cs="Arial Narrow"/>
          <w:color w:val="000000" w:themeColor="text1"/>
        </w:rPr>
        <w:t xml:space="preserve"> </w:t>
      </w:r>
      <w:r w:rsidR="00DD7E70" w:rsidRPr="00683533">
        <w:rPr>
          <w:rFonts w:eastAsia="Arial Narrow" w:cs="Arial Narrow"/>
          <w:iCs/>
          <w:color w:val="000000" w:themeColor="text1"/>
        </w:rPr>
        <w:t>ICER, incremental cost-effectiveness ratio;</w:t>
      </w:r>
      <w:r w:rsidR="00DD7E70">
        <w:rPr>
          <w:rFonts w:eastAsia="Arial Narrow" w:cs="Arial Narrow"/>
          <w:color w:val="000000" w:themeColor="text1"/>
        </w:rPr>
        <w:t xml:space="preserve"> </w:t>
      </w:r>
      <w:r w:rsidR="00140CB1">
        <w:rPr>
          <w:rFonts w:eastAsia="Arial Narrow" w:cs="Arial Narrow"/>
          <w:color w:val="000000" w:themeColor="text1"/>
        </w:rPr>
        <w:t>IPD, invasive pneumococcal disease;</w:t>
      </w:r>
      <w:r>
        <w:rPr>
          <w:rFonts w:eastAsia="Arial Narrow" w:cs="Arial Narrow"/>
          <w:color w:val="000000" w:themeColor="text1"/>
        </w:rPr>
        <w:t xml:space="preserve"> </w:t>
      </w:r>
      <w:r w:rsidR="00372616">
        <w:rPr>
          <w:rFonts w:eastAsia="Arial Narrow" w:cs="Arial Narrow"/>
          <w:color w:val="000000" w:themeColor="text1"/>
        </w:rPr>
        <w:t xml:space="preserve">VT, vaccine type; </w:t>
      </w:r>
      <w:r w:rsidR="009776E4">
        <w:rPr>
          <w:rFonts w:eastAsia="Arial Narrow" w:cs="Arial Narrow"/>
          <w:color w:val="000000" w:themeColor="text1"/>
        </w:rPr>
        <w:t>GMFR,</w:t>
      </w:r>
      <w:r w:rsidRPr="4AA6B923">
        <w:rPr>
          <w:rFonts w:eastAsia="Arial Narrow" w:cs="Arial Narrow"/>
          <w:color w:val="000000" w:themeColor="text1"/>
        </w:rPr>
        <w:t xml:space="preserve"> </w:t>
      </w:r>
      <w:r w:rsidR="009C0051" w:rsidRPr="009C0051">
        <w:rPr>
          <w:rFonts w:eastAsia="Arial Narrow" w:cs="Arial Narrow"/>
          <w:color w:val="000000" w:themeColor="text1"/>
        </w:rPr>
        <w:t>geometric mean fold rise</w:t>
      </w:r>
      <w:r w:rsidR="009C0051">
        <w:rPr>
          <w:rFonts w:eastAsia="Arial Narrow" w:cs="Arial Narrow"/>
          <w:color w:val="000000" w:themeColor="text1"/>
        </w:rPr>
        <w:t>;</w:t>
      </w:r>
      <w:r w:rsidR="009C0051" w:rsidRPr="009C0051">
        <w:rPr>
          <w:rFonts w:eastAsia="Arial Narrow" w:cs="Arial Narrow"/>
          <w:color w:val="000000" w:themeColor="text1"/>
        </w:rPr>
        <w:t xml:space="preserve"> </w:t>
      </w:r>
      <w:r w:rsidRPr="4AA6B923">
        <w:rPr>
          <w:rFonts w:eastAsia="Arial Narrow" w:cs="Arial Narrow"/>
          <w:color w:val="000000" w:themeColor="text1"/>
        </w:rPr>
        <w:t>NIP, National Immunisation Program; PBAC, Pharmaceutical Benefits Advisory Committee</w:t>
      </w:r>
    </w:p>
    <w:p w14:paraId="2DE215E7" w14:textId="7BED41C3" w:rsidR="00822F9C" w:rsidRDefault="00A21BB2" w:rsidP="00A21BB2">
      <w:pPr>
        <w:pStyle w:val="3-BodyText"/>
        <w:numPr>
          <w:ilvl w:val="0"/>
          <w:numId w:val="0"/>
        </w:numPr>
        <w:ind w:left="720"/>
        <w:rPr>
          <w:i/>
          <w:iCs/>
          <w:color w:val="000000" w:themeColor="text1"/>
        </w:rPr>
      </w:pPr>
      <w:bookmarkStart w:id="9" w:name="_Toc107902078"/>
      <w:bookmarkStart w:id="10" w:name="_Toc114061393"/>
      <w:bookmarkEnd w:id="7"/>
      <w:bookmarkEnd w:id="9"/>
      <w:r>
        <w:rPr>
          <w:i/>
          <w:iCs/>
          <w:color w:val="000000" w:themeColor="text1"/>
        </w:rPr>
        <w:t>For more detail on PBAC’s view, see section 7 PBAC outcome.</w:t>
      </w:r>
    </w:p>
    <w:p w14:paraId="5800D345" w14:textId="77777777" w:rsidR="00822F9C" w:rsidRDefault="00822F9C">
      <w:pPr>
        <w:spacing w:after="160" w:line="259" w:lineRule="auto"/>
        <w:jc w:val="left"/>
        <w:rPr>
          <w:rFonts w:asciiTheme="minorHAnsi" w:eastAsia="Calibri" w:hAnsiTheme="minorHAnsi"/>
          <w:i/>
          <w:iCs/>
          <w:snapToGrid w:val="0"/>
          <w:color w:val="000000" w:themeColor="text1"/>
        </w:rPr>
      </w:pPr>
      <w:r>
        <w:rPr>
          <w:i/>
          <w:iCs/>
          <w:color w:val="000000" w:themeColor="text1"/>
        </w:rPr>
        <w:br w:type="page"/>
      </w:r>
    </w:p>
    <w:p w14:paraId="40459B45" w14:textId="5939977E" w:rsidR="007D4D11" w:rsidRDefault="007D4D11" w:rsidP="00AA77E6">
      <w:pPr>
        <w:pStyle w:val="2-SectionHeading"/>
        <w:numPr>
          <w:ilvl w:val="0"/>
          <w:numId w:val="15"/>
        </w:numPr>
        <w:spacing w:after="120"/>
        <w:jc w:val="left"/>
        <w:outlineLvl w:val="0"/>
        <w:rPr>
          <w:rFonts w:asciiTheme="minorHAnsi" w:hAnsiTheme="minorHAnsi"/>
          <w:bCs w:val="0"/>
          <w:snapToGrid w:val="0"/>
        </w:rPr>
      </w:pPr>
      <w:r w:rsidRPr="00CD5C51">
        <w:rPr>
          <w:rFonts w:asciiTheme="minorHAnsi" w:hAnsiTheme="minorHAnsi"/>
          <w:bCs w:val="0"/>
          <w:snapToGrid w:val="0"/>
        </w:rPr>
        <w:lastRenderedPageBreak/>
        <w:t>Requested listing</w:t>
      </w:r>
      <w:bookmarkEnd w:id="10"/>
    </w:p>
    <w:tbl>
      <w:tblPr>
        <w:tblW w:w="9080" w:type="dxa"/>
        <w:tblInd w:w="-8" w:type="dxa"/>
        <w:tblLayout w:type="fixed"/>
        <w:tblLook w:val="0000" w:firstRow="0" w:lastRow="0" w:firstColumn="0" w:lastColumn="0" w:noHBand="0" w:noVBand="0"/>
      </w:tblPr>
      <w:tblGrid>
        <w:gridCol w:w="1739"/>
        <w:gridCol w:w="3764"/>
        <w:gridCol w:w="1425"/>
        <w:gridCol w:w="1158"/>
        <w:gridCol w:w="994"/>
      </w:tblGrid>
      <w:tr w:rsidR="1C13951F" w14:paraId="4AD79D4B" w14:textId="77777777" w:rsidTr="00FA573D">
        <w:trPr>
          <w:trHeight w:val="450"/>
        </w:trPr>
        <w:tc>
          <w:tcPr>
            <w:tcW w:w="5503" w:type="dxa"/>
            <w:gridSpan w:val="2"/>
            <w:tcBorders>
              <w:top w:val="single" w:sz="6" w:space="0" w:color="auto"/>
              <w:bottom w:val="single" w:sz="6" w:space="0" w:color="auto"/>
            </w:tcBorders>
            <w:vAlign w:val="center"/>
          </w:tcPr>
          <w:p w14:paraId="58DC8C75" w14:textId="38650B64" w:rsidR="1C13951F" w:rsidRDefault="1C13951F" w:rsidP="1C13951F">
            <w:pPr>
              <w:rPr>
                <w:rFonts w:ascii="Arial Narrow" w:eastAsia="Arial Narrow" w:hAnsi="Arial Narrow" w:cs="Arial Narrow"/>
                <w:color w:val="000000" w:themeColor="text1"/>
                <w:sz w:val="20"/>
                <w:szCs w:val="20"/>
              </w:rPr>
            </w:pPr>
            <w:r w:rsidRPr="1C13951F">
              <w:rPr>
                <w:rFonts w:ascii="Arial Narrow" w:eastAsia="Arial Narrow" w:hAnsi="Arial Narrow" w:cs="Arial Narrow"/>
                <w:b/>
                <w:bCs/>
                <w:color w:val="000000" w:themeColor="text1"/>
                <w:sz w:val="20"/>
                <w:szCs w:val="20"/>
              </w:rPr>
              <w:t>Name, Restriction,</w:t>
            </w:r>
          </w:p>
          <w:p w14:paraId="24A427C3" w14:textId="506DA667" w:rsidR="1C13951F" w:rsidRDefault="1C13951F" w:rsidP="1C13951F">
            <w:pPr>
              <w:rPr>
                <w:rFonts w:ascii="Arial Narrow" w:eastAsia="Arial Narrow" w:hAnsi="Arial Narrow" w:cs="Arial Narrow"/>
                <w:color w:val="000000" w:themeColor="text1"/>
                <w:sz w:val="20"/>
                <w:szCs w:val="20"/>
              </w:rPr>
            </w:pPr>
            <w:r w:rsidRPr="1C13951F">
              <w:rPr>
                <w:rFonts w:ascii="Arial Narrow" w:eastAsia="Arial Narrow" w:hAnsi="Arial Narrow" w:cs="Arial Narrow"/>
                <w:b/>
                <w:bCs/>
                <w:color w:val="000000" w:themeColor="text1"/>
                <w:sz w:val="20"/>
                <w:szCs w:val="20"/>
              </w:rPr>
              <w:t>Manner of administration and form</w:t>
            </w:r>
          </w:p>
        </w:tc>
        <w:tc>
          <w:tcPr>
            <w:tcW w:w="1425" w:type="dxa"/>
            <w:tcBorders>
              <w:top w:val="single" w:sz="6" w:space="0" w:color="auto"/>
              <w:bottom w:val="single" w:sz="6" w:space="0" w:color="auto"/>
            </w:tcBorders>
            <w:vAlign w:val="center"/>
          </w:tcPr>
          <w:p w14:paraId="238C97D9" w14:textId="3FF0CE8E" w:rsidR="1C13951F" w:rsidRPr="00B938FE" w:rsidRDefault="001E13A7" w:rsidP="00B938FE">
            <w:pPr>
              <w:jc w:val="center"/>
              <w:rPr>
                <w:rFonts w:ascii="Times New Roman" w:eastAsiaTheme="minorHAnsi" w:hAnsi="Times New Roman" w:cs="Times New Roman"/>
              </w:rPr>
            </w:pPr>
            <w:r>
              <w:rPr>
                <w:rFonts w:ascii="Arial Narrow" w:eastAsia="Arial Narrow" w:hAnsi="Arial Narrow" w:cs="Arial Narrow"/>
                <w:b/>
                <w:bCs/>
                <w:color w:val="000000" w:themeColor="text1"/>
                <w:sz w:val="20"/>
                <w:szCs w:val="20"/>
              </w:rPr>
              <w:t xml:space="preserve">Proposed </w:t>
            </w:r>
            <w:r w:rsidR="00B938FE">
              <w:rPr>
                <w:rFonts w:ascii="Arial Narrow" w:eastAsia="Arial Narrow" w:hAnsi="Arial Narrow" w:cs="Arial Narrow"/>
                <w:b/>
                <w:bCs/>
                <w:color w:val="000000" w:themeColor="text1"/>
                <w:sz w:val="20"/>
                <w:szCs w:val="20"/>
              </w:rPr>
              <w:t>Nationally Negotiated Price</w:t>
            </w:r>
          </w:p>
        </w:tc>
        <w:tc>
          <w:tcPr>
            <w:tcW w:w="2152" w:type="dxa"/>
            <w:gridSpan w:val="2"/>
            <w:tcBorders>
              <w:top w:val="single" w:sz="6" w:space="0" w:color="auto"/>
              <w:bottom w:val="single" w:sz="6" w:space="0" w:color="auto"/>
            </w:tcBorders>
            <w:vAlign w:val="center"/>
          </w:tcPr>
          <w:p w14:paraId="4DBC25F6" w14:textId="3D469735" w:rsidR="1C13951F" w:rsidRDefault="1C13951F" w:rsidP="1C13951F">
            <w:pPr>
              <w:jc w:val="center"/>
              <w:rPr>
                <w:rFonts w:ascii="Arial Narrow" w:eastAsia="Arial Narrow" w:hAnsi="Arial Narrow" w:cs="Arial Narrow"/>
                <w:color w:val="000000" w:themeColor="text1"/>
                <w:sz w:val="20"/>
                <w:szCs w:val="20"/>
              </w:rPr>
            </w:pPr>
            <w:r w:rsidRPr="1C13951F">
              <w:rPr>
                <w:rFonts w:ascii="Arial Narrow" w:eastAsia="Arial Narrow" w:hAnsi="Arial Narrow" w:cs="Arial Narrow"/>
                <w:b/>
                <w:bCs/>
                <w:color w:val="000000" w:themeColor="text1"/>
                <w:sz w:val="20"/>
                <w:szCs w:val="20"/>
              </w:rPr>
              <w:t>Proprietary Name and Manufacturer</w:t>
            </w:r>
          </w:p>
        </w:tc>
      </w:tr>
      <w:tr w:rsidR="1C13951F" w14:paraId="0D7C0D1A" w14:textId="77777777" w:rsidTr="00FA573D">
        <w:trPr>
          <w:trHeight w:val="555"/>
        </w:trPr>
        <w:tc>
          <w:tcPr>
            <w:tcW w:w="5503" w:type="dxa"/>
            <w:gridSpan w:val="2"/>
            <w:tcBorders>
              <w:top w:val="single" w:sz="6" w:space="0" w:color="auto"/>
              <w:bottom w:val="single" w:sz="6" w:space="0" w:color="auto"/>
            </w:tcBorders>
            <w:vAlign w:val="center"/>
          </w:tcPr>
          <w:p w14:paraId="584BBC51" w14:textId="2576E001" w:rsidR="31A0FFDE" w:rsidRDefault="31A0FFDE" w:rsidP="1C13951F">
            <w:pPr>
              <w:jc w:val="left"/>
              <w:rPr>
                <w:rFonts w:ascii="Arial Narrow" w:eastAsia="Arial Narrow" w:hAnsi="Arial Narrow" w:cs="Arial Narrow"/>
                <w:color w:val="000000" w:themeColor="text1"/>
                <w:sz w:val="20"/>
                <w:szCs w:val="20"/>
              </w:rPr>
            </w:pPr>
            <w:r w:rsidRPr="1C13951F">
              <w:rPr>
                <w:rFonts w:ascii="Arial Narrow" w:eastAsia="Arial Narrow" w:hAnsi="Arial Narrow" w:cs="Arial Narrow"/>
                <w:color w:val="000000" w:themeColor="text1"/>
                <w:sz w:val="20"/>
                <w:szCs w:val="20"/>
              </w:rPr>
              <w:t>PNEUMOCOCCAL POLYSACCHARIDE CONJUGATE VACCINE, 20-VALENT ADSORBED</w:t>
            </w:r>
          </w:p>
          <w:p w14:paraId="693B0A2F" w14:textId="4BD34B13" w:rsidR="1C13951F" w:rsidRDefault="1C13951F" w:rsidP="1C13951F">
            <w:pPr>
              <w:rPr>
                <w:rFonts w:ascii="Arial Narrow" w:eastAsia="Arial Narrow" w:hAnsi="Arial Narrow" w:cs="Arial Narrow"/>
                <w:color w:val="000000" w:themeColor="text1"/>
                <w:sz w:val="20"/>
                <w:szCs w:val="20"/>
              </w:rPr>
            </w:pPr>
            <w:r w:rsidRPr="1C13951F">
              <w:rPr>
                <w:rFonts w:ascii="Arial Narrow" w:eastAsia="Arial Narrow" w:hAnsi="Arial Narrow" w:cs="Arial Narrow"/>
                <w:color w:val="000000" w:themeColor="text1"/>
                <w:sz w:val="20"/>
                <w:szCs w:val="20"/>
              </w:rPr>
              <w:t>0.5</w:t>
            </w:r>
            <w:r w:rsidR="002D1BF0">
              <w:rPr>
                <w:rFonts w:ascii="Arial Narrow" w:eastAsia="Arial Narrow" w:hAnsi="Arial Narrow" w:cs="Arial Narrow"/>
                <w:color w:val="000000" w:themeColor="text1"/>
                <w:sz w:val="20"/>
                <w:szCs w:val="20"/>
              </w:rPr>
              <w:t xml:space="preserve"> </w:t>
            </w:r>
            <w:r w:rsidRPr="1C13951F">
              <w:rPr>
                <w:rFonts w:ascii="Arial Narrow" w:eastAsia="Arial Narrow" w:hAnsi="Arial Narrow" w:cs="Arial Narrow"/>
                <w:color w:val="000000" w:themeColor="text1"/>
                <w:sz w:val="20"/>
                <w:szCs w:val="20"/>
              </w:rPr>
              <w:t>mL, Injection, Prefilled syringe</w:t>
            </w:r>
          </w:p>
        </w:tc>
        <w:tc>
          <w:tcPr>
            <w:tcW w:w="1425" w:type="dxa"/>
            <w:vAlign w:val="center"/>
          </w:tcPr>
          <w:p w14:paraId="08F7ECC8" w14:textId="6E70DD2E" w:rsidR="1C13951F" w:rsidRDefault="69BD98B3" w:rsidP="16422FAA">
            <w:pPr>
              <w:jc w:val="left"/>
              <w:rPr>
                <w:rFonts w:ascii="Arial Narrow" w:eastAsia="Arial Narrow" w:hAnsi="Arial Narrow" w:cs="Arial Narrow"/>
                <w:color w:val="000000" w:themeColor="text1"/>
                <w:sz w:val="20"/>
                <w:szCs w:val="20"/>
              </w:rPr>
            </w:pPr>
            <w:r w:rsidRPr="16422FAA">
              <w:rPr>
                <w:rFonts w:ascii="Arial Narrow" w:eastAsia="Arial Narrow" w:hAnsi="Arial Narrow" w:cs="Arial Narrow"/>
                <w:color w:val="000000" w:themeColor="text1"/>
                <w:sz w:val="20"/>
                <w:szCs w:val="20"/>
              </w:rPr>
              <w:t>Risk conditions: $</w:t>
            </w:r>
            <w:r w:rsidR="006A414A" w:rsidRPr="006A414A">
              <w:rPr>
                <w:rFonts w:ascii="Arial Narrow" w:eastAsia="Arial Narrow" w:hAnsi="Arial Narrow" w:cs="Arial Narrow"/>
                <w:color w:val="000000" w:themeColor="text1"/>
                <w:spacing w:val="64"/>
                <w:sz w:val="20"/>
                <w:szCs w:val="20"/>
                <w:shd w:val="solid" w:color="000000" w:fill="000000"/>
                <w:fitText w:val="363" w:id="-1303201024"/>
                <w14:textFill>
                  <w14:solidFill>
                    <w14:schemeClr w14:val="tx1">
                      <w14:alpha w14:val="100000"/>
                    </w14:schemeClr>
                  </w14:solidFill>
                </w14:textFill>
              </w:rPr>
              <w:t>|||</w:t>
            </w:r>
            <w:r w:rsidR="006A414A" w:rsidRPr="006A414A">
              <w:rPr>
                <w:rFonts w:ascii="Arial Narrow" w:eastAsia="Arial Narrow" w:hAnsi="Arial Narrow" w:cs="Arial Narrow"/>
                <w:color w:val="000000" w:themeColor="text1"/>
                <w:spacing w:val="1"/>
                <w:sz w:val="20"/>
                <w:szCs w:val="20"/>
                <w:shd w:val="solid" w:color="000000" w:fill="000000"/>
                <w:fitText w:val="363" w:id="-1303201024"/>
                <w14:textFill>
                  <w14:solidFill>
                    <w14:schemeClr w14:val="tx1">
                      <w14:alpha w14:val="100000"/>
                    </w14:schemeClr>
                  </w14:solidFill>
                </w14:textFill>
              </w:rPr>
              <w:t>|</w:t>
            </w:r>
            <w:r w:rsidRPr="16422FAA">
              <w:rPr>
                <w:rFonts w:ascii="Arial Narrow" w:eastAsia="Arial Narrow" w:hAnsi="Arial Narrow" w:cs="Arial Narrow"/>
                <w:color w:val="000000" w:themeColor="text1"/>
                <w:sz w:val="20"/>
                <w:szCs w:val="20"/>
              </w:rPr>
              <w:t> </w:t>
            </w:r>
          </w:p>
          <w:p w14:paraId="12408783" w14:textId="353C6B84" w:rsidR="1C13951F" w:rsidRDefault="69BD98B3" w:rsidP="00FA573D">
            <w:pPr>
              <w:jc w:val="left"/>
              <w:rPr>
                <w:rFonts w:ascii="Arial Narrow" w:eastAsia="Arial Narrow" w:hAnsi="Arial Narrow" w:cs="Arial Narrow"/>
                <w:color w:val="000000" w:themeColor="text1"/>
                <w:sz w:val="20"/>
                <w:szCs w:val="20"/>
              </w:rPr>
            </w:pPr>
            <w:r w:rsidRPr="16422FAA">
              <w:rPr>
                <w:rFonts w:ascii="Arial Narrow" w:eastAsia="Arial Narrow" w:hAnsi="Arial Narrow" w:cs="Arial Narrow"/>
                <w:color w:val="000000" w:themeColor="text1"/>
                <w:sz w:val="20"/>
                <w:szCs w:val="20"/>
              </w:rPr>
              <w:t>Other adult NIP listings: $</w:t>
            </w:r>
            <w:r w:rsidR="006A414A" w:rsidRPr="006A414A">
              <w:rPr>
                <w:rFonts w:ascii="Arial Narrow" w:eastAsia="Arial Narrow" w:hAnsi="Arial Narrow" w:cs="Arial Narrow"/>
                <w:color w:val="000000" w:themeColor="text1"/>
                <w:spacing w:val="64"/>
                <w:sz w:val="20"/>
                <w:szCs w:val="20"/>
                <w:shd w:val="solid" w:color="000000" w:fill="000000"/>
                <w:fitText w:val="363" w:id="-1303201023"/>
                <w14:textFill>
                  <w14:solidFill>
                    <w14:schemeClr w14:val="tx1">
                      <w14:alpha w14:val="100000"/>
                    </w14:schemeClr>
                  </w14:solidFill>
                </w14:textFill>
              </w:rPr>
              <w:t>|||</w:t>
            </w:r>
            <w:r w:rsidR="006A414A" w:rsidRPr="006A414A">
              <w:rPr>
                <w:rFonts w:ascii="Arial Narrow" w:eastAsia="Arial Narrow" w:hAnsi="Arial Narrow" w:cs="Arial Narrow"/>
                <w:color w:val="000000" w:themeColor="text1"/>
                <w:spacing w:val="1"/>
                <w:sz w:val="20"/>
                <w:szCs w:val="20"/>
                <w:shd w:val="solid" w:color="000000" w:fill="000000"/>
                <w:fitText w:val="363" w:id="-1303201023"/>
                <w14:textFill>
                  <w14:solidFill>
                    <w14:schemeClr w14:val="tx1">
                      <w14:alpha w14:val="100000"/>
                    </w14:schemeClr>
                  </w14:solidFill>
                </w14:textFill>
              </w:rPr>
              <w:t>|</w:t>
            </w:r>
            <w:r w:rsidRPr="16422FAA">
              <w:rPr>
                <w:rFonts w:ascii="Arial Narrow" w:eastAsia="Arial Narrow" w:hAnsi="Arial Narrow" w:cs="Arial Narrow"/>
                <w:color w:val="000000" w:themeColor="text1"/>
                <w:sz w:val="20"/>
                <w:szCs w:val="20"/>
              </w:rPr>
              <w:t> </w:t>
            </w:r>
          </w:p>
        </w:tc>
        <w:tc>
          <w:tcPr>
            <w:tcW w:w="1158" w:type="dxa"/>
            <w:tcBorders>
              <w:top w:val="single" w:sz="6" w:space="0" w:color="auto"/>
              <w:bottom w:val="single" w:sz="6" w:space="0" w:color="auto"/>
            </w:tcBorders>
            <w:vAlign w:val="center"/>
          </w:tcPr>
          <w:p w14:paraId="138E3C5D" w14:textId="5901084D" w:rsidR="1C13951F" w:rsidRDefault="73281783" w:rsidP="00FA573D">
            <w:pPr>
              <w:jc w:val="center"/>
              <w:rPr>
                <w:rFonts w:ascii="Arial Narrow" w:eastAsia="Arial Narrow" w:hAnsi="Arial Narrow" w:cs="Arial Narrow"/>
                <w:color w:val="000000" w:themeColor="text1"/>
                <w:sz w:val="20"/>
                <w:szCs w:val="20"/>
              </w:rPr>
            </w:pPr>
            <w:r w:rsidRPr="587FCDCC">
              <w:rPr>
                <w:rFonts w:ascii="Arial Narrow" w:eastAsia="Arial Narrow" w:hAnsi="Arial Narrow" w:cs="Arial Narrow"/>
                <w:color w:val="000000" w:themeColor="text1"/>
                <w:sz w:val="20"/>
                <w:szCs w:val="20"/>
              </w:rPr>
              <w:t>Prevenar 20</w:t>
            </w:r>
          </w:p>
        </w:tc>
        <w:tc>
          <w:tcPr>
            <w:tcW w:w="994" w:type="dxa"/>
            <w:tcBorders>
              <w:top w:val="single" w:sz="6" w:space="0" w:color="auto"/>
              <w:bottom w:val="single" w:sz="6" w:space="0" w:color="auto"/>
            </w:tcBorders>
            <w:vAlign w:val="center"/>
          </w:tcPr>
          <w:p w14:paraId="6BEE5AAA" w14:textId="167EB14A" w:rsidR="1C13951F" w:rsidRDefault="73281783" w:rsidP="1C13951F">
            <w:pPr>
              <w:jc w:val="center"/>
              <w:rPr>
                <w:rFonts w:ascii="Arial Narrow" w:eastAsia="Arial Narrow" w:hAnsi="Arial Narrow" w:cs="Arial Narrow"/>
                <w:color w:val="000000" w:themeColor="text1"/>
                <w:sz w:val="20"/>
                <w:szCs w:val="20"/>
              </w:rPr>
            </w:pPr>
            <w:r w:rsidRPr="587FCDCC">
              <w:rPr>
                <w:rFonts w:ascii="Arial Narrow" w:eastAsia="Arial Narrow" w:hAnsi="Arial Narrow" w:cs="Arial Narrow"/>
                <w:color w:val="000000" w:themeColor="text1"/>
                <w:sz w:val="20"/>
                <w:szCs w:val="20"/>
              </w:rPr>
              <w:t>Pfizer</w:t>
            </w:r>
          </w:p>
        </w:tc>
      </w:tr>
      <w:tr w:rsidR="1C13951F" w14:paraId="398D44FC" w14:textId="77777777" w:rsidTr="00FA573D">
        <w:trPr>
          <w:trHeight w:val="15"/>
        </w:trPr>
        <w:tc>
          <w:tcPr>
            <w:tcW w:w="1739" w:type="dxa"/>
            <w:tcBorders>
              <w:top w:val="single" w:sz="6" w:space="0" w:color="auto"/>
              <w:left w:val="single" w:sz="6" w:space="0" w:color="auto"/>
              <w:bottom w:val="single" w:sz="6" w:space="0" w:color="auto"/>
              <w:right w:val="single" w:sz="6" w:space="0" w:color="auto"/>
            </w:tcBorders>
          </w:tcPr>
          <w:p w14:paraId="1C50C52B" w14:textId="6E0F9230" w:rsidR="1C13951F" w:rsidRPr="00D147C7" w:rsidRDefault="1C13951F" w:rsidP="00D147C7">
            <w:pPr>
              <w:pStyle w:val="Tabletext"/>
              <w:rPr>
                <w:rFonts w:eastAsia="Arial Narrow" w:cs="Arial Narrow"/>
                <w:b/>
                <w:color w:val="000000" w:themeColor="text1"/>
                <w:szCs w:val="20"/>
              </w:rPr>
            </w:pPr>
            <w:r w:rsidRPr="00D147C7">
              <w:rPr>
                <w:rFonts w:eastAsia="Arial Narrow" w:cs="Arial Narrow"/>
                <w:b/>
                <w:color w:val="000000" w:themeColor="text1"/>
                <w:szCs w:val="20"/>
              </w:rPr>
              <w:t>Category/Program:</w:t>
            </w:r>
          </w:p>
        </w:tc>
        <w:tc>
          <w:tcPr>
            <w:tcW w:w="7341" w:type="dxa"/>
            <w:gridSpan w:val="4"/>
            <w:tcBorders>
              <w:top w:val="single" w:sz="6" w:space="0" w:color="auto"/>
              <w:left w:val="single" w:sz="6" w:space="0" w:color="auto"/>
              <w:bottom w:val="single" w:sz="6" w:space="0" w:color="auto"/>
              <w:right w:val="single" w:sz="6" w:space="0" w:color="auto"/>
            </w:tcBorders>
          </w:tcPr>
          <w:p w14:paraId="6BD09F9A" w14:textId="0583C200" w:rsidR="1C13951F" w:rsidRPr="00D147C7" w:rsidRDefault="1C13951F" w:rsidP="00D147C7">
            <w:pPr>
              <w:pStyle w:val="Tabletext"/>
              <w:rPr>
                <w:rFonts w:eastAsia="Arial Narrow" w:cs="Arial Narrow"/>
                <w:b/>
                <w:color w:val="000000" w:themeColor="text1"/>
                <w:szCs w:val="20"/>
              </w:rPr>
            </w:pPr>
            <w:r w:rsidRPr="00D147C7">
              <w:rPr>
                <w:rFonts w:eastAsia="Arial Narrow" w:cs="Arial Narrow"/>
                <w:b/>
                <w:color w:val="000000" w:themeColor="text1"/>
                <w:szCs w:val="20"/>
              </w:rPr>
              <w:t>NIP</w:t>
            </w:r>
          </w:p>
        </w:tc>
      </w:tr>
      <w:tr w:rsidR="1C13951F" w14:paraId="19C8C05B" w14:textId="77777777" w:rsidTr="00FA573D">
        <w:trPr>
          <w:trHeight w:val="15"/>
        </w:trPr>
        <w:tc>
          <w:tcPr>
            <w:tcW w:w="1739" w:type="dxa"/>
            <w:tcBorders>
              <w:top w:val="single" w:sz="6" w:space="0" w:color="auto"/>
              <w:left w:val="single" w:sz="6" w:space="0" w:color="auto"/>
              <w:bottom w:val="single" w:sz="6" w:space="0" w:color="auto"/>
              <w:right w:val="single" w:sz="6" w:space="0" w:color="auto"/>
            </w:tcBorders>
          </w:tcPr>
          <w:p w14:paraId="3B44A98E" w14:textId="1B9B8B51" w:rsidR="1C13951F" w:rsidRDefault="00FE2E1B" w:rsidP="00D147C7">
            <w:pPr>
              <w:pStyle w:val="Tabletext"/>
              <w:rPr>
                <w:rFonts w:eastAsia="Arial Narrow" w:cs="Arial Narrow"/>
                <w:color w:val="000000" w:themeColor="text1"/>
                <w:szCs w:val="20"/>
              </w:rPr>
            </w:pPr>
            <w:r>
              <w:rPr>
                <w:rFonts w:eastAsia="Arial Narrow" w:cs="Arial Narrow"/>
                <w:color w:val="000000" w:themeColor="text1"/>
                <w:szCs w:val="20"/>
              </w:rPr>
              <w:t>Groups eligible for the requested NIP listing of Prevenar 20</w:t>
            </w:r>
          </w:p>
        </w:tc>
        <w:tc>
          <w:tcPr>
            <w:tcW w:w="7341" w:type="dxa"/>
            <w:gridSpan w:val="4"/>
            <w:tcBorders>
              <w:top w:val="single" w:sz="6" w:space="0" w:color="auto"/>
              <w:left w:val="single" w:sz="6" w:space="0" w:color="auto"/>
              <w:bottom w:val="single" w:sz="6" w:space="0" w:color="auto"/>
              <w:right w:val="single" w:sz="6" w:space="0" w:color="auto"/>
            </w:tcBorders>
          </w:tcPr>
          <w:p w14:paraId="446756E3" w14:textId="14312366" w:rsidR="1C13951F" w:rsidRDefault="00D05AE1" w:rsidP="00D147C7">
            <w:pPr>
              <w:pStyle w:val="TableText0"/>
            </w:pPr>
            <w:r>
              <w:t>A</w:t>
            </w:r>
            <w:r w:rsidR="1872DF8D">
              <w:t>dults aged 70 years and over </w:t>
            </w:r>
          </w:p>
          <w:p w14:paraId="6ADED016" w14:textId="77777777" w:rsidR="00D05AE1" w:rsidRDefault="00D05AE1" w:rsidP="007B7379">
            <w:pPr>
              <w:pStyle w:val="TableText0"/>
              <w:numPr>
                <w:ilvl w:val="0"/>
                <w:numId w:val="14"/>
              </w:numPr>
            </w:pPr>
            <w:r>
              <w:t>Aboriginal and Torres Strait Islander adults aged 25 years and over </w:t>
            </w:r>
          </w:p>
          <w:p w14:paraId="5E62804C" w14:textId="536D28F8" w:rsidR="1C13951F" w:rsidRDefault="00D05AE1" w:rsidP="007B7379">
            <w:pPr>
              <w:pStyle w:val="TableText0"/>
              <w:numPr>
                <w:ilvl w:val="0"/>
                <w:numId w:val="14"/>
              </w:numPr>
            </w:pPr>
            <w:r>
              <w:t>I</w:t>
            </w:r>
            <w:r w:rsidR="1872DF8D">
              <w:t>ndividuals aged ≥18 years at increased risk of pneumococcal disease</w:t>
            </w:r>
            <w:r w:rsidR="002D1BF0">
              <w:t xml:space="preserve"> </w:t>
            </w:r>
            <w:r w:rsidR="002D1BF0">
              <w:rPr>
                <w:vertAlign w:val="superscript"/>
              </w:rPr>
              <w:t>a</w:t>
            </w:r>
          </w:p>
          <w:p w14:paraId="18391522" w14:textId="41D81C69" w:rsidR="1C13951F" w:rsidRDefault="1C13951F" w:rsidP="587FCDCC">
            <w:pPr>
              <w:pStyle w:val="TableText0"/>
              <w:rPr>
                <w:rFonts w:eastAsia="Arial Narrow" w:cs="Arial Narrow"/>
                <w:color w:val="000000" w:themeColor="text1"/>
                <w:szCs w:val="20"/>
              </w:rPr>
            </w:pPr>
          </w:p>
        </w:tc>
      </w:tr>
      <w:tr w:rsidR="002D1BF0" w14:paraId="2D14E65F" w14:textId="77777777" w:rsidTr="00FA573D">
        <w:trPr>
          <w:trHeight w:val="15"/>
        </w:trPr>
        <w:tc>
          <w:tcPr>
            <w:tcW w:w="1739" w:type="dxa"/>
            <w:tcBorders>
              <w:top w:val="single" w:sz="6" w:space="0" w:color="auto"/>
              <w:left w:val="single" w:sz="6" w:space="0" w:color="auto"/>
              <w:bottom w:val="single" w:sz="6" w:space="0" w:color="auto"/>
              <w:right w:val="single" w:sz="6" w:space="0" w:color="auto"/>
            </w:tcBorders>
          </w:tcPr>
          <w:p w14:paraId="7B60EA67" w14:textId="5827E824" w:rsidR="002D1BF0" w:rsidRPr="1C13951F" w:rsidDel="00FE2E1B" w:rsidRDefault="002D1BF0">
            <w:pPr>
              <w:pStyle w:val="Tabletext"/>
              <w:rPr>
                <w:rFonts w:eastAsia="Arial Narrow" w:cs="Arial Narrow"/>
                <w:color w:val="000000" w:themeColor="text1"/>
                <w:szCs w:val="20"/>
              </w:rPr>
            </w:pPr>
            <w:r>
              <w:rPr>
                <w:rFonts w:eastAsia="Arial Narrow" w:cs="Arial Narrow"/>
                <w:color w:val="000000" w:themeColor="text1"/>
                <w:szCs w:val="20"/>
              </w:rPr>
              <w:t>Number and timing of doses</w:t>
            </w:r>
          </w:p>
        </w:tc>
        <w:tc>
          <w:tcPr>
            <w:tcW w:w="7341" w:type="dxa"/>
            <w:gridSpan w:val="4"/>
            <w:tcBorders>
              <w:top w:val="single" w:sz="6" w:space="0" w:color="auto"/>
              <w:left w:val="single" w:sz="6" w:space="0" w:color="auto"/>
              <w:bottom w:val="single" w:sz="6" w:space="0" w:color="auto"/>
              <w:right w:val="single" w:sz="6" w:space="0" w:color="auto"/>
            </w:tcBorders>
          </w:tcPr>
          <w:p w14:paraId="500D6628" w14:textId="4E65E773" w:rsidR="002D1BF0" w:rsidRDefault="002D1BF0" w:rsidP="587FCDCC">
            <w:pPr>
              <w:jc w:val="lef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A single 20vPCV (0.5 mL) injection</w:t>
            </w:r>
          </w:p>
        </w:tc>
      </w:tr>
    </w:tbl>
    <w:p w14:paraId="53204FF3" w14:textId="152FC1A3" w:rsidR="00FE2E1B" w:rsidRDefault="00FE2E1B" w:rsidP="410212FF">
      <w:pPr>
        <w:pStyle w:val="FooterTableFigure"/>
        <w:rPr>
          <w:rFonts w:eastAsia="Arial Narrow" w:cs="Arial Narrow"/>
          <w:color w:val="000000" w:themeColor="text1"/>
        </w:rPr>
      </w:pPr>
      <w:r>
        <w:rPr>
          <w:rFonts w:eastAsia="Arial Narrow" w:cs="Arial Narrow"/>
          <w:color w:val="000000" w:themeColor="text1"/>
        </w:rPr>
        <w:t>Source: Table 1.4.1, p37-S1 of the submission</w:t>
      </w:r>
    </w:p>
    <w:p w14:paraId="2017C320" w14:textId="2BED2D5E" w:rsidR="1C13951F" w:rsidRDefault="1872DF8D" w:rsidP="410212FF">
      <w:pPr>
        <w:pStyle w:val="FooterTableFigure"/>
        <w:rPr>
          <w:rFonts w:eastAsia="Arial Narrow" w:cs="Arial Narrow"/>
          <w:color w:val="000000" w:themeColor="text1"/>
        </w:rPr>
      </w:pPr>
      <w:r w:rsidRPr="7C3EAE40">
        <w:rPr>
          <w:rFonts w:eastAsia="Arial Narrow" w:cs="Arial Narrow"/>
          <w:color w:val="000000" w:themeColor="text1"/>
        </w:rPr>
        <w:t>Abbreviations: 20vPCV, 20-valent pneumococcal conjugate vaccine</w:t>
      </w:r>
      <w:r w:rsidR="42916FD3" w:rsidRPr="78DD89F2">
        <w:rPr>
          <w:rFonts w:eastAsia="Arial Narrow" w:cs="Arial Narrow"/>
          <w:color w:val="000000" w:themeColor="text1"/>
        </w:rPr>
        <w:t xml:space="preserve">; </w:t>
      </w:r>
      <w:r w:rsidR="4DAF5B73" w:rsidRPr="78DD89F2">
        <w:rPr>
          <w:rFonts w:eastAsia="Arial Narrow" w:cs="Arial Narrow"/>
          <w:color w:val="000000" w:themeColor="text1"/>
        </w:rPr>
        <w:t>NIP, National Immunisation Program</w:t>
      </w:r>
    </w:p>
    <w:p w14:paraId="5EBFE6DC" w14:textId="59E8BFA2" w:rsidR="002D1BF0" w:rsidRPr="002D1BF0" w:rsidRDefault="002D1BF0" w:rsidP="410212FF">
      <w:pPr>
        <w:pStyle w:val="FooterTableFigure"/>
        <w:rPr>
          <w:rFonts w:eastAsia="Arial Narrow" w:cs="Arial Narrow"/>
          <w:color w:val="000000" w:themeColor="text1"/>
        </w:rPr>
      </w:pPr>
      <w:r>
        <w:rPr>
          <w:rFonts w:eastAsia="Arial Narrow" w:cs="Arial Narrow"/>
          <w:color w:val="000000" w:themeColor="text1"/>
          <w:vertAlign w:val="superscript"/>
        </w:rPr>
        <w:t>a</w:t>
      </w:r>
      <w:r>
        <w:rPr>
          <w:rFonts w:eastAsia="Arial Narrow" w:cs="Arial Narrow"/>
          <w:color w:val="000000" w:themeColor="text1"/>
        </w:rPr>
        <w:t xml:space="preserve"> NIP-funded risk conditions for pneumococcal disease</w:t>
      </w:r>
    </w:p>
    <w:p w14:paraId="5B7CA1CA" w14:textId="4512FE96" w:rsidR="003C7D52" w:rsidRPr="004E375B" w:rsidRDefault="00793F8B" w:rsidP="00CC71B0">
      <w:pPr>
        <w:pStyle w:val="3-BodyText"/>
      </w:pPr>
      <w:bookmarkStart w:id="11" w:name="_Ref119581070"/>
      <w:r w:rsidRPr="003C7D52">
        <w:t xml:space="preserve">The submission proposed </w:t>
      </w:r>
      <w:r w:rsidR="00B37A77">
        <w:t>a</w:t>
      </w:r>
      <w:r w:rsidR="00B37A77" w:rsidRPr="003C7D52">
        <w:t xml:space="preserve"> </w:t>
      </w:r>
      <w:r w:rsidRPr="003C7D52">
        <w:t>price</w:t>
      </w:r>
      <w:r w:rsidR="00B37A77">
        <w:t xml:space="preserve"> f</w:t>
      </w:r>
      <w:r w:rsidRPr="003C7D52">
        <w:t>or</w:t>
      </w:r>
      <w:r w:rsidR="00B37A77">
        <w:t xml:space="preserve"> 20vPCV for</w:t>
      </w:r>
      <w:r w:rsidRPr="003C7D52">
        <w:t xml:space="preserve"> Aboriginal and Torres Strait Islander adults and for non-Indigenous adults</w:t>
      </w:r>
      <w:r w:rsidR="00D147C7">
        <w:t xml:space="preserve"> aged</w:t>
      </w:r>
      <w:r w:rsidRPr="003C7D52">
        <w:t xml:space="preserve"> ≥ 70 years</w:t>
      </w:r>
      <w:r w:rsidR="00B37A77">
        <w:t xml:space="preserve"> of</w:t>
      </w:r>
      <w:r w:rsidRPr="003C7D52">
        <w:t xml:space="preserve"> $</w:t>
      </w:r>
      <w:r w:rsidR="006A414A" w:rsidRPr="00137984">
        <w:rPr>
          <w:color w:val="000000"/>
          <w:w w:val="15"/>
          <w:shd w:val="solid" w:color="000000" w:fill="000000"/>
          <w:fitText w:val="-20" w:id="-1303201022"/>
          <w14:textFill>
            <w14:solidFill>
              <w14:srgbClr w14:val="000000">
                <w14:alpha w14:val="100000"/>
              </w14:srgbClr>
            </w14:solidFill>
          </w14:textFill>
        </w:rPr>
        <w:t xml:space="preserve">|  </w:t>
      </w:r>
      <w:r w:rsidR="006A414A" w:rsidRPr="00137984">
        <w:rPr>
          <w:color w:val="000000"/>
          <w:spacing w:val="-69"/>
          <w:w w:val="15"/>
          <w:shd w:val="solid" w:color="000000" w:fill="000000"/>
          <w:fitText w:val="-20" w:id="-1303201022"/>
          <w14:textFill>
            <w14:solidFill>
              <w14:srgbClr w14:val="000000">
                <w14:alpha w14:val="100000"/>
              </w14:srgbClr>
            </w14:solidFill>
          </w14:textFill>
        </w:rPr>
        <w:t>|</w:t>
      </w:r>
      <w:r w:rsidR="00807AD0">
        <w:t xml:space="preserve"> per dose</w:t>
      </w:r>
      <w:r w:rsidRPr="003C7D52">
        <w:t>.</w:t>
      </w:r>
      <w:r w:rsidR="00B37A77">
        <w:t xml:space="preserve"> </w:t>
      </w:r>
      <w:r w:rsidR="00B37A77" w:rsidRPr="00AA6D0E">
        <w:rPr>
          <w:iCs/>
        </w:rPr>
        <w:t>This compares with $</w:t>
      </w:r>
      <w:r w:rsidR="006A414A" w:rsidRPr="00137984">
        <w:rPr>
          <w:iCs/>
          <w:color w:val="000000"/>
          <w:w w:val="15"/>
          <w:shd w:val="solid" w:color="000000" w:fill="000000"/>
          <w:fitText w:val="-20" w:id="-1303201021"/>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21"/>
          <w14:textFill>
            <w14:solidFill>
              <w14:srgbClr w14:val="000000">
                <w14:alpha w14:val="100000"/>
              </w14:srgbClr>
            </w14:solidFill>
          </w14:textFill>
        </w:rPr>
        <w:t>|</w:t>
      </w:r>
      <w:r w:rsidR="00B37A77" w:rsidRPr="00AA6D0E">
        <w:rPr>
          <w:iCs/>
        </w:rPr>
        <w:t xml:space="preserve"> per dose for 13vPCV. </w:t>
      </w:r>
      <w:r w:rsidRPr="003C7D52">
        <w:t xml:space="preserve">For adults </w:t>
      </w:r>
      <w:r w:rsidR="001C0EAB">
        <w:t xml:space="preserve">aged </w:t>
      </w:r>
      <w:r w:rsidRPr="003C7D52">
        <w:t>≥</w:t>
      </w:r>
      <w:r w:rsidR="001C0EAB">
        <w:t xml:space="preserve"> </w:t>
      </w:r>
      <w:r w:rsidRPr="003C7D52">
        <w:t>18</w:t>
      </w:r>
      <w:r w:rsidR="00807AD0">
        <w:t xml:space="preserve"> years</w:t>
      </w:r>
      <w:r w:rsidRPr="003C7D52">
        <w:t xml:space="preserve"> with a NIP listed risk </w:t>
      </w:r>
      <w:r w:rsidR="66FC775A">
        <w:t>condition</w:t>
      </w:r>
      <w:r w:rsidRPr="003C7D52">
        <w:t xml:space="preserve">, the proposed price </w:t>
      </w:r>
      <w:r w:rsidR="00B37A77">
        <w:t xml:space="preserve">for 20vPCV </w:t>
      </w:r>
      <w:r w:rsidR="002C6DD8">
        <w:t>wa</w:t>
      </w:r>
      <w:r w:rsidRPr="003C7D52">
        <w:t>s $</w:t>
      </w:r>
      <w:r w:rsidR="006A414A" w:rsidRPr="00137984">
        <w:rPr>
          <w:color w:val="000000"/>
          <w:w w:val="15"/>
          <w:shd w:val="solid" w:color="000000" w:fill="000000"/>
          <w:fitText w:val="-20" w:id="-1303201020"/>
          <w14:textFill>
            <w14:solidFill>
              <w14:srgbClr w14:val="000000">
                <w14:alpha w14:val="100000"/>
              </w14:srgbClr>
            </w14:solidFill>
          </w14:textFill>
        </w:rPr>
        <w:t xml:space="preserve">|  </w:t>
      </w:r>
      <w:r w:rsidR="006A414A" w:rsidRPr="00137984">
        <w:rPr>
          <w:color w:val="000000"/>
          <w:spacing w:val="-69"/>
          <w:w w:val="15"/>
          <w:shd w:val="solid" w:color="000000" w:fill="000000"/>
          <w:fitText w:val="-20" w:id="-1303201020"/>
          <w14:textFill>
            <w14:solidFill>
              <w14:srgbClr w14:val="000000">
                <w14:alpha w14:val="100000"/>
              </w14:srgbClr>
            </w14:solidFill>
          </w14:textFill>
        </w:rPr>
        <w:t>|</w:t>
      </w:r>
      <w:r w:rsidR="00807AD0">
        <w:t xml:space="preserve"> per dose</w:t>
      </w:r>
      <w:r w:rsidRPr="003C7D52">
        <w:t>.</w:t>
      </w:r>
      <w:r w:rsidR="00B37A77">
        <w:t xml:space="preserve"> </w:t>
      </w:r>
      <w:r w:rsidR="00B37A77" w:rsidRPr="00AA6D0E">
        <w:rPr>
          <w:iCs/>
        </w:rPr>
        <w:t>This compares with $</w:t>
      </w:r>
      <w:r w:rsidR="006A414A" w:rsidRPr="00137984">
        <w:rPr>
          <w:iCs/>
          <w:color w:val="000000"/>
          <w:w w:val="15"/>
          <w:shd w:val="solid" w:color="000000" w:fill="000000"/>
          <w:fitText w:val="-20" w:id="-1303201019"/>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19"/>
          <w14:textFill>
            <w14:solidFill>
              <w14:srgbClr w14:val="000000">
                <w14:alpha w14:val="100000"/>
              </w14:srgbClr>
            </w14:solidFill>
          </w14:textFill>
        </w:rPr>
        <w:t>|</w:t>
      </w:r>
      <w:r w:rsidR="00B37A77" w:rsidRPr="00AA6D0E">
        <w:rPr>
          <w:iCs/>
        </w:rPr>
        <w:t xml:space="preserve"> per dose for 13vPCV. </w:t>
      </w:r>
      <w:r w:rsidR="00B00F1A">
        <w:rPr>
          <w:iCs/>
        </w:rPr>
        <w:t xml:space="preserve">The pre-PBAC response acknowledged </w:t>
      </w:r>
      <w:proofErr w:type="gramStart"/>
      <w:r w:rsidR="00B00F1A">
        <w:rPr>
          <w:iCs/>
        </w:rPr>
        <w:t>i</w:t>
      </w:r>
      <w:r w:rsidR="007B7324">
        <w:rPr>
          <w:iCs/>
        </w:rPr>
        <w:t>n order to</w:t>
      </w:r>
      <w:proofErr w:type="gramEnd"/>
      <w:r w:rsidR="007B7324">
        <w:rPr>
          <w:iCs/>
        </w:rPr>
        <w:t xml:space="preserve"> address uncertainties related to the clinical superiority of 20vPCV over 13vPCV and 15vPCV </w:t>
      </w:r>
      <w:r w:rsidR="00DC0A9D">
        <w:rPr>
          <w:iCs/>
        </w:rPr>
        <w:t xml:space="preserve">as </w:t>
      </w:r>
      <w:r w:rsidR="007B7324">
        <w:rPr>
          <w:iCs/>
        </w:rPr>
        <w:t>raised during the evaluation of 20vPCV and by the ESC,</w:t>
      </w:r>
      <w:r w:rsidR="001E13A7">
        <w:rPr>
          <w:iCs/>
        </w:rPr>
        <w:t xml:space="preserve"> </w:t>
      </w:r>
      <w:r w:rsidR="00B00F1A">
        <w:rPr>
          <w:iCs/>
        </w:rPr>
        <w:t>that the PBAC may make a recommendation using a cost minimisation approach versus 13vPCV and 15vPCV</w:t>
      </w:r>
      <w:r w:rsidR="007B7324">
        <w:rPr>
          <w:iCs/>
        </w:rPr>
        <w:t>.</w:t>
      </w:r>
      <w:r w:rsidR="00AF3576">
        <w:rPr>
          <w:iCs/>
        </w:rPr>
        <w:t xml:space="preserve"> The PBAC noted this </w:t>
      </w:r>
      <w:r w:rsidR="00DC0A9D">
        <w:rPr>
          <w:iCs/>
        </w:rPr>
        <w:t xml:space="preserve">approach </w:t>
      </w:r>
      <w:r w:rsidR="00AF3576">
        <w:rPr>
          <w:iCs/>
        </w:rPr>
        <w:t>would result in the same price per dose for 20vPCV, 15vPCV and 13vPCV.</w:t>
      </w:r>
      <w:r w:rsidR="007B7324">
        <w:rPr>
          <w:iCs/>
        </w:rPr>
        <w:t xml:space="preserve"> </w:t>
      </w:r>
      <w:bookmarkEnd w:id="11"/>
    </w:p>
    <w:p w14:paraId="4440B12E" w14:textId="705D732D" w:rsidR="007D3A53" w:rsidRPr="00683533" w:rsidRDefault="00F51B69" w:rsidP="00076AD4">
      <w:pPr>
        <w:pStyle w:val="3-BodyText"/>
        <w:rPr>
          <w:rStyle w:val="normaltextrun"/>
        </w:rPr>
      </w:pPr>
      <w:bookmarkStart w:id="12" w:name="_Ref113875408"/>
      <w:r w:rsidRPr="00683533">
        <w:rPr>
          <w:iCs/>
        </w:rPr>
        <w:t>ATAGI noted i</w:t>
      </w:r>
      <w:r w:rsidR="00377C2F" w:rsidRPr="00683533">
        <w:rPr>
          <w:iCs/>
        </w:rPr>
        <w:t xml:space="preserve">t is unclear if the expanded population of Aboriginal and Torres Strait Islander adults aged 25-49 years </w:t>
      </w:r>
      <w:r w:rsidRPr="00683533">
        <w:rPr>
          <w:iCs/>
        </w:rPr>
        <w:t>would require another dose of pneumococcal vaccine in their lifetime</w:t>
      </w:r>
      <w:r w:rsidR="00377C2F" w:rsidRPr="00683533">
        <w:rPr>
          <w:iCs/>
        </w:rPr>
        <w:t xml:space="preserve">. ATAGI recommended that the </w:t>
      </w:r>
      <w:r w:rsidR="0055196D" w:rsidRPr="00683533">
        <w:rPr>
          <w:iCs/>
        </w:rPr>
        <w:t>s</w:t>
      </w:r>
      <w:r w:rsidR="00377C2F" w:rsidRPr="00683533">
        <w:rPr>
          <w:iCs/>
        </w:rPr>
        <w:t>ponsor present a full cost-effectiveness analysis, including (at a minimum) a single dose of 20vPCV at 25 years old versus a single dose of 20vPCV at 50 years old among Aboriginal and Torres Strait Islanders</w:t>
      </w:r>
      <w:r w:rsidR="0077345C" w:rsidRPr="00683533">
        <w:rPr>
          <w:iCs/>
        </w:rPr>
        <w:t xml:space="preserve"> (p11, </w:t>
      </w:r>
      <w:r w:rsidR="00A91676" w:rsidRPr="00683533">
        <w:rPr>
          <w:iCs/>
        </w:rPr>
        <w:t>Prevenar 20,</w:t>
      </w:r>
      <w:r w:rsidR="00A91676" w:rsidRPr="004E375B">
        <w:t xml:space="preserve"> </w:t>
      </w:r>
      <w:r w:rsidR="0077345C" w:rsidRPr="00683533">
        <w:rPr>
          <w:iCs/>
        </w:rPr>
        <w:t>ATAGI pre-submission advice</w:t>
      </w:r>
      <w:r w:rsidR="00F137BC" w:rsidRPr="00683533">
        <w:rPr>
          <w:iCs/>
        </w:rPr>
        <w:t xml:space="preserve"> to PBAC</w:t>
      </w:r>
      <w:r w:rsidR="0077345C" w:rsidRPr="00683533">
        <w:rPr>
          <w:iCs/>
        </w:rPr>
        <w:t>, April 2022)</w:t>
      </w:r>
      <w:r w:rsidR="00377C2F" w:rsidRPr="00683533">
        <w:rPr>
          <w:iCs/>
        </w:rPr>
        <w:t xml:space="preserve">. </w:t>
      </w:r>
      <w:r w:rsidR="0077345C" w:rsidRPr="00683533">
        <w:rPr>
          <w:iCs/>
        </w:rPr>
        <w:t>In this population t</w:t>
      </w:r>
      <w:r w:rsidR="00377C2F" w:rsidRPr="00683533">
        <w:rPr>
          <w:iCs/>
        </w:rPr>
        <w:t xml:space="preserve">he submission presented a cost-effectiveness analysis of a single dose of 20vPCV versus no vaccine which followed people </w:t>
      </w:r>
      <w:r w:rsidR="00076AD4" w:rsidRPr="00683533">
        <w:rPr>
          <w:iCs/>
        </w:rPr>
        <w:t>until</w:t>
      </w:r>
      <w:r w:rsidR="00377C2F" w:rsidRPr="00683533">
        <w:rPr>
          <w:iCs/>
        </w:rPr>
        <w:t xml:space="preserve"> the age of </w:t>
      </w:r>
      <w:r w:rsidR="00076AD4" w:rsidRPr="00683533">
        <w:rPr>
          <w:iCs/>
        </w:rPr>
        <w:t>50</w:t>
      </w:r>
      <w:r w:rsidR="00377C2F" w:rsidRPr="00683533">
        <w:rPr>
          <w:iCs/>
        </w:rPr>
        <w:t xml:space="preserve"> years</w:t>
      </w:r>
      <w:r w:rsidR="00076AD4" w:rsidRPr="00683533">
        <w:rPr>
          <w:iCs/>
        </w:rPr>
        <w:t xml:space="preserve"> (</w:t>
      </w:r>
      <w:r w:rsidR="00076AD4" w:rsidRPr="00683533">
        <w:rPr>
          <w:iCs/>
        </w:rPr>
        <w:fldChar w:fldCharType="begin"/>
      </w:r>
      <w:r w:rsidR="00076AD4" w:rsidRPr="00683533">
        <w:rPr>
          <w:iCs/>
        </w:rPr>
        <w:instrText xml:space="preserve"> REF _Ref112350158 \h  \* MERGEFORMAT </w:instrText>
      </w:r>
      <w:r w:rsidR="00076AD4" w:rsidRPr="00683533">
        <w:rPr>
          <w:iCs/>
        </w:rPr>
      </w:r>
      <w:r w:rsidR="00076AD4" w:rsidRPr="00683533">
        <w:rPr>
          <w:iCs/>
        </w:rPr>
        <w:fldChar w:fldCharType="separate"/>
      </w:r>
      <w:r w:rsidR="00137984" w:rsidRPr="00137984">
        <w:rPr>
          <w:iCs/>
        </w:rPr>
        <w:t>Table 9</w:t>
      </w:r>
      <w:r w:rsidR="00076AD4" w:rsidRPr="00683533">
        <w:rPr>
          <w:iCs/>
        </w:rPr>
        <w:fldChar w:fldCharType="end"/>
      </w:r>
      <w:r w:rsidR="00076AD4" w:rsidRPr="00683533">
        <w:rPr>
          <w:iCs/>
        </w:rPr>
        <w:t>)</w:t>
      </w:r>
      <w:r w:rsidR="00377C2F" w:rsidRPr="00683533">
        <w:rPr>
          <w:iCs/>
        </w:rPr>
        <w:t xml:space="preserve">. The analysis did not </w:t>
      </w:r>
      <w:r w:rsidR="0077345C" w:rsidRPr="00683533">
        <w:rPr>
          <w:iCs/>
        </w:rPr>
        <w:t xml:space="preserve">enable the cost-effectiveness of </w:t>
      </w:r>
      <w:r w:rsidRPr="00683533">
        <w:rPr>
          <w:iCs/>
        </w:rPr>
        <w:t>additional doses</w:t>
      </w:r>
      <w:r w:rsidR="00076AD4" w:rsidRPr="00683533">
        <w:rPr>
          <w:iCs/>
        </w:rPr>
        <w:t>, including a</w:t>
      </w:r>
      <w:r w:rsidR="0077345C" w:rsidRPr="00683533">
        <w:rPr>
          <w:iCs/>
        </w:rPr>
        <w:t>dditional doses of 23vPPV</w:t>
      </w:r>
      <w:r w:rsidR="00076AD4" w:rsidRPr="00683533">
        <w:rPr>
          <w:iCs/>
        </w:rPr>
        <w:t xml:space="preserve"> </w:t>
      </w:r>
      <w:r w:rsidR="007B10A9" w:rsidRPr="00683533">
        <w:rPr>
          <w:iCs/>
        </w:rPr>
        <w:t>after the first dose of 20vPCV</w:t>
      </w:r>
      <w:r w:rsidR="00076AD4" w:rsidRPr="00683533">
        <w:rPr>
          <w:iCs/>
        </w:rPr>
        <w:t xml:space="preserve">, </w:t>
      </w:r>
      <w:r w:rsidR="0077345C" w:rsidRPr="00683533">
        <w:rPr>
          <w:iCs/>
        </w:rPr>
        <w:t>to be assessed.</w:t>
      </w:r>
      <w:r w:rsidR="00076AD4" w:rsidRPr="00683533">
        <w:rPr>
          <w:iCs/>
        </w:rPr>
        <w:t xml:space="preserve"> </w:t>
      </w:r>
      <w:r w:rsidR="00377C2F" w:rsidRPr="00683533">
        <w:rPr>
          <w:rStyle w:val="normaltextrun"/>
        </w:rPr>
        <w:t xml:space="preserve">The </w:t>
      </w:r>
      <w:r w:rsidR="00EB5430">
        <w:rPr>
          <w:rStyle w:val="normaltextrun"/>
        </w:rPr>
        <w:t>Pre-Sub-Committee Response (</w:t>
      </w:r>
      <w:r w:rsidR="00377C2F" w:rsidRPr="00683533">
        <w:rPr>
          <w:rStyle w:val="normaltextrun"/>
        </w:rPr>
        <w:t>PSCR</w:t>
      </w:r>
      <w:r w:rsidR="00EB5430">
        <w:rPr>
          <w:rStyle w:val="normaltextrun"/>
        </w:rPr>
        <w:t>)</w:t>
      </w:r>
      <w:r w:rsidR="00377C2F" w:rsidRPr="00683533">
        <w:rPr>
          <w:rStyle w:val="normaltextrun"/>
        </w:rPr>
        <w:t xml:space="preserve"> stated the proposed program in the submission </w:t>
      </w:r>
      <w:r w:rsidR="00076AD4" w:rsidRPr="00683533">
        <w:rPr>
          <w:rStyle w:val="normaltextrun"/>
        </w:rPr>
        <w:t>wa</w:t>
      </w:r>
      <w:r w:rsidR="00377C2F" w:rsidRPr="00683533">
        <w:rPr>
          <w:rStyle w:val="normaltextrun"/>
        </w:rPr>
        <w:t xml:space="preserve">s for a single dose of 20vPCV in Aboriginal and Torres Strait Islander adults ≥ 25 years, in addition to the current NIP schedule of a dose of 20vPCV at ≥ 50 years followed by 2 doses of 23vPPV. The PSCR presented financial estimates including the cost of a subsequent dose of 23vPPV for the expanded population of Aboriginal and Torres Strait Islander persons aged 25-49 years to enable consideration of this regimen. </w:t>
      </w:r>
      <w:r w:rsidR="00E7195C">
        <w:rPr>
          <w:rStyle w:val="normaltextrun"/>
        </w:rPr>
        <w:t xml:space="preserve">The </w:t>
      </w:r>
      <w:r w:rsidR="00E7195C">
        <w:rPr>
          <w:rStyle w:val="normaltextrun"/>
        </w:rPr>
        <w:lastRenderedPageBreak/>
        <w:t xml:space="preserve">cost-effectiveness of </w:t>
      </w:r>
      <w:r w:rsidR="000A20D9">
        <w:rPr>
          <w:rStyle w:val="normaltextrun"/>
        </w:rPr>
        <w:t>additional</w:t>
      </w:r>
      <w:r w:rsidR="00E7195C">
        <w:rPr>
          <w:rStyle w:val="normaltextrun"/>
        </w:rPr>
        <w:t xml:space="preserve"> doses</w:t>
      </w:r>
      <w:r w:rsidR="000A20D9">
        <w:rPr>
          <w:rStyle w:val="normaltextrun"/>
        </w:rPr>
        <w:t xml:space="preserve"> of 23vPPV</w:t>
      </w:r>
      <w:r w:rsidR="00E7195C">
        <w:rPr>
          <w:rStyle w:val="normaltextrun"/>
        </w:rPr>
        <w:t xml:space="preserve"> for the expanded population were provided in the pre-PBAC response </w:t>
      </w:r>
      <w:r w:rsidR="001D4C6C">
        <w:rPr>
          <w:rStyle w:val="normaltextrun"/>
        </w:rPr>
        <w:t xml:space="preserve">(see paragraph </w:t>
      </w:r>
      <w:r w:rsidR="001E13A7">
        <w:rPr>
          <w:rStyle w:val="normaltextrun"/>
        </w:rPr>
        <w:fldChar w:fldCharType="begin"/>
      </w:r>
      <w:r w:rsidR="001E13A7">
        <w:rPr>
          <w:rStyle w:val="normaltextrun"/>
        </w:rPr>
        <w:instrText xml:space="preserve"> REF _Ref120001182 \r \h </w:instrText>
      </w:r>
      <w:r w:rsidR="001E13A7">
        <w:rPr>
          <w:rStyle w:val="normaltextrun"/>
        </w:rPr>
      </w:r>
      <w:r w:rsidR="001E13A7">
        <w:rPr>
          <w:rStyle w:val="normaltextrun"/>
        </w:rPr>
        <w:fldChar w:fldCharType="separate"/>
      </w:r>
      <w:r w:rsidR="00137984">
        <w:rPr>
          <w:rStyle w:val="normaltextrun"/>
        </w:rPr>
        <w:t>6.77</w:t>
      </w:r>
      <w:r w:rsidR="001E13A7">
        <w:rPr>
          <w:rStyle w:val="normaltextrun"/>
        </w:rPr>
        <w:fldChar w:fldCharType="end"/>
      </w:r>
      <w:r w:rsidR="001D4C6C">
        <w:rPr>
          <w:rStyle w:val="normaltextrun"/>
        </w:rPr>
        <w:t>)</w:t>
      </w:r>
      <w:r w:rsidR="00E7195C">
        <w:rPr>
          <w:rStyle w:val="normaltextrun"/>
        </w:rPr>
        <w:t>.</w:t>
      </w:r>
      <w:bookmarkEnd w:id="12"/>
      <w:r w:rsidR="00E7195C">
        <w:rPr>
          <w:rStyle w:val="normaltextrun"/>
        </w:rPr>
        <w:t xml:space="preserve"> </w:t>
      </w:r>
    </w:p>
    <w:p w14:paraId="0DEFAB87" w14:textId="6658C777" w:rsidR="00793F8B" w:rsidRDefault="00793F8B" w:rsidP="00E97108">
      <w:pPr>
        <w:pStyle w:val="3-BodyText"/>
      </w:pPr>
      <w:r w:rsidRPr="004E375B">
        <w:t>The requested restriction is consistent with the proposed TGA indication</w:t>
      </w:r>
      <w:r w:rsidR="00F27DFB" w:rsidRPr="004E375B">
        <w:t>.</w:t>
      </w:r>
      <w:r w:rsidRPr="004E375B">
        <w:t xml:space="preserve"> </w:t>
      </w:r>
    </w:p>
    <w:p w14:paraId="76E90B26" w14:textId="6682ACB5" w:rsidR="00694FA9" w:rsidRPr="004E375B" w:rsidRDefault="00694FA9" w:rsidP="00694FA9">
      <w:pPr>
        <w:pStyle w:val="3-BodyText"/>
        <w:numPr>
          <w:ilvl w:val="0"/>
          <w:numId w:val="0"/>
        </w:numPr>
        <w:ind w:left="720"/>
      </w:pPr>
      <w:r>
        <w:rPr>
          <w:i/>
          <w:iCs/>
          <w:color w:val="000000" w:themeColor="text1"/>
        </w:rPr>
        <w:t>For more detail on PBAC’s view, see section 7 PBAC outcome.</w:t>
      </w:r>
    </w:p>
    <w:p w14:paraId="70D2530D" w14:textId="77777777" w:rsidR="007D4D11" w:rsidRPr="00CD5C51" w:rsidDel="00195452" w:rsidRDefault="007D4D11" w:rsidP="00AA77E6">
      <w:pPr>
        <w:pStyle w:val="2-SectionHeading"/>
        <w:numPr>
          <w:ilvl w:val="0"/>
          <w:numId w:val="15"/>
        </w:numPr>
        <w:spacing w:after="120"/>
        <w:jc w:val="left"/>
        <w:outlineLvl w:val="0"/>
        <w:rPr>
          <w:rFonts w:asciiTheme="minorHAnsi" w:hAnsiTheme="minorHAnsi"/>
          <w:bCs w:val="0"/>
          <w:snapToGrid w:val="0"/>
        </w:rPr>
      </w:pPr>
      <w:bookmarkStart w:id="13" w:name="_Toc114061394"/>
      <w:r w:rsidRPr="00CD5C51" w:rsidDel="00195452">
        <w:rPr>
          <w:rFonts w:asciiTheme="minorHAnsi" w:hAnsiTheme="minorHAnsi"/>
          <w:bCs w:val="0"/>
          <w:snapToGrid w:val="0"/>
        </w:rPr>
        <w:t>Population and disease</w:t>
      </w:r>
      <w:bookmarkEnd w:id="13"/>
    </w:p>
    <w:p w14:paraId="55204342" w14:textId="568858EA" w:rsidR="00BE654E" w:rsidRPr="004E375B" w:rsidRDefault="00793F8B" w:rsidP="00036C51">
      <w:pPr>
        <w:pStyle w:val="3-BodyText"/>
        <w:rPr>
          <w:rStyle w:val="normaltextrun"/>
          <w:iCs/>
        </w:rPr>
      </w:pPr>
      <w:r w:rsidRPr="00825086">
        <w:rPr>
          <w:rStyle w:val="normaltextrun"/>
        </w:rPr>
        <w:t xml:space="preserve">Pneumococcal disease is caused by the bacterium </w:t>
      </w:r>
      <w:r w:rsidRPr="001E13A7">
        <w:rPr>
          <w:rStyle w:val="normaltextrun"/>
          <w:i/>
        </w:rPr>
        <w:t>S. pneumoniae</w:t>
      </w:r>
      <w:r w:rsidRPr="00825086">
        <w:rPr>
          <w:rStyle w:val="normaltextrun"/>
        </w:rPr>
        <w:t xml:space="preserve">. It can be broadly categorised into invasive pneumococcal disease (IPD: meningitis, bacteraemia and bacteraemia associated pneumonia) and non-invasive pneumococcal disease, including community acquired pneumonia (CAP) and hospital acquired pneumonia (HAP). </w:t>
      </w:r>
    </w:p>
    <w:p w14:paraId="7C8A7DAB" w14:textId="084F90F0" w:rsidR="00A6731B" w:rsidRDefault="00C02BE0" w:rsidP="00C02BE0">
      <w:pPr>
        <w:pStyle w:val="3-BodyText"/>
      </w:pPr>
      <w:r w:rsidRPr="00D147C7">
        <w:t xml:space="preserve">In Australia, there remains a substantial burden of disease in the proposed </w:t>
      </w:r>
      <w:r w:rsidR="00A6731B">
        <w:t xml:space="preserve">NIP populations and the incidence of IPD </w:t>
      </w:r>
      <w:r w:rsidR="00442FDA" w:rsidRPr="6EFD3FE7">
        <w:t xml:space="preserve">among </w:t>
      </w:r>
      <w:r w:rsidR="00442FDA" w:rsidRPr="000B6285">
        <w:t xml:space="preserve">Aboriginal and Torres Strait Islander </w:t>
      </w:r>
      <w:r w:rsidR="00442FDA">
        <w:t xml:space="preserve">Australians </w:t>
      </w:r>
      <w:r w:rsidR="00442FDA" w:rsidRPr="6EFD3FE7">
        <w:t>is higher than among non-Indigenous Australians for all age group</w:t>
      </w:r>
      <w:r w:rsidR="00442FDA">
        <w:t>s</w:t>
      </w:r>
      <w:r w:rsidR="00064C1B">
        <w:t xml:space="preserve"> (</w:t>
      </w:r>
      <w:r w:rsidR="00AB6C6A">
        <w:t>risk ratios of up to 13.</w:t>
      </w:r>
      <w:r w:rsidR="000B334E">
        <w:t xml:space="preserve">4 </w:t>
      </w:r>
      <w:r w:rsidR="00A777D3">
        <w:t xml:space="preserve">based on notification rates from </w:t>
      </w:r>
      <w:r w:rsidR="00D147C7">
        <w:t xml:space="preserve">the </w:t>
      </w:r>
      <w:r w:rsidR="00A777D3">
        <w:t xml:space="preserve">National Notifiable Diseases Surveillance System, 2011-2014). </w:t>
      </w:r>
    </w:p>
    <w:p w14:paraId="6F77F15F" w14:textId="49048B6B" w:rsidR="00906616" w:rsidRPr="00674A42" w:rsidRDefault="00906616" w:rsidP="00906616">
      <w:pPr>
        <w:pStyle w:val="3-BodyText"/>
        <w:rPr>
          <w:iCs/>
        </w:rPr>
      </w:pPr>
      <w:r w:rsidRPr="00825086">
        <w:rPr>
          <w:rStyle w:val="normaltextrun"/>
        </w:rPr>
        <w:t xml:space="preserve">Pneumococcal disease can be </w:t>
      </w:r>
      <w:r w:rsidRPr="25DE8C3D">
        <w:rPr>
          <w:rStyle w:val="normaltextrun"/>
        </w:rPr>
        <w:t>fatal</w:t>
      </w:r>
      <w:r>
        <w:rPr>
          <w:rStyle w:val="normaltextrun"/>
        </w:rPr>
        <w:t xml:space="preserve">. It was estimated that in 2015, the IPD burden was 3,795 disability adjusted life years (DALYs), with 82% of this attributed to fatal burden (AIHW 2019). </w:t>
      </w:r>
      <w:r w:rsidRPr="00825086">
        <w:rPr>
          <w:rStyle w:val="normaltextrun"/>
        </w:rPr>
        <w:t>Pneumococcal disease</w:t>
      </w:r>
      <w:r>
        <w:t xml:space="preserve"> was associated with 2,434 hospital admissions in 2016 and 622 deaths between 1997 and 2016 (AIHW 2018).</w:t>
      </w:r>
    </w:p>
    <w:p w14:paraId="683D2B02" w14:textId="6051820E" w:rsidR="00674A42" w:rsidRPr="009A5716" w:rsidRDefault="00674A42" w:rsidP="00906616">
      <w:pPr>
        <w:pStyle w:val="3-BodyText"/>
        <w:rPr>
          <w:iCs/>
          <w:color w:val="000000" w:themeColor="text1"/>
        </w:rPr>
      </w:pPr>
      <w:r w:rsidRPr="00683533">
        <w:rPr>
          <w:iCs/>
          <w:color w:val="000000" w:themeColor="text1"/>
        </w:rPr>
        <w:t>The currently available pneumococcal vaccines (and serotype coverage) are:</w:t>
      </w:r>
    </w:p>
    <w:p w14:paraId="526623B6" w14:textId="21ADC72F" w:rsidR="00674A42" w:rsidRPr="00683533" w:rsidRDefault="00674A42" w:rsidP="00227608">
      <w:pPr>
        <w:pStyle w:val="3-BodyText"/>
        <w:numPr>
          <w:ilvl w:val="3"/>
          <w:numId w:val="28"/>
        </w:numPr>
        <w:ind w:hanging="371"/>
        <w:rPr>
          <w:iCs/>
          <w:color w:val="000000" w:themeColor="text1"/>
        </w:rPr>
      </w:pPr>
      <w:r w:rsidRPr="00683533">
        <w:rPr>
          <w:iCs/>
          <w:color w:val="000000" w:themeColor="text1"/>
        </w:rPr>
        <w:t>13-valent pneumococcal conjugate vaccine, 13vPCV</w:t>
      </w:r>
      <w:r w:rsidR="000B066E" w:rsidRPr="00683533">
        <w:rPr>
          <w:iCs/>
          <w:color w:val="000000" w:themeColor="text1"/>
        </w:rPr>
        <w:t xml:space="preserve"> [</w:t>
      </w:r>
      <w:r w:rsidR="000B066E" w:rsidRPr="00683533">
        <w:rPr>
          <w:iCs/>
          <w:color w:val="7030A0"/>
        </w:rPr>
        <w:t>non-23vPPV in purple font</w:t>
      </w:r>
      <w:r w:rsidR="000B066E" w:rsidRPr="00683533">
        <w:rPr>
          <w:iCs/>
          <w:color w:val="000000" w:themeColor="text1"/>
        </w:rPr>
        <w:t>]</w:t>
      </w:r>
      <w:r w:rsidRPr="00683533">
        <w:rPr>
          <w:iCs/>
          <w:color w:val="000000" w:themeColor="text1"/>
        </w:rPr>
        <w:t xml:space="preserve"> (1,</w:t>
      </w:r>
      <w:r w:rsidR="00BC5575" w:rsidRPr="00683533">
        <w:rPr>
          <w:iCs/>
          <w:color w:val="000000" w:themeColor="text1"/>
        </w:rPr>
        <w:t xml:space="preserve"> </w:t>
      </w:r>
      <w:r w:rsidRPr="00683533">
        <w:rPr>
          <w:iCs/>
          <w:color w:val="000000" w:themeColor="text1"/>
        </w:rPr>
        <w:t>3,</w:t>
      </w:r>
      <w:r w:rsidR="00BC5575" w:rsidRPr="00683533">
        <w:rPr>
          <w:iCs/>
          <w:color w:val="000000" w:themeColor="text1"/>
        </w:rPr>
        <w:t xml:space="preserve"> </w:t>
      </w:r>
      <w:r w:rsidRPr="00683533">
        <w:rPr>
          <w:iCs/>
          <w:color w:val="000000" w:themeColor="text1"/>
        </w:rPr>
        <w:t>4,</w:t>
      </w:r>
      <w:r w:rsidR="00BC5575" w:rsidRPr="00683533">
        <w:rPr>
          <w:iCs/>
          <w:color w:val="000000" w:themeColor="text1"/>
        </w:rPr>
        <w:t xml:space="preserve"> </w:t>
      </w:r>
      <w:r w:rsidRPr="00683533">
        <w:rPr>
          <w:iCs/>
          <w:color w:val="000000" w:themeColor="text1"/>
        </w:rPr>
        <w:t>5,</w:t>
      </w:r>
      <w:r w:rsidR="00BC5575" w:rsidRPr="00683533">
        <w:rPr>
          <w:iCs/>
          <w:color w:val="000000" w:themeColor="text1"/>
        </w:rPr>
        <w:t xml:space="preserve"> </w:t>
      </w:r>
      <w:r w:rsidRPr="00683533">
        <w:rPr>
          <w:iCs/>
          <w:color w:val="7030A0"/>
        </w:rPr>
        <w:t>6A</w:t>
      </w:r>
      <w:r w:rsidRPr="00683533">
        <w:rPr>
          <w:iCs/>
          <w:color w:val="000000" w:themeColor="text1"/>
        </w:rPr>
        <w:t>,</w:t>
      </w:r>
      <w:r w:rsidR="00BC5575" w:rsidRPr="00683533">
        <w:rPr>
          <w:iCs/>
          <w:color w:val="000000" w:themeColor="text1"/>
        </w:rPr>
        <w:t xml:space="preserve"> </w:t>
      </w:r>
      <w:r w:rsidRPr="00683533">
        <w:rPr>
          <w:iCs/>
          <w:color w:val="000000" w:themeColor="text1"/>
        </w:rPr>
        <w:t>6B,</w:t>
      </w:r>
      <w:r w:rsidR="00BC5575" w:rsidRPr="00683533">
        <w:rPr>
          <w:iCs/>
          <w:color w:val="000000" w:themeColor="text1"/>
        </w:rPr>
        <w:t xml:space="preserve"> </w:t>
      </w:r>
      <w:r w:rsidRPr="00683533">
        <w:rPr>
          <w:iCs/>
          <w:color w:val="000000" w:themeColor="text1"/>
        </w:rPr>
        <w:t>7F,</w:t>
      </w:r>
      <w:r w:rsidR="00BC5575" w:rsidRPr="00683533">
        <w:rPr>
          <w:iCs/>
          <w:color w:val="000000" w:themeColor="text1"/>
        </w:rPr>
        <w:t xml:space="preserve"> </w:t>
      </w:r>
      <w:r w:rsidRPr="00683533">
        <w:rPr>
          <w:iCs/>
          <w:color w:val="000000" w:themeColor="text1"/>
        </w:rPr>
        <w:t>9V,</w:t>
      </w:r>
      <w:r w:rsidR="00BC5575" w:rsidRPr="00683533">
        <w:rPr>
          <w:iCs/>
          <w:color w:val="000000" w:themeColor="text1"/>
        </w:rPr>
        <w:t xml:space="preserve"> </w:t>
      </w:r>
      <w:r w:rsidRPr="00683533">
        <w:rPr>
          <w:iCs/>
          <w:color w:val="000000" w:themeColor="text1"/>
        </w:rPr>
        <w:t>14,</w:t>
      </w:r>
      <w:r w:rsidR="00BC5575" w:rsidRPr="00683533">
        <w:rPr>
          <w:iCs/>
          <w:color w:val="000000" w:themeColor="text1"/>
        </w:rPr>
        <w:t xml:space="preserve"> </w:t>
      </w:r>
      <w:r w:rsidRPr="00683533">
        <w:rPr>
          <w:iCs/>
          <w:color w:val="000000" w:themeColor="text1"/>
        </w:rPr>
        <w:t>18C,</w:t>
      </w:r>
      <w:r w:rsidR="00BC5575" w:rsidRPr="00683533">
        <w:rPr>
          <w:iCs/>
          <w:color w:val="000000" w:themeColor="text1"/>
        </w:rPr>
        <w:t xml:space="preserve"> </w:t>
      </w:r>
      <w:r w:rsidRPr="00683533">
        <w:rPr>
          <w:iCs/>
          <w:color w:val="000000" w:themeColor="text1"/>
        </w:rPr>
        <w:t>19A,</w:t>
      </w:r>
      <w:r w:rsidR="00BC5575" w:rsidRPr="00683533">
        <w:rPr>
          <w:iCs/>
          <w:color w:val="000000" w:themeColor="text1"/>
        </w:rPr>
        <w:t xml:space="preserve"> </w:t>
      </w:r>
      <w:r w:rsidRPr="00683533">
        <w:rPr>
          <w:iCs/>
          <w:color w:val="000000" w:themeColor="text1"/>
        </w:rPr>
        <w:t>19F,</w:t>
      </w:r>
      <w:r w:rsidR="00BC5575" w:rsidRPr="00683533">
        <w:rPr>
          <w:iCs/>
          <w:color w:val="000000" w:themeColor="text1"/>
        </w:rPr>
        <w:t xml:space="preserve"> </w:t>
      </w:r>
      <w:r w:rsidRPr="00683533">
        <w:rPr>
          <w:iCs/>
          <w:color w:val="000000" w:themeColor="text1"/>
        </w:rPr>
        <w:t>23F</w:t>
      </w:r>
      <w:proofErr w:type="gramStart"/>
      <w:r w:rsidRPr="00683533">
        <w:rPr>
          <w:iCs/>
          <w:color w:val="000000" w:themeColor="text1"/>
        </w:rPr>
        <w:t>)</w:t>
      </w:r>
      <w:r w:rsidR="00565F85" w:rsidRPr="00683533">
        <w:rPr>
          <w:iCs/>
          <w:color w:val="000000" w:themeColor="text1"/>
        </w:rPr>
        <w:t>;</w:t>
      </w:r>
      <w:proofErr w:type="gramEnd"/>
    </w:p>
    <w:p w14:paraId="3374CBA5" w14:textId="6D103BC2" w:rsidR="00674A42" w:rsidRPr="00683533" w:rsidRDefault="00674A42" w:rsidP="00227608">
      <w:pPr>
        <w:pStyle w:val="3-BodyText"/>
        <w:numPr>
          <w:ilvl w:val="3"/>
          <w:numId w:val="28"/>
        </w:numPr>
        <w:ind w:hanging="371"/>
        <w:rPr>
          <w:iCs/>
          <w:color w:val="000000" w:themeColor="text1"/>
        </w:rPr>
      </w:pPr>
      <w:r w:rsidRPr="00683533">
        <w:rPr>
          <w:iCs/>
          <w:color w:val="000000" w:themeColor="text1"/>
        </w:rPr>
        <w:t>15-valent pneumococcal conjugate vaccine, 15vPCV</w:t>
      </w:r>
      <w:r w:rsidR="00A50681" w:rsidRPr="00683533">
        <w:rPr>
          <w:iCs/>
          <w:color w:val="000000" w:themeColor="text1"/>
        </w:rPr>
        <w:t xml:space="preserve"> [</w:t>
      </w:r>
      <w:r w:rsidR="00F211AC" w:rsidRPr="00683533">
        <w:rPr>
          <w:iCs/>
          <w:color w:val="00B050"/>
        </w:rPr>
        <w:t>non-</w:t>
      </w:r>
      <w:r w:rsidR="00A50681" w:rsidRPr="00683533">
        <w:rPr>
          <w:iCs/>
          <w:color w:val="00B050"/>
        </w:rPr>
        <w:t>13vPCV in green font</w:t>
      </w:r>
      <w:r w:rsidR="000B066E" w:rsidRPr="00683533">
        <w:rPr>
          <w:iCs/>
          <w:color w:val="00B050"/>
        </w:rPr>
        <w:t xml:space="preserve">; </w:t>
      </w:r>
      <w:r w:rsidR="000B066E" w:rsidRPr="00683533">
        <w:rPr>
          <w:iCs/>
          <w:color w:val="7030A0"/>
        </w:rPr>
        <w:t>non-23vPPV in purple font</w:t>
      </w:r>
      <w:r w:rsidR="00A50681" w:rsidRPr="00683533">
        <w:rPr>
          <w:iCs/>
          <w:color w:val="000000" w:themeColor="text1"/>
        </w:rPr>
        <w:t>]</w:t>
      </w:r>
      <w:r w:rsidRPr="00683533">
        <w:rPr>
          <w:iCs/>
          <w:color w:val="000000" w:themeColor="text1"/>
        </w:rPr>
        <w:t xml:space="preserve"> (1,</w:t>
      </w:r>
      <w:r w:rsidR="00BC5575" w:rsidRPr="00683533">
        <w:rPr>
          <w:iCs/>
          <w:color w:val="000000" w:themeColor="text1"/>
        </w:rPr>
        <w:t xml:space="preserve"> </w:t>
      </w:r>
      <w:r w:rsidRPr="00683533">
        <w:rPr>
          <w:iCs/>
          <w:color w:val="000000" w:themeColor="text1"/>
        </w:rPr>
        <w:t>3,</w:t>
      </w:r>
      <w:r w:rsidR="00BC5575" w:rsidRPr="00683533">
        <w:rPr>
          <w:iCs/>
          <w:color w:val="000000" w:themeColor="text1"/>
        </w:rPr>
        <w:t xml:space="preserve"> </w:t>
      </w:r>
      <w:r w:rsidRPr="00683533">
        <w:rPr>
          <w:iCs/>
          <w:color w:val="000000" w:themeColor="text1"/>
        </w:rPr>
        <w:t>4,</w:t>
      </w:r>
      <w:r w:rsidR="00BC5575" w:rsidRPr="00683533">
        <w:rPr>
          <w:iCs/>
          <w:color w:val="000000" w:themeColor="text1"/>
        </w:rPr>
        <w:t xml:space="preserve"> </w:t>
      </w:r>
      <w:r w:rsidRPr="00683533">
        <w:rPr>
          <w:iCs/>
          <w:color w:val="000000" w:themeColor="text1"/>
        </w:rPr>
        <w:t>5,</w:t>
      </w:r>
      <w:r w:rsidR="00BC5575" w:rsidRPr="00683533">
        <w:rPr>
          <w:iCs/>
          <w:color w:val="000000" w:themeColor="text1"/>
        </w:rPr>
        <w:t xml:space="preserve"> </w:t>
      </w:r>
      <w:r w:rsidRPr="00683533">
        <w:rPr>
          <w:iCs/>
          <w:color w:val="7030A0"/>
        </w:rPr>
        <w:t>6A</w:t>
      </w:r>
      <w:r w:rsidRPr="00683533">
        <w:rPr>
          <w:iCs/>
          <w:color w:val="000000" w:themeColor="text1"/>
        </w:rPr>
        <w:t>,</w:t>
      </w:r>
      <w:r w:rsidR="00BC5575" w:rsidRPr="00683533">
        <w:rPr>
          <w:iCs/>
          <w:color w:val="000000" w:themeColor="text1"/>
        </w:rPr>
        <w:t xml:space="preserve"> </w:t>
      </w:r>
      <w:r w:rsidRPr="00683533">
        <w:rPr>
          <w:iCs/>
          <w:color w:val="000000" w:themeColor="text1"/>
        </w:rPr>
        <w:t>6B,</w:t>
      </w:r>
      <w:r w:rsidR="00BC5575" w:rsidRPr="00683533">
        <w:rPr>
          <w:iCs/>
          <w:color w:val="000000" w:themeColor="text1"/>
        </w:rPr>
        <w:t xml:space="preserve"> </w:t>
      </w:r>
      <w:r w:rsidRPr="00683533">
        <w:rPr>
          <w:iCs/>
          <w:color w:val="000000" w:themeColor="text1"/>
        </w:rPr>
        <w:t>7F,</w:t>
      </w:r>
      <w:r w:rsidR="00BC5575" w:rsidRPr="00683533">
        <w:rPr>
          <w:iCs/>
          <w:color w:val="000000" w:themeColor="text1"/>
        </w:rPr>
        <w:t xml:space="preserve"> </w:t>
      </w:r>
      <w:r w:rsidRPr="00683533">
        <w:rPr>
          <w:iCs/>
          <w:color w:val="000000" w:themeColor="text1"/>
        </w:rPr>
        <w:t>9V,</w:t>
      </w:r>
      <w:r w:rsidR="00BC5575" w:rsidRPr="00683533">
        <w:rPr>
          <w:iCs/>
          <w:color w:val="000000" w:themeColor="text1"/>
        </w:rPr>
        <w:t xml:space="preserve"> </w:t>
      </w:r>
      <w:r w:rsidRPr="00683533">
        <w:rPr>
          <w:iCs/>
          <w:color w:val="000000" w:themeColor="text1"/>
        </w:rPr>
        <w:t>14,</w:t>
      </w:r>
      <w:r w:rsidR="00BC5575" w:rsidRPr="00683533">
        <w:rPr>
          <w:iCs/>
          <w:color w:val="000000" w:themeColor="text1"/>
        </w:rPr>
        <w:t xml:space="preserve"> </w:t>
      </w:r>
      <w:r w:rsidRPr="00683533">
        <w:rPr>
          <w:iCs/>
          <w:color w:val="000000" w:themeColor="text1"/>
        </w:rPr>
        <w:t>18C,</w:t>
      </w:r>
      <w:r w:rsidR="00BC5575" w:rsidRPr="00683533">
        <w:rPr>
          <w:iCs/>
          <w:color w:val="000000" w:themeColor="text1"/>
        </w:rPr>
        <w:t xml:space="preserve"> </w:t>
      </w:r>
      <w:r w:rsidRPr="00683533">
        <w:rPr>
          <w:iCs/>
          <w:color w:val="000000" w:themeColor="text1"/>
        </w:rPr>
        <w:t>19A,</w:t>
      </w:r>
      <w:r w:rsidR="00BC5575" w:rsidRPr="00683533">
        <w:rPr>
          <w:iCs/>
          <w:color w:val="000000" w:themeColor="text1"/>
        </w:rPr>
        <w:t xml:space="preserve"> </w:t>
      </w:r>
      <w:r w:rsidRPr="00683533">
        <w:rPr>
          <w:iCs/>
          <w:color w:val="000000" w:themeColor="text1"/>
        </w:rPr>
        <w:t>19F,</w:t>
      </w:r>
      <w:r w:rsidR="00BC5575" w:rsidRPr="00683533">
        <w:rPr>
          <w:iCs/>
          <w:color w:val="000000" w:themeColor="text1"/>
        </w:rPr>
        <w:t xml:space="preserve"> </w:t>
      </w:r>
      <w:r w:rsidRPr="00683533">
        <w:rPr>
          <w:iCs/>
          <w:color w:val="00B050"/>
        </w:rPr>
        <w:t>22F</w:t>
      </w:r>
      <w:r w:rsidRPr="00683533">
        <w:rPr>
          <w:iCs/>
          <w:color w:val="000000" w:themeColor="text1"/>
        </w:rPr>
        <w:t>,</w:t>
      </w:r>
      <w:r w:rsidR="00BC5575" w:rsidRPr="00683533">
        <w:rPr>
          <w:iCs/>
          <w:color w:val="000000" w:themeColor="text1"/>
        </w:rPr>
        <w:t xml:space="preserve"> </w:t>
      </w:r>
      <w:r w:rsidRPr="00683533">
        <w:rPr>
          <w:iCs/>
          <w:color w:val="000000" w:themeColor="text1"/>
        </w:rPr>
        <w:t>23F,</w:t>
      </w:r>
      <w:r w:rsidR="00BC5575" w:rsidRPr="00683533">
        <w:rPr>
          <w:iCs/>
          <w:color w:val="000000" w:themeColor="text1"/>
        </w:rPr>
        <w:t xml:space="preserve"> </w:t>
      </w:r>
      <w:r w:rsidRPr="00683533">
        <w:rPr>
          <w:iCs/>
          <w:color w:val="00B050"/>
        </w:rPr>
        <w:t>33F</w:t>
      </w:r>
      <w:r w:rsidRPr="00683533">
        <w:rPr>
          <w:iCs/>
          <w:color w:val="000000" w:themeColor="text1"/>
        </w:rPr>
        <w:t>)</w:t>
      </w:r>
      <w:r w:rsidR="00565F85" w:rsidRPr="00683533">
        <w:rPr>
          <w:iCs/>
          <w:color w:val="000000" w:themeColor="text1"/>
        </w:rPr>
        <w:t>; and</w:t>
      </w:r>
    </w:p>
    <w:p w14:paraId="22B55136" w14:textId="37828AC4" w:rsidR="00674A42" w:rsidRPr="00683533" w:rsidRDefault="00674A42" w:rsidP="00227608">
      <w:pPr>
        <w:pStyle w:val="3-BodyText"/>
        <w:numPr>
          <w:ilvl w:val="3"/>
          <w:numId w:val="28"/>
        </w:numPr>
        <w:ind w:hanging="371"/>
        <w:rPr>
          <w:iCs/>
          <w:color w:val="000000" w:themeColor="text1"/>
        </w:rPr>
      </w:pPr>
      <w:r w:rsidRPr="00683533">
        <w:rPr>
          <w:iCs/>
          <w:color w:val="000000" w:themeColor="text1"/>
        </w:rPr>
        <w:t>23-valent pneumococcal polysaccharide vaccine, 23vPPV</w:t>
      </w:r>
      <w:r w:rsidR="00F211AC" w:rsidRPr="00683533">
        <w:rPr>
          <w:iCs/>
          <w:color w:val="000000" w:themeColor="text1"/>
        </w:rPr>
        <w:t xml:space="preserve"> [</w:t>
      </w:r>
      <w:r w:rsidR="00F211AC" w:rsidRPr="00683533">
        <w:rPr>
          <w:iCs/>
          <w:color w:val="00B0F0"/>
        </w:rPr>
        <w:t xml:space="preserve">non-15vPCV in blue font; </w:t>
      </w:r>
      <w:r w:rsidR="00F211AC" w:rsidRPr="00683533">
        <w:rPr>
          <w:iCs/>
          <w:color w:val="00B050"/>
        </w:rPr>
        <w:t xml:space="preserve">15vPCV-non13vPCV in green font; </w:t>
      </w:r>
      <w:r w:rsidR="00F211AC" w:rsidRPr="00683533">
        <w:rPr>
          <w:iCs/>
          <w:color w:val="FF0000"/>
        </w:rPr>
        <w:t>non-20vPCV in red font</w:t>
      </w:r>
      <w:r w:rsidR="00F211AC" w:rsidRPr="00683533">
        <w:rPr>
          <w:iCs/>
        </w:rPr>
        <w:t>]</w:t>
      </w:r>
      <w:r w:rsidR="00F211AC" w:rsidRPr="00683533">
        <w:rPr>
          <w:iCs/>
          <w:color w:val="00B0F0"/>
        </w:rPr>
        <w:t xml:space="preserve"> </w:t>
      </w:r>
      <w:r w:rsidRPr="00683533">
        <w:rPr>
          <w:iCs/>
          <w:color w:val="000000" w:themeColor="text1"/>
        </w:rPr>
        <w:t>(</w:t>
      </w:r>
      <w:r w:rsidRPr="00683533">
        <w:rPr>
          <w:iCs/>
          <w:color w:val="000000" w:themeColor="text1"/>
          <w:lang w:val="en-US"/>
        </w:rPr>
        <w:t>1,</w:t>
      </w:r>
      <w:r w:rsidR="00565F85" w:rsidRPr="00683533">
        <w:rPr>
          <w:iCs/>
          <w:color w:val="000000" w:themeColor="text1"/>
          <w:lang w:val="en-US"/>
        </w:rPr>
        <w:t xml:space="preserve"> </w:t>
      </w:r>
      <w:r w:rsidRPr="00683533">
        <w:rPr>
          <w:iCs/>
          <w:color w:val="FF0000"/>
          <w:lang w:val="en-US"/>
        </w:rPr>
        <w:t>2</w:t>
      </w:r>
      <w:r w:rsidRPr="00683533">
        <w:rPr>
          <w:iCs/>
          <w:color w:val="000000" w:themeColor="text1"/>
          <w:lang w:val="en-US"/>
        </w:rPr>
        <w:t>,</w:t>
      </w:r>
      <w:r w:rsidR="00565F85" w:rsidRPr="00683533">
        <w:rPr>
          <w:iCs/>
          <w:color w:val="000000" w:themeColor="text1"/>
          <w:lang w:val="en-US"/>
        </w:rPr>
        <w:t xml:space="preserve"> </w:t>
      </w:r>
      <w:r w:rsidRPr="00683533">
        <w:rPr>
          <w:iCs/>
          <w:color w:val="000000" w:themeColor="text1"/>
          <w:lang w:val="en-US"/>
        </w:rPr>
        <w:t>3,</w:t>
      </w:r>
      <w:r w:rsidR="00565F85" w:rsidRPr="00683533">
        <w:rPr>
          <w:iCs/>
          <w:color w:val="000000" w:themeColor="text1"/>
          <w:lang w:val="en-US"/>
        </w:rPr>
        <w:t xml:space="preserve"> </w:t>
      </w:r>
      <w:r w:rsidRPr="00683533">
        <w:rPr>
          <w:iCs/>
          <w:color w:val="000000" w:themeColor="text1"/>
          <w:lang w:val="en-US"/>
        </w:rPr>
        <w:t>4,</w:t>
      </w:r>
      <w:r w:rsidR="00565F85" w:rsidRPr="00683533">
        <w:rPr>
          <w:iCs/>
          <w:color w:val="000000" w:themeColor="text1"/>
          <w:lang w:val="en-US"/>
        </w:rPr>
        <w:t xml:space="preserve"> </w:t>
      </w:r>
      <w:r w:rsidRPr="00683533">
        <w:rPr>
          <w:iCs/>
          <w:color w:val="000000" w:themeColor="text1"/>
          <w:lang w:val="en-US"/>
        </w:rPr>
        <w:t>5,</w:t>
      </w:r>
      <w:r w:rsidR="00565F85" w:rsidRPr="00683533">
        <w:rPr>
          <w:iCs/>
          <w:color w:val="000000" w:themeColor="text1"/>
          <w:lang w:val="en-US"/>
        </w:rPr>
        <w:t xml:space="preserve"> </w:t>
      </w:r>
      <w:r w:rsidRPr="00683533">
        <w:rPr>
          <w:iCs/>
          <w:lang w:val="en-US"/>
        </w:rPr>
        <w:t>6B</w:t>
      </w:r>
      <w:r w:rsidRPr="00683533">
        <w:rPr>
          <w:iCs/>
          <w:color w:val="000000" w:themeColor="text1"/>
          <w:lang w:val="en-US"/>
        </w:rPr>
        <w:t>,</w:t>
      </w:r>
      <w:r w:rsidR="00565F85" w:rsidRPr="00683533">
        <w:rPr>
          <w:iCs/>
          <w:color w:val="000000" w:themeColor="text1"/>
          <w:lang w:val="en-US"/>
        </w:rPr>
        <w:t xml:space="preserve"> </w:t>
      </w:r>
      <w:r w:rsidRPr="00683533">
        <w:rPr>
          <w:iCs/>
          <w:color w:val="000000" w:themeColor="text1"/>
          <w:lang w:val="en-US"/>
        </w:rPr>
        <w:t>7F,</w:t>
      </w:r>
      <w:r w:rsidR="00565F85" w:rsidRPr="00683533">
        <w:rPr>
          <w:iCs/>
          <w:color w:val="000000" w:themeColor="text1"/>
          <w:lang w:val="en-US"/>
        </w:rPr>
        <w:t xml:space="preserve"> </w:t>
      </w:r>
      <w:r w:rsidRPr="00683533">
        <w:rPr>
          <w:iCs/>
          <w:color w:val="00B0F0"/>
          <w:lang w:val="en-US"/>
        </w:rPr>
        <w:t>8</w:t>
      </w:r>
      <w:r w:rsidRPr="00683533">
        <w:rPr>
          <w:iCs/>
          <w:color w:val="000000" w:themeColor="text1"/>
          <w:lang w:val="en-US"/>
        </w:rPr>
        <w:t>,</w:t>
      </w:r>
      <w:r w:rsidR="00565F85" w:rsidRPr="00683533">
        <w:rPr>
          <w:iCs/>
          <w:color w:val="000000" w:themeColor="text1"/>
          <w:lang w:val="en-US"/>
        </w:rPr>
        <w:t xml:space="preserve"> </w:t>
      </w:r>
      <w:r w:rsidRPr="00683533">
        <w:rPr>
          <w:iCs/>
          <w:color w:val="FF0000"/>
          <w:lang w:val="en-US"/>
        </w:rPr>
        <w:t>9N</w:t>
      </w:r>
      <w:r w:rsidRPr="00683533">
        <w:rPr>
          <w:iCs/>
          <w:color w:val="000000" w:themeColor="text1"/>
          <w:lang w:val="en-US"/>
        </w:rPr>
        <w:t>,</w:t>
      </w:r>
      <w:r w:rsidR="00565F85" w:rsidRPr="00683533">
        <w:rPr>
          <w:iCs/>
          <w:color w:val="000000" w:themeColor="text1"/>
          <w:lang w:val="en-US"/>
        </w:rPr>
        <w:t xml:space="preserve"> </w:t>
      </w:r>
      <w:r w:rsidRPr="00683533">
        <w:rPr>
          <w:iCs/>
          <w:color w:val="000000" w:themeColor="text1"/>
          <w:lang w:val="en-US"/>
        </w:rPr>
        <w:t>9V,</w:t>
      </w:r>
      <w:r w:rsidR="00565F85" w:rsidRPr="00683533">
        <w:rPr>
          <w:iCs/>
          <w:color w:val="000000" w:themeColor="text1"/>
          <w:lang w:val="en-US"/>
        </w:rPr>
        <w:t xml:space="preserve"> </w:t>
      </w:r>
      <w:r w:rsidRPr="00683533">
        <w:rPr>
          <w:iCs/>
          <w:color w:val="00B0F0"/>
          <w:lang w:val="en-US"/>
        </w:rPr>
        <w:t>10A,</w:t>
      </w:r>
      <w:r w:rsidR="00565F85" w:rsidRPr="00683533">
        <w:rPr>
          <w:iCs/>
          <w:color w:val="00B0F0"/>
          <w:lang w:val="en-US"/>
        </w:rPr>
        <w:t xml:space="preserve"> </w:t>
      </w:r>
      <w:r w:rsidRPr="00683533">
        <w:rPr>
          <w:iCs/>
          <w:color w:val="00B0F0"/>
          <w:lang w:val="en-US"/>
        </w:rPr>
        <w:t>11A,</w:t>
      </w:r>
      <w:r w:rsidR="00565F85" w:rsidRPr="00683533">
        <w:rPr>
          <w:iCs/>
          <w:color w:val="00B0F0"/>
          <w:lang w:val="en-US"/>
        </w:rPr>
        <w:t xml:space="preserve"> </w:t>
      </w:r>
      <w:r w:rsidRPr="00683533">
        <w:rPr>
          <w:iCs/>
          <w:color w:val="00B0F0"/>
          <w:lang w:val="en-US"/>
        </w:rPr>
        <w:t>12F</w:t>
      </w:r>
      <w:r w:rsidRPr="00683533">
        <w:rPr>
          <w:iCs/>
          <w:color w:val="000000" w:themeColor="text1"/>
          <w:lang w:val="en-US"/>
        </w:rPr>
        <w:t>,</w:t>
      </w:r>
      <w:r w:rsidR="00565F85" w:rsidRPr="00683533">
        <w:rPr>
          <w:iCs/>
          <w:color w:val="000000" w:themeColor="text1"/>
          <w:lang w:val="en-US"/>
        </w:rPr>
        <w:t xml:space="preserve"> </w:t>
      </w:r>
      <w:r w:rsidRPr="00683533">
        <w:rPr>
          <w:iCs/>
          <w:color w:val="000000" w:themeColor="text1"/>
          <w:lang w:val="en-US"/>
        </w:rPr>
        <w:t>14,</w:t>
      </w:r>
      <w:r w:rsidR="00565F85" w:rsidRPr="00683533">
        <w:rPr>
          <w:iCs/>
          <w:color w:val="000000" w:themeColor="text1"/>
          <w:lang w:val="en-US"/>
        </w:rPr>
        <w:t xml:space="preserve"> </w:t>
      </w:r>
      <w:r w:rsidRPr="00683533">
        <w:rPr>
          <w:iCs/>
          <w:color w:val="00B0F0"/>
          <w:lang w:val="en-US"/>
        </w:rPr>
        <w:t>15B</w:t>
      </w:r>
      <w:r w:rsidRPr="00683533">
        <w:rPr>
          <w:iCs/>
          <w:color w:val="000000" w:themeColor="text1"/>
          <w:lang w:val="en-US"/>
        </w:rPr>
        <w:t>,</w:t>
      </w:r>
      <w:r w:rsidR="00565F85" w:rsidRPr="00683533">
        <w:rPr>
          <w:iCs/>
          <w:color w:val="000000" w:themeColor="text1"/>
          <w:lang w:val="en-US"/>
        </w:rPr>
        <w:t xml:space="preserve"> </w:t>
      </w:r>
      <w:r w:rsidRPr="00683533">
        <w:rPr>
          <w:iCs/>
          <w:color w:val="FF0000"/>
          <w:lang w:val="en-US"/>
        </w:rPr>
        <w:t>17F</w:t>
      </w:r>
      <w:r w:rsidRPr="00683533">
        <w:rPr>
          <w:iCs/>
          <w:color w:val="000000" w:themeColor="text1"/>
          <w:lang w:val="en-US"/>
        </w:rPr>
        <w:t>,</w:t>
      </w:r>
      <w:r w:rsidR="00565F85" w:rsidRPr="00683533">
        <w:rPr>
          <w:iCs/>
          <w:color w:val="000000" w:themeColor="text1"/>
          <w:lang w:val="en-US"/>
        </w:rPr>
        <w:t xml:space="preserve"> </w:t>
      </w:r>
      <w:r w:rsidRPr="00683533">
        <w:rPr>
          <w:iCs/>
          <w:color w:val="000000" w:themeColor="text1"/>
          <w:lang w:val="en-US"/>
        </w:rPr>
        <w:t>18C,</w:t>
      </w:r>
      <w:r w:rsidR="00565F85" w:rsidRPr="00683533">
        <w:rPr>
          <w:iCs/>
          <w:color w:val="000000" w:themeColor="text1"/>
          <w:lang w:val="en-US"/>
        </w:rPr>
        <w:t xml:space="preserve"> </w:t>
      </w:r>
      <w:r w:rsidRPr="00683533">
        <w:rPr>
          <w:iCs/>
          <w:color w:val="000000" w:themeColor="text1"/>
          <w:lang w:val="en-US"/>
        </w:rPr>
        <w:t>19A,</w:t>
      </w:r>
      <w:r w:rsidR="00565F85" w:rsidRPr="00683533">
        <w:rPr>
          <w:iCs/>
          <w:color w:val="000000" w:themeColor="text1"/>
          <w:lang w:val="en-US"/>
        </w:rPr>
        <w:t xml:space="preserve"> </w:t>
      </w:r>
      <w:r w:rsidRPr="00683533">
        <w:rPr>
          <w:iCs/>
          <w:color w:val="000000" w:themeColor="text1"/>
          <w:lang w:val="en-US"/>
        </w:rPr>
        <w:t>19F,</w:t>
      </w:r>
      <w:r w:rsidR="00565F85" w:rsidRPr="00683533">
        <w:rPr>
          <w:iCs/>
          <w:color w:val="000000" w:themeColor="text1"/>
          <w:lang w:val="en-US"/>
        </w:rPr>
        <w:t xml:space="preserve"> </w:t>
      </w:r>
      <w:r w:rsidRPr="00683533">
        <w:rPr>
          <w:iCs/>
          <w:color w:val="FF0000"/>
          <w:lang w:val="en-US"/>
        </w:rPr>
        <w:t>20</w:t>
      </w:r>
      <w:r w:rsidRPr="00683533">
        <w:rPr>
          <w:iCs/>
          <w:color w:val="000000" w:themeColor="text1"/>
          <w:lang w:val="en-US"/>
        </w:rPr>
        <w:t>,</w:t>
      </w:r>
      <w:r w:rsidR="00565F85" w:rsidRPr="00683533">
        <w:rPr>
          <w:iCs/>
          <w:color w:val="000000" w:themeColor="text1"/>
          <w:lang w:val="en-US"/>
        </w:rPr>
        <w:t xml:space="preserve"> </w:t>
      </w:r>
      <w:r w:rsidRPr="00683533">
        <w:rPr>
          <w:iCs/>
          <w:color w:val="00B050"/>
          <w:lang w:val="en-US"/>
        </w:rPr>
        <w:t>22F</w:t>
      </w:r>
      <w:r w:rsidRPr="00683533">
        <w:rPr>
          <w:iCs/>
          <w:color w:val="000000" w:themeColor="text1"/>
          <w:lang w:val="en-US"/>
        </w:rPr>
        <w:t>,</w:t>
      </w:r>
      <w:r w:rsidR="00565F85" w:rsidRPr="00683533">
        <w:rPr>
          <w:iCs/>
          <w:color w:val="000000" w:themeColor="text1"/>
          <w:lang w:val="en-US"/>
        </w:rPr>
        <w:t xml:space="preserve"> </w:t>
      </w:r>
      <w:r w:rsidRPr="00683533">
        <w:rPr>
          <w:iCs/>
          <w:color w:val="000000" w:themeColor="text1"/>
          <w:lang w:val="en-US"/>
        </w:rPr>
        <w:t>23F,</w:t>
      </w:r>
      <w:r w:rsidR="00565F85" w:rsidRPr="00683533">
        <w:rPr>
          <w:iCs/>
          <w:color w:val="000000" w:themeColor="text1"/>
          <w:lang w:val="en-US"/>
        </w:rPr>
        <w:t xml:space="preserve"> </w:t>
      </w:r>
      <w:r w:rsidRPr="00683533">
        <w:rPr>
          <w:iCs/>
          <w:color w:val="00B050"/>
          <w:lang w:val="en-US"/>
        </w:rPr>
        <w:t>33F</w:t>
      </w:r>
      <w:r w:rsidRPr="00683533">
        <w:rPr>
          <w:iCs/>
          <w:color w:val="000000" w:themeColor="text1"/>
        </w:rPr>
        <w:t>)</w:t>
      </w:r>
      <w:r w:rsidR="00565F85" w:rsidRPr="00683533">
        <w:rPr>
          <w:iCs/>
          <w:color w:val="000000" w:themeColor="text1"/>
        </w:rPr>
        <w:t>.</w:t>
      </w:r>
    </w:p>
    <w:p w14:paraId="13E2F168" w14:textId="77777777" w:rsidR="00674A42" w:rsidRPr="009A5716" w:rsidRDefault="00674A42" w:rsidP="00906616">
      <w:pPr>
        <w:pStyle w:val="3-BodyText"/>
        <w:rPr>
          <w:iCs/>
          <w:color w:val="000000" w:themeColor="text1"/>
        </w:rPr>
      </w:pPr>
      <w:r w:rsidRPr="00683533">
        <w:rPr>
          <w:iCs/>
          <w:color w:val="000000" w:themeColor="text1"/>
        </w:rPr>
        <w:t>The proposed vaccine (and serotype coverage) is:</w:t>
      </w:r>
    </w:p>
    <w:p w14:paraId="1337CE77" w14:textId="6AF9E7A8" w:rsidR="00674A42" w:rsidRPr="00683533" w:rsidRDefault="00674A42" w:rsidP="00227608">
      <w:pPr>
        <w:pStyle w:val="3-BodyText"/>
        <w:numPr>
          <w:ilvl w:val="3"/>
          <w:numId w:val="28"/>
        </w:numPr>
        <w:ind w:hanging="371"/>
        <w:rPr>
          <w:iCs/>
          <w:color w:val="000000" w:themeColor="text1"/>
        </w:rPr>
      </w:pPr>
      <w:r w:rsidRPr="00683533">
        <w:rPr>
          <w:iCs/>
          <w:color w:val="000000" w:themeColor="text1"/>
        </w:rPr>
        <w:t>20-valent pneumococcal conjugate vaccine, 20vPCV</w:t>
      </w:r>
      <w:r w:rsidR="00F211AC" w:rsidRPr="00683533">
        <w:rPr>
          <w:iCs/>
          <w:color w:val="000000" w:themeColor="text1"/>
        </w:rPr>
        <w:t xml:space="preserve"> [</w:t>
      </w:r>
      <w:r w:rsidR="00F211AC" w:rsidRPr="00683533">
        <w:rPr>
          <w:iCs/>
          <w:color w:val="00B0F0"/>
        </w:rPr>
        <w:t>non-15vPCV in blue font</w:t>
      </w:r>
      <w:r w:rsidR="00F211AC" w:rsidRPr="00683533">
        <w:rPr>
          <w:iCs/>
          <w:color w:val="000000" w:themeColor="text1"/>
        </w:rPr>
        <w:t xml:space="preserve">; </w:t>
      </w:r>
      <w:r w:rsidR="00F211AC" w:rsidRPr="00683533">
        <w:rPr>
          <w:iCs/>
          <w:color w:val="00B050"/>
        </w:rPr>
        <w:t>15vPCV-non13vPCV in green font</w:t>
      </w:r>
      <w:r w:rsidR="000B066E" w:rsidRPr="00683533">
        <w:rPr>
          <w:iCs/>
          <w:color w:val="00B050"/>
        </w:rPr>
        <w:t xml:space="preserve">; </w:t>
      </w:r>
      <w:r w:rsidR="000B066E" w:rsidRPr="00683533">
        <w:rPr>
          <w:iCs/>
          <w:color w:val="7030A0"/>
        </w:rPr>
        <w:t>non-23vPPV in purple font</w:t>
      </w:r>
      <w:r w:rsidR="00F211AC" w:rsidRPr="00683533">
        <w:rPr>
          <w:iCs/>
          <w:color w:val="000000" w:themeColor="text1"/>
        </w:rPr>
        <w:t xml:space="preserve">] </w:t>
      </w:r>
      <w:r w:rsidRPr="00683533">
        <w:rPr>
          <w:iCs/>
          <w:color w:val="000000" w:themeColor="text1"/>
        </w:rPr>
        <w:t>(1,</w:t>
      </w:r>
      <w:r w:rsidR="00565F85" w:rsidRPr="00683533">
        <w:rPr>
          <w:iCs/>
          <w:color w:val="000000" w:themeColor="text1"/>
        </w:rPr>
        <w:t xml:space="preserve"> </w:t>
      </w:r>
      <w:r w:rsidRPr="00683533">
        <w:rPr>
          <w:iCs/>
          <w:color w:val="000000" w:themeColor="text1"/>
        </w:rPr>
        <w:t>3,</w:t>
      </w:r>
      <w:r w:rsidR="00565F85" w:rsidRPr="00683533">
        <w:rPr>
          <w:iCs/>
          <w:color w:val="000000" w:themeColor="text1"/>
        </w:rPr>
        <w:t xml:space="preserve"> </w:t>
      </w:r>
      <w:r w:rsidRPr="00683533">
        <w:rPr>
          <w:iCs/>
          <w:color w:val="000000" w:themeColor="text1"/>
        </w:rPr>
        <w:t>4,</w:t>
      </w:r>
      <w:r w:rsidR="00565F85" w:rsidRPr="00683533">
        <w:rPr>
          <w:iCs/>
          <w:color w:val="000000" w:themeColor="text1"/>
        </w:rPr>
        <w:t xml:space="preserve"> </w:t>
      </w:r>
      <w:r w:rsidRPr="00683533">
        <w:rPr>
          <w:iCs/>
          <w:color w:val="000000" w:themeColor="text1"/>
        </w:rPr>
        <w:t>5,</w:t>
      </w:r>
      <w:r w:rsidR="00565F85" w:rsidRPr="00683533">
        <w:rPr>
          <w:iCs/>
          <w:color w:val="000000" w:themeColor="text1"/>
        </w:rPr>
        <w:t xml:space="preserve"> </w:t>
      </w:r>
      <w:r w:rsidRPr="00683533">
        <w:rPr>
          <w:iCs/>
          <w:color w:val="7030A0"/>
        </w:rPr>
        <w:t>6A</w:t>
      </w:r>
      <w:r w:rsidRPr="00683533">
        <w:rPr>
          <w:iCs/>
          <w:color w:val="000000" w:themeColor="text1"/>
        </w:rPr>
        <w:t>,</w:t>
      </w:r>
      <w:r w:rsidR="00565F85" w:rsidRPr="00683533">
        <w:rPr>
          <w:iCs/>
          <w:color w:val="000000" w:themeColor="text1"/>
        </w:rPr>
        <w:t xml:space="preserve"> </w:t>
      </w:r>
      <w:r w:rsidRPr="00683533">
        <w:rPr>
          <w:iCs/>
          <w:color w:val="000000" w:themeColor="text1"/>
        </w:rPr>
        <w:t>6B,</w:t>
      </w:r>
      <w:r w:rsidR="00565F85" w:rsidRPr="00683533">
        <w:rPr>
          <w:iCs/>
          <w:color w:val="000000" w:themeColor="text1"/>
        </w:rPr>
        <w:t xml:space="preserve"> </w:t>
      </w:r>
      <w:r w:rsidRPr="00683533">
        <w:rPr>
          <w:iCs/>
          <w:color w:val="000000" w:themeColor="text1"/>
        </w:rPr>
        <w:t>7F,</w:t>
      </w:r>
      <w:r w:rsidR="00565F85" w:rsidRPr="00683533">
        <w:rPr>
          <w:iCs/>
          <w:color w:val="000000" w:themeColor="text1"/>
        </w:rPr>
        <w:t xml:space="preserve"> </w:t>
      </w:r>
      <w:r w:rsidRPr="00683533">
        <w:rPr>
          <w:iCs/>
          <w:color w:val="00B0F0"/>
        </w:rPr>
        <w:t>8</w:t>
      </w:r>
      <w:r w:rsidRPr="00683533">
        <w:rPr>
          <w:iCs/>
          <w:color w:val="000000" w:themeColor="text1"/>
        </w:rPr>
        <w:t>,</w:t>
      </w:r>
      <w:r w:rsidR="00565F85" w:rsidRPr="00683533">
        <w:rPr>
          <w:iCs/>
          <w:color w:val="000000" w:themeColor="text1"/>
        </w:rPr>
        <w:t xml:space="preserve"> </w:t>
      </w:r>
      <w:r w:rsidRPr="00683533">
        <w:rPr>
          <w:iCs/>
          <w:color w:val="000000" w:themeColor="text1"/>
        </w:rPr>
        <w:t>9V,</w:t>
      </w:r>
      <w:r w:rsidR="00565F85" w:rsidRPr="00683533">
        <w:rPr>
          <w:iCs/>
          <w:color w:val="000000" w:themeColor="text1"/>
        </w:rPr>
        <w:t xml:space="preserve"> </w:t>
      </w:r>
      <w:r w:rsidRPr="00683533">
        <w:rPr>
          <w:iCs/>
          <w:color w:val="00B0F0"/>
        </w:rPr>
        <w:t>10A,</w:t>
      </w:r>
      <w:r w:rsidR="00565F85" w:rsidRPr="00683533">
        <w:rPr>
          <w:iCs/>
          <w:color w:val="00B0F0"/>
        </w:rPr>
        <w:t xml:space="preserve"> </w:t>
      </w:r>
      <w:r w:rsidRPr="00683533">
        <w:rPr>
          <w:iCs/>
          <w:color w:val="00B0F0"/>
        </w:rPr>
        <w:t>11A,</w:t>
      </w:r>
      <w:r w:rsidR="00565F85" w:rsidRPr="00683533">
        <w:rPr>
          <w:iCs/>
          <w:color w:val="00B0F0"/>
        </w:rPr>
        <w:t xml:space="preserve"> </w:t>
      </w:r>
      <w:r w:rsidRPr="00683533">
        <w:rPr>
          <w:iCs/>
          <w:color w:val="00B0F0"/>
        </w:rPr>
        <w:t>12F</w:t>
      </w:r>
      <w:r w:rsidRPr="00683533">
        <w:rPr>
          <w:iCs/>
          <w:color w:val="000000" w:themeColor="text1"/>
        </w:rPr>
        <w:t>,</w:t>
      </w:r>
      <w:r w:rsidR="00565F85" w:rsidRPr="00683533">
        <w:rPr>
          <w:iCs/>
          <w:color w:val="000000" w:themeColor="text1"/>
        </w:rPr>
        <w:t xml:space="preserve"> </w:t>
      </w:r>
      <w:r w:rsidRPr="00683533">
        <w:rPr>
          <w:iCs/>
          <w:color w:val="000000" w:themeColor="text1"/>
        </w:rPr>
        <w:t>14,</w:t>
      </w:r>
      <w:r w:rsidR="00565F85" w:rsidRPr="00683533">
        <w:rPr>
          <w:iCs/>
          <w:color w:val="000000" w:themeColor="text1"/>
        </w:rPr>
        <w:t xml:space="preserve"> </w:t>
      </w:r>
      <w:r w:rsidRPr="00683533">
        <w:rPr>
          <w:iCs/>
          <w:color w:val="00B0F0"/>
        </w:rPr>
        <w:t>15B</w:t>
      </w:r>
      <w:r w:rsidRPr="00683533">
        <w:rPr>
          <w:iCs/>
          <w:color w:val="000000" w:themeColor="text1"/>
        </w:rPr>
        <w:t>,</w:t>
      </w:r>
      <w:r w:rsidR="00565F85" w:rsidRPr="00683533">
        <w:rPr>
          <w:iCs/>
          <w:color w:val="000000" w:themeColor="text1"/>
        </w:rPr>
        <w:t xml:space="preserve"> </w:t>
      </w:r>
      <w:r w:rsidRPr="00683533">
        <w:rPr>
          <w:iCs/>
          <w:color w:val="000000" w:themeColor="text1"/>
        </w:rPr>
        <w:t>18C,</w:t>
      </w:r>
      <w:r w:rsidR="00565F85" w:rsidRPr="00683533">
        <w:rPr>
          <w:iCs/>
          <w:color w:val="000000" w:themeColor="text1"/>
        </w:rPr>
        <w:t xml:space="preserve"> </w:t>
      </w:r>
      <w:r w:rsidRPr="00683533">
        <w:rPr>
          <w:iCs/>
          <w:color w:val="000000" w:themeColor="text1"/>
        </w:rPr>
        <w:t>19A,</w:t>
      </w:r>
      <w:r w:rsidR="00565F85" w:rsidRPr="00683533">
        <w:rPr>
          <w:iCs/>
          <w:color w:val="000000" w:themeColor="text1"/>
        </w:rPr>
        <w:t xml:space="preserve"> </w:t>
      </w:r>
      <w:r w:rsidRPr="00683533">
        <w:rPr>
          <w:iCs/>
          <w:color w:val="000000" w:themeColor="text1"/>
        </w:rPr>
        <w:t>19F,</w:t>
      </w:r>
      <w:r w:rsidR="00565F85" w:rsidRPr="00683533">
        <w:rPr>
          <w:iCs/>
          <w:color w:val="000000" w:themeColor="text1"/>
        </w:rPr>
        <w:t xml:space="preserve"> </w:t>
      </w:r>
      <w:r w:rsidRPr="00683533">
        <w:rPr>
          <w:iCs/>
          <w:color w:val="00B050"/>
        </w:rPr>
        <w:t>22F</w:t>
      </w:r>
      <w:r w:rsidRPr="00683533">
        <w:rPr>
          <w:iCs/>
          <w:color w:val="000000" w:themeColor="text1"/>
        </w:rPr>
        <w:t>,</w:t>
      </w:r>
      <w:r w:rsidR="00565F85" w:rsidRPr="00683533">
        <w:rPr>
          <w:iCs/>
          <w:color w:val="000000" w:themeColor="text1"/>
        </w:rPr>
        <w:t xml:space="preserve"> </w:t>
      </w:r>
      <w:r w:rsidRPr="00683533">
        <w:rPr>
          <w:iCs/>
          <w:color w:val="000000" w:themeColor="text1"/>
        </w:rPr>
        <w:t>23F,</w:t>
      </w:r>
      <w:r w:rsidR="00565F85" w:rsidRPr="00683533">
        <w:rPr>
          <w:iCs/>
          <w:color w:val="000000" w:themeColor="text1"/>
        </w:rPr>
        <w:t xml:space="preserve"> </w:t>
      </w:r>
      <w:r w:rsidRPr="00683533">
        <w:rPr>
          <w:iCs/>
          <w:color w:val="00B050"/>
        </w:rPr>
        <w:t>33F</w:t>
      </w:r>
      <w:r w:rsidRPr="00683533">
        <w:rPr>
          <w:iCs/>
          <w:color w:val="000000" w:themeColor="text1"/>
        </w:rPr>
        <w:t>)</w:t>
      </w:r>
    </w:p>
    <w:p w14:paraId="61B55937" w14:textId="5BD96B70" w:rsidR="000937AF" w:rsidRDefault="000937AF" w:rsidP="000937AF">
      <w:pPr>
        <w:pStyle w:val="3-BodyText"/>
        <w:rPr>
          <w:rStyle w:val="normaltextrun"/>
        </w:rPr>
      </w:pPr>
      <w:r w:rsidRPr="00E51196">
        <w:t>The 20vPCV is based on the same technology and platform as 13vPCV</w:t>
      </w:r>
      <w:r>
        <w:t xml:space="preserve">. </w:t>
      </w:r>
      <w:r w:rsidRPr="00C62703">
        <w:t xml:space="preserve">The </w:t>
      </w:r>
      <w:r w:rsidR="00B055B3">
        <w:t>20v</w:t>
      </w:r>
      <w:r w:rsidRPr="00C62703">
        <w:t>PCV vaccine</w:t>
      </w:r>
      <w:r>
        <w:t>s</w:t>
      </w:r>
      <w:r w:rsidRPr="00C62703">
        <w:t xml:space="preserve"> modifies immune response to </w:t>
      </w:r>
      <w:r w:rsidRPr="00C62703">
        <w:rPr>
          <w:rStyle w:val="normaltextrun"/>
        </w:rPr>
        <w:t xml:space="preserve">the polysaccharide from a T-cell independent response to a T-cell dependent response. The T-cell dependent response leads to both an enhanced antibody response and generation of memory B-cells, allowing for an anamnestic (booster) response on re-exposure to the bacteria. Vaccination with </w:t>
      </w:r>
      <w:r w:rsidRPr="00C62703">
        <w:rPr>
          <w:rStyle w:val="normaltextrun"/>
        </w:rPr>
        <w:lastRenderedPageBreak/>
        <w:t>20vPCV induces serum antibody production and immunologic memory against the serotypes contained within the vaccine. </w:t>
      </w:r>
    </w:p>
    <w:p w14:paraId="42521681" w14:textId="20491419" w:rsidR="00793F8B" w:rsidRPr="00825086" w:rsidRDefault="00793F8B" w:rsidP="00CC71B0">
      <w:pPr>
        <w:pStyle w:val="3-BodyText"/>
      </w:pPr>
      <w:r w:rsidRPr="00793F8B">
        <w:t xml:space="preserve">The </w:t>
      </w:r>
      <w:r w:rsidR="44CFF4F9">
        <w:t xml:space="preserve">vaccination schedules </w:t>
      </w:r>
      <w:r w:rsidR="00B93028">
        <w:t xml:space="preserve">proposed </w:t>
      </w:r>
      <w:r w:rsidR="00227023">
        <w:t>for 20vPCV</w:t>
      </w:r>
      <w:r w:rsidRPr="00793F8B" w:rsidDel="00227023">
        <w:t xml:space="preserve"> </w:t>
      </w:r>
      <w:r w:rsidR="00227023">
        <w:t xml:space="preserve">in the submission </w:t>
      </w:r>
      <w:r w:rsidRPr="00793F8B">
        <w:t>were</w:t>
      </w:r>
      <w:r w:rsidR="00227023" w:rsidRPr="00793F8B">
        <w:t xml:space="preserve"> </w:t>
      </w:r>
      <w:r w:rsidRPr="00793F8B">
        <w:t>based on the currently funded NIP</w:t>
      </w:r>
      <w:r w:rsidR="00033AE6">
        <w:t xml:space="preserve"> schedule</w:t>
      </w:r>
      <w:r w:rsidR="00AE5499">
        <w:t>s</w:t>
      </w:r>
      <w:r w:rsidRPr="00793F8B">
        <w:t xml:space="preserve"> for 13vPCV. The </w:t>
      </w:r>
      <w:r w:rsidR="00033AE6">
        <w:t xml:space="preserve">submission proposed that </w:t>
      </w:r>
      <w:r w:rsidRPr="00793F8B">
        <w:t xml:space="preserve">20vPCV will replace 13vPCV for all eligible NIP populations. </w:t>
      </w:r>
      <w:r w:rsidR="00272133">
        <w:t>The submission</w:t>
      </w:r>
      <w:r w:rsidR="00033AE6">
        <w:t xml:space="preserve"> proposed </w:t>
      </w:r>
      <w:r w:rsidR="00272133">
        <w:t xml:space="preserve">an expansion to the current NIP schedule </w:t>
      </w:r>
      <w:r w:rsidR="00227023">
        <w:t xml:space="preserve">to include </w:t>
      </w:r>
      <w:r w:rsidRPr="00793F8B">
        <w:t>Aboriginal and Torres Strait Islander adults aged 25-49</w:t>
      </w:r>
      <w:r w:rsidR="46EFB322">
        <w:t>.</w:t>
      </w:r>
    </w:p>
    <w:p w14:paraId="3A753F4D" w14:textId="18CF8D84" w:rsidR="002072DA" w:rsidRPr="00683533" w:rsidRDefault="00793F8B" w:rsidP="00CC71B0">
      <w:pPr>
        <w:pStyle w:val="3-BodyText"/>
        <w:rPr>
          <w:iCs/>
        </w:rPr>
      </w:pPr>
      <w:r w:rsidRPr="00683533">
        <w:rPr>
          <w:iCs/>
        </w:rPr>
        <w:t xml:space="preserve">The </w:t>
      </w:r>
      <w:r w:rsidR="006553E6" w:rsidRPr="00683533">
        <w:rPr>
          <w:iCs/>
        </w:rPr>
        <w:t>serotype coverage for</w:t>
      </w:r>
      <w:r w:rsidR="0052654D" w:rsidRPr="00683533">
        <w:rPr>
          <w:iCs/>
        </w:rPr>
        <w:t xml:space="preserve"> 20vPCV and the currently available </w:t>
      </w:r>
      <w:r w:rsidR="001C794F" w:rsidRPr="00683533">
        <w:rPr>
          <w:iCs/>
        </w:rPr>
        <w:t xml:space="preserve">vaccines is presented in </w:t>
      </w:r>
      <w:r w:rsidR="000B066E" w:rsidRPr="00683533">
        <w:rPr>
          <w:iCs/>
        </w:rPr>
        <w:fldChar w:fldCharType="begin"/>
      </w:r>
      <w:r w:rsidR="000B066E" w:rsidRPr="00683533">
        <w:rPr>
          <w:iCs/>
        </w:rPr>
        <w:instrText xml:space="preserve"> REF _Ref116588005 \h  \* MERGEFORMAT </w:instrText>
      </w:r>
      <w:r w:rsidR="000B066E" w:rsidRPr="00683533">
        <w:rPr>
          <w:iCs/>
        </w:rPr>
      </w:r>
      <w:r w:rsidR="000B066E" w:rsidRPr="00683533">
        <w:rPr>
          <w:iCs/>
        </w:rPr>
        <w:fldChar w:fldCharType="separate"/>
      </w:r>
      <w:r w:rsidR="00137984" w:rsidRPr="00137984">
        <w:t>Table 3</w:t>
      </w:r>
      <w:r w:rsidR="000B066E" w:rsidRPr="00683533">
        <w:rPr>
          <w:iCs/>
        </w:rPr>
        <w:fldChar w:fldCharType="end"/>
      </w:r>
      <w:r w:rsidR="001C794F" w:rsidRPr="00683533">
        <w:rPr>
          <w:iCs/>
        </w:rPr>
        <w:t>.</w:t>
      </w:r>
      <w:r w:rsidR="001B3B8D" w:rsidRPr="00683533">
        <w:rPr>
          <w:iCs/>
        </w:rPr>
        <w:t xml:space="preserve"> </w:t>
      </w:r>
      <w:r w:rsidR="000F17F9" w:rsidRPr="00683533">
        <w:rPr>
          <w:iCs/>
        </w:rPr>
        <w:t xml:space="preserve">The coverage for 20vPCV ranges from 43% to 72% depending on the population. </w:t>
      </w:r>
      <w:r w:rsidR="00877800">
        <w:rPr>
          <w:iCs/>
        </w:rPr>
        <w:t>The PBAC noted that this</w:t>
      </w:r>
      <w:r w:rsidR="00877800" w:rsidRPr="00683533">
        <w:rPr>
          <w:iCs/>
        </w:rPr>
        <w:t xml:space="preserve"> </w:t>
      </w:r>
      <w:r w:rsidR="000F17F9" w:rsidRPr="00683533">
        <w:rPr>
          <w:iCs/>
        </w:rPr>
        <w:t xml:space="preserve">compares with 25% to 38% for 13vPCV, 29% to 51% for 15vPCV and 51% to 80% for 23vPPV. </w:t>
      </w:r>
      <w:r w:rsidR="001C794F" w:rsidRPr="00683533">
        <w:rPr>
          <w:iCs/>
        </w:rPr>
        <w:t xml:space="preserve"> </w:t>
      </w:r>
      <w:bookmarkStart w:id="14" w:name="_Ref116413207"/>
    </w:p>
    <w:p w14:paraId="56B118D4" w14:textId="08CDB387" w:rsidR="001C794F" w:rsidRPr="00683533" w:rsidRDefault="00565F85" w:rsidP="00837A4F">
      <w:pPr>
        <w:pStyle w:val="3-BodyText"/>
        <w:keepNext/>
        <w:numPr>
          <w:ilvl w:val="0"/>
          <w:numId w:val="0"/>
        </w:numPr>
        <w:spacing w:after="0"/>
        <w:rPr>
          <w:rStyle w:val="CommentReference"/>
          <w:iCs/>
        </w:rPr>
      </w:pPr>
      <w:bookmarkStart w:id="15" w:name="_Ref116588005"/>
      <w:r w:rsidRPr="00683533">
        <w:rPr>
          <w:rStyle w:val="CommentReference"/>
          <w:iCs/>
        </w:rPr>
        <w:t xml:space="preserve">Table </w:t>
      </w:r>
      <w:r w:rsidRPr="00683533">
        <w:rPr>
          <w:rStyle w:val="CommentReference"/>
          <w:b w:val="0"/>
          <w:bCs w:val="0"/>
          <w:iCs/>
        </w:rPr>
        <w:fldChar w:fldCharType="begin"/>
      </w:r>
      <w:r w:rsidRPr="00683533">
        <w:rPr>
          <w:rStyle w:val="CommentReference"/>
          <w:iCs/>
        </w:rPr>
        <w:instrText xml:space="preserve"> SEQ Table \* ARABIC </w:instrText>
      </w:r>
      <w:r w:rsidRPr="00683533">
        <w:rPr>
          <w:rStyle w:val="CommentReference"/>
          <w:b w:val="0"/>
          <w:bCs w:val="0"/>
          <w:iCs/>
        </w:rPr>
        <w:fldChar w:fldCharType="separate"/>
      </w:r>
      <w:r w:rsidR="00137984">
        <w:rPr>
          <w:rStyle w:val="CommentReference"/>
          <w:iCs/>
          <w:noProof/>
        </w:rPr>
        <w:t>3</w:t>
      </w:r>
      <w:r w:rsidRPr="00683533">
        <w:rPr>
          <w:rStyle w:val="CommentReference"/>
          <w:b w:val="0"/>
          <w:bCs w:val="0"/>
          <w:iCs/>
        </w:rPr>
        <w:fldChar w:fldCharType="end"/>
      </w:r>
      <w:bookmarkEnd w:id="14"/>
      <w:bookmarkEnd w:id="15"/>
      <w:r w:rsidRPr="00683533">
        <w:rPr>
          <w:rStyle w:val="CommentReference"/>
          <w:iCs/>
        </w:rPr>
        <w:t>: Serotype coverage of 20cPCV and comparators</w:t>
      </w:r>
    </w:p>
    <w:tbl>
      <w:tblPr>
        <w:tblStyle w:val="TableGrid"/>
        <w:tblW w:w="5000" w:type="pct"/>
        <w:tblLook w:val="04A0" w:firstRow="1" w:lastRow="0" w:firstColumn="1" w:lastColumn="0" w:noHBand="0" w:noVBand="1"/>
      </w:tblPr>
      <w:tblGrid>
        <w:gridCol w:w="1127"/>
        <w:gridCol w:w="1043"/>
        <w:gridCol w:w="1193"/>
        <w:gridCol w:w="1060"/>
        <w:gridCol w:w="1060"/>
        <w:gridCol w:w="1143"/>
        <w:gridCol w:w="1127"/>
        <w:gridCol w:w="1264"/>
      </w:tblGrid>
      <w:tr w:rsidR="009A5716" w:rsidRPr="00683533" w14:paraId="12EFB896" w14:textId="77777777" w:rsidTr="009A5716">
        <w:trPr>
          <w:tblHeader/>
        </w:trPr>
        <w:tc>
          <w:tcPr>
            <w:tcW w:w="623" w:type="pct"/>
            <w:vMerge w:val="restart"/>
            <w:vAlign w:val="bottom"/>
          </w:tcPr>
          <w:p w14:paraId="279218CD" w14:textId="51D2399B" w:rsidR="00716079" w:rsidRPr="00683533" w:rsidRDefault="00716079" w:rsidP="00261C02">
            <w:pPr>
              <w:pStyle w:val="TextUnderTable"/>
              <w:keepNext/>
              <w:rPr>
                <w:rFonts w:ascii="Arial Narrow" w:hAnsi="Arial Narrow"/>
                <w:b/>
                <w:bCs/>
                <w:i w:val="0"/>
                <w:sz w:val="20"/>
                <w:szCs w:val="20"/>
              </w:rPr>
            </w:pPr>
            <w:r w:rsidRPr="00683533">
              <w:rPr>
                <w:rFonts w:ascii="Arial Narrow" w:hAnsi="Arial Narrow"/>
                <w:b/>
                <w:bCs/>
                <w:i w:val="0"/>
                <w:sz w:val="20"/>
                <w:szCs w:val="20"/>
              </w:rPr>
              <w:t>Component</w:t>
            </w:r>
          </w:p>
        </w:tc>
        <w:tc>
          <w:tcPr>
            <w:tcW w:w="579" w:type="pct"/>
            <w:vMerge w:val="restart"/>
            <w:vAlign w:val="bottom"/>
          </w:tcPr>
          <w:p w14:paraId="2ACE437F" w14:textId="6DB42796" w:rsidR="00716079" w:rsidRPr="00683533" w:rsidRDefault="00716079" w:rsidP="00261C02">
            <w:pPr>
              <w:pStyle w:val="TextUnderTable"/>
              <w:keepNext/>
              <w:rPr>
                <w:rFonts w:ascii="Arial Narrow" w:hAnsi="Arial Narrow"/>
                <w:b/>
                <w:bCs/>
                <w:i w:val="0"/>
                <w:sz w:val="20"/>
                <w:szCs w:val="20"/>
              </w:rPr>
            </w:pPr>
            <w:r w:rsidRPr="00683533">
              <w:rPr>
                <w:rFonts w:ascii="Arial Narrow" w:hAnsi="Arial Narrow"/>
                <w:b/>
                <w:bCs/>
                <w:i w:val="0"/>
                <w:sz w:val="20"/>
                <w:szCs w:val="20"/>
              </w:rPr>
              <w:t>Input</w:t>
            </w:r>
          </w:p>
        </w:tc>
        <w:tc>
          <w:tcPr>
            <w:tcW w:w="1250" w:type="pct"/>
            <w:gridSpan w:val="2"/>
            <w:vAlign w:val="bottom"/>
          </w:tcPr>
          <w:p w14:paraId="46001C81" w14:textId="4B70D5F8" w:rsidR="00716079" w:rsidRPr="00683533" w:rsidRDefault="00716079" w:rsidP="00261C02">
            <w:pPr>
              <w:pStyle w:val="TextUnderTable"/>
              <w:keepNext/>
              <w:rPr>
                <w:rFonts w:ascii="Arial Narrow" w:hAnsi="Arial Narrow"/>
                <w:b/>
                <w:bCs/>
                <w:i w:val="0"/>
                <w:sz w:val="20"/>
                <w:szCs w:val="20"/>
              </w:rPr>
            </w:pPr>
            <w:r w:rsidRPr="00683533">
              <w:rPr>
                <w:rFonts w:ascii="Arial Narrow" w:hAnsi="Arial Narrow"/>
                <w:b/>
                <w:bCs/>
                <w:i w:val="0"/>
                <w:sz w:val="20"/>
                <w:szCs w:val="20"/>
              </w:rPr>
              <w:t>Adults aged &gt; 18 years with risk conditions</w:t>
            </w:r>
          </w:p>
        </w:tc>
        <w:tc>
          <w:tcPr>
            <w:tcW w:w="1221" w:type="pct"/>
            <w:gridSpan w:val="2"/>
            <w:vAlign w:val="bottom"/>
          </w:tcPr>
          <w:p w14:paraId="0D5251A4" w14:textId="1B1E0677" w:rsidR="00716079" w:rsidRPr="00683533" w:rsidRDefault="00716079" w:rsidP="00261C02">
            <w:pPr>
              <w:pStyle w:val="TextUnderTable"/>
              <w:keepNext/>
              <w:rPr>
                <w:rFonts w:ascii="Arial Narrow" w:hAnsi="Arial Narrow"/>
                <w:b/>
                <w:bCs/>
                <w:i w:val="0"/>
                <w:sz w:val="20"/>
                <w:szCs w:val="20"/>
              </w:rPr>
            </w:pPr>
            <w:r w:rsidRPr="00683533">
              <w:rPr>
                <w:rFonts w:ascii="Arial Narrow" w:hAnsi="Arial Narrow"/>
                <w:b/>
                <w:bCs/>
                <w:i w:val="0"/>
                <w:sz w:val="20"/>
                <w:szCs w:val="20"/>
              </w:rPr>
              <w:t>Non-indigenous adults</w:t>
            </w:r>
          </w:p>
        </w:tc>
        <w:tc>
          <w:tcPr>
            <w:tcW w:w="1327" w:type="pct"/>
            <w:gridSpan w:val="2"/>
            <w:vAlign w:val="bottom"/>
          </w:tcPr>
          <w:p w14:paraId="2A12ACB6" w14:textId="257934EF" w:rsidR="00716079" w:rsidRPr="00683533" w:rsidRDefault="00716079" w:rsidP="00261C02">
            <w:pPr>
              <w:pStyle w:val="TextUnderTable"/>
              <w:keepNext/>
              <w:rPr>
                <w:rFonts w:ascii="Arial Narrow" w:hAnsi="Arial Narrow"/>
                <w:b/>
                <w:bCs/>
                <w:i w:val="0"/>
                <w:sz w:val="20"/>
                <w:szCs w:val="20"/>
              </w:rPr>
            </w:pPr>
            <w:r w:rsidRPr="00683533">
              <w:rPr>
                <w:rFonts w:ascii="Arial Narrow" w:hAnsi="Arial Narrow"/>
                <w:b/>
                <w:bCs/>
                <w:i w:val="0"/>
                <w:sz w:val="20"/>
                <w:szCs w:val="20"/>
              </w:rPr>
              <w:t>Aboriginal and Torres Strait Islander adults (with or without risk conditions)</w:t>
            </w:r>
          </w:p>
        </w:tc>
      </w:tr>
      <w:tr w:rsidR="009A5716" w:rsidRPr="00683533" w14:paraId="16BBB5A3" w14:textId="77777777" w:rsidTr="000B066E">
        <w:trPr>
          <w:tblHeader/>
        </w:trPr>
        <w:tc>
          <w:tcPr>
            <w:tcW w:w="623" w:type="pct"/>
            <w:vMerge/>
          </w:tcPr>
          <w:p w14:paraId="6DF60995" w14:textId="77777777" w:rsidR="00716079" w:rsidRPr="00683533" w:rsidRDefault="00716079" w:rsidP="000B066E">
            <w:pPr>
              <w:pStyle w:val="TextUnderTable"/>
              <w:keepNext/>
              <w:rPr>
                <w:rFonts w:ascii="Arial Narrow" w:hAnsi="Arial Narrow"/>
                <w:i w:val="0"/>
                <w:sz w:val="20"/>
                <w:szCs w:val="20"/>
              </w:rPr>
            </w:pPr>
          </w:p>
        </w:tc>
        <w:tc>
          <w:tcPr>
            <w:tcW w:w="579" w:type="pct"/>
            <w:vMerge/>
          </w:tcPr>
          <w:p w14:paraId="12DA8002" w14:textId="77777777" w:rsidR="00716079" w:rsidRPr="00683533" w:rsidRDefault="00716079" w:rsidP="000B066E">
            <w:pPr>
              <w:pStyle w:val="TextUnderTable"/>
              <w:keepNext/>
              <w:rPr>
                <w:rFonts w:ascii="Arial Narrow" w:hAnsi="Arial Narrow"/>
                <w:i w:val="0"/>
                <w:sz w:val="20"/>
                <w:szCs w:val="20"/>
              </w:rPr>
            </w:pPr>
          </w:p>
        </w:tc>
        <w:tc>
          <w:tcPr>
            <w:tcW w:w="662" w:type="pct"/>
          </w:tcPr>
          <w:p w14:paraId="4B557A4D" w14:textId="3B264143" w:rsidR="00716079" w:rsidRPr="00683533" w:rsidRDefault="00716079" w:rsidP="000B066E">
            <w:pPr>
              <w:pStyle w:val="TextUnderTable"/>
              <w:keepNext/>
              <w:rPr>
                <w:rFonts w:ascii="Arial Narrow" w:hAnsi="Arial Narrow"/>
                <w:b/>
                <w:bCs/>
                <w:i w:val="0"/>
                <w:sz w:val="20"/>
                <w:szCs w:val="20"/>
              </w:rPr>
            </w:pPr>
            <w:r w:rsidRPr="00683533">
              <w:rPr>
                <w:rFonts w:ascii="Arial Narrow" w:hAnsi="Arial Narrow"/>
                <w:b/>
                <w:bCs/>
                <w:i w:val="0"/>
                <w:sz w:val="20"/>
                <w:szCs w:val="20"/>
              </w:rPr>
              <w:t>Additional risk</w:t>
            </w:r>
          </w:p>
        </w:tc>
        <w:tc>
          <w:tcPr>
            <w:tcW w:w="588" w:type="pct"/>
          </w:tcPr>
          <w:p w14:paraId="636D8F56" w14:textId="4593966E" w:rsidR="00716079" w:rsidRPr="00683533" w:rsidRDefault="00716079" w:rsidP="000B066E">
            <w:pPr>
              <w:pStyle w:val="TextUnderTable"/>
              <w:keepNext/>
              <w:rPr>
                <w:rFonts w:ascii="Arial Narrow" w:hAnsi="Arial Narrow"/>
                <w:b/>
                <w:bCs/>
                <w:i w:val="0"/>
                <w:sz w:val="20"/>
                <w:szCs w:val="20"/>
              </w:rPr>
            </w:pPr>
            <w:r w:rsidRPr="00683533">
              <w:rPr>
                <w:rFonts w:ascii="Arial Narrow" w:hAnsi="Arial Narrow"/>
                <w:b/>
                <w:bCs/>
                <w:i w:val="0"/>
                <w:sz w:val="20"/>
                <w:szCs w:val="20"/>
              </w:rPr>
              <w:t>Existing NIP</w:t>
            </w:r>
          </w:p>
        </w:tc>
        <w:tc>
          <w:tcPr>
            <w:tcW w:w="588" w:type="pct"/>
          </w:tcPr>
          <w:p w14:paraId="2296832E" w14:textId="2BB7E929" w:rsidR="00716079" w:rsidRPr="00683533" w:rsidRDefault="00716079" w:rsidP="000B066E">
            <w:pPr>
              <w:pStyle w:val="TextUnderTable"/>
              <w:keepNext/>
              <w:rPr>
                <w:rFonts w:ascii="Arial Narrow" w:hAnsi="Arial Narrow"/>
                <w:b/>
                <w:bCs/>
                <w:i w:val="0"/>
                <w:sz w:val="20"/>
                <w:szCs w:val="20"/>
              </w:rPr>
            </w:pPr>
            <w:r w:rsidRPr="00683533">
              <w:rPr>
                <w:rFonts w:ascii="Arial Narrow" w:hAnsi="Arial Narrow"/>
                <w:b/>
                <w:bCs/>
                <w:i w:val="0"/>
                <w:sz w:val="20"/>
                <w:szCs w:val="20"/>
              </w:rPr>
              <w:t>65-69 years</w:t>
            </w:r>
          </w:p>
        </w:tc>
        <w:tc>
          <w:tcPr>
            <w:tcW w:w="634" w:type="pct"/>
          </w:tcPr>
          <w:p w14:paraId="7D20C26F" w14:textId="3ADD0D7E" w:rsidR="00716079" w:rsidRPr="00683533" w:rsidRDefault="00716079" w:rsidP="000B066E">
            <w:pPr>
              <w:pStyle w:val="TextUnderTable"/>
              <w:keepNext/>
              <w:rPr>
                <w:rFonts w:ascii="Arial Narrow" w:hAnsi="Arial Narrow"/>
                <w:b/>
                <w:bCs/>
                <w:i w:val="0"/>
                <w:sz w:val="20"/>
                <w:szCs w:val="20"/>
              </w:rPr>
            </w:pPr>
            <w:r w:rsidRPr="00683533">
              <w:rPr>
                <w:rFonts w:ascii="Arial Narrow" w:hAnsi="Arial Narrow"/>
                <w:b/>
                <w:bCs/>
                <w:i w:val="0"/>
                <w:sz w:val="20"/>
                <w:szCs w:val="20"/>
              </w:rPr>
              <w:t>≥ 70 years</w:t>
            </w:r>
          </w:p>
        </w:tc>
        <w:tc>
          <w:tcPr>
            <w:tcW w:w="625" w:type="pct"/>
          </w:tcPr>
          <w:p w14:paraId="4FDD71FD" w14:textId="684B18E1" w:rsidR="00716079" w:rsidRPr="00683533" w:rsidRDefault="00716079" w:rsidP="000B066E">
            <w:pPr>
              <w:pStyle w:val="TextUnderTable"/>
              <w:keepNext/>
              <w:rPr>
                <w:rFonts w:ascii="Arial Narrow" w:hAnsi="Arial Narrow"/>
                <w:b/>
                <w:bCs/>
                <w:i w:val="0"/>
                <w:sz w:val="20"/>
                <w:szCs w:val="20"/>
              </w:rPr>
            </w:pPr>
            <w:r w:rsidRPr="00683533">
              <w:rPr>
                <w:rFonts w:ascii="Arial Narrow" w:hAnsi="Arial Narrow"/>
                <w:b/>
                <w:bCs/>
                <w:i w:val="0"/>
                <w:sz w:val="20"/>
                <w:szCs w:val="20"/>
              </w:rPr>
              <w:t>25-49 years</w:t>
            </w:r>
          </w:p>
        </w:tc>
        <w:tc>
          <w:tcPr>
            <w:tcW w:w="702" w:type="pct"/>
          </w:tcPr>
          <w:p w14:paraId="6CD0279D" w14:textId="2E1DF59B" w:rsidR="00716079" w:rsidRPr="00683533" w:rsidRDefault="00716079" w:rsidP="000B066E">
            <w:pPr>
              <w:pStyle w:val="TextUnderTable"/>
              <w:keepNext/>
              <w:rPr>
                <w:rFonts w:ascii="Arial Narrow" w:hAnsi="Arial Narrow"/>
                <w:b/>
                <w:bCs/>
                <w:i w:val="0"/>
                <w:sz w:val="20"/>
                <w:szCs w:val="20"/>
              </w:rPr>
            </w:pPr>
            <w:r w:rsidRPr="00683533">
              <w:rPr>
                <w:rFonts w:ascii="Arial Narrow" w:hAnsi="Arial Narrow"/>
                <w:b/>
                <w:bCs/>
                <w:i w:val="0"/>
                <w:sz w:val="20"/>
                <w:szCs w:val="20"/>
              </w:rPr>
              <w:t>≥ 50 years</w:t>
            </w:r>
          </w:p>
        </w:tc>
      </w:tr>
      <w:tr w:rsidR="009A5716" w:rsidRPr="00683533" w14:paraId="7F1E48EB" w14:textId="77777777" w:rsidTr="000B066E">
        <w:tc>
          <w:tcPr>
            <w:tcW w:w="623" w:type="pct"/>
            <w:vMerge w:val="restart"/>
          </w:tcPr>
          <w:p w14:paraId="1188FC01" w14:textId="58F3E999" w:rsidR="00716079" w:rsidRPr="00683533" w:rsidRDefault="00716079" w:rsidP="00261C02">
            <w:pPr>
              <w:pStyle w:val="TextUnderTable"/>
              <w:keepNext/>
              <w:rPr>
                <w:rFonts w:ascii="Arial Narrow" w:hAnsi="Arial Narrow"/>
                <w:i w:val="0"/>
                <w:sz w:val="20"/>
                <w:szCs w:val="20"/>
              </w:rPr>
            </w:pPr>
            <w:r w:rsidRPr="00683533">
              <w:rPr>
                <w:rFonts w:ascii="Arial Narrow" w:hAnsi="Arial Narrow"/>
                <w:i w:val="0"/>
                <w:sz w:val="20"/>
                <w:szCs w:val="20"/>
              </w:rPr>
              <w:t>Serotype coverage</w:t>
            </w:r>
          </w:p>
        </w:tc>
        <w:tc>
          <w:tcPr>
            <w:tcW w:w="579" w:type="pct"/>
          </w:tcPr>
          <w:p w14:paraId="4F387DF7" w14:textId="616F8C0A" w:rsidR="00716079" w:rsidRPr="00683533" w:rsidRDefault="00716079" w:rsidP="00261C02">
            <w:pPr>
              <w:pStyle w:val="TextUnderTable"/>
              <w:keepNext/>
              <w:rPr>
                <w:rFonts w:ascii="Arial Narrow" w:hAnsi="Arial Narrow"/>
                <w:i w:val="0"/>
                <w:sz w:val="20"/>
                <w:szCs w:val="20"/>
              </w:rPr>
            </w:pPr>
            <w:r w:rsidRPr="00683533">
              <w:rPr>
                <w:rFonts w:ascii="Arial Narrow" w:hAnsi="Arial Narrow"/>
                <w:i w:val="0"/>
                <w:sz w:val="20"/>
                <w:szCs w:val="20"/>
              </w:rPr>
              <w:t>20vPCV</w:t>
            </w:r>
          </w:p>
        </w:tc>
        <w:tc>
          <w:tcPr>
            <w:tcW w:w="662" w:type="pct"/>
          </w:tcPr>
          <w:p w14:paraId="2AD9394B" w14:textId="39BC1C5F" w:rsidR="00716079" w:rsidRPr="00683533" w:rsidRDefault="00716079" w:rsidP="00261C02">
            <w:pPr>
              <w:pStyle w:val="TextUnderTable"/>
              <w:keepNext/>
              <w:rPr>
                <w:rFonts w:ascii="Arial Narrow" w:hAnsi="Arial Narrow"/>
                <w:i w:val="0"/>
                <w:sz w:val="20"/>
                <w:szCs w:val="20"/>
                <w:vertAlign w:val="superscript"/>
              </w:rPr>
            </w:pPr>
            <w:r w:rsidRPr="00683533">
              <w:rPr>
                <w:rFonts w:ascii="Arial Narrow" w:hAnsi="Arial Narrow"/>
                <w:i w:val="0"/>
                <w:sz w:val="20"/>
                <w:szCs w:val="20"/>
              </w:rPr>
              <w:t>66%</w:t>
            </w:r>
            <w:r w:rsidR="0078668B" w:rsidRPr="00683533">
              <w:rPr>
                <w:rFonts w:ascii="Arial Narrow" w:hAnsi="Arial Narrow"/>
                <w:i w:val="0"/>
                <w:sz w:val="20"/>
                <w:szCs w:val="20"/>
                <w:vertAlign w:val="superscript"/>
              </w:rPr>
              <w:t>a</w:t>
            </w:r>
            <w:r w:rsidRPr="00683533">
              <w:rPr>
                <w:rFonts w:ascii="Arial Narrow" w:hAnsi="Arial Narrow"/>
                <w:i w:val="0"/>
                <w:sz w:val="20"/>
                <w:szCs w:val="20"/>
                <w:vertAlign w:val="superscript"/>
              </w:rPr>
              <w:t xml:space="preserve"> </w:t>
            </w:r>
          </w:p>
          <w:p w14:paraId="0099492C" w14:textId="77777777" w:rsidR="009A5716" w:rsidRPr="00683533" w:rsidRDefault="009A5716" w:rsidP="00261C02">
            <w:pPr>
              <w:pStyle w:val="TextUnderTable"/>
              <w:keepNext/>
              <w:rPr>
                <w:rFonts w:ascii="Arial Narrow" w:hAnsi="Arial Narrow"/>
                <w:i w:val="0"/>
                <w:sz w:val="20"/>
                <w:szCs w:val="20"/>
              </w:rPr>
            </w:pPr>
          </w:p>
          <w:p w14:paraId="2500FE88" w14:textId="0CFA76F5" w:rsidR="00716079" w:rsidRPr="00683533" w:rsidRDefault="00716079" w:rsidP="00261C02">
            <w:pPr>
              <w:pStyle w:val="TextUnderTable"/>
              <w:keepNext/>
              <w:rPr>
                <w:rFonts w:ascii="Arial Narrow" w:hAnsi="Arial Narrow"/>
                <w:i w:val="0"/>
                <w:sz w:val="20"/>
                <w:szCs w:val="20"/>
              </w:rPr>
            </w:pPr>
            <w:r w:rsidRPr="00683533">
              <w:rPr>
                <w:rFonts w:ascii="Arial Narrow" w:hAnsi="Arial Narrow"/>
                <w:i w:val="0"/>
                <w:sz w:val="20"/>
                <w:szCs w:val="20"/>
              </w:rPr>
              <w:t>70%</w:t>
            </w:r>
            <w:r w:rsidR="0078668B" w:rsidRPr="00683533">
              <w:rPr>
                <w:rFonts w:ascii="Arial Narrow" w:hAnsi="Arial Narrow"/>
                <w:i w:val="0"/>
                <w:sz w:val="20"/>
                <w:szCs w:val="20"/>
                <w:vertAlign w:val="superscript"/>
              </w:rPr>
              <w:t>a</w:t>
            </w:r>
            <w:r w:rsidRPr="00683533">
              <w:rPr>
                <w:rFonts w:ascii="Arial Narrow" w:hAnsi="Arial Narrow"/>
                <w:i w:val="0"/>
                <w:sz w:val="20"/>
                <w:szCs w:val="20"/>
              </w:rPr>
              <w:t xml:space="preserve"> (with cross reactive serotypes 6C and 15C)</w:t>
            </w:r>
          </w:p>
        </w:tc>
        <w:tc>
          <w:tcPr>
            <w:tcW w:w="588" w:type="pct"/>
          </w:tcPr>
          <w:p w14:paraId="2C8E47AE" w14:textId="1398DC9A" w:rsidR="009A5247" w:rsidRPr="00683533" w:rsidRDefault="00716079" w:rsidP="00261C02">
            <w:pPr>
              <w:pStyle w:val="TextUnderTable"/>
              <w:keepNext/>
              <w:rPr>
                <w:rFonts w:ascii="Arial Narrow" w:hAnsi="Arial Narrow"/>
                <w:i w:val="0"/>
                <w:sz w:val="20"/>
                <w:szCs w:val="20"/>
                <w:vertAlign w:val="superscript"/>
              </w:rPr>
            </w:pPr>
            <w:r w:rsidRPr="00683533">
              <w:rPr>
                <w:rFonts w:ascii="Arial Narrow" w:hAnsi="Arial Narrow"/>
                <w:i w:val="0"/>
                <w:sz w:val="20"/>
                <w:szCs w:val="20"/>
              </w:rPr>
              <w:t>66%</w:t>
            </w:r>
            <w:r w:rsidR="009A5247" w:rsidRPr="00683533">
              <w:rPr>
                <w:rFonts w:ascii="Arial Narrow" w:hAnsi="Arial Narrow"/>
                <w:i w:val="0"/>
                <w:sz w:val="20"/>
                <w:szCs w:val="20"/>
                <w:vertAlign w:val="superscript"/>
              </w:rPr>
              <w:t>a</w:t>
            </w:r>
            <w:r w:rsidRPr="00683533">
              <w:rPr>
                <w:rFonts w:ascii="Arial Narrow" w:hAnsi="Arial Narrow"/>
                <w:i w:val="0"/>
                <w:sz w:val="20"/>
                <w:szCs w:val="20"/>
                <w:vertAlign w:val="superscript"/>
              </w:rPr>
              <w:t xml:space="preserve"> </w:t>
            </w:r>
          </w:p>
          <w:p w14:paraId="6A53BB96" w14:textId="77777777" w:rsidR="009A5716" w:rsidRPr="00683533" w:rsidRDefault="009A5716" w:rsidP="00261C02">
            <w:pPr>
              <w:pStyle w:val="TextUnderTable"/>
              <w:keepNext/>
              <w:rPr>
                <w:rFonts w:ascii="Arial Narrow" w:hAnsi="Arial Narrow"/>
                <w:i w:val="0"/>
                <w:sz w:val="20"/>
                <w:szCs w:val="20"/>
                <w:vertAlign w:val="superscript"/>
              </w:rPr>
            </w:pPr>
          </w:p>
          <w:p w14:paraId="45455122" w14:textId="294DE671" w:rsidR="00716079" w:rsidRPr="00683533" w:rsidRDefault="00716079" w:rsidP="00261C02">
            <w:pPr>
              <w:pStyle w:val="TextUnderTable"/>
              <w:keepNext/>
              <w:rPr>
                <w:rFonts w:ascii="Arial Narrow" w:hAnsi="Arial Narrow"/>
                <w:i w:val="0"/>
                <w:sz w:val="20"/>
                <w:szCs w:val="20"/>
              </w:rPr>
            </w:pPr>
            <w:r w:rsidRPr="00683533">
              <w:rPr>
                <w:rFonts w:ascii="Arial Narrow" w:hAnsi="Arial Narrow"/>
                <w:i w:val="0"/>
                <w:sz w:val="20"/>
                <w:szCs w:val="20"/>
              </w:rPr>
              <w:t>70%</w:t>
            </w:r>
            <w:r w:rsidR="0078668B" w:rsidRPr="00683533">
              <w:rPr>
                <w:rFonts w:ascii="Arial Narrow" w:hAnsi="Arial Narrow"/>
                <w:i w:val="0"/>
                <w:sz w:val="20"/>
                <w:szCs w:val="20"/>
                <w:vertAlign w:val="superscript"/>
              </w:rPr>
              <w:t>a</w:t>
            </w:r>
            <w:r w:rsidRPr="00683533">
              <w:rPr>
                <w:rFonts w:ascii="Arial Narrow" w:hAnsi="Arial Narrow"/>
                <w:i w:val="0"/>
                <w:sz w:val="20"/>
                <w:szCs w:val="20"/>
              </w:rPr>
              <w:t xml:space="preserve"> (with cross reactive serotypes 6C and 15C)</w:t>
            </w:r>
          </w:p>
        </w:tc>
        <w:tc>
          <w:tcPr>
            <w:tcW w:w="588" w:type="pct"/>
          </w:tcPr>
          <w:p w14:paraId="3A0BA87F" w14:textId="29506550" w:rsidR="009A5716" w:rsidRPr="00683533" w:rsidRDefault="00716079" w:rsidP="00261C02">
            <w:pPr>
              <w:pStyle w:val="TextUnderTable"/>
              <w:keepNext/>
              <w:rPr>
                <w:rFonts w:ascii="Arial Narrow" w:hAnsi="Arial Narrow"/>
                <w:i w:val="0"/>
                <w:sz w:val="20"/>
                <w:szCs w:val="20"/>
                <w:vertAlign w:val="superscript"/>
              </w:rPr>
            </w:pPr>
            <w:r w:rsidRPr="00683533">
              <w:rPr>
                <w:rFonts w:ascii="Arial Narrow" w:hAnsi="Arial Narrow"/>
                <w:i w:val="0"/>
                <w:sz w:val="20"/>
                <w:szCs w:val="20"/>
              </w:rPr>
              <w:t>43%</w:t>
            </w:r>
            <w:r w:rsidR="0078668B" w:rsidRPr="00683533">
              <w:rPr>
                <w:rFonts w:ascii="Arial Narrow" w:hAnsi="Arial Narrow"/>
                <w:i w:val="0"/>
                <w:sz w:val="20"/>
                <w:szCs w:val="20"/>
                <w:vertAlign w:val="superscript"/>
              </w:rPr>
              <w:t>b</w:t>
            </w:r>
            <w:r w:rsidRPr="00683533">
              <w:rPr>
                <w:rFonts w:ascii="Arial Narrow" w:hAnsi="Arial Narrow"/>
                <w:i w:val="0"/>
                <w:sz w:val="20"/>
                <w:szCs w:val="20"/>
                <w:vertAlign w:val="superscript"/>
              </w:rPr>
              <w:t xml:space="preserve"> </w:t>
            </w:r>
          </w:p>
          <w:p w14:paraId="0C4B7AF1" w14:textId="77777777" w:rsidR="009A5716" w:rsidRPr="00683533" w:rsidRDefault="009A5716" w:rsidP="00261C02">
            <w:pPr>
              <w:pStyle w:val="TextUnderTable"/>
              <w:keepNext/>
              <w:rPr>
                <w:rFonts w:ascii="Arial Narrow" w:hAnsi="Arial Narrow"/>
                <w:i w:val="0"/>
                <w:sz w:val="20"/>
                <w:szCs w:val="20"/>
                <w:vertAlign w:val="superscript"/>
              </w:rPr>
            </w:pPr>
          </w:p>
          <w:p w14:paraId="47B8C0C4" w14:textId="1935A51A" w:rsidR="00716079" w:rsidRPr="00683533" w:rsidRDefault="00716079" w:rsidP="00261C02">
            <w:pPr>
              <w:pStyle w:val="TextUnderTable"/>
              <w:keepNext/>
              <w:rPr>
                <w:rFonts w:ascii="Arial Narrow" w:hAnsi="Arial Narrow"/>
                <w:i w:val="0"/>
                <w:sz w:val="20"/>
                <w:szCs w:val="20"/>
              </w:rPr>
            </w:pPr>
            <w:r w:rsidRPr="00683533">
              <w:rPr>
                <w:rFonts w:ascii="Arial Narrow" w:hAnsi="Arial Narrow"/>
                <w:i w:val="0"/>
                <w:sz w:val="20"/>
                <w:szCs w:val="20"/>
              </w:rPr>
              <w:t>48%</w:t>
            </w:r>
            <w:r w:rsidR="0078668B" w:rsidRPr="00683533">
              <w:rPr>
                <w:rFonts w:ascii="Arial Narrow" w:hAnsi="Arial Narrow"/>
                <w:i w:val="0"/>
                <w:sz w:val="20"/>
                <w:szCs w:val="20"/>
                <w:vertAlign w:val="superscript"/>
              </w:rPr>
              <w:t>b</w:t>
            </w:r>
            <w:r w:rsidRPr="00683533">
              <w:rPr>
                <w:rFonts w:ascii="Arial Narrow" w:hAnsi="Arial Narrow"/>
                <w:i w:val="0"/>
                <w:sz w:val="20"/>
                <w:szCs w:val="20"/>
              </w:rPr>
              <w:t xml:space="preserve"> (with cross reactive serotypes 6C and 15C)</w:t>
            </w:r>
          </w:p>
        </w:tc>
        <w:tc>
          <w:tcPr>
            <w:tcW w:w="634" w:type="pct"/>
          </w:tcPr>
          <w:p w14:paraId="34764EDC" w14:textId="46B830F7" w:rsidR="009A5716" w:rsidRPr="00683533" w:rsidRDefault="00716079" w:rsidP="00261C02">
            <w:pPr>
              <w:pStyle w:val="TextUnderTable"/>
              <w:keepNext/>
              <w:rPr>
                <w:rFonts w:ascii="Arial Narrow" w:hAnsi="Arial Narrow"/>
                <w:i w:val="0"/>
                <w:sz w:val="20"/>
                <w:szCs w:val="20"/>
              </w:rPr>
            </w:pPr>
            <w:r w:rsidRPr="00683533">
              <w:rPr>
                <w:rFonts w:ascii="Arial Narrow" w:hAnsi="Arial Narrow"/>
                <w:i w:val="0"/>
                <w:sz w:val="20"/>
                <w:szCs w:val="20"/>
              </w:rPr>
              <w:t>53%</w:t>
            </w:r>
            <w:r w:rsidR="0078668B" w:rsidRPr="00683533">
              <w:rPr>
                <w:rFonts w:ascii="Arial Narrow" w:hAnsi="Arial Narrow"/>
                <w:i w:val="0"/>
                <w:sz w:val="20"/>
                <w:szCs w:val="20"/>
                <w:vertAlign w:val="superscript"/>
              </w:rPr>
              <w:t>b</w:t>
            </w:r>
            <w:r w:rsidRPr="00683533">
              <w:rPr>
                <w:rFonts w:ascii="Arial Narrow" w:hAnsi="Arial Narrow"/>
                <w:i w:val="0"/>
                <w:sz w:val="20"/>
                <w:szCs w:val="20"/>
              </w:rPr>
              <w:t xml:space="preserve"> </w:t>
            </w:r>
          </w:p>
          <w:p w14:paraId="233B3D2A" w14:textId="77777777" w:rsidR="009A5716" w:rsidRPr="00683533" w:rsidRDefault="009A5716" w:rsidP="00261C02">
            <w:pPr>
              <w:pStyle w:val="TextUnderTable"/>
              <w:keepNext/>
              <w:rPr>
                <w:rFonts w:ascii="Arial Narrow" w:hAnsi="Arial Narrow"/>
                <w:i w:val="0"/>
                <w:sz w:val="20"/>
                <w:szCs w:val="20"/>
              </w:rPr>
            </w:pPr>
          </w:p>
          <w:p w14:paraId="0F466E7B" w14:textId="6C4BD6A4" w:rsidR="00716079" w:rsidRPr="00683533" w:rsidRDefault="00716079" w:rsidP="00261C02">
            <w:pPr>
              <w:pStyle w:val="TextUnderTable"/>
              <w:keepNext/>
              <w:rPr>
                <w:rFonts w:ascii="Arial Narrow" w:hAnsi="Arial Narrow"/>
                <w:i w:val="0"/>
                <w:sz w:val="20"/>
                <w:szCs w:val="20"/>
              </w:rPr>
            </w:pPr>
            <w:r w:rsidRPr="00683533">
              <w:rPr>
                <w:rFonts w:ascii="Arial Narrow" w:hAnsi="Arial Narrow"/>
                <w:i w:val="0"/>
                <w:sz w:val="20"/>
                <w:szCs w:val="20"/>
              </w:rPr>
              <w:t>62%</w:t>
            </w:r>
            <w:r w:rsidR="0078668B" w:rsidRPr="00683533">
              <w:rPr>
                <w:rFonts w:ascii="Arial Narrow" w:hAnsi="Arial Narrow"/>
                <w:i w:val="0"/>
                <w:sz w:val="20"/>
                <w:szCs w:val="20"/>
                <w:vertAlign w:val="superscript"/>
              </w:rPr>
              <w:t>b</w:t>
            </w:r>
            <w:r w:rsidRPr="00683533">
              <w:rPr>
                <w:rFonts w:ascii="Arial Narrow" w:hAnsi="Arial Narrow"/>
                <w:i w:val="0"/>
                <w:sz w:val="20"/>
                <w:szCs w:val="20"/>
              </w:rPr>
              <w:t xml:space="preserve"> (with cross reactive serotypes 6C and 15C)</w:t>
            </w:r>
          </w:p>
        </w:tc>
        <w:tc>
          <w:tcPr>
            <w:tcW w:w="625" w:type="pct"/>
          </w:tcPr>
          <w:p w14:paraId="2B5AA874" w14:textId="77777777" w:rsidR="009A5716" w:rsidRPr="00683533" w:rsidRDefault="00716079" w:rsidP="00261C02">
            <w:pPr>
              <w:pStyle w:val="TextUnderTable"/>
              <w:keepNext/>
              <w:rPr>
                <w:rFonts w:ascii="Arial Narrow" w:hAnsi="Arial Narrow"/>
                <w:i w:val="0"/>
                <w:sz w:val="20"/>
                <w:szCs w:val="20"/>
              </w:rPr>
            </w:pPr>
            <w:r w:rsidRPr="00683533">
              <w:rPr>
                <w:rFonts w:ascii="Arial Narrow" w:hAnsi="Arial Narrow"/>
                <w:i w:val="0"/>
                <w:sz w:val="20"/>
                <w:szCs w:val="20"/>
              </w:rPr>
              <w:t>72% (50%)</w:t>
            </w:r>
            <w:r w:rsidR="0078668B" w:rsidRPr="00683533">
              <w:rPr>
                <w:rFonts w:ascii="Arial Narrow" w:hAnsi="Arial Narrow"/>
                <w:i w:val="0"/>
                <w:sz w:val="20"/>
                <w:szCs w:val="20"/>
                <w:vertAlign w:val="superscript"/>
              </w:rPr>
              <w:t>b</w:t>
            </w:r>
            <w:r w:rsidRPr="00683533">
              <w:rPr>
                <w:rFonts w:ascii="Arial Narrow" w:hAnsi="Arial Narrow"/>
                <w:i w:val="0"/>
                <w:sz w:val="20"/>
                <w:szCs w:val="20"/>
              </w:rPr>
              <w:t xml:space="preserve"> </w:t>
            </w:r>
          </w:p>
          <w:p w14:paraId="3F9C2315" w14:textId="77777777" w:rsidR="009A5716" w:rsidRPr="00683533" w:rsidRDefault="009A5716" w:rsidP="00261C02">
            <w:pPr>
              <w:pStyle w:val="TextUnderTable"/>
              <w:keepNext/>
              <w:rPr>
                <w:rFonts w:ascii="Arial Narrow" w:hAnsi="Arial Narrow"/>
                <w:i w:val="0"/>
                <w:sz w:val="20"/>
                <w:szCs w:val="20"/>
              </w:rPr>
            </w:pPr>
          </w:p>
          <w:p w14:paraId="5DAFA726" w14:textId="4FFD330C" w:rsidR="00716079" w:rsidRPr="00683533" w:rsidRDefault="00716079" w:rsidP="00261C02">
            <w:pPr>
              <w:pStyle w:val="TextUnderTable"/>
              <w:keepNext/>
              <w:rPr>
                <w:rFonts w:ascii="Arial Narrow" w:hAnsi="Arial Narrow"/>
                <w:i w:val="0"/>
                <w:sz w:val="20"/>
                <w:szCs w:val="20"/>
              </w:rPr>
            </w:pPr>
            <w:r w:rsidRPr="00683533">
              <w:rPr>
                <w:rFonts w:ascii="Arial Narrow" w:hAnsi="Arial Narrow"/>
                <w:i w:val="0"/>
                <w:sz w:val="20"/>
                <w:szCs w:val="20"/>
              </w:rPr>
              <w:t>72% (50%)</w:t>
            </w:r>
            <w:r w:rsidR="0078668B" w:rsidRPr="00683533">
              <w:rPr>
                <w:rFonts w:ascii="Arial Narrow" w:hAnsi="Arial Narrow"/>
                <w:i w:val="0"/>
                <w:sz w:val="20"/>
                <w:szCs w:val="20"/>
                <w:vertAlign w:val="superscript"/>
              </w:rPr>
              <w:t>b</w:t>
            </w:r>
            <w:r w:rsidRPr="00683533">
              <w:rPr>
                <w:rFonts w:ascii="Arial Narrow" w:hAnsi="Arial Narrow"/>
                <w:i w:val="0"/>
                <w:sz w:val="20"/>
                <w:szCs w:val="20"/>
              </w:rPr>
              <w:t xml:space="preserve"> (with cross reactive serotypes 6C and 15C)</w:t>
            </w:r>
          </w:p>
        </w:tc>
        <w:tc>
          <w:tcPr>
            <w:tcW w:w="702" w:type="pct"/>
          </w:tcPr>
          <w:p w14:paraId="5892AF88" w14:textId="77777777" w:rsidR="009A5716" w:rsidRPr="00683533" w:rsidRDefault="00716079" w:rsidP="00261C02">
            <w:pPr>
              <w:pStyle w:val="TextUnderTable"/>
              <w:keepNext/>
              <w:rPr>
                <w:rFonts w:ascii="Arial Narrow" w:hAnsi="Arial Narrow"/>
                <w:i w:val="0"/>
                <w:sz w:val="20"/>
                <w:szCs w:val="20"/>
                <w:vertAlign w:val="superscript"/>
              </w:rPr>
            </w:pPr>
            <w:r w:rsidRPr="00683533">
              <w:rPr>
                <w:rFonts w:ascii="Arial Narrow" w:hAnsi="Arial Narrow"/>
                <w:i w:val="0"/>
                <w:sz w:val="20"/>
                <w:szCs w:val="20"/>
              </w:rPr>
              <w:t>64% (51%)</w:t>
            </w:r>
            <w:r w:rsidR="0078668B" w:rsidRPr="00683533">
              <w:rPr>
                <w:rFonts w:ascii="Arial Narrow" w:hAnsi="Arial Narrow"/>
                <w:i w:val="0"/>
                <w:sz w:val="20"/>
                <w:szCs w:val="20"/>
                <w:vertAlign w:val="superscript"/>
              </w:rPr>
              <w:t>b</w:t>
            </w:r>
          </w:p>
          <w:p w14:paraId="775E8F89" w14:textId="77777777" w:rsidR="009A5716" w:rsidRPr="00683533" w:rsidRDefault="009A5716" w:rsidP="00261C02">
            <w:pPr>
              <w:pStyle w:val="TextUnderTable"/>
              <w:keepNext/>
              <w:rPr>
                <w:rFonts w:ascii="Arial Narrow" w:hAnsi="Arial Narrow"/>
                <w:i w:val="0"/>
                <w:sz w:val="20"/>
                <w:szCs w:val="20"/>
              </w:rPr>
            </w:pPr>
          </w:p>
          <w:p w14:paraId="1C091218" w14:textId="505F697C" w:rsidR="00716079" w:rsidRPr="00683533" w:rsidRDefault="00716079" w:rsidP="00261C02">
            <w:pPr>
              <w:pStyle w:val="TextUnderTable"/>
              <w:keepNext/>
              <w:rPr>
                <w:rFonts w:ascii="Arial Narrow" w:hAnsi="Arial Narrow"/>
                <w:i w:val="0"/>
                <w:sz w:val="20"/>
                <w:szCs w:val="20"/>
              </w:rPr>
            </w:pPr>
            <w:r w:rsidRPr="00683533">
              <w:rPr>
                <w:rFonts w:ascii="Arial Narrow" w:hAnsi="Arial Narrow"/>
                <w:i w:val="0"/>
                <w:sz w:val="20"/>
                <w:szCs w:val="20"/>
              </w:rPr>
              <w:t>65% (52%)</w:t>
            </w:r>
            <w:r w:rsidR="0078668B" w:rsidRPr="00683533">
              <w:rPr>
                <w:rFonts w:ascii="Arial Narrow" w:hAnsi="Arial Narrow"/>
                <w:i w:val="0"/>
                <w:sz w:val="20"/>
                <w:szCs w:val="20"/>
                <w:vertAlign w:val="superscript"/>
              </w:rPr>
              <w:t>b</w:t>
            </w:r>
            <w:r w:rsidRPr="00683533">
              <w:rPr>
                <w:rFonts w:ascii="Arial Narrow" w:hAnsi="Arial Narrow"/>
                <w:i w:val="0"/>
                <w:sz w:val="20"/>
                <w:szCs w:val="20"/>
              </w:rPr>
              <w:t xml:space="preserve"> (with cross reactive serotypes 6C and 15C)</w:t>
            </w:r>
          </w:p>
        </w:tc>
      </w:tr>
      <w:tr w:rsidR="009A5716" w:rsidRPr="00683533" w14:paraId="6C8B89FC" w14:textId="77777777" w:rsidTr="000B066E">
        <w:tc>
          <w:tcPr>
            <w:tcW w:w="623" w:type="pct"/>
            <w:vMerge/>
          </w:tcPr>
          <w:p w14:paraId="47E05BFA" w14:textId="77777777" w:rsidR="00716079" w:rsidRPr="00683533" w:rsidRDefault="00716079" w:rsidP="000B066E">
            <w:pPr>
              <w:pStyle w:val="TextUnderTable"/>
              <w:keepNext/>
              <w:rPr>
                <w:rFonts w:ascii="Arial Narrow" w:hAnsi="Arial Narrow"/>
                <w:i w:val="0"/>
                <w:sz w:val="20"/>
                <w:szCs w:val="20"/>
              </w:rPr>
            </w:pPr>
          </w:p>
        </w:tc>
        <w:tc>
          <w:tcPr>
            <w:tcW w:w="579" w:type="pct"/>
          </w:tcPr>
          <w:p w14:paraId="0535625C" w14:textId="3EA646BA"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13vPCV</w:t>
            </w:r>
          </w:p>
        </w:tc>
        <w:tc>
          <w:tcPr>
            <w:tcW w:w="662" w:type="pct"/>
          </w:tcPr>
          <w:p w14:paraId="2D82DA25" w14:textId="3F258E36"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38%</w:t>
            </w:r>
            <w:r w:rsidR="0078668B" w:rsidRPr="00683533">
              <w:rPr>
                <w:rFonts w:ascii="Arial Narrow" w:hAnsi="Arial Narrow"/>
                <w:i w:val="0"/>
                <w:sz w:val="20"/>
                <w:szCs w:val="20"/>
                <w:vertAlign w:val="superscript"/>
              </w:rPr>
              <w:t>a</w:t>
            </w:r>
          </w:p>
        </w:tc>
        <w:tc>
          <w:tcPr>
            <w:tcW w:w="588" w:type="pct"/>
          </w:tcPr>
          <w:p w14:paraId="6C0B2369" w14:textId="12F458E1"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38%</w:t>
            </w:r>
            <w:r w:rsidR="0078668B" w:rsidRPr="00683533">
              <w:rPr>
                <w:rFonts w:ascii="Arial Narrow" w:hAnsi="Arial Narrow"/>
                <w:i w:val="0"/>
                <w:sz w:val="20"/>
                <w:szCs w:val="20"/>
                <w:vertAlign w:val="superscript"/>
              </w:rPr>
              <w:t>a</w:t>
            </w:r>
          </w:p>
        </w:tc>
        <w:tc>
          <w:tcPr>
            <w:tcW w:w="588" w:type="pct"/>
          </w:tcPr>
          <w:p w14:paraId="3EBD3957" w14:textId="63D4833B"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27%</w:t>
            </w:r>
            <w:r w:rsidR="0078668B" w:rsidRPr="00683533">
              <w:rPr>
                <w:rFonts w:ascii="Arial Narrow" w:hAnsi="Arial Narrow"/>
                <w:i w:val="0"/>
                <w:sz w:val="20"/>
                <w:szCs w:val="20"/>
                <w:vertAlign w:val="superscript"/>
              </w:rPr>
              <w:t>b</w:t>
            </w:r>
          </w:p>
        </w:tc>
        <w:tc>
          <w:tcPr>
            <w:tcW w:w="634" w:type="pct"/>
          </w:tcPr>
          <w:p w14:paraId="025A51A2" w14:textId="42A89BE9"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32</w:t>
            </w:r>
            <w:r w:rsidR="003B17E7" w:rsidRPr="00683533">
              <w:rPr>
                <w:rFonts w:ascii="Arial Narrow" w:hAnsi="Arial Narrow"/>
                <w:i w:val="0"/>
                <w:sz w:val="20"/>
                <w:szCs w:val="20"/>
              </w:rPr>
              <w:t>%</w:t>
            </w:r>
            <w:r w:rsidR="0078668B" w:rsidRPr="00683533">
              <w:rPr>
                <w:rFonts w:ascii="Arial Narrow" w:hAnsi="Arial Narrow"/>
                <w:i w:val="0"/>
                <w:sz w:val="20"/>
                <w:szCs w:val="20"/>
                <w:vertAlign w:val="superscript"/>
              </w:rPr>
              <w:t>b</w:t>
            </w:r>
          </w:p>
        </w:tc>
        <w:tc>
          <w:tcPr>
            <w:tcW w:w="625" w:type="pct"/>
          </w:tcPr>
          <w:p w14:paraId="0C7FCF13" w14:textId="06AA2C1A"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32% (25%)</w:t>
            </w:r>
            <w:r w:rsidR="0078668B" w:rsidRPr="00683533">
              <w:rPr>
                <w:rFonts w:ascii="Arial Narrow" w:hAnsi="Arial Narrow"/>
                <w:i w:val="0"/>
                <w:sz w:val="20"/>
                <w:szCs w:val="20"/>
                <w:vertAlign w:val="superscript"/>
              </w:rPr>
              <w:t>b</w:t>
            </w:r>
          </w:p>
        </w:tc>
        <w:tc>
          <w:tcPr>
            <w:tcW w:w="702" w:type="pct"/>
          </w:tcPr>
          <w:p w14:paraId="5DFA6946" w14:textId="33A82142"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34% (27%)</w:t>
            </w:r>
            <w:r w:rsidR="0078668B" w:rsidRPr="00683533">
              <w:rPr>
                <w:rFonts w:ascii="Arial Narrow" w:hAnsi="Arial Narrow"/>
                <w:i w:val="0"/>
                <w:sz w:val="20"/>
                <w:szCs w:val="20"/>
                <w:vertAlign w:val="superscript"/>
              </w:rPr>
              <w:t>b</w:t>
            </w:r>
          </w:p>
        </w:tc>
      </w:tr>
      <w:tr w:rsidR="009A5716" w:rsidRPr="00683533" w14:paraId="52DE0F5A" w14:textId="77777777" w:rsidTr="000B066E">
        <w:tc>
          <w:tcPr>
            <w:tcW w:w="623" w:type="pct"/>
            <w:vMerge/>
          </w:tcPr>
          <w:p w14:paraId="40397DCF" w14:textId="77777777" w:rsidR="00716079" w:rsidRPr="00683533" w:rsidRDefault="00716079" w:rsidP="000B066E">
            <w:pPr>
              <w:pStyle w:val="TextUnderTable"/>
              <w:keepNext/>
              <w:rPr>
                <w:rFonts w:ascii="Arial Narrow" w:hAnsi="Arial Narrow"/>
                <w:i w:val="0"/>
                <w:sz w:val="20"/>
                <w:szCs w:val="20"/>
              </w:rPr>
            </w:pPr>
          </w:p>
        </w:tc>
        <w:tc>
          <w:tcPr>
            <w:tcW w:w="579" w:type="pct"/>
          </w:tcPr>
          <w:p w14:paraId="789C5260" w14:textId="50540F18"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15PCV</w:t>
            </w:r>
          </w:p>
        </w:tc>
        <w:tc>
          <w:tcPr>
            <w:tcW w:w="662" w:type="pct"/>
          </w:tcPr>
          <w:p w14:paraId="21842369" w14:textId="355AA051"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51%</w:t>
            </w:r>
            <w:r w:rsidR="0078668B" w:rsidRPr="00683533">
              <w:rPr>
                <w:rFonts w:ascii="Arial Narrow" w:hAnsi="Arial Narrow"/>
                <w:i w:val="0"/>
                <w:sz w:val="20"/>
                <w:szCs w:val="20"/>
                <w:vertAlign w:val="superscript"/>
              </w:rPr>
              <w:t>a</w:t>
            </w:r>
          </w:p>
        </w:tc>
        <w:tc>
          <w:tcPr>
            <w:tcW w:w="588" w:type="pct"/>
          </w:tcPr>
          <w:p w14:paraId="20112776" w14:textId="07B86669"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51%</w:t>
            </w:r>
            <w:r w:rsidR="0078668B" w:rsidRPr="00683533">
              <w:rPr>
                <w:rFonts w:ascii="Arial Narrow" w:hAnsi="Arial Narrow"/>
                <w:i w:val="0"/>
                <w:sz w:val="20"/>
                <w:szCs w:val="20"/>
                <w:vertAlign w:val="superscript"/>
              </w:rPr>
              <w:t>a</w:t>
            </w:r>
          </w:p>
        </w:tc>
        <w:tc>
          <w:tcPr>
            <w:tcW w:w="588" w:type="pct"/>
          </w:tcPr>
          <w:p w14:paraId="7E1BBEE4" w14:textId="5B2C3378"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36%</w:t>
            </w:r>
            <w:r w:rsidR="0078668B" w:rsidRPr="00683533">
              <w:rPr>
                <w:rFonts w:ascii="Arial Narrow" w:hAnsi="Arial Narrow"/>
                <w:i w:val="0"/>
                <w:sz w:val="20"/>
                <w:szCs w:val="20"/>
                <w:vertAlign w:val="superscript"/>
              </w:rPr>
              <w:t>b</w:t>
            </w:r>
          </w:p>
        </w:tc>
        <w:tc>
          <w:tcPr>
            <w:tcW w:w="634" w:type="pct"/>
          </w:tcPr>
          <w:p w14:paraId="4D2393A3" w14:textId="02ECD4A8"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44%</w:t>
            </w:r>
            <w:r w:rsidR="0078668B" w:rsidRPr="00683533">
              <w:rPr>
                <w:rFonts w:ascii="Arial Narrow" w:hAnsi="Arial Narrow"/>
                <w:i w:val="0"/>
                <w:sz w:val="20"/>
                <w:szCs w:val="20"/>
                <w:vertAlign w:val="superscript"/>
              </w:rPr>
              <w:t>b</w:t>
            </w:r>
          </w:p>
        </w:tc>
        <w:tc>
          <w:tcPr>
            <w:tcW w:w="625" w:type="pct"/>
          </w:tcPr>
          <w:p w14:paraId="57C44982" w14:textId="39349213"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38% (29%)</w:t>
            </w:r>
            <w:r w:rsidR="0078668B" w:rsidRPr="00683533">
              <w:rPr>
                <w:rFonts w:ascii="Arial Narrow" w:hAnsi="Arial Narrow"/>
                <w:i w:val="0"/>
                <w:sz w:val="20"/>
                <w:szCs w:val="20"/>
                <w:vertAlign w:val="superscript"/>
              </w:rPr>
              <w:t>b</w:t>
            </w:r>
          </w:p>
        </w:tc>
        <w:tc>
          <w:tcPr>
            <w:tcW w:w="702" w:type="pct"/>
          </w:tcPr>
          <w:p w14:paraId="68E3AFC6" w14:textId="169E1838" w:rsidR="00716079" w:rsidRPr="00683533" w:rsidRDefault="0078668B" w:rsidP="000B066E">
            <w:pPr>
              <w:pStyle w:val="TextUnderTable"/>
              <w:keepNext/>
              <w:rPr>
                <w:rFonts w:ascii="Arial Narrow" w:hAnsi="Arial Narrow"/>
                <w:i w:val="0"/>
                <w:sz w:val="20"/>
                <w:szCs w:val="20"/>
              </w:rPr>
            </w:pPr>
            <w:r w:rsidRPr="00683533">
              <w:rPr>
                <w:rFonts w:ascii="Arial Narrow" w:hAnsi="Arial Narrow"/>
                <w:i w:val="0"/>
                <w:sz w:val="20"/>
                <w:szCs w:val="20"/>
              </w:rPr>
              <w:t>45% (36%)</w:t>
            </w:r>
            <w:r w:rsidRPr="00683533">
              <w:rPr>
                <w:rFonts w:ascii="Arial Narrow" w:hAnsi="Arial Narrow"/>
                <w:i w:val="0"/>
                <w:sz w:val="20"/>
                <w:szCs w:val="20"/>
                <w:vertAlign w:val="superscript"/>
              </w:rPr>
              <w:t>b</w:t>
            </w:r>
          </w:p>
        </w:tc>
      </w:tr>
      <w:tr w:rsidR="009A5716" w:rsidRPr="00683533" w14:paraId="431E3CB9" w14:textId="77777777" w:rsidTr="000B066E">
        <w:tc>
          <w:tcPr>
            <w:tcW w:w="623" w:type="pct"/>
            <w:vMerge/>
          </w:tcPr>
          <w:p w14:paraId="2BFFC68B" w14:textId="77777777" w:rsidR="00716079" w:rsidRPr="00683533" w:rsidRDefault="00716079" w:rsidP="000B066E">
            <w:pPr>
              <w:pStyle w:val="TextUnderTable"/>
              <w:keepNext/>
              <w:rPr>
                <w:rFonts w:ascii="Arial Narrow" w:hAnsi="Arial Narrow"/>
                <w:i w:val="0"/>
                <w:sz w:val="20"/>
                <w:szCs w:val="20"/>
              </w:rPr>
            </w:pPr>
          </w:p>
        </w:tc>
        <w:tc>
          <w:tcPr>
            <w:tcW w:w="579" w:type="pct"/>
          </w:tcPr>
          <w:p w14:paraId="0E707A9F" w14:textId="47B6AB88" w:rsidR="00716079" w:rsidRPr="00683533" w:rsidRDefault="00716079" w:rsidP="000B066E">
            <w:pPr>
              <w:pStyle w:val="TextUnderTable"/>
              <w:keepNext/>
              <w:rPr>
                <w:rFonts w:ascii="Arial Narrow" w:hAnsi="Arial Narrow"/>
                <w:i w:val="0"/>
                <w:sz w:val="20"/>
                <w:szCs w:val="20"/>
              </w:rPr>
            </w:pPr>
            <w:r w:rsidRPr="00683533">
              <w:rPr>
                <w:rFonts w:ascii="Arial Narrow" w:hAnsi="Arial Narrow"/>
                <w:i w:val="0"/>
                <w:sz w:val="20"/>
                <w:szCs w:val="20"/>
              </w:rPr>
              <w:t>23vPPV</w:t>
            </w:r>
          </w:p>
        </w:tc>
        <w:tc>
          <w:tcPr>
            <w:tcW w:w="662" w:type="pct"/>
          </w:tcPr>
          <w:p w14:paraId="1F1FF87A" w14:textId="0A4887B9" w:rsidR="00716079" w:rsidRPr="00683533" w:rsidRDefault="0078668B" w:rsidP="000B066E">
            <w:pPr>
              <w:pStyle w:val="TextUnderTable"/>
              <w:keepNext/>
              <w:rPr>
                <w:rFonts w:ascii="Arial Narrow" w:hAnsi="Arial Narrow"/>
                <w:i w:val="0"/>
                <w:sz w:val="20"/>
                <w:szCs w:val="20"/>
              </w:rPr>
            </w:pPr>
            <w:r w:rsidRPr="00683533">
              <w:rPr>
                <w:rFonts w:ascii="Arial Narrow" w:hAnsi="Arial Narrow"/>
                <w:i w:val="0"/>
                <w:sz w:val="20"/>
                <w:szCs w:val="20"/>
              </w:rPr>
              <w:t>76%</w:t>
            </w:r>
            <w:r w:rsidRPr="00683533">
              <w:rPr>
                <w:rFonts w:ascii="Arial Narrow" w:hAnsi="Arial Narrow"/>
                <w:i w:val="0"/>
                <w:sz w:val="20"/>
                <w:szCs w:val="20"/>
                <w:vertAlign w:val="superscript"/>
              </w:rPr>
              <w:t>a</w:t>
            </w:r>
          </w:p>
        </w:tc>
        <w:tc>
          <w:tcPr>
            <w:tcW w:w="588" w:type="pct"/>
          </w:tcPr>
          <w:p w14:paraId="0C1CDB1D" w14:textId="27AC4913" w:rsidR="00716079" w:rsidRPr="00683533" w:rsidRDefault="0078668B" w:rsidP="000B066E">
            <w:pPr>
              <w:pStyle w:val="TextUnderTable"/>
              <w:keepNext/>
              <w:rPr>
                <w:rFonts w:ascii="Arial Narrow" w:hAnsi="Arial Narrow"/>
                <w:i w:val="0"/>
                <w:sz w:val="20"/>
                <w:szCs w:val="20"/>
              </w:rPr>
            </w:pPr>
            <w:r w:rsidRPr="00683533">
              <w:rPr>
                <w:rFonts w:ascii="Arial Narrow" w:hAnsi="Arial Narrow"/>
                <w:i w:val="0"/>
                <w:sz w:val="20"/>
                <w:szCs w:val="20"/>
              </w:rPr>
              <w:t>76%</w:t>
            </w:r>
            <w:r w:rsidRPr="00683533">
              <w:rPr>
                <w:rFonts w:ascii="Arial Narrow" w:hAnsi="Arial Narrow"/>
                <w:i w:val="0"/>
                <w:sz w:val="20"/>
                <w:szCs w:val="20"/>
                <w:vertAlign w:val="superscript"/>
              </w:rPr>
              <w:t>a</w:t>
            </w:r>
          </w:p>
        </w:tc>
        <w:tc>
          <w:tcPr>
            <w:tcW w:w="588" w:type="pct"/>
          </w:tcPr>
          <w:p w14:paraId="50A7C9C8" w14:textId="44052355" w:rsidR="00716079" w:rsidRPr="00683533" w:rsidRDefault="0078668B" w:rsidP="000B066E">
            <w:pPr>
              <w:pStyle w:val="TextUnderTable"/>
              <w:keepNext/>
              <w:rPr>
                <w:rFonts w:ascii="Arial Narrow" w:hAnsi="Arial Narrow"/>
                <w:i w:val="0"/>
                <w:sz w:val="20"/>
                <w:szCs w:val="20"/>
              </w:rPr>
            </w:pPr>
            <w:r w:rsidRPr="00683533">
              <w:rPr>
                <w:rFonts w:ascii="Arial Narrow" w:hAnsi="Arial Narrow"/>
                <w:i w:val="0"/>
                <w:sz w:val="20"/>
                <w:szCs w:val="20"/>
              </w:rPr>
              <w:t>51%</w:t>
            </w:r>
            <w:r w:rsidRPr="00683533">
              <w:rPr>
                <w:rFonts w:ascii="Arial Narrow" w:hAnsi="Arial Narrow"/>
                <w:i w:val="0"/>
                <w:sz w:val="20"/>
                <w:szCs w:val="20"/>
                <w:vertAlign w:val="superscript"/>
              </w:rPr>
              <w:t>b</w:t>
            </w:r>
          </w:p>
        </w:tc>
        <w:tc>
          <w:tcPr>
            <w:tcW w:w="634" w:type="pct"/>
          </w:tcPr>
          <w:p w14:paraId="4A0EA799" w14:textId="2CCE6937" w:rsidR="00716079" w:rsidRPr="00683533" w:rsidRDefault="0078668B" w:rsidP="000B066E">
            <w:pPr>
              <w:pStyle w:val="TextUnderTable"/>
              <w:keepNext/>
              <w:rPr>
                <w:rFonts w:ascii="Arial Narrow" w:hAnsi="Arial Narrow"/>
                <w:i w:val="0"/>
                <w:sz w:val="20"/>
                <w:szCs w:val="20"/>
              </w:rPr>
            </w:pPr>
            <w:r w:rsidRPr="00683533">
              <w:rPr>
                <w:rFonts w:ascii="Arial Narrow" w:hAnsi="Arial Narrow"/>
                <w:i w:val="0"/>
                <w:sz w:val="20"/>
                <w:szCs w:val="20"/>
              </w:rPr>
              <w:t>59%</w:t>
            </w:r>
            <w:r w:rsidRPr="00683533">
              <w:rPr>
                <w:rFonts w:ascii="Arial Narrow" w:hAnsi="Arial Narrow"/>
                <w:i w:val="0"/>
                <w:sz w:val="20"/>
                <w:szCs w:val="20"/>
                <w:vertAlign w:val="superscript"/>
              </w:rPr>
              <w:t>b</w:t>
            </w:r>
          </w:p>
        </w:tc>
        <w:tc>
          <w:tcPr>
            <w:tcW w:w="625" w:type="pct"/>
          </w:tcPr>
          <w:p w14:paraId="594577EE" w14:textId="3E831DA2" w:rsidR="00716079" w:rsidRPr="00683533" w:rsidRDefault="0078668B" w:rsidP="000B066E">
            <w:pPr>
              <w:pStyle w:val="TextUnderTable"/>
              <w:keepNext/>
              <w:rPr>
                <w:rFonts w:ascii="Arial Narrow" w:hAnsi="Arial Narrow"/>
                <w:i w:val="0"/>
                <w:sz w:val="20"/>
                <w:szCs w:val="20"/>
              </w:rPr>
            </w:pPr>
            <w:r w:rsidRPr="00683533">
              <w:rPr>
                <w:rFonts w:ascii="Arial Narrow" w:hAnsi="Arial Narrow"/>
                <w:i w:val="0"/>
                <w:sz w:val="20"/>
                <w:szCs w:val="20"/>
              </w:rPr>
              <w:t>80% (54%)</w:t>
            </w:r>
            <w:r w:rsidRPr="00683533">
              <w:rPr>
                <w:rFonts w:ascii="Arial Narrow" w:hAnsi="Arial Narrow"/>
                <w:i w:val="0"/>
                <w:sz w:val="20"/>
                <w:szCs w:val="20"/>
                <w:vertAlign w:val="superscript"/>
              </w:rPr>
              <w:t>b</w:t>
            </w:r>
          </w:p>
        </w:tc>
        <w:tc>
          <w:tcPr>
            <w:tcW w:w="702" w:type="pct"/>
          </w:tcPr>
          <w:p w14:paraId="2F407E09" w14:textId="7E27CB30" w:rsidR="00716079" w:rsidRPr="00683533" w:rsidRDefault="0078668B" w:rsidP="000B066E">
            <w:pPr>
              <w:pStyle w:val="TextUnderTable"/>
              <w:keepNext/>
              <w:rPr>
                <w:rFonts w:ascii="Arial Narrow" w:hAnsi="Arial Narrow"/>
                <w:i w:val="0"/>
                <w:sz w:val="20"/>
                <w:szCs w:val="20"/>
              </w:rPr>
            </w:pPr>
            <w:r w:rsidRPr="00683533">
              <w:rPr>
                <w:rFonts w:ascii="Arial Narrow" w:hAnsi="Arial Narrow"/>
                <w:i w:val="0"/>
                <w:sz w:val="20"/>
                <w:szCs w:val="20"/>
              </w:rPr>
              <w:t>70% (56%)</w:t>
            </w:r>
            <w:r w:rsidRPr="00683533">
              <w:rPr>
                <w:rFonts w:ascii="Arial Narrow" w:hAnsi="Arial Narrow"/>
                <w:i w:val="0"/>
                <w:sz w:val="20"/>
                <w:szCs w:val="20"/>
                <w:vertAlign w:val="superscript"/>
              </w:rPr>
              <w:t>b</w:t>
            </w:r>
          </w:p>
        </w:tc>
      </w:tr>
    </w:tbl>
    <w:p w14:paraId="6BB83C35" w14:textId="5F803EF1" w:rsidR="00716079" w:rsidRPr="00683533" w:rsidRDefault="00716079" w:rsidP="00716079">
      <w:pPr>
        <w:pStyle w:val="FooterTableFigure"/>
        <w:widowControl w:val="0"/>
        <w:rPr>
          <w:rFonts w:eastAsia="Arial Narrow" w:cs="Arial Narrow"/>
          <w:iCs/>
          <w:color w:val="000000" w:themeColor="text1"/>
        </w:rPr>
      </w:pPr>
      <w:r w:rsidRPr="00683533">
        <w:rPr>
          <w:rFonts w:eastAsia="Arial Narrow" w:cs="Arial Narrow"/>
          <w:iCs/>
          <w:color w:val="000000" w:themeColor="text1"/>
        </w:rPr>
        <w:t xml:space="preserve">Source: </w:t>
      </w:r>
      <w:r w:rsidR="00837A4F" w:rsidRPr="00683533">
        <w:rPr>
          <w:rFonts w:eastAsia="Arial Narrow" w:cs="Arial Narrow"/>
          <w:iCs/>
          <w:color w:val="000000" w:themeColor="text1"/>
        </w:rPr>
        <w:t xml:space="preserve">p28-29, Table 2.4.3, </w:t>
      </w:r>
      <w:r w:rsidR="00A91676" w:rsidRPr="00683533">
        <w:rPr>
          <w:iCs/>
        </w:rPr>
        <w:t>Prevenar 20,</w:t>
      </w:r>
      <w:r w:rsidR="00A91676" w:rsidRPr="004E375B">
        <w:t xml:space="preserve"> </w:t>
      </w:r>
      <w:r w:rsidRPr="00683533">
        <w:rPr>
          <w:rFonts w:eastAsia="Arial Narrow" w:cs="Arial Narrow"/>
          <w:iCs/>
          <w:color w:val="000000" w:themeColor="text1"/>
        </w:rPr>
        <w:t xml:space="preserve">ATAGI </w:t>
      </w:r>
      <w:r w:rsidR="00837A4F" w:rsidRPr="00683533">
        <w:rPr>
          <w:rFonts w:eastAsia="Arial Narrow" w:cs="Arial Narrow"/>
          <w:iCs/>
          <w:color w:val="000000" w:themeColor="text1"/>
        </w:rPr>
        <w:t>pre-submission a</w:t>
      </w:r>
      <w:r w:rsidRPr="00683533">
        <w:rPr>
          <w:rFonts w:eastAsia="Arial Narrow" w:cs="Arial Narrow"/>
          <w:iCs/>
          <w:color w:val="000000" w:themeColor="text1"/>
        </w:rPr>
        <w:t>dvice</w:t>
      </w:r>
      <w:r w:rsidR="00F137BC" w:rsidRPr="00683533">
        <w:rPr>
          <w:rFonts w:eastAsia="Arial Narrow" w:cs="Arial Narrow"/>
          <w:iCs/>
          <w:color w:val="000000" w:themeColor="text1"/>
        </w:rPr>
        <w:t xml:space="preserve"> to PBAC</w:t>
      </w:r>
      <w:r w:rsidR="00837A4F" w:rsidRPr="00683533">
        <w:rPr>
          <w:rFonts w:eastAsia="Arial Narrow" w:cs="Arial Narrow"/>
          <w:iCs/>
          <w:color w:val="000000" w:themeColor="text1"/>
        </w:rPr>
        <w:t xml:space="preserve">, </w:t>
      </w:r>
      <w:r w:rsidRPr="00683533">
        <w:rPr>
          <w:rFonts w:eastAsia="Arial Narrow" w:cs="Arial Narrow"/>
          <w:iCs/>
          <w:color w:val="000000" w:themeColor="text1"/>
        </w:rPr>
        <w:t>April 2022</w:t>
      </w:r>
      <w:r w:rsidR="00683533" w:rsidRPr="00683533">
        <w:rPr>
          <w:rFonts w:eastAsia="Arial Narrow" w:cs="Arial Narrow"/>
          <w:iCs/>
          <w:color w:val="000000" w:themeColor="text1"/>
        </w:rPr>
        <w:t xml:space="preserve">. Compiled </w:t>
      </w:r>
      <w:r w:rsidR="00683533">
        <w:rPr>
          <w:rFonts w:eastAsia="Arial Narrow" w:cs="Arial Narrow"/>
          <w:iCs/>
          <w:color w:val="000000" w:themeColor="text1"/>
        </w:rPr>
        <w:t>during ESC evaluation</w:t>
      </w:r>
      <w:r w:rsidR="00683533" w:rsidRPr="00683533">
        <w:rPr>
          <w:rFonts w:eastAsia="Arial Narrow" w:cs="Arial Narrow"/>
          <w:iCs/>
          <w:color w:val="000000" w:themeColor="text1"/>
        </w:rPr>
        <w:t>.</w:t>
      </w:r>
    </w:p>
    <w:p w14:paraId="09D442CB" w14:textId="771A6135" w:rsidR="00716079" w:rsidRPr="00683533" w:rsidRDefault="00716079" w:rsidP="00716079">
      <w:pPr>
        <w:pStyle w:val="FooterTableFigure"/>
        <w:widowControl w:val="0"/>
        <w:rPr>
          <w:rFonts w:eastAsia="Arial Narrow" w:cs="Arial Narrow"/>
          <w:iCs/>
          <w:color w:val="000000" w:themeColor="text1"/>
        </w:rPr>
      </w:pPr>
      <w:r w:rsidRPr="00683533">
        <w:rPr>
          <w:rFonts w:eastAsia="Arial Narrow" w:cs="Arial Narrow"/>
          <w:iCs/>
          <w:color w:val="000000" w:themeColor="text1"/>
        </w:rPr>
        <w:t>a From National Notifiable Disease Surveillance System – IPD Public dataset using 2019 data from NSW,VIC,QLD,NT,SA,TAS and 2019 IPD data provided by WA Health; excludes untyped cases</w:t>
      </w:r>
    </w:p>
    <w:p w14:paraId="4A102251" w14:textId="33781FE5" w:rsidR="00716079" w:rsidRPr="00683533" w:rsidRDefault="00716079" w:rsidP="009A5247">
      <w:pPr>
        <w:pStyle w:val="FooterTableFigure"/>
        <w:widowControl w:val="0"/>
        <w:rPr>
          <w:rFonts w:eastAsia="Arial Narrow" w:cs="Arial Narrow"/>
          <w:iCs/>
          <w:color w:val="000000" w:themeColor="text1"/>
        </w:rPr>
      </w:pPr>
      <w:r w:rsidRPr="00683533">
        <w:rPr>
          <w:rFonts w:eastAsia="Arial Narrow" w:cs="Arial Narrow"/>
          <w:iCs/>
          <w:color w:val="000000" w:themeColor="text1"/>
        </w:rPr>
        <w:t>b From National Notifiable Disease Surveillance System – IPD Public dataset using 2019 data from NSW,VIC,QLD,NT,SA,TAS; excludes untyped cases.</w:t>
      </w:r>
    </w:p>
    <w:p w14:paraId="1695D33A" w14:textId="6EC25A39" w:rsidR="00F874E6" w:rsidRDefault="00793F8B" w:rsidP="00036C51">
      <w:pPr>
        <w:pStyle w:val="3-BodyText"/>
        <w:rPr>
          <w:rStyle w:val="normaltextrun"/>
        </w:rPr>
      </w:pPr>
      <w:r w:rsidRPr="00036C51">
        <w:rPr>
          <w:rStyle w:val="normaltextrun"/>
        </w:rPr>
        <w:t>Based on 2016-2019 IPD surveillance data, in Aboriginal and Torres Strait Islander adults aged 25-49,</w:t>
      </w:r>
      <w:r w:rsidR="006553E6">
        <w:rPr>
          <w:rStyle w:val="normaltextrun"/>
        </w:rPr>
        <w:t xml:space="preserve"> </w:t>
      </w:r>
      <w:r w:rsidR="00530CD7" w:rsidRPr="00036C51">
        <w:rPr>
          <w:rStyle w:val="normaltextrun"/>
        </w:rPr>
        <w:t xml:space="preserve">the </w:t>
      </w:r>
      <w:r w:rsidR="00456DB9" w:rsidRPr="00683533">
        <w:rPr>
          <w:rStyle w:val="normaltextrun"/>
          <w:iCs/>
        </w:rPr>
        <w:t>serotype</w:t>
      </w:r>
      <w:r w:rsidR="00530CD7" w:rsidRPr="00683533">
        <w:rPr>
          <w:rStyle w:val="normaltextrun"/>
          <w:iCs/>
        </w:rPr>
        <w:t>s</w:t>
      </w:r>
      <w:r w:rsidR="00456DB9" w:rsidRPr="00683533">
        <w:rPr>
          <w:rStyle w:val="normaltextrun"/>
          <w:iCs/>
        </w:rPr>
        <w:t xml:space="preserve"> </w:t>
      </w:r>
      <w:r w:rsidR="00530CD7" w:rsidRPr="00683533">
        <w:rPr>
          <w:rStyle w:val="normaltextrun"/>
          <w:iCs/>
        </w:rPr>
        <w:t>covered</w:t>
      </w:r>
      <w:r w:rsidR="00456DB9" w:rsidRPr="00683533">
        <w:rPr>
          <w:rStyle w:val="normaltextrun"/>
          <w:iCs/>
        </w:rPr>
        <w:t xml:space="preserve"> </w:t>
      </w:r>
      <w:r w:rsidR="00530CD7" w:rsidRPr="00683533">
        <w:rPr>
          <w:rStyle w:val="normaltextrun"/>
          <w:iCs/>
        </w:rPr>
        <w:t>by</w:t>
      </w:r>
      <w:r w:rsidR="00456DB9" w:rsidRPr="00683533">
        <w:rPr>
          <w:rStyle w:val="normaltextrun"/>
          <w:iCs/>
        </w:rPr>
        <w:t xml:space="preserve"> 20vPCV would be </w:t>
      </w:r>
      <w:r w:rsidR="00530CD7" w:rsidRPr="00683533">
        <w:rPr>
          <w:rStyle w:val="normaltextrun"/>
          <w:iCs/>
        </w:rPr>
        <w:t xml:space="preserve">responsible for </w:t>
      </w:r>
      <w:r w:rsidR="000F17F9" w:rsidRPr="00683533">
        <w:rPr>
          <w:rStyle w:val="normaltextrun"/>
          <w:iCs/>
        </w:rPr>
        <w:t>64</w:t>
      </w:r>
      <w:r w:rsidR="00456DB9" w:rsidRPr="00683533">
        <w:rPr>
          <w:rStyle w:val="normaltextrun"/>
          <w:iCs/>
        </w:rPr>
        <w:t xml:space="preserve">% </w:t>
      </w:r>
      <w:r w:rsidR="00530CD7" w:rsidRPr="00683533">
        <w:rPr>
          <w:rStyle w:val="normaltextrun"/>
          <w:iCs/>
        </w:rPr>
        <w:t>of IPD</w:t>
      </w:r>
      <w:r w:rsidR="00332786" w:rsidRPr="00683533">
        <w:rPr>
          <w:rStyle w:val="normaltextrun"/>
          <w:iCs/>
        </w:rPr>
        <w:t xml:space="preserve"> </w:t>
      </w:r>
      <w:r w:rsidR="00456DB9" w:rsidRPr="00683533">
        <w:rPr>
          <w:rStyle w:val="normaltextrun"/>
          <w:iCs/>
        </w:rPr>
        <w:t>(</w:t>
      </w:r>
      <w:r w:rsidR="00837A4F" w:rsidRPr="00683533">
        <w:rPr>
          <w:rStyle w:val="normaltextrun"/>
          <w:iCs/>
        </w:rPr>
        <w:t xml:space="preserve">p17, Table 2.2.4, </w:t>
      </w:r>
      <w:r w:rsidR="00A91676" w:rsidRPr="00683533">
        <w:rPr>
          <w:iCs/>
        </w:rPr>
        <w:t>Prevenar 20,</w:t>
      </w:r>
      <w:r w:rsidR="00A91676">
        <w:t xml:space="preserve"> </w:t>
      </w:r>
      <w:r w:rsidR="00456DB9" w:rsidRPr="00683533">
        <w:rPr>
          <w:rStyle w:val="normaltextrun"/>
          <w:iCs/>
        </w:rPr>
        <w:t xml:space="preserve">ATAGI </w:t>
      </w:r>
      <w:r w:rsidR="00837A4F" w:rsidRPr="00683533">
        <w:rPr>
          <w:rStyle w:val="normaltextrun"/>
          <w:iCs/>
        </w:rPr>
        <w:t>pre-submission a</w:t>
      </w:r>
      <w:r w:rsidR="00456DB9" w:rsidRPr="00683533">
        <w:rPr>
          <w:rStyle w:val="normaltextrun"/>
          <w:iCs/>
        </w:rPr>
        <w:t>dvice</w:t>
      </w:r>
      <w:r w:rsidR="00F137BC" w:rsidRPr="00683533">
        <w:rPr>
          <w:rStyle w:val="normaltextrun"/>
          <w:iCs/>
        </w:rPr>
        <w:t xml:space="preserve"> to PBAC</w:t>
      </w:r>
      <w:r w:rsidR="00837A4F" w:rsidRPr="00683533">
        <w:rPr>
          <w:rStyle w:val="normaltextrun"/>
          <w:iCs/>
        </w:rPr>
        <w:t>, April 2022</w:t>
      </w:r>
      <w:r w:rsidR="00456DB9" w:rsidRPr="00683533">
        <w:rPr>
          <w:rStyle w:val="normaltextrun"/>
          <w:iCs/>
        </w:rPr>
        <w:t>)</w:t>
      </w:r>
      <w:r w:rsidR="00CA6CBE" w:rsidRPr="00683533">
        <w:rPr>
          <w:rStyle w:val="normaltextrun"/>
          <w:iCs/>
        </w:rPr>
        <w:t>.</w:t>
      </w:r>
      <w:r w:rsidRPr="00036C51">
        <w:rPr>
          <w:rStyle w:val="normaltextrun"/>
        </w:rPr>
        <w:t xml:space="preserve"> </w:t>
      </w:r>
      <w:r w:rsidR="00CA6CBE">
        <w:rPr>
          <w:rStyle w:val="normaltextrun"/>
        </w:rPr>
        <w:t xml:space="preserve">Based on the same data, </w:t>
      </w:r>
      <w:r w:rsidR="00CA6CBE" w:rsidRPr="00036C51">
        <w:rPr>
          <w:rStyle w:val="normaltextrun"/>
        </w:rPr>
        <w:t>in non-Indigenous Australians aged 5-69</w:t>
      </w:r>
      <w:r w:rsidR="00CA6CBE">
        <w:rPr>
          <w:rStyle w:val="normaltextrun"/>
        </w:rPr>
        <w:t xml:space="preserve">, </w:t>
      </w:r>
      <w:r w:rsidR="00DE2A2E" w:rsidRPr="00036C51">
        <w:rPr>
          <w:rStyle w:val="normaltextrun"/>
        </w:rPr>
        <w:t xml:space="preserve">the </w:t>
      </w:r>
      <w:r w:rsidR="00DE2A2E" w:rsidRPr="00683533">
        <w:rPr>
          <w:rStyle w:val="normaltextrun"/>
          <w:iCs/>
        </w:rPr>
        <w:t>serotypes covered by 20vPCV would be responsible for 56% of IPD</w:t>
      </w:r>
      <w:r w:rsidR="00DE2A2E" w:rsidRPr="00036C51">
        <w:rPr>
          <w:rStyle w:val="normaltextrun"/>
        </w:rPr>
        <w:t xml:space="preserve"> </w:t>
      </w:r>
      <w:r w:rsidR="00AF3576">
        <w:rPr>
          <w:rStyle w:val="normaltextrun"/>
        </w:rPr>
        <w:t xml:space="preserve">of which </w:t>
      </w:r>
      <w:r w:rsidR="00CA6CBE" w:rsidRPr="00036C51">
        <w:rPr>
          <w:rStyle w:val="normaltextrun"/>
        </w:rPr>
        <w:t xml:space="preserve">the 7 (or 5) additional serotypes covered by the 20vPCV </w:t>
      </w:r>
      <w:r w:rsidR="001639D5">
        <w:rPr>
          <w:rStyle w:val="normaltextrun"/>
        </w:rPr>
        <w:t>would</w:t>
      </w:r>
      <w:r w:rsidR="00CA6CBE" w:rsidRPr="00036C51">
        <w:rPr>
          <w:rStyle w:val="normaltextrun"/>
        </w:rPr>
        <w:t xml:space="preserve"> be responsible for</w:t>
      </w:r>
      <w:r w:rsidRPr="00036C51">
        <w:rPr>
          <w:rStyle w:val="normaltextrun"/>
        </w:rPr>
        <w:t xml:space="preserve"> 23.9% (11.2%) of IPD (</w:t>
      </w:r>
      <w:r w:rsidR="00837A4F" w:rsidRPr="00683533">
        <w:rPr>
          <w:rStyle w:val="normaltextrun"/>
          <w:iCs/>
        </w:rPr>
        <w:t xml:space="preserve">p22, Table 2.2.10 PART B, </w:t>
      </w:r>
      <w:r w:rsidR="00A91676" w:rsidRPr="00683533">
        <w:rPr>
          <w:iCs/>
        </w:rPr>
        <w:t>Prevenar 20,</w:t>
      </w:r>
      <w:r w:rsidR="00A91676" w:rsidRPr="004E375B">
        <w:t xml:space="preserve"> </w:t>
      </w:r>
      <w:r w:rsidR="00456DB9" w:rsidRPr="00683533">
        <w:rPr>
          <w:rStyle w:val="normaltextrun"/>
          <w:iCs/>
        </w:rPr>
        <w:t xml:space="preserve">ATAGI </w:t>
      </w:r>
      <w:r w:rsidR="00837A4F" w:rsidRPr="00683533">
        <w:rPr>
          <w:rStyle w:val="normaltextrun"/>
          <w:iCs/>
        </w:rPr>
        <w:t>pre-submission a</w:t>
      </w:r>
      <w:r w:rsidR="00456DB9" w:rsidRPr="00683533">
        <w:rPr>
          <w:rStyle w:val="normaltextrun"/>
          <w:iCs/>
        </w:rPr>
        <w:t>dvice</w:t>
      </w:r>
      <w:r w:rsidR="00F137BC" w:rsidRPr="00683533">
        <w:rPr>
          <w:rStyle w:val="normaltextrun"/>
          <w:iCs/>
        </w:rPr>
        <w:t xml:space="preserve"> to PBAC</w:t>
      </w:r>
      <w:r w:rsidR="00837A4F" w:rsidRPr="00683533">
        <w:rPr>
          <w:rStyle w:val="normaltextrun"/>
          <w:iCs/>
        </w:rPr>
        <w:t>, April 2022</w:t>
      </w:r>
      <w:r w:rsidRPr="00683533">
        <w:rPr>
          <w:rStyle w:val="normaltextrun"/>
          <w:iCs/>
        </w:rPr>
        <w:t>).</w:t>
      </w:r>
      <w:r w:rsidR="001F3575">
        <w:rPr>
          <w:rStyle w:val="normaltextrun"/>
        </w:rPr>
        <w:t xml:space="preserve"> </w:t>
      </w:r>
    </w:p>
    <w:p w14:paraId="39AB0797" w14:textId="7EDFFE84" w:rsidR="00694FA9" w:rsidRPr="003B6871" w:rsidRDefault="00694FA9" w:rsidP="00694FA9">
      <w:pPr>
        <w:pStyle w:val="3-BodyText"/>
        <w:numPr>
          <w:ilvl w:val="0"/>
          <w:numId w:val="0"/>
        </w:numPr>
        <w:ind w:left="720"/>
        <w:rPr>
          <w:rStyle w:val="normaltextrun"/>
        </w:rPr>
      </w:pPr>
      <w:r>
        <w:rPr>
          <w:i/>
          <w:iCs/>
          <w:color w:val="000000" w:themeColor="text1"/>
        </w:rPr>
        <w:t>For more detail on PBAC’s view, see section 7 PBAC outcome.</w:t>
      </w:r>
    </w:p>
    <w:p w14:paraId="06705A0A" w14:textId="4A25FF1B" w:rsidR="007D4D11" w:rsidRPr="00CD5C51" w:rsidRDefault="007D4D11" w:rsidP="00AA77E6">
      <w:pPr>
        <w:pStyle w:val="2-SectionHeading"/>
        <w:numPr>
          <w:ilvl w:val="0"/>
          <w:numId w:val="15"/>
        </w:numPr>
        <w:spacing w:after="120"/>
        <w:jc w:val="left"/>
        <w:outlineLvl w:val="0"/>
        <w:rPr>
          <w:rFonts w:asciiTheme="minorHAnsi" w:hAnsiTheme="minorHAnsi"/>
          <w:bCs w:val="0"/>
          <w:snapToGrid w:val="0"/>
        </w:rPr>
      </w:pPr>
      <w:bookmarkStart w:id="16" w:name="_Toc114061395"/>
      <w:r w:rsidRPr="00CD5C51">
        <w:rPr>
          <w:rFonts w:asciiTheme="minorHAnsi" w:hAnsiTheme="minorHAnsi"/>
          <w:bCs w:val="0"/>
          <w:snapToGrid w:val="0"/>
        </w:rPr>
        <w:lastRenderedPageBreak/>
        <w:t>Comparator</w:t>
      </w:r>
      <w:bookmarkEnd w:id="16"/>
    </w:p>
    <w:p w14:paraId="10E97B28" w14:textId="7E8A860E" w:rsidR="00DF141B" w:rsidRPr="00825086" w:rsidRDefault="00793F8B" w:rsidP="00DF141B">
      <w:pPr>
        <w:pStyle w:val="3-BodyText"/>
        <w:rPr>
          <w:lang w:val="en-US"/>
        </w:rPr>
      </w:pPr>
      <w:r w:rsidRPr="00036C51">
        <w:rPr>
          <w:lang w:val="en-US"/>
        </w:rPr>
        <w:t xml:space="preserve">The submission nominated 13vPCV </w:t>
      </w:r>
      <w:r w:rsidR="00147CDB">
        <w:rPr>
          <w:lang w:val="en-US"/>
        </w:rPr>
        <w:t>as primary comparator</w:t>
      </w:r>
      <w:r w:rsidRPr="00036C51">
        <w:rPr>
          <w:lang w:val="en-US"/>
        </w:rPr>
        <w:t xml:space="preserve"> which is currently listed on the NIP for </w:t>
      </w:r>
      <w:r w:rsidR="66FC775A" w:rsidRPr="25DE8C3D" w:rsidDel="68AB8617">
        <w:rPr>
          <w:lang w:val="en-US"/>
        </w:rPr>
        <w:t>a</w:t>
      </w:r>
      <w:r w:rsidR="66FC775A" w:rsidRPr="25DE8C3D" w:rsidDel="6C34984C">
        <w:rPr>
          <w:lang w:val="en-US"/>
        </w:rPr>
        <w:t>dults</w:t>
      </w:r>
      <w:r w:rsidR="002E28DB" w:rsidRPr="00036C51">
        <w:rPr>
          <w:lang w:val="en-US"/>
        </w:rPr>
        <w:t xml:space="preserve"> aged</w:t>
      </w:r>
      <w:r w:rsidRPr="00036C51">
        <w:rPr>
          <w:lang w:val="en-US"/>
        </w:rPr>
        <w:t xml:space="preserve"> </w:t>
      </w:r>
      <w:r w:rsidRPr="00825086">
        <w:t>≥</w:t>
      </w:r>
      <w:r w:rsidR="00582914">
        <w:t xml:space="preserve"> </w:t>
      </w:r>
      <w:r w:rsidRPr="00825086">
        <w:t>70 years, Aboriginal and Torres Strait Islander adults</w:t>
      </w:r>
      <w:r w:rsidR="002E28DB">
        <w:t xml:space="preserve"> aged</w:t>
      </w:r>
      <w:r w:rsidRPr="00825086">
        <w:t xml:space="preserve"> ≥</w:t>
      </w:r>
      <w:r w:rsidR="009152F0">
        <w:t xml:space="preserve"> </w:t>
      </w:r>
      <w:r w:rsidRPr="00825086">
        <w:t>50 years and at-risk adults</w:t>
      </w:r>
      <w:r w:rsidR="002E28DB">
        <w:t xml:space="preserve"> aged</w:t>
      </w:r>
      <w:r w:rsidRPr="00825086">
        <w:t xml:space="preserve"> ≥</w:t>
      </w:r>
      <w:r w:rsidR="009152F0">
        <w:t xml:space="preserve"> </w:t>
      </w:r>
      <w:r w:rsidRPr="00825086">
        <w:t>18 years</w:t>
      </w:r>
      <w:r w:rsidR="00DF2C17">
        <w:t xml:space="preserve">. </w:t>
      </w:r>
      <w:r w:rsidRPr="00036C51">
        <w:rPr>
          <w:lang w:val="en-US"/>
        </w:rPr>
        <w:t>15vPCV, which was recommended for NIP-listing by</w:t>
      </w:r>
      <w:r w:rsidR="00DF2C17">
        <w:rPr>
          <w:lang w:val="en-US"/>
        </w:rPr>
        <w:t xml:space="preserve"> the</w:t>
      </w:r>
      <w:r w:rsidRPr="00036C51">
        <w:rPr>
          <w:lang w:val="en-US"/>
        </w:rPr>
        <w:t xml:space="preserve"> PBAC at the November 2021 meeting, was considered as a near market comparator. </w:t>
      </w:r>
      <w:r w:rsidR="00DF141B">
        <w:rPr>
          <w:lang w:val="en-US"/>
        </w:rPr>
        <w:t>The nominated comparator for</w:t>
      </w:r>
      <w:r w:rsidR="00DF141B" w:rsidRPr="00825086">
        <w:rPr>
          <w:lang w:val="en-US"/>
        </w:rPr>
        <w:t xml:space="preserve"> the expanded population of Aboriginal and Torres Strait Islander adults aged 25-49 years </w:t>
      </w:r>
      <w:r w:rsidR="00DF141B">
        <w:rPr>
          <w:lang w:val="en-US"/>
        </w:rPr>
        <w:t xml:space="preserve">was </w:t>
      </w:r>
      <w:r w:rsidR="00DF141B" w:rsidRPr="00825086">
        <w:rPr>
          <w:lang w:val="en-US"/>
        </w:rPr>
        <w:t xml:space="preserve">‘no vaccine’. </w:t>
      </w:r>
      <w:r w:rsidR="00123E7F" w:rsidRPr="00683533">
        <w:rPr>
          <w:iCs/>
          <w:lang w:val="en-US"/>
        </w:rPr>
        <w:t xml:space="preserve">The ESC considered </w:t>
      </w:r>
      <w:r w:rsidR="00123E7F">
        <w:rPr>
          <w:iCs/>
          <w:lang w:val="en-US"/>
        </w:rPr>
        <w:t>t</w:t>
      </w:r>
      <w:r w:rsidR="00DF141B" w:rsidRPr="004E375B">
        <w:rPr>
          <w:iCs/>
          <w:lang w:val="en-US"/>
        </w:rPr>
        <w:t xml:space="preserve">he </w:t>
      </w:r>
      <w:r w:rsidR="00456DB9">
        <w:rPr>
          <w:iCs/>
          <w:lang w:val="en-US"/>
        </w:rPr>
        <w:t>proposed</w:t>
      </w:r>
      <w:r w:rsidR="00456DB9" w:rsidRPr="004E375B">
        <w:rPr>
          <w:iCs/>
          <w:lang w:val="en-US"/>
        </w:rPr>
        <w:t xml:space="preserve"> </w:t>
      </w:r>
      <w:r w:rsidR="00DF141B" w:rsidRPr="004E375B">
        <w:rPr>
          <w:iCs/>
          <w:lang w:val="en-US"/>
        </w:rPr>
        <w:t>comparators were appropriate</w:t>
      </w:r>
      <w:r w:rsidR="00123E7F">
        <w:rPr>
          <w:iCs/>
          <w:lang w:val="en-US"/>
        </w:rPr>
        <w:t xml:space="preserve">, </w:t>
      </w:r>
      <w:r w:rsidR="00123E7F" w:rsidRPr="00683533">
        <w:rPr>
          <w:lang w:val="en-US"/>
        </w:rPr>
        <w:t xml:space="preserve">noting </w:t>
      </w:r>
      <w:r w:rsidR="00456DB9" w:rsidRPr="00683533">
        <w:rPr>
          <w:lang w:val="en-US"/>
        </w:rPr>
        <w:t>the comparators</w:t>
      </w:r>
      <w:r w:rsidR="00123E7F" w:rsidRPr="00683533">
        <w:rPr>
          <w:lang w:val="en-US"/>
        </w:rPr>
        <w:t xml:space="preserve"> were</w:t>
      </w:r>
      <w:r w:rsidR="00DF141B" w:rsidRPr="004E375B">
        <w:rPr>
          <w:iCs/>
          <w:lang w:val="en-US"/>
        </w:rPr>
        <w:t xml:space="preserve"> consistent with the ATAGI advice</w:t>
      </w:r>
      <w:r w:rsidR="00DF141B" w:rsidRPr="00825086">
        <w:rPr>
          <w:lang w:val="en-US"/>
        </w:rPr>
        <w:t>.</w:t>
      </w:r>
    </w:p>
    <w:p w14:paraId="66A74DA5" w14:textId="310C1EA4" w:rsidR="007D3A53" w:rsidRDefault="00AE30AB" w:rsidP="000A4655">
      <w:pPr>
        <w:pStyle w:val="3-BodyText"/>
        <w:rPr>
          <w:lang w:val="en-US"/>
        </w:rPr>
      </w:pPr>
      <w:r w:rsidRPr="25DE8C3D">
        <w:rPr>
          <w:lang w:val="en-US"/>
        </w:rPr>
        <w:t>On the current NIP schedule, adults</w:t>
      </w:r>
      <w:r w:rsidR="00DF2C17">
        <w:rPr>
          <w:lang w:val="en-US"/>
        </w:rPr>
        <w:t xml:space="preserve"> aged</w:t>
      </w:r>
      <w:r w:rsidRPr="25DE8C3D">
        <w:rPr>
          <w:lang w:val="en-US"/>
        </w:rPr>
        <w:t xml:space="preserve"> ≥ 18 years with a</w:t>
      </w:r>
      <w:r w:rsidR="0070265D">
        <w:rPr>
          <w:lang w:val="en-US"/>
        </w:rPr>
        <w:t>n</w:t>
      </w:r>
      <w:r w:rsidRPr="25DE8C3D">
        <w:rPr>
          <w:lang w:val="en-US"/>
        </w:rPr>
        <w:t xml:space="preserve"> NIP listed risk condition and Aboriginal and Torres Strait </w:t>
      </w:r>
      <w:r>
        <w:rPr>
          <w:lang w:val="en-US"/>
        </w:rPr>
        <w:t>I</w:t>
      </w:r>
      <w:r w:rsidRPr="25DE8C3D">
        <w:rPr>
          <w:lang w:val="en-US"/>
        </w:rPr>
        <w:t>slander adults</w:t>
      </w:r>
      <w:r w:rsidR="00DF2C17">
        <w:rPr>
          <w:lang w:val="en-US"/>
        </w:rPr>
        <w:t xml:space="preserve"> aged</w:t>
      </w:r>
      <w:r w:rsidRPr="25DE8C3D">
        <w:rPr>
          <w:lang w:val="en-US"/>
        </w:rPr>
        <w:t xml:space="preserve"> ≥ 50 years receive 2 subsequent doses of 23vPPV within 2 months and 5 years of the initial conjugate dose. These subsequent doses are </w:t>
      </w:r>
      <w:r w:rsidR="005C799C">
        <w:rPr>
          <w:lang w:val="en-US"/>
        </w:rPr>
        <w:t>relevant</w:t>
      </w:r>
      <w:r w:rsidRPr="25DE8C3D">
        <w:rPr>
          <w:lang w:val="en-US"/>
        </w:rPr>
        <w:t xml:space="preserve"> </w:t>
      </w:r>
      <w:r w:rsidR="000268D5">
        <w:rPr>
          <w:lang w:val="en-US"/>
        </w:rPr>
        <w:t>for</w:t>
      </w:r>
      <w:r w:rsidRPr="25DE8C3D">
        <w:rPr>
          <w:lang w:val="en-US"/>
        </w:rPr>
        <w:t xml:space="preserve"> both the intervention and the comparator for both populations.</w:t>
      </w:r>
      <w:r w:rsidR="000A4655">
        <w:rPr>
          <w:lang w:val="en-US"/>
        </w:rPr>
        <w:t xml:space="preserve"> </w:t>
      </w:r>
    </w:p>
    <w:p w14:paraId="78E3F8AD" w14:textId="63DDB636" w:rsidR="00694FA9" w:rsidRPr="000A4655" w:rsidRDefault="00694FA9" w:rsidP="00694FA9">
      <w:pPr>
        <w:pStyle w:val="3-BodyText"/>
        <w:numPr>
          <w:ilvl w:val="0"/>
          <w:numId w:val="0"/>
        </w:numPr>
        <w:ind w:left="720"/>
        <w:rPr>
          <w:lang w:val="en-US"/>
        </w:rPr>
      </w:pPr>
      <w:r>
        <w:rPr>
          <w:i/>
          <w:iCs/>
          <w:color w:val="000000" w:themeColor="text1"/>
        </w:rPr>
        <w:t>For more detail on PBAC’s view, see section 7 PBAC outcome.</w:t>
      </w:r>
    </w:p>
    <w:p w14:paraId="1940AE83" w14:textId="4D5D8619" w:rsidR="007D4D11" w:rsidRDefault="007D4D11" w:rsidP="00AA77E6">
      <w:pPr>
        <w:pStyle w:val="2-SectionHeading"/>
        <w:numPr>
          <w:ilvl w:val="0"/>
          <w:numId w:val="15"/>
        </w:numPr>
        <w:spacing w:after="120"/>
        <w:jc w:val="left"/>
        <w:outlineLvl w:val="0"/>
        <w:rPr>
          <w:rFonts w:asciiTheme="minorHAnsi" w:hAnsiTheme="minorHAnsi"/>
          <w:bCs w:val="0"/>
          <w:snapToGrid w:val="0"/>
        </w:rPr>
      </w:pPr>
      <w:bookmarkStart w:id="17" w:name="_Toc114061396"/>
      <w:r w:rsidRPr="00CD5C51">
        <w:rPr>
          <w:rFonts w:asciiTheme="minorHAnsi" w:hAnsiTheme="minorHAnsi"/>
          <w:bCs w:val="0"/>
          <w:snapToGrid w:val="0"/>
        </w:rPr>
        <w:t>Consideration of the evidence</w:t>
      </w:r>
      <w:bookmarkEnd w:id="17"/>
    </w:p>
    <w:p w14:paraId="4A181CD3" w14:textId="77777777" w:rsidR="001B41C4" w:rsidRPr="001B41C4" w:rsidRDefault="001B41C4" w:rsidP="006C6B4D">
      <w:pPr>
        <w:pStyle w:val="4-SubsectionHeading"/>
      </w:pPr>
      <w:bookmarkStart w:id="18" w:name="_Hlk76375935"/>
      <w:r w:rsidRPr="001B41C4">
        <w:t>Sponsor hearing</w:t>
      </w:r>
    </w:p>
    <w:p w14:paraId="13B4A986" w14:textId="657468C3" w:rsidR="001B41C4" w:rsidRPr="00321106" w:rsidRDefault="001B41C4" w:rsidP="00321106">
      <w:pPr>
        <w:pStyle w:val="3-BodyText"/>
        <w:rPr>
          <w:bCs/>
          <w:lang w:eastAsia="en-US"/>
        </w:rPr>
      </w:pPr>
      <w:r w:rsidRPr="001B41C4">
        <w:rPr>
          <w:bCs/>
          <w:lang w:eastAsia="en-US"/>
        </w:rPr>
        <w:t>There was no hearing for this item.</w:t>
      </w:r>
    </w:p>
    <w:p w14:paraId="14D83B3F" w14:textId="55BDF143" w:rsidR="001B41C4" w:rsidRPr="001B41C4" w:rsidRDefault="001B41C4" w:rsidP="006C6B4D">
      <w:pPr>
        <w:pStyle w:val="4-SubsectionHeading"/>
      </w:pPr>
      <w:r w:rsidRPr="001B41C4">
        <w:t>Consumer comments</w:t>
      </w:r>
    </w:p>
    <w:p w14:paraId="41744CBA" w14:textId="3FB99E59" w:rsidR="001B41C4" w:rsidRPr="00B70AF9" w:rsidRDefault="001B41C4" w:rsidP="00CC71B0">
      <w:pPr>
        <w:pStyle w:val="3-BodyText"/>
        <w:rPr>
          <w:bCs/>
          <w:lang w:eastAsia="en-US"/>
        </w:rPr>
      </w:pPr>
      <w:bookmarkStart w:id="19" w:name="_Hlk76382618"/>
      <w:r w:rsidRPr="00FA331D">
        <w:rPr>
          <w:lang w:eastAsia="en-US"/>
        </w:rPr>
        <w:t xml:space="preserve">The PBAC noted and welcomed the input from </w:t>
      </w:r>
      <w:r w:rsidR="00FA331D" w:rsidRPr="00FA331D">
        <w:rPr>
          <w:lang w:eastAsia="en-US"/>
        </w:rPr>
        <w:t>a consumer group/</w:t>
      </w:r>
      <w:r w:rsidRPr="00FA331D">
        <w:rPr>
          <w:lang w:eastAsia="en-US"/>
        </w:rPr>
        <w:t>organisation</w:t>
      </w:r>
      <w:r>
        <w:rPr>
          <w:lang w:eastAsia="en-US"/>
        </w:rPr>
        <w:t xml:space="preserve"> (1) via the Consumer Comments facility on the PBS website. </w:t>
      </w:r>
      <w:r w:rsidR="00FA331D">
        <w:rPr>
          <w:lang w:eastAsia="en-US"/>
        </w:rPr>
        <w:t xml:space="preserve">The PBAC noted </w:t>
      </w:r>
      <w:r w:rsidR="00FA331D" w:rsidRPr="00B70AF9">
        <w:rPr>
          <w:bCs/>
          <w:lang w:eastAsia="en-US"/>
        </w:rPr>
        <w:t xml:space="preserve">Lung Foundation Australia was supportive of the listing of </w:t>
      </w:r>
      <w:r w:rsidR="00680FD2">
        <w:rPr>
          <w:bCs/>
          <w:lang w:eastAsia="en-US"/>
        </w:rPr>
        <w:t>20vPCV</w:t>
      </w:r>
      <w:r w:rsidR="00FA331D" w:rsidRPr="00B70AF9">
        <w:rPr>
          <w:bCs/>
          <w:lang w:eastAsia="en-US"/>
        </w:rPr>
        <w:t xml:space="preserve"> on the NIP for the prevention of pneumococcal disease.</w:t>
      </w:r>
      <w:r w:rsidR="00B70AF9" w:rsidRPr="00B70AF9">
        <w:rPr>
          <w:bCs/>
          <w:lang w:eastAsia="en-US"/>
        </w:rPr>
        <w:t xml:space="preserve"> </w:t>
      </w:r>
      <w:r w:rsidRPr="00B70AF9">
        <w:rPr>
          <w:bCs/>
          <w:lang w:eastAsia="en-US"/>
        </w:rPr>
        <w:t xml:space="preserve">The comments described a range of benefits of treatment with </w:t>
      </w:r>
      <w:r w:rsidR="00680FD2">
        <w:rPr>
          <w:bCs/>
          <w:lang w:eastAsia="en-US"/>
        </w:rPr>
        <w:t>20vPCV</w:t>
      </w:r>
      <w:r w:rsidR="00B70AF9" w:rsidRPr="00B70AF9">
        <w:rPr>
          <w:bCs/>
          <w:lang w:eastAsia="en-US"/>
        </w:rPr>
        <w:t xml:space="preserve"> including providing an alternative vaccine to </w:t>
      </w:r>
      <w:r w:rsidR="00680FD2">
        <w:rPr>
          <w:bCs/>
          <w:lang w:eastAsia="en-US"/>
        </w:rPr>
        <w:t>13vPCV</w:t>
      </w:r>
      <w:r w:rsidR="00456D33">
        <w:rPr>
          <w:bCs/>
          <w:lang w:eastAsia="en-US"/>
        </w:rPr>
        <w:t>;</w:t>
      </w:r>
      <w:r w:rsidR="00B70AF9" w:rsidRPr="00B70AF9">
        <w:rPr>
          <w:bCs/>
          <w:lang w:eastAsia="en-US"/>
        </w:rPr>
        <w:t xml:space="preserve"> </w:t>
      </w:r>
      <w:r w:rsidR="00680FD2">
        <w:rPr>
          <w:bCs/>
          <w:lang w:eastAsia="en-US"/>
        </w:rPr>
        <w:t>a</w:t>
      </w:r>
      <w:r w:rsidR="00B70AF9" w:rsidRPr="00B70AF9">
        <w:rPr>
          <w:bCs/>
          <w:lang w:eastAsia="en-US"/>
        </w:rPr>
        <w:t xml:space="preserve"> </w:t>
      </w:r>
      <w:r w:rsidR="009152F0">
        <w:rPr>
          <w:bCs/>
          <w:lang w:eastAsia="en-US"/>
        </w:rPr>
        <w:t>potential</w:t>
      </w:r>
      <w:r w:rsidR="00012665">
        <w:rPr>
          <w:bCs/>
          <w:lang w:eastAsia="en-US"/>
        </w:rPr>
        <w:t xml:space="preserve"> reduction in </w:t>
      </w:r>
      <w:r w:rsidR="00B70AF9" w:rsidRPr="00B70AF9">
        <w:rPr>
          <w:bCs/>
          <w:lang w:eastAsia="en-US"/>
        </w:rPr>
        <w:t>the risk of disease, disability</w:t>
      </w:r>
      <w:r w:rsidR="00680FD2">
        <w:rPr>
          <w:bCs/>
          <w:lang w:eastAsia="en-US"/>
        </w:rPr>
        <w:t>,</w:t>
      </w:r>
      <w:r w:rsidR="00B70AF9" w:rsidRPr="00B70AF9">
        <w:rPr>
          <w:bCs/>
          <w:lang w:eastAsia="en-US"/>
        </w:rPr>
        <w:t xml:space="preserve"> </w:t>
      </w:r>
      <w:proofErr w:type="gramStart"/>
      <w:r w:rsidR="00B70AF9" w:rsidRPr="00B70AF9">
        <w:rPr>
          <w:bCs/>
          <w:lang w:eastAsia="en-US"/>
        </w:rPr>
        <w:t>death</w:t>
      </w:r>
      <w:proofErr w:type="gramEnd"/>
      <w:r w:rsidR="00680FD2">
        <w:rPr>
          <w:bCs/>
          <w:lang w:eastAsia="en-US"/>
        </w:rPr>
        <w:t xml:space="preserve"> and treatment costs</w:t>
      </w:r>
      <w:r w:rsidR="00B70AF9" w:rsidRPr="00B70AF9">
        <w:rPr>
          <w:bCs/>
          <w:lang w:eastAsia="en-US"/>
        </w:rPr>
        <w:t xml:space="preserve"> associated with pneumococcal disease</w:t>
      </w:r>
      <w:r w:rsidR="00012665">
        <w:rPr>
          <w:bCs/>
          <w:lang w:eastAsia="en-US"/>
        </w:rPr>
        <w:t xml:space="preserve">, </w:t>
      </w:r>
      <w:r w:rsidR="008843D5">
        <w:rPr>
          <w:bCs/>
          <w:lang w:eastAsia="en-US"/>
        </w:rPr>
        <w:t xml:space="preserve">and </w:t>
      </w:r>
      <w:r w:rsidR="00B70AF9" w:rsidRPr="00B70AF9">
        <w:rPr>
          <w:bCs/>
          <w:lang w:eastAsia="en-US"/>
        </w:rPr>
        <w:t>the economic and social burden experienced by those with the disease</w:t>
      </w:r>
      <w:r w:rsidR="00456D33">
        <w:rPr>
          <w:bCs/>
          <w:lang w:eastAsia="en-US"/>
        </w:rPr>
        <w:t>;</w:t>
      </w:r>
      <w:r w:rsidR="00012665">
        <w:rPr>
          <w:bCs/>
          <w:lang w:eastAsia="en-US"/>
        </w:rPr>
        <w:t xml:space="preserve"> </w:t>
      </w:r>
      <w:r w:rsidR="00456D33">
        <w:rPr>
          <w:bCs/>
          <w:lang w:eastAsia="en-US"/>
        </w:rPr>
        <w:t>and</w:t>
      </w:r>
      <w:r w:rsidR="00012665">
        <w:rPr>
          <w:bCs/>
          <w:lang w:eastAsia="en-US"/>
        </w:rPr>
        <w:t xml:space="preserve"> strengthening the respiratory health of the Australian community.</w:t>
      </w:r>
    </w:p>
    <w:p w14:paraId="617399F9" w14:textId="149472AF" w:rsidR="007D4D11" w:rsidRPr="00C9624D" w:rsidRDefault="007D4D11" w:rsidP="007D4D11">
      <w:pPr>
        <w:pStyle w:val="4-SubsectionHeading"/>
      </w:pPr>
      <w:bookmarkStart w:id="20" w:name="_Toc114061397"/>
      <w:bookmarkEnd w:id="18"/>
      <w:bookmarkEnd w:id="19"/>
      <w:r w:rsidRPr="00C9624D">
        <w:t>Clinical trials</w:t>
      </w:r>
      <w:bookmarkEnd w:id="20"/>
    </w:p>
    <w:p w14:paraId="73419A91" w14:textId="77777777" w:rsidR="00C85DA0" w:rsidRDefault="00C85DA0" w:rsidP="00E97108">
      <w:pPr>
        <w:pStyle w:val="3-BodyText"/>
        <w:rPr>
          <w:rFonts w:ascii="Calibri" w:hAnsi="Calibri"/>
        </w:rPr>
      </w:pPr>
      <w:r>
        <w:t>The proposed clinical claim for 20vPCV was based on two sets of clinical evidence:</w:t>
      </w:r>
    </w:p>
    <w:p w14:paraId="36D3AF6D" w14:textId="6474C5CA" w:rsidR="00C85DA0" w:rsidRPr="004E375B" w:rsidRDefault="00C85DA0" w:rsidP="00227608">
      <w:pPr>
        <w:pStyle w:val="3-BodyText"/>
        <w:numPr>
          <w:ilvl w:val="0"/>
          <w:numId w:val="18"/>
        </w:numPr>
        <w:snapToGrid w:val="0"/>
        <w:rPr>
          <w:rFonts w:eastAsia="TimesNewRoman" w:cstheme="minorBidi"/>
          <w:color w:val="000000" w:themeColor="text1"/>
        </w:rPr>
      </w:pPr>
      <w:r>
        <w:t>20vPCV immunogenicity data to demonstrate the comparability of the immune response for the 13 serotypes shared between 20vPCV and 13vPCV and for the additional 7 serotypes shared between 20vPCV and 23vPPV</w:t>
      </w:r>
      <w:r w:rsidR="00FA0940">
        <w:t xml:space="preserve"> </w:t>
      </w:r>
      <w:r w:rsidR="00FA0940" w:rsidRPr="00683533">
        <w:rPr>
          <w:iCs/>
        </w:rPr>
        <w:t>(</w:t>
      </w:r>
      <w:r w:rsidR="00500800" w:rsidRPr="00683533">
        <w:rPr>
          <w:iCs/>
        </w:rPr>
        <w:t>‘</w:t>
      </w:r>
      <w:proofErr w:type="spellStart"/>
      <w:r w:rsidR="00FA0940" w:rsidRPr="00683533">
        <w:rPr>
          <w:iCs/>
        </w:rPr>
        <w:t>immunobridge</w:t>
      </w:r>
      <w:proofErr w:type="spellEnd"/>
      <w:r w:rsidR="00500800" w:rsidRPr="00683533">
        <w:rPr>
          <w:iCs/>
        </w:rPr>
        <w:t>’</w:t>
      </w:r>
      <w:r w:rsidR="00FA0940" w:rsidRPr="00683533">
        <w:rPr>
          <w:iCs/>
        </w:rPr>
        <w:t>)</w:t>
      </w:r>
      <w:r w:rsidRPr="00683533">
        <w:rPr>
          <w:iCs/>
        </w:rPr>
        <w:t xml:space="preserve">. </w:t>
      </w:r>
      <w:r w:rsidRPr="004E375B">
        <w:rPr>
          <w:iCs/>
        </w:rPr>
        <w:t xml:space="preserve">This evidence </w:t>
      </w:r>
      <w:r w:rsidR="00112B11">
        <w:rPr>
          <w:iCs/>
        </w:rPr>
        <w:t xml:space="preserve">was used to </w:t>
      </w:r>
      <w:r w:rsidRPr="004E375B">
        <w:rPr>
          <w:iCs/>
        </w:rPr>
        <w:t xml:space="preserve">directly support the </w:t>
      </w:r>
      <w:r w:rsidRPr="004E375B">
        <w:rPr>
          <w:rFonts w:eastAsia="TimesNewRoman" w:cstheme="minorBidi"/>
          <w:color w:val="000000" w:themeColor="text1"/>
        </w:rPr>
        <w:t>clinical and safety claims of 20vPCV made by the submission.</w:t>
      </w:r>
    </w:p>
    <w:p w14:paraId="4E004829" w14:textId="5CEDDA65" w:rsidR="00FB2722" w:rsidRPr="00FB2722" w:rsidRDefault="00C85DA0" w:rsidP="00227608">
      <w:pPr>
        <w:pStyle w:val="3-BodyText"/>
        <w:numPr>
          <w:ilvl w:val="0"/>
          <w:numId w:val="18"/>
        </w:numPr>
        <w:snapToGrid w:val="0"/>
        <w:rPr>
          <w:rFonts w:eastAsia="TimesNewRoman"/>
        </w:rPr>
      </w:pPr>
      <w:r>
        <w:t xml:space="preserve">13vPCV efficacy, effectiveness and immunogenicity data </w:t>
      </w:r>
      <w:r w:rsidR="00003C12">
        <w:t xml:space="preserve"> </w:t>
      </w:r>
      <w:r>
        <w:t xml:space="preserve">included as supportive evidence for </w:t>
      </w:r>
      <w:r w:rsidR="00935D41">
        <w:t xml:space="preserve">the efficacy of </w:t>
      </w:r>
      <w:r>
        <w:t xml:space="preserve">20vPCV </w:t>
      </w:r>
      <w:r w:rsidR="00102D92">
        <w:t>via</w:t>
      </w:r>
      <w:r w:rsidR="00FA0940">
        <w:t xml:space="preserve"> </w:t>
      </w:r>
      <w:r w:rsidR="00FA0940" w:rsidRPr="00683533">
        <w:rPr>
          <w:iCs/>
        </w:rPr>
        <w:t>the indirect extrapolation to</w:t>
      </w:r>
      <w:r>
        <w:t xml:space="preserve"> </w:t>
      </w:r>
      <w:r w:rsidR="00D54290">
        <w:t xml:space="preserve">13vPCV </w:t>
      </w:r>
      <w:r w:rsidR="00FA0940" w:rsidRPr="00683533">
        <w:rPr>
          <w:iCs/>
        </w:rPr>
        <w:lastRenderedPageBreak/>
        <w:t>effectiveness studies</w:t>
      </w:r>
      <w:r>
        <w:t xml:space="preserve">. The evidence included one randomised trial, </w:t>
      </w:r>
      <w:proofErr w:type="spellStart"/>
      <w:r>
        <w:t>CAPiTA</w:t>
      </w:r>
      <w:proofErr w:type="spellEnd"/>
      <w:r>
        <w:t xml:space="preserve"> (2015)</w:t>
      </w:r>
      <w:r w:rsidR="00003C12">
        <w:t>,</w:t>
      </w:r>
      <w:r>
        <w:t xml:space="preserve"> 7 observation studies, 16 immunogenicity studies in healthy adults</w:t>
      </w:r>
      <w:r w:rsidR="00E64234">
        <w:t>,</w:t>
      </w:r>
      <w:r>
        <w:t xml:space="preserve"> and 18 immunogenicity studies in individuals at increased risk of IPD. </w:t>
      </w:r>
      <w:r w:rsidR="00011CD3" w:rsidRPr="00FB2722">
        <w:t>In these studies, 13vPCV was compared to either placebo (or not vaccinated) or 23vPPV.</w:t>
      </w:r>
      <w:r w:rsidR="00011CD3" w:rsidRPr="004E375B">
        <w:rPr>
          <w:iCs/>
        </w:rPr>
        <w:t xml:space="preserve"> </w:t>
      </w:r>
      <w:r w:rsidRPr="004E375B">
        <w:rPr>
          <w:iCs/>
        </w:rPr>
        <w:t xml:space="preserve">The </w:t>
      </w:r>
      <w:proofErr w:type="spellStart"/>
      <w:r w:rsidRPr="004E375B">
        <w:rPr>
          <w:iCs/>
        </w:rPr>
        <w:t>CAPiTA</w:t>
      </w:r>
      <w:proofErr w:type="spellEnd"/>
      <w:r w:rsidRPr="004E375B">
        <w:rPr>
          <w:iCs/>
        </w:rPr>
        <w:t xml:space="preserve"> trial has previously been reviewed by the PBAC in the March 2015, July 2015, July 2016</w:t>
      </w:r>
      <w:r w:rsidR="008F613F" w:rsidRPr="004E375B">
        <w:rPr>
          <w:iCs/>
        </w:rPr>
        <w:t>,</w:t>
      </w:r>
      <w:r w:rsidRPr="004E375B">
        <w:rPr>
          <w:iCs/>
        </w:rPr>
        <w:t xml:space="preserve"> and November 2018 13vPCV submissions and all </w:t>
      </w:r>
      <w:r w:rsidRPr="004E375B">
        <w:rPr>
          <w:rFonts w:eastAsia="TimesNewRoman" w:cstheme="minorBidi"/>
          <w:iCs/>
          <w:color w:val="000000" w:themeColor="text1"/>
        </w:rPr>
        <w:t>13vPCV immunogenicity studies have been presented in past PBAC submissions for 13vPCV.</w:t>
      </w:r>
      <w:r w:rsidRPr="004E375B">
        <w:rPr>
          <w:iCs/>
        </w:rPr>
        <w:t xml:space="preserve"> </w:t>
      </w:r>
      <w:r w:rsidR="008501FB" w:rsidRPr="004E375B" w:rsidDel="008501FB">
        <w:rPr>
          <w:iCs/>
        </w:rPr>
        <w:t xml:space="preserve"> </w:t>
      </w:r>
    </w:p>
    <w:p w14:paraId="0C0BDCFF" w14:textId="5EF71D1D" w:rsidR="005479BA" w:rsidRPr="00BE32C4" w:rsidRDefault="00793F8B" w:rsidP="00BE32C4">
      <w:pPr>
        <w:pStyle w:val="3-BodyText"/>
      </w:pPr>
      <w:r w:rsidRPr="00E51196">
        <w:t xml:space="preserve">The submission stated that the proposed approach </w:t>
      </w:r>
      <w:r w:rsidR="00FB2722">
        <w:t>wa</w:t>
      </w:r>
      <w:r w:rsidRPr="00E51196">
        <w:t>s justified because 20vPCV is based on the same technology and platform as 13vPCV</w:t>
      </w:r>
      <w:bookmarkStart w:id="21" w:name="_Hlk119393079"/>
      <w:r w:rsidR="00B925C2">
        <w:t xml:space="preserve">. </w:t>
      </w:r>
      <w:r w:rsidR="005479BA" w:rsidRPr="005479BA">
        <w:t xml:space="preserve">It was agreed by the FDA and EMA that licensure for the proposed indication could be granted based on demonstration of an adequate safety profile of the vaccine, as well as by establishing an </w:t>
      </w:r>
      <w:r w:rsidR="00500800">
        <w:t>‘</w:t>
      </w:r>
      <w:proofErr w:type="spellStart"/>
      <w:r w:rsidR="005479BA" w:rsidRPr="005479BA">
        <w:t>immunobridge</w:t>
      </w:r>
      <w:proofErr w:type="spellEnd"/>
      <w:r w:rsidR="00500800">
        <w:t>’</w:t>
      </w:r>
      <w:r w:rsidR="005479BA" w:rsidRPr="005479BA">
        <w:t xml:space="preserve"> between 20vPCV and 13vPCV for the 13vPCV matched serotypes and between 20vPCV and 23vPPV for the 7 additional serotypes. </w:t>
      </w:r>
      <w:r w:rsidR="005479BA" w:rsidRPr="00BE32C4">
        <w:t xml:space="preserve">The ATAGI considered this reasonable, although noted there may be uncertainty as to whether the relationship to clinical outcomes will necessarily hold for the 7 unmatched serotypes (p30, </w:t>
      </w:r>
      <w:r w:rsidR="00906813" w:rsidRPr="00BE32C4">
        <w:t xml:space="preserve">Prevenar 20, </w:t>
      </w:r>
      <w:r w:rsidR="005479BA" w:rsidRPr="00BE32C4">
        <w:t>ATAGI pre-submission advice to PBAC, April 2022).</w:t>
      </w:r>
      <w:r w:rsidR="00993A7C">
        <w:t xml:space="preserve"> </w:t>
      </w:r>
      <w:bookmarkEnd w:id="21"/>
    </w:p>
    <w:p w14:paraId="15B4C334" w14:textId="671F0D7F" w:rsidR="00793F8B" w:rsidRPr="00156332" w:rsidRDefault="00793F8B" w:rsidP="00036C51">
      <w:pPr>
        <w:pStyle w:val="3-BodyText"/>
        <w:rPr>
          <w:color w:val="0066FF"/>
        </w:rPr>
      </w:pPr>
      <w:r>
        <w:rPr>
          <w:snapToGrid/>
          <w:lang w:val="en-US"/>
        </w:rPr>
        <w:t xml:space="preserve">The submission presented the following </w:t>
      </w:r>
      <w:r w:rsidRPr="00156332">
        <w:rPr>
          <w:snapToGrid/>
          <w:lang w:val="en-US"/>
        </w:rPr>
        <w:t>immunogenicity trials</w:t>
      </w:r>
      <w:r>
        <w:rPr>
          <w:snapToGrid/>
          <w:lang w:val="en-US"/>
        </w:rPr>
        <w:t xml:space="preserve"> to </w:t>
      </w:r>
      <w:r w:rsidR="0009210D" w:rsidRPr="1D151EA2">
        <w:rPr>
          <w:lang w:val="en-US"/>
        </w:rPr>
        <w:t xml:space="preserve">directly </w:t>
      </w:r>
      <w:r>
        <w:rPr>
          <w:snapToGrid/>
          <w:lang w:val="en-US"/>
        </w:rPr>
        <w:t>support the clinical and safety claims of 20vPCV</w:t>
      </w:r>
      <w:r w:rsidR="00FB2722">
        <w:t>:</w:t>
      </w:r>
    </w:p>
    <w:p w14:paraId="52B1524B" w14:textId="02915E1F" w:rsidR="00793F8B" w:rsidRPr="00C23984" w:rsidRDefault="00793F8B" w:rsidP="00227608">
      <w:pPr>
        <w:pStyle w:val="ListBulletlvl2"/>
        <w:numPr>
          <w:ilvl w:val="0"/>
          <w:numId w:val="19"/>
        </w:numPr>
        <w:spacing w:line="240" w:lineRule="auto"/>
        <w:jc w:val="both"/>
      </w:pPr>
      <w:r w:rsidRPr="00C23984">
        <w:t>One pivotal head-to-head, randomised, non-inferiority trial (B7471007) comparing 20vPCV to 13vPCV</w:t>
      </w:r>
      <w:r w:rsidR="009A5247" w:rsidRPr="00683533">
        <w:rPr>
          <w:iCs/>
        </w:rPr>
        <w:t xml:space="preserve"> for the </w:t>
      </w:r>
      <w:r w:rsidR="000B1E69">
        <w:rPr>
          <w:iCs/>
        </w:rPr>
        <w:t>‘</w:t>
      </w:r>
      <w:r w:rsidR="009A5247" w:rsidRPr="00683533">
        <w:rPr>
          <w:iCs/>
        </w:rPr>
        <w:t>13 matched’ serotypes and 23vPPV for the 7 additional serotypes</w:t>
      </w:r>
      <w:r w:rsidRPr="00C23984">
        <w:t xml:space="preserve"> (N=3,889)</w:t>
      </w:r>
      <w:r w:rsidR="00C851AD">
        <w:t>.</w:t>
      </w:r>
    </w:p>
    <w:p w14:paraId="77AEEE1F" w14:textId="4EFC91AD" w:rsidR="00793F8B" w:rsidRPr="00C23984" w:rsidRDefault="00793F8B" w:rsidP="00227608">
      <w:pPr>
        <w:pStyle w:val="ListBulletlvl2"/>
        <w:numPr>
          <w:ilvl w:val="0"/>
          <w:numId w:val="19"/>
        </w:numPr>
        <w:spacing w:line="240" w:lineRule="auto"/>
        <w:jc w:val="both"/>
      </w:pPr>
      <w:r w:rsidRPr="00C23984">
        <w:t xml:space="preserve">Four randomised trials designed to demonstrate: </w:t>
      </w:r>
      <w:r w:rsidR="0009210D">
        <w:t>Batch</w:t>
      </w:r>
      <w:r w:rsidR="0049694E">
        <w:t xml:space="preserve"> </w:t>
      </w:r>
      <w:r w:rsidRPr="00C23984">
        <w:t>consistency (B7471008) evaluating 20vPCV immune response across three different lots (N=1,708), 20vPCV immune response in those previously vaccinated (B7471006) (N=873), impact of concurrent seasonal flu vaccination (B7471004) (N</w:t>
      </w:r>
      <w:r w:rsidRPr="00C23984">
        <w:rPr>
          <w:rFonts w:eastAsia="TimesNewRoman"/>
        </w:rPr>
        <w:t>=1791</w:t>
      </w:r>
      <w:r w:rsidRPr="00C23984">
        <w:t xml:space="preserve">) and COVID-19 booster dose (B7471026) (N=559). </w:t>
      </w:r>
      <w:r w:rsidR="005B5484" w:rsidRPr="004E375B">
        <w:rPr>
          <w:iCs/>
        </w:rPr>
        <w:t xml:space="preserve">These studies </w:t>
      </w:r>
      <w:r w:rsidR="005B5484" w:rsidRPr="004E375B">
        <w:t>were descriptive in nature and were not designed or powered to assess comparative efficacy</w:t>
      </w:r>
      <w:r w:rsidR="00FB2722" w:rsidRPr="004E375B">
        <w:t xml:space="preserve"> and were </w:t>
      </w:r>
      <w:r w:rsidR="00AA5F7D" w:rsidRPr="004E375B">
        <w:t xml:space="preserve">therefore considered supplementary in the evaluation. </w:t>
      </w:r>
      <w:r w:rsidR="00826CFA" w:rsidRPr="004E375B">
        <w:t>However, results</w:t>
      </w:r>
      <w:r w:rsidR="00AA5F7D" w:rsidRPr="004E375B">
        <w:t xml:space="preserve"> from B7471008 were included in the indirect comparison</w:t>
      </w:r>
      <w:r w:rsidR="00865942">
        <w:t xml:space="preserve"> versus 15vPCV</w:t>
      </w:r>
      <w:r w:rsidR="00AA5F7D" w:rsidRPr="004E375B">
        <w:t xml:space="preserve">. </w:t>
      </w:r>
    </w:p>
    <w:p w14:paraId="0CF2042A" w14:textId="6DBBDB24" w:rsidR="00793F8B" w:rsidRPr="004F38CB" w:rsidRDefault="00793F8B" w:rsidP="00227608">
      <w:pPr>
        <w:pStyle w:val="ListBulletlvl2"/>
        <w:numPr>
          <w:ilvl w:val="0"/>
          <w:numId w:val="19"/>
        </w:numPr>
        <w:spacing w:line="240" w:lineRule="auto"/>
        <w:jc w:val="both"/>
      </w:pPr>
      <w:r w:rsidRPr="00C23984">
        <w:t xml:space="preserve">An indirect treatment comparison (ITC) comparing 20vPCV with 15vPCV using 13vPCV as the common comparator. The evidence </w:t>
      </w:r>
      <w:proofErr w:type="gramStart"/>
      <w:r w:rsidRPr="00C23984">
        <w:t>base</w:t>
      </w:r>
      <w:proofErr w:type="gramEnd"/>
      <w:r w:rsidRPr="00C23984">
        <w:t xml:space="preserve"> for 15vPCV included one pivotal head-to-head, randomised, non-inferiority trial (PNEU-AGE) comparing 15vPCV to 13vPCV (N=1,202) and supplementary trials (PNEU-DAY (N=1,515), PNEU-PATH (N=652), PNEU-TRUE (N=2,221)</w:t>
      </w:r>
      <w:r w:rsidR="004E5403">
        <w:t>)</w:t>
      </w:r>
      <w:r w:rsidRPr="00C23984">
        <w:t>.</w:t>
      </w:r>
    </w:p>
    <w:p w14:paraId="7431526A" w14:textId="4924C663" w:rsidR="00C85DA0" w:rsidRPr="004E375B" w:rsidRDefault="009467F2" w:rsidP="00C85DA0">
      <w:pPr>
        <w:pStyle w:val="3-BodyText"/>
      </w:pPr>
      <w:r w:rsidRPr="004E375B">
        <w:t xml:space="preserve">The </w:t>
      </w:r>
      <w:r w:rsidR="00C85DA0" w:rsidRPr="004E375B">
        <w:t xml:space="preserve">ATAGI noted that while correlation of immunogenicity with clinical protection has not been documented for adults, this approach has been used previously for 13vPCV in Australia and is accepted by the FDA and EMA. However, the WHO cautioned that </w:t>
      </w:r>
      <w:r w:rsidR="0009210D" w:rsidRPr="004E375B">
        <w:t xml:space="preserve">in comparison of vaccines in general, </w:t>
      </w:r>
      <w:r w:rsidR="00C85DA0" w:rsidRPr="004E375B">
        <w:t xml:space="preserve">serotype specific correlates of protection may vary and the limitations of these comparisons in predicting efficacy should be </w:t>
      </w:r>
      <w:r w:rsidRPr="004E375B">
        <w:lastRenderedPageBreak/>
        <w:t>considered</w:t>
      </w:r>
      <w:r w:rsidR="00C85DA0" w:rsidRPr="004E375B">
        <w:t xml:space="preserve"> when </w:t>
      </w:r>
      <w:r w:rsidR="004E5403" w:rsidRPr="004E375B">
        <w:t xml:space="preserve">assessing </w:t>
      </w:r>
      <w:r w:rsidR="00C85DA0" w:rsidRPr="004E375B">
        <w:t xml:space="preserve">the overall benefit/risk relationship for the new vaccine (p30, </w:t>
      </w:r>
      <w:r w:rsidR="00906813" w:rsidRPr="004E375B">
        <w:t xml:space="preserve">Prevenar 20, </w:t>
      </w:r>
      <w:r w:rsidR="00C85DA0" w:rsidRPr="004E375B">
        <w:t>ATAGI pre-submission advice to PBAC, April 2022).</w:t>
      </w:r>
    </w:p>
    <w:p w14:paraId="7874AE2E" w14:textId="34F4B047" w:rsidR="0009210D" w:rsidRPr="00793F8B" w:rsidRDefault="00793F8B" w:rsidP="00036C51">
      <w:pPr>
        <w:pStyle w:val="3-BodyText"/>
      </w:pPr>
      <w:r w:rsidRPr="00793F8B">
        <w:t xml:space="preserve">Details of the trials presented in the submission are </w:t>
      </w:r>
      <w:r w:rsidRPr="0076267C">
        <w:t xml:space="preserve">provided </w:t>
      </w:r>
      <w:r w:rsidRPr="009467F2">
        <w:t xml:space="preserve">in </w:t>
      </w:r>
      <w:r w:rsidR="009467F2" w:rsidRPr="009467F2">
        <w:fldChar w:fldCharType="begin"/>
      </w:r>
      <w:r w:rsidR="009467F2" w:rsidRPr="009467F2">
        <w:instrText xml:space="preserve"> REF _Ref113878276 \h  \* MERGEFORMAT </w:instrText>
      </w:r>
      <w:r w:rsidR="009467F2" w:rsidRPr="009467F2">
        <w:fldChar w:fldCharType="separate"/>
      </w:r>
      <w:r w:rsidR="00137984" w:rsidRPr="00137984">
        <w:t>Table 4</w:t>
      </w:r>
      <w:r w:rsidR="009467F2" w:rsidRPr="009467F2">
        <w:fldChar w:fldCharType="end"/>
      </w:r>
      <w:r w:rsidR="009467F2" w:rsidRPr="009467F2">
        <w:t>.</w:t>
      </w:r>
    </w:p>
    <w:p w14:paraId="27B93BC9" w14:textId="58CBD681" w:rsidR="007D4D11" w:rsidRPr="0009210D" w:rsidRDefault="007D4D11" w:rsidP="005A3D21">
      <w:pPr>
        <w:pStyle w:val="Caption"/>
        <w:rPr>
          <w:rStyle w:val="CommentReference"/>
        </w:rPr>
      </w:pPr>
      <w:bookmarkStart w:id="22" w:name="_Ref113878276"/>
      <w:r w:rsidRPr="00A83245">
        <w:rPr>
          <w:rStyle w:val="CommentReference"/>
          <w:b/>
        </w:rPr>
        <w:t xml:space="preserve">Table </w:t>
      </w:r>
      <w:r w:rsidRPr="00A83245">
        <w:rPr>
          <w:rStyle w:val="CommentReference"/>
          <w:b/>
        </w:rPr>
        <w:fldChar w:fldCharType="begin"/>
      </w:r>
      <w:r w:rsidRPr="009467F2">
        <w:rPr>
          <w:rStyle w:val="CommentReference"/>
          <w:b/>
        </w:rPr>
        <w:instrText xml:space="preserve"> SEQ Table \* ARABIC </w:instrText>
      </w:r>
      <w:r w:rsidRPr="00A83245">
        <w:rPr>
          <w:rStyle w:val="CommentReference"/>
          <w:b/>
        </w:rPr>
        <w:fldChar w:fldCharType="separate"/>
      </w:r>
      <w:r w:rsidR="00137984">
        <w:rPr>
          <w:rStyle w:val="CommentReference"/>
          <w:b/>
          <w:noProof/>
        </w:rPr>
        <w:t>4</w:t>
      </w:r>
      <w:r w:rsidRPr="00A83245">
        <w:rPr>
          <w:rStyle w:val="CommentReference"/>
          <w:b/>
        </w:rPr>
        <w:fldChar w:fldCharType="end"/>
      </w:r>
      <w:bookmarkEnd w:id="22"/>
      <w:r w:rsidRPr="00A83245">
        <w:rPr>
          <w:rStyle w:val="CommentReference"/>
          <w:b/>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7D4D11" w:rsidRPr="00B41614" w14:paraId="24E8AA2E" w14:textId="77777777" w:rsidTr="009A477A">
        <w:trPr>
          <w:cantSplit/>
          <w:tblHeader/>
        </w:trPr>
        <w:tc>
          <w:tcPr>
            <w:tcW w:w="796" w:type="pct"/>
          </w:tcPr>
          <w:p w14:paraId="083764A4" w14:textId="77777777" w:rsidR="007D4D11" w:rsidRPr="00B41614" w:rsidRDefault="007D4D11" w:rsidP="009A477A">
            <w:pPr>
              <w:pStyle w:val="In-tableHeading"/>
              <w:keepNext w:val="0"/>
              <w:widowControl w:val="0"/>
            </w:pPr>
            <w:r w:rsidRPr="00B41614">
              <w:t>Trial ID</w:t>
            </w:r>
          </w:p>
        </w:tc>
        <w:tc>
          <w:tcPr>
            <w:tcW w:w="3027" w:type="pct"/>
          </w:tcPr>
          <w:p w14:paraId="501C9A27" w14:textId="77777777" w:rsidR="007D4D11" w:rsidRPr="00B41614" w:rsidRDefault="007D4D11" w:rsidP="009A477A">
            <w:pPr>
              <w:pStyle w:val="In-tableHeading"/>
              <w:keepNext w:val="0"/>
              <w:widowControl w:val="0"/>
            </w:pPr>
            <w:r w:rsidRPr="00B41614">
              <w:t>Protocol title/ Publication title</w:t>
            </w:r>
          </w:p>
        </w:tc>
        <w:tc>
          <w:tcPr>
            <w:tcW w:w="1177" w:type="pct"/>
          </w:tcPr>
          <w:p w14:paraId="7452BB4F" w14:textId="77777777" w:rsidR="007D4D11" w:rsidRPr="00B41614" w:rsidRDefault="007D4D11" w:rsidP="009A477A">
            <w:pPr>
              <w:pStyle w:val="In-tableHeading"/>
              <w:keepNext w:val="0"/>
              <w:widowControl w:val="0"/>
            </w:pPr>
            <w:r w:rsidRPr="00B41614">
              <w:t>Publication citation</w:t>
            </w:r>
          </w:p>
        </w:tc>
      </w:tr>
      <w:tr w:rsidR="007D4D11" w:rsidRPr="00DB03CA" w14:paraId="734A4E91" w14:textId="77777777" w:rsidTr="009A477A">
        <w:trPr>
          <w:cantSplit/>
        </w:trPr>
        <w:tc>
          <w:tcPr>
            <w:tcW w:w="5000" w:type="pct"/>
            <w:gridSpan w:val="3"/>
          </w:tcPr>
          <w:p w14:paraId="0CD57085" w14:textId="685A68EA" w:rsidR="007D4D11" w:rsidRPr="00DB03CA" w:rsidRDefault="007D4D11" w:rsidP="009A477A">
            <w:pPr>
              <w:pStyle w:val="TableText0"/>
              <w:keepNext w:val="0"/>
              <w:widowControl w:val="0"/>
              <w:rPr>
                <w:b/>
                <w:bCs w:val="0"/>
                <w:szCs w:val="20"/>
              </w:rPr>
            </w:pPr>
            <w:r w:rsidRPr="00DB03CA">
              <w:rPr>
                <w:b/>
                <w:bCs w:val="0"/>
                <w:szCs w:val="20"/>
              </w:rPr>
              <w:t>20vPCV</w:t>
            </w:r>
            <w:r w:rsidR="00003C12">
              <w:rPr>
                <w:b/>
                <w:bCs w:val="0"/>
                <w:szCs w:val="20"/>
              </w:rPr>
              <w:t xml:space="preserve"> immunogenicity trials</w:t>
            </w:r>
          </w:p>
        </w:tc>
      </w:tr>
      <w:tr w:rsidR="007D4D11" w:rsidRPr="00CB38A8" w14:paraId="2A53D52A" w14:textId="77777777" w:rsidTr="009A477A">
        <w:trPr>
          <w:cantSplit/>
        </w:trPr>
        <w:tc>
          <w:tcPr>
            <w:tcW w:w="796" w:type="pct"/>
            <w:tcBorders>
              <w:bottom w:val="single" w:sz="4" w:space="0" w:color="auto"/>
            </w:tcBorders>
          </w:tcPr>
          <w:p w14:paraId="04B50FFC" w14:textId="77777777" w:rsidR="007D4D11" w:rsidRPr="00CB38A8" w:rsidRDefault="007D4D11" w:rsidP="009A477A">
            <w:pPr>
              <w:pStyle w:val="TableText0"/>
              <w:keepNext w:val="0"/>
              <w:widowControl w:val="0"/>
            </w:pPr>
            <w:r w:rsidRPr="00DB03CA">
              <w:rPr>
                <w:szCs w:val="20"/>
              </w:rPr>
              <w:t>B7471004</w:t>
            </w:r>
          </w:p>
        </w:tc>
        <w:tc>
          <w:tcPr>
            <w:tcW w:w="3027" w:type="pct"/>
            <w:tcBorders>
              <w:bottom w:val="single" w:sz="4" w:space="0" w:color="auto"/>
            </w:tcBorders>
          </w:tcPr>
          <w:p w14:paraId="3132DB0A" w14:textId="77777777" w:rsidR="007D4D11" w:rsidRPr="00DB03CA" w:rsidRDefault="007D4D11" w:rsidP="009A477A">
            <w:pPr>
              <w:pStyle w:val="TableText0"/>
              <w:keepNext w:val="0"/>
              <w:widowControl w:val="0"/>
              <w:rPr>
                <w:szCs w:val="20"/>
              </w:rPr>
            </w:pPr>
            <w:r w:rsidRPr="00DB03CA">
              <w:rPr>
                <w:szCs w:val="20"/>
              </w:rPr>
              <w:t xml:space="preserve">Protocol B7471004. </w:t>
            </w:r>
          </w:p>
          <w:p w14:paraId="0709D3B8" w14:textId="77777777" w:rsidR="007D4D11" w:rsidRPr="00CB38A8" w:rsidRDefault="007D4D11" w:rsidP="009A477A">
            <w:pPr>
              <w:pStyle w:val="TableText0"/>
              <w:keepNext w:val="0"/>
              <w:widowControl w:val="0"/>
            </w:pPr>
            <w:r w:rsidRPr="00DB03CA">
              <w:rPr>
                <w:szCs w:val="20"/>
              </w:rPr>
              <w:t xml:space="preserve">A phase 3, randomized, double-blind trial to evaluate the safety and immunogenicity of a 20-valent pneumococcal conjugate vaccine (20vPCV) when </w:t>
            </w:r>
            <w:proofErr w:type="spellStart"/>
            <w:r w:rsidRPr="00DB03CA">
              <w:rPr>
                <w:szCs w:val="20"/>
              </w:rPr>
              <w:t>coadministered</w:t>
            </w:r>
            <w:proofErr w:type="spellEnd"/>
            <w:r w:rsidRPr="00DB03CA">
              <w:rPr>
                <w:szCs w:val="20"/>
              </w:rPr>
              <w:t xml:space="preserve"> with seasonal inactivated influenza vaccine (SIIV) in adults ≥65 years of age.</w:t>
            </w:r>
          </w:p>
        </w:tc>
        <w:tc>
          <w:tcPr>
            <w:tcW w:w="1177" w:type="pct"/>
            <w:tcBorders>
              <w:bottom w:val="single" w:sz="4" w:space="0" w:color="auto"/>
            </w:tcBorders>
          </w:tcPr>
          <w:p w14:paraId="1F0BFF74" w14:textId="77777777" w:rsidR="007D4D11" w:rsidRPr="00CB38A8" w:rsidRDefault="007D4D11" w:rsidP="009A477A">
            <w:pPr>
              <w:pStyle w:val="TableText0"/>
              <w:keepNext w:val="0"/>
              <w:widowControl w:val="0"/>
            </w:pPr>
            <w:r w:rsidRPr="00DB03CA">
              <w:rPr>
                <w:szCs w:val="20"/>
              </w:rPr>
              <w:t>2 November 2021.</w:t>
            </w:r>
          </w:p>
        </w:tc>
      </w:tr>
      <w:tr w:rsidR="007D4D11" w:rsidRPr="00CB38A8" w14:paraId="6E1BE104" w14:textId="77777777" w:rsidTr="009A477A">
        <w:trPr>
          <w:cantSplit/>
        </w:trPr>
        <w:tc>
          <w:tcPr>
            <w:tcW w:w="796" w:type="pct"/>
            <w:vMerge w:val="restart"/>
            <w:tcBorders>
              <w:top w:val="single" w:sz="4" w:space="0" w:color="auto"/>
            </w:tcBorders>
          </w:tcPr>
          <w:p w14:paraId="6D2585CB" w14:textId="77777777" w:rsidR="007D4D11" w:rsidRPr="000325A7" w:rsidRDefault="007D4D11" w:rsidP="009A477A">
            <w:pPr>
              <w:pStyle w:val="TableText0"/>
              <w:keepNext w:val="0"/>
              <w:widowControl w:val="0"/>
            </w:pPr>
            <w:r w:rsidRPr="000325A7">
              <w:rPr>
                <w:szCs w:val="20"/>
              </w:rPr>
              <w:t>B7471006</w:t>
            </w:r>
          </w:p>
        </w:tc>
        <w:tc>
          <w:tcPr>
            <w:tcW w:w="3027" w:type="pct"/>
            <w:tcBorders>
              <w:top w:val="single" w:sz="4" w:space="0" w:color="auto"/>
              <w:bottom w:val="nil"/>
            </w:tcBorders>
          </w:tcPr>
          <w:p w14:paraId="538ABF45" w14:textId="77777777" w:rsidR="007D4D11" w:rsidRPr="00DB03CA" w:rsidRDefault="007D4D11" w:rsidP="009A477A">
            <w:pPr>
              <w:widowControl w:val="0"/>
              <w:autoSpaceDE w:val="0"/>
              <w:autoSpaceDN w:val="0"/>
              <w:adjustRightInd w:val="0"/>
              <w:spacing w:after="60"/>
              <w:jc w:val="left"/>
              <w:rPr>
                <w:rFonts w:ascii="Arial Narrow" w:eastAsia="TimesNewRoman" w:hAnsi="Arial Narrow" w:cstheme="minorHAnsi"/>
                <w:sz w:val="20"/>
                <w:szCs w:val="20"/>
              </w:rPr>
            </w:pPr>
            <w:r w:rsidRPr="00DB03CA">
              <w:rPr>
                <w:rFonts w:ascii="Arial Narrow" w:eastAsia="TimesNewRoman" w:hAnsi="Arial Narrow" w:cstheme="minorHAnsi"/>
                <w:sz w:val="20"/>
                <w:szCs w:val="20"/>
              </w:rPr>
              <w:t xml:space="preserve">Protocol B7471006. </w:t>
            </w:r>
            <w:r w:rsidRPr="00DB03CA">
              <w:rPr>
                <w:rFonts w:ascii="Arial Narrow" w:eastAsia="TimesNewRoman" w:hAnsi="Arial Narrow" w:cstheme="minorHAnsi"/>
                <w:sz w:val="20"/>
                <w:szCs w:val="20"/>
              </w:rPr>
              <w:br/>
              <w:t xml:space="preserve">Final report: a phase 3, randomized, open-label trial to evaluate the safety and immunogenicity of a 20-valent pneumococcal conjugate vaccine in adults ≥65 years of age with prior pneumococcal vaccination. </w:t>
            </w:r>
          </w:p>
        </w:tc>
        <w:tc>
          <w:tcPr>
            <w:tcW w:w="1177" w:type="pct"/>
            <w:tcBorders>
              <w:top w:val="single" w:sz="4" w:space="0" w:color="auto"/>
              <w:bottom w:val="nil"/>
            </w:tcBorders>
          </w:tcPr>
          <w:p w14:paraId="0CD8A418" w14:textId="77777777" w:rsidR="007D4D11" w:rsidRPr="00F74CD9" w:rsidRDefault="007D4D11" w:rsidP="009A477A">
            <w:pPr>
              <w:pStyle w:val="TableText0"/>
              <w:keepNext w:val="0"/>
              <w:widowControl w:val="0"/>
              <w:rPr>
                <w:i/>
                <w:szCs w:val="18"/>
              </w:rPr>
            </w:pPr>
            <w:r w:rsidRPr="00DB03CA">
              <w:rPr>
                <w:rFonts w:eastAsia="TimesNewRoman" w:cstheme="minorHAnsi"/>
                <w:szCs w:val="20"/>
              </w:rPr>
              <w:t>25 July 2020.</w:t>
            </w:r>
          </w:p>
        </w:tc>
      </w:tr>
      <w:tr w:rsidR="007D4D11" w:rsidRPr="00DB03CA" w14:paraId="42BA2078" w14:textId="77777777" w:rsidTr="009A477A">
        <w:trPr>
          <w:cantSplit/>
        </w:trPr>
        <w:tc>
          <w:tcPr>
            <w:tcW w:w="796" w:type="pct"/>
            <w:vMerge/>
            <w:tcBorders>
              <w:bottom w:val="single" w:sz="4" w:space="0" w:color="auto"/>
            </w:tcBorders>
          </w:tcPr>
          <w:p w14:paraId="3E944E6A" w14:textId="77777777" w:rsidR="007D4D11" w:rsidRPr="00DB03CA" w:rsidRDefault="007D4D11" w:rsidP="009A477A">
            <w:pPr>
              <w:pStyle w:val="TableText0"/>
              <w:keepNext w:val="0"/>
              <w:widowControl w:val="0"/>
              <w:rPr>
                <w:b/>
                <w:bCs w:val="0"/>
                <w:szCs w:val="20"/>
              </w:rPr>
            </w:pPr>
          </w:p>
        </w:tc>
        <w:tc>
          <w:tcPr>
            <w:tcW w:w="3027" w:type="pct"/>
            <w:tcBorders>
              <w:top w:val="nil"/>
              <w:bottom w:val="single" w:sz="4" w:space="0" w:color="auto"/>
            </w:tcBorders>
          </w:tcPr>
          <w:p w14:paraId="5A910B01" w14:textId="77777777" w:rsidR="007D4D11" w:rsidRPr="00DB03CA" w:rsidRDefault="007D4D11" w:rsidP="009A477A">
            <w:pPr>
              <w:pStyle w:val="TableText0"/>
              <w:keepNext w:val="0"/>
              <w:widowControl w:val="0"/>
              <w:rPr>
                <w:szCs w:val="20"/>
              </w:rPr>
            </w:pPr>
            <w:r w:rsidRPr="00DB03CA">
              <w:rPr>
                <w:rFonts w:eastAsia="TimesNewRoman" w:cstheme="minorHAnsi"/>
                <w:szCs w:val="20"/>
              </w:rPr>
              <w:t xml:space="preserve">Cannon K, Elder C, Young M et al. A trial to evaluate the safety and immunogenicity of a 20-valent pneumococcal conjugate vaccine in populations of adults ≥65 years of age with different prior pneumococcal vaccination. </w:t>
            </w:r>
          </w:p>
        </w:tc>
        <w:tc>
          <w:tcPr>
            <w:tcW w:w="1177" w:type="pct"/>
            <w:tcBorders>
              <w:top w:val="nil"/>
              <w:bottom w:val="single" w:sz="4" w:space="0" w:color="auto"/>
            </w:tcBorders>
          </w:tcPr>
          <w:p w14:paraId="095FFEAE" w14:textId="77777777" w:rsidR="007D4D11" w:rsidRPr="00DB03CA" w:rsidRDefault="007D4D11" w:rsidP="009A477A">
            <w:pPr>
              <w:pStyle w:val="TableText0"/>
              <w:keepNext w:val="0"/>
              <w:widowControl w:val="0"/>
              <w:rPr>
                <w:i/>
                <w:szCs w:val="20"/>
              </w:rPr>
            </w:pPr>
            <w:r w:rsidRPr="00DB03CA">
              <w:rPr>
                <w:i/>
                <w:szCs w:val="20"/>
              </w:rPr>
              <w:t xml:space="preserve">Vaccine </w:t>
            </w:r>
            <w:r w:rsidRPr="00DB03CA">
              <w:rPr>
                <w:iCs/>
                <w:szCs w:val="20"/>
              </w:rPr>
              <w:t>2021; 39(51): 7494–7502.</w:t>
            </w:r>
          </w:p>
        </w:tc>
      </w:tr>
      <w:tr w:rsidR="007D4D11" w:rsidRPr="00DB03CA" w14:paraId="2C465D22" w14:textId="77777777" w:rsidTr="009A477A">
        <w:trPr>
          <w:cantSplit/>
        </w:trPr>
        <w:tc>
          <w:tcPr>
            <w:tcW w:w="796" w:type="pct"/>
            <w:vMerge w:val="restart"/>
            <w:tcBorders>
              <w:top w:val="single" w:sz="4" w:space="0" w:color="auto"/>
            </w:tcBorders>
          </w:tcPr>
          <w:p w14:paraId="797C6B77" w14:textId="77777777" w:rsidR="007D4D11" w:rsidRPr="00DB03CA" w:rsidRDefault="007D4D11" w:rsidP="009A477A">
            <w:pPr>
              <w:pStyle w:val="TableText0"/>
              <w:keepNext w:val="0"/>
              <w:widowControl w:val="0"/>
              <w:rPr>
                <w:b/>
                <w:bCs w:val="0"/>
                <w:szCs w:val="20"/>
              </w:rPr>
            </w:pPr>
            <w:r w:rsidRPr="00DB03CA">
              <w:rPr>
                <w:szCs w:val="20"/>
              </w:rPr>
              <w:t>B7471007</w:t>
            </w:r>
          </w:p>
        </w:tc>
        <w:tc>
          <w:tcPr>
            <w:tcW w:w="3027" w:type="pct"/>
            <w:tcBorders>
              <w:top w:val="single" w:sz="4" w:space="0" w:color="auto"/>
              <w:bottom w:val="nil"/>
            </w:tcBorders>
          </w:tcPr>
          <w:p w14:paraId="3533A633" w14:textId="77777777" w:rsidR="007D4D11" w:rsidRPr="00DB03CA" w:rsidRDefault="007D4D11" w:rsidP="009A477A">
            <w:pPr>
              <w:pStyle w:val="TableText0"/>
              <w:keepNext w:val="0"/>
              <w:widowControl w:val="0"/>
              <w:rPr>
                <w:szCs w:val="20"/>
              </w:rPr>
            </w:pPr>
            <w:r w:rsidRPr="00DB03CA">
              <w:rPr>
                <w:szCs w:val="20"/>
              </w:rPr>
              <w:t xml:space="preserve">Protocol B7471007. </w:t>
            </w:r>
          </w:p>
          <w:p w14:paraId="197BB0A5" w14:textId="77777777" w:rsidR="007D4D11" w:rsidRPr="00DB03CA" w:rsidRDefault="007D4D11" w:rsidP="009A477A">
            <w:pPr>
              <w:pStyle w:val="TableText0"/>
              <w:keepNext w:val="0"/>
              <w:widowControl w:val="0"/>
              <w:rPr>
                <w:szCs w:val="20"/>
              </w:rPr>
            </w:pPr>
            <w:r w:rsidRPr="00DB03CA">
              <w:rPr>
                <w:szCs w:val="20"/>
              </w:rPr>
              <w:t xml:space="preserve">Final report: a phase 3, randomized, double-blind trial to evaluate the safety and immunogenicity of a 20-valent pneumococcal conjugate vaccine in pneumococcal vaccine–naïve adults 18 years of age and older. </w:t>
            </w:r>
          </w:p>
        </w:tc>
        <w:tc>
          <w:tcPr>
            <w:tcW w:w="1177" w:type="pct"/>
            <w:tcBorders>
              <w:top w:val="single" w:sz="4" w:space="0" w:color="auto"/>
              <w:bottom w:val="nil"/>
            </w:tcBorders>
          </w:tcPr>
          <w:p w14:paraId="393473AC" w14:textId="77777777" w:rsidR="007D4D11" w:rsidRPr="00DB03CA" w:rsidRDefault="007D4D11" w:rsidP="009A477A">
            <w:pPr>
              <w:pStyle w:val="TableText0"/>
              <w:keepNext w:val="0"/>
              <w:widowControl w:val="0"/>
              <w:rPr>
                <w:i/>
                <w:szCs w:val="20"/>
              </w:rPr>
            </w:pPr>
            <w:r w:rsidRPr="00DB03CA">
              <w:rPr>
                <w:szCs w:val="20"/>
              </w:rPr>
              <w:t>11 June 2020.</w:t>
            </w:r>
          </w:p>
        </w:tc>
      </w:tr>
      <w:tr w:rsidR="007D4D11" w:rsidRPr="00DB03CA" w14:paraId="6FCEA446" w14:textId="77777777" w:rsidTr="009A477A">
        <w:trPr>
          <w:cantSplit/>
        </w:trPr>
        <w:tc>
          <w:tcPr>
            <w:tcW w:w="796" w:type="pct"/>
            <w:vMerge/>
            <w:tcBorders>
              <w:bottom w:val="single" w:sz="4" w:space="0" w:color="auto"/>
            </w:tcBorders>
          </w:tcPr>
          <w:p w14:paraId="226FBE6A" w14:textId="77777777" w:rsidR="007D4D11" w:rsidRPr="00DB03CA" w:rsidRDefault="007D4D11" w:rsidP="009A477A">
            <w:pPr>
              <w:pStyle w:val="TableText0"/>
              <w:keepNext w:val="0"/>
              <w:widowControl w:val="0"/>
              <w:rPr>
                <w:b/>
                <w:bCs w:val="0"/>
                <w:szCs w:val="20"/>
              </w:rPr>
            </w:pPr>
          </w:p>
        </w:tc>
        <w:tc>
          <w:tcPr>
            <w:tcW w:w="3027" w:type="pct"/>
            <w:tcBorders>
              <w:top w:val="nil"/>
              <w:bottom w:val="single" w:sz="4" w:space="0" w:color="auto"/>
            </w:tcBorders>
          </w:tcPr>
          <w:p w14:paraId="33E8B2EA" w14:textId="77777777" w:rsidR="007D4D11" w:rsidRPr="00DB03CA" w:rsidRDefault="007D4D11" w:rsidP="009A477A">
            <w:pPr>
              <w:pStyle w:val="TableText0"/>
              <w:keepNext w:val="0"/>
              <w:widowControl w:val="0"/>
              <w:rPr>
                <w:szCs w:val="20"/>
              </w:rPr>
            </w:pPr>
            <w:proofErr w:type="spellStart"/>
            <w:r w:rsidRPr="00DB03CA">
              <w:rPr>
                <w:szCs w:val="20"/>
              </w:rPr>
              <w:t>Essink</w:t>
            </w:r>
            <w:proofErr w:type="spellEnd"/>
            <w:r w:rsidRPr="00DB03CA">
              <w:rPr>
                <w:szCs w:val="20"/>
              </w:rPr>
              <w:t xml:space="preserve"> B. Sabharwal C, Cannon K et al. Pivotal phase 3 randomized clinical trial of the safety, tolerability, and immunogenicity of 20-valent pneumococcal conjugate vaccine in adults 18 years and older. </w:t>
            </w:r>
          </w:p>
        </w:tc>
        <w:tc>
          <w:tcPr>
            <w:tcW w:w="1177" w:type="pct"/>
            <w:tcBorders>
              <w:top w:val="nil"/>
              <w:bottom w:val="single" w:sz="4" w:space="0" w:color="auto"/>
            </w:tcBorders>
          </w:tcPr>
          <w:p w14:paraId="01247CA6" w14:textId="77777777" w:rsidR="007D4D11" w:rsidRPr="00DB03CA" w:rsidRDefault="007D4D11" w:rsidP="009A477A">
            <w:pPr>
              <w:pStyle w:val="TableText0"/>
              <w:keepNext w:val="0"/>
              <w:widowControl w:val="0"/>
              <w:rPr>
                <w:iCs/>
                <w:szCs w:val="20"/>
              </w:rPr>
            </w:pPr>
            <w:r w:rsidRPr="00DB03CA">
              <w:rPr>
                <w:i/>
                <w:szCs w:val="20"/>
              </w:rPr>
              <w:t xml:space="preserve">Clinical Infectious Disease </w:t>
            </w:r>
            <w:r w:rsidRPr="00DB03CA">
              <w:rPr>
                <w:iCs/>
                <w:szCs w:val="20"/>
              </w:rPr>
              <w:t xml:space="preserve">2021 </w:t>
            </w:r>
            <w:proofErr w:type="spellStart"/>
            <w:r w:rsidRPr="00DB03CA">
              <w:rPr>
                <w:iCs/>
                <w:szCs w:val="20"/>
              </w:rPr>
              <w:t>Epub</w:t>
            </w:r>
            <w:proofErr w:type="spellEnd"/>
            <w:r w:rsidRPr="00DB03CA">
              <w:rPr>
                <w:iCs/>
                <w:szCs w:val="20"/>
              </w:rPr>
              <w:t xml:space="preserve"> ahead of print.</w:t>
            </w:r>
          </w:p>
        </w:tc>
      </w:tr>
      <w:tr w:rsidR="007D4D11" w:rsidRPr="00DB03CA" w14:paraId="72CCAEC5" w14:textId="77777777" w:rsidTr="009A477A">
        <w:trPr>
          <w:cantSplit/>
        </w:trPr>
        <w:tc>
          <w:tcPr>
            <w:tcW w:w="796" w:type="pct"/>
            <w:vMerge w:val="restart"/>
            <w:tcBorders>
              <w:top w:val="single" w:sz="4" w:space="0" w:color="auto"/>
            </w:tcBorders>
          </w:tcPr>
          <w:p w14:paraId="65810591" w14:textId="77777777" w:rsidR="007D4D11" w:rsidRPr="00DB03CA" w:rsidRDefault="007D4D11" w:rsidP="009A477A">
            <w:pPr>
              <w:pStyle w:val="TableText0"/>
              <w:keepNext w:val="0"/>
              <w:widowControl w:val="0"/>
              <w:rPr>
                <w:b/>
                <w:bCs w:val="0"/>
                <w:szCs w:val="20"/>
              </w:rPr>
            </w:pPr>
            <w:r w:rsidRPr="00DB03CA">
              <w:rPr>
                <w:szCs w:val="20"/>
              </w:rPr>
              <w:t>B7471008</w:t>
            </w:r>
          </w:p>
        </w:tc>
        <w:tc>
          <w:tcPr>
            <w:tcW w:w="3027" w:type="pct"/>
            <w:tcBorders>
              <w:top w:val="single" w:sz="4" w:space="0" w:color="auto"/>
              <w:bottom w:val="nil"/>
            </w:tcBorders>
          </w:tcPr>
          <w:p w14:paraId="21BF85E3" w14:textId="77777777" w:rsidR="007D4D11" w:rsidRPr="00DB03CA" w:rsidRDefault="007D4D11" w:rsidP="009A477A">
            <w:pPr>
              <w:pStyle w:val="TableText0"/>
              <w:keepNext w:val="0"/>
              <w:widowControl w:val="0"/>
              <w:rPr>
                <w:szCs w:val="20"/>
              </w:rPr>
            </w:pPr>
            <w:r w:rsidRPr="00DB03CA">
              <w:rPr>
                <w:szCs w:val="20"/>
              </w:rPr>
              <w:t xml:space="preserve">Protocol B7471008. </w:t>
            </w:r>
          </w:p>
          <w:p w14:paraId="4B8012C1" w14:textId="77777777" w:rsidR="007D4D11" w:rsidRPr="00DB03CA" w:rsidRDefault="007D4D11" w:rsidP="009A477A">
            <w:pPr>
              <w:pStyle w:val="TableText0"/>
              <w:keepNext w:val="0"/>
              <w:widowControl w:val="0"/>
              <w:rPr>
                <w:szCs w:val="20"/>
              </w:rPr>
            </w:pPr>
            <w:r w:rsidRPr="00DB03CA">
              <w:rPr>
                <w:szCs w:val="20"/>
              </w:rPr>
              <w:t xml:space="preserve">Final report: a phase 3, randomized, double-blind trial to evaluate the safety and immunogenicity of 3 lots of 20-valent pneumococcal conjugate vaccine in pneumococcal vaccine–naïve adults 18 through 49 years of age. </w:t>
            </w:r>
          </w:p>
        </w:tc>
        <w:tc>
          <w:tcPr>
            <w:tcW w:w="1177" w:type="pct"/>
            <w:tcBorders>
              <w:top w:val="single" w:sz="4" w:space="0" w:color="auto"/>
              <w:bottom w:val="nil"/>
            </w:tcBorders>
          </w:tcPr>
          <w:p w14:paraId="0B5C6649" w14:textId="77777777" w:rsidR="007D4D11" w:rsidRPr="00DB03CA" w:rsidRDefault="007D4D11" w:rsidP="009A477A">
            <w:pPr>
              <w:pStyle w:val="TableText0"/>
              <w:keepNext w:val="0"/>
              <w:widowControl w:val="0"/>
              <w:rPr>
                <w:i/>
                <w:szCs w:val="20"/>
              </w:rPr>
            </w:pPr>
            <w:r w:rsidRPr="00DB03CA">
              <w:rPr>
                <w:szCs w:val="20"/>
              </w:rPr>
              <w:t>30 June 2020.</w:t>
            </w:r>
          </w:p>
        </w:tc>
      </w:tr>
      <w:tr w:rsidR="007D4D11" w:rsidRPr="00DB03CA" w14:paraId="2DB175E8" w14:textId="77777777" w:rsidTr="009A477A">
        <w:trPr>
          <w:cantSplit/>
        </w:trPr>
        <w:tc>
          <w:tcPr>
            <w:tcW w:w="796" w:type="pct"/>
            <w:vMerge/>
            <w:tcBorders>
              <w:bottom w:val="single" w:sz="4" w:space="0" w:color="auto"/>
            </w:tcBorders>
          </w:tcPr>
          <w:p w14:paraId="3159BADF" w14:textId="77777777" w:rsidR="007D4D11" w:rsidRPr="00DB03CA" w:rsidRDefault="007D4D11" w:rsidP="009A477A">
            <w:pPr>
              <w:pStyle w:val="TableText0"/>
              <w:keepNext w:val="0"/>
              <w:widowControl w:val="0"/>
              <w:rPr>
                <w:b/>
                <w:bCs w:val="0"/>
                <w:szCs w:val="20"/>
              </w:rPr>
            </w:pPr>
          </w:p>
        </w:tc>
        <w:tc>
          <w:tcPr>
            <w:tcW w:w="3027" w:type="pct"/>
            <w:tcBorders>
              <w:top w:val="nil"/>
              <w:bottom w:val="single" w:sz="4" w:space="0" w:color="auto"/>
            </w:tcBorders>
          </w:tcPr>
          <w:p w14:paraId="5A62C7DD" w14:textId="38B6CF3E" w:rsidR="007D4D11" w:rsidRPr="00DB03CA" w:rsidRDefault="007D4D11" w:rsidP="009A477A">
            <w:pPr>
              <w:pStyle w:val="TableText0"/>
              <w:keepNext w:val="0"/>
              <w:widowControl w:val="0"/>
              <w:rPr>
                <w:szCs w:val="20"/>
              </w:rPr>
            </w:pPr>
            <w:r w:rsidRPr="00DB03CA">
              <w:rPr>
                <w:szCs w:val="20"/>
              </w:rPr>
              <w:t xml:space="preserve">Klein NP, </w:t>
            </w:r>
            <w:proofErr w:type="spellStart"/>
            <w:r w:rsidRPr="00DB03CA">
              <w:rPr>
                <w:szCs w:val="20"/>
              </w:rPr>
              <w:t>Peyrani</w:t>
            </w:r>
            <w:proofErr w:type="spellEnd"/>
            <w:r w:rsidRPr="00DB03CA">
              <w:rPr>
                <w:szCs w:val="20"/>
              </w:rPr>
              <w:t xml:space="preserve"> P, </w:t>
            </w:r>
            <w:proofErr w:type="spellStart"/>
            <w:r w:rsidRPr="00DB03CA">
              <w:rPr>
                <w:szCs w:val="20"/>
              </w:rPr>
              <w:t>Yacism</w:t>
            </w:r>
            <w:proofErr w:type="spellEnd"/>
            <w:r w:rsidRPr="00DB03CA">
              <w:rPr>
                <w:szCs w:val="20"/>
              </w:rPr>
              <w:t xml:space="preserve"> K et al. A phase 3, randomized, double-blind study to evaluate the immunogenicity and safety of 3 lots of 20-valent pneumococcal conjugate vaccine in pneumococcal vaccine-</w:t>
            </w:r>
            <w:r w:rsidR="0041128B">
              <w:rPr>
                <w:szCs w:val="20"/>
              </w:rPr>
              <w:t>naïve</w:t>
            </w:r>
            <w:r w:rsidRPr="00DB03CA">
              <w:rPr>
                <w:szCs w:val="20"/>
              </w:rPr>
              <w:t xml:space="preserve"> adults 18 through 49 years of age.  </w:t>
            </w:r>
          </w:p>
        </w:tc>
        <w:tc>
          <w:tcPr>
            <w:tcW w:w="1177" w:type="pct"/>
            <w:tcBorders>
              <w:top w:val="nil"/>
              <w:bottom w:val="single" w:sz="4" w:space="0" w:color="auto"/>
            </w:tcBorders>
          </w:tcPr>
          <w:p w14:paraId="1A9A54BC" w14:textId="77777777" w:rsidR="007D4D11" w:rsidRPr="00DB03CA" w:rsidRDefault="007D4D11" w:rsidP="009A477A">
            <w:pPr>
              <w:pStyle w:val="TableText0"/>
              <w:keepNext w:val="0"/>
              <w:widowControl w:val="0"/>
              <w:rPr>
                <w:i/>
                <w:szCs w:val="20"/>
              </w:rPr>
            </w:pPr>
            <w:r w:rsidRPr="00DB03CA">
              <w:rPr>
                <w:i/>
                <w:iCs/>
                <w:szCs w:val="20"/>
              </w:rPr>
              <w:t>Vaccine</w:t>
            </w:r>
            <w:r w:rsidRPr="00DB03CA">
              <w:rPr>
                <w:szCs w:val="20"/>
              </w:rPr>
              <w:t xml:space="preserve"> 2021; 39(38): 5428–5435.</w:t>
            </w:r>
          </w:p>
        </w:tc>
      </w:tr>
      <w:tr w:rsidR="007D4D11" w:rsidRPr="00DB03CA" w14:paraId="7D1704A4" w14:textId="77777777" w:rsidTr="009A477A">
        <w:trPr>
          <w:cantSplit/>
        </w:trPr>
        <w:tc>
          <w:tcPr>
            <w:tcW w:w="796" w:type="pct"/>
            <w:tcBorders>
              <w:top w:val="single" w:sz="4" w:space="0" w:color="auto"/>
              <w:bottom w:val="single" w:sz="4" w:space="0" w:color="auto"/>
            </w:tcBorders>
          </w:tcPr>
          <w:p w14:paraId="0C05154F" w14:textId="77777777" w:rsidR="007D4D11" w:rsidRPr="00DB03CA" w:rsidRDefault="007D4D11" w:rsidP="009A477A">
            <w:pPr>
              <w:pStyle w:val="TableText0"/>
              <w:keepNext w:val="0"/>
              <w:widowControl w:val="0"/>
              <w:rPr>
                <w:szCs w:val="20"/>
              </w:rPr>
            </w:pPr>
            <w:r w:rsidRPr="00DB03CA">
              <w:rPr>
                <w:szCs w:val="20"/>
              </w:rPr>
              <w:t>B7471007 and B7471008</w:t>
            </w:r>
          </w:p>
        </w:tc>
        <w:tc>
          <w:tcPr>
            <w:tcW w:w="3027" w:type="pct"/>
            <w:tcBorders>
              <w:top w:val="single" w:sz="4" w:space="0" w:color="auto"/>
              <w:bottom w:val="single" w:sz="4" w:space="0" w:color="auto"/>
            </w:tcBorders>
          </w:tcPr>
          <w:p w14:paraId="3A0F2AE0" w14:textId="28277B7F" w:rsidR="007D4D11" w:rsidRPr="00DB03CA" w:rsidRDefault="007D4D11" w:rsidP="009A477A">
            <w:pPr>
              <w:pStyle w:val="TableText0"/>
              <w:keepNext w:val="0"/>
              <w:widowControl w:val="0"/>
              <w:rPr>
                <w:szCs w:val="20"/>
              </w:rPr>
            </w:pPr>
            <w:proofErr w:type="spellStart"/>
            <w:r w:rsidRPr="009467F2">
              <w:rPr>
                <w:szCs w:val="20"/>
                <w:lang w:val="es-US"/>
              </w:rPr>
              <w:t>Sabharwal</w:t>
            </w:r>
            <w:proofErr w:type="spellEnd"/>
            <w:r w:rsidRPr="009467F2">
              <w:rPr>
                <w:szCs w:val="20"/>
                <w:lang w:val="es-US"/>
              </w:rPr>
              <w:t xml:space="preserve"> C,</w:t>
            </w:r>
            <w:r w:rsidRPr="009467F2">
              <w:rPr>
                <w:rStyle w:val="A15"/>
                <w:szCs w:val="20"/>
                <w:lang w:val="es-US"/>
              </w:rPr>
              <w:t xml:space="preserve"> </w:t>
            </w:r>
            <w:proofErr w:type="spellStart"/>
            <w:r w:rsidRPr="009467F2">
              <w:rPr>
                <w:szCs w:val="20"/>
                <w:lang w:val="es-US"/>
              </w:rPr>
              <w:t>Yacisin</w:t>
            </w:r>
            <w:proofErr w:type="spellEnd"/>
            <w:r w:rsidRPr="009467F2">
              <w:rPr>
                <w:szCs w:val="20"/>
                <w:lang w:val="es-US"/>
              </w:rPr>
              <w:t xml:space="preserve"> K,</w:t>
            </w:r>
            <w:r w:rsidRPr="009467F2">
              <w:rPr>
                <w:rStyle w:val="A15"/>
                <w:szCs w:val="20"/>
                <w:lang w:val="es-US"/>
              </w:rPr>
              <w:t xml:space="preserve"> </w:t>
            </w:r>
            <w:proofErr w:type="spellStart"/>
            <w:r w:rsidRPr="009467F2">
              <w:rPr>
                <w:szCs w:val="20"/>
                <w:lang w:val="es-US"/>
              </w:rPr>
              <w:t>Sundaraiyer</w:t>
            </w:r>
            <w:proofErr w:type="spellEnd"/>
            <w:r w:rsidRPr="009467F2">
              <w:rPr>
                <w:szCs w:val="20"/>
                <w:lang w:val="es-US"/>
              </w:rPr>
              <w:t xml:space="preserve"> V, et al. </w:t>
            </w:r>
            <w:r w:rsidRPr="00DB03CA">
              <w:rPr>
                <w:szCs w:val="20"/>
              </w:rPr>
              <w:t>Serotype 15C immune responses to a 20-valent pneumococcal conjugate vaccine in pneumococcal vaccine-</w:t>
            </w:r>
            <w:r w:rsidR="0041128B">
              <w:rPr>
                <w:szCs w:val="20"/>
              </w:rPr>
              <w:t>naïve</w:t>
            </w:r>
            <w:r w:rsidRPr="00DB03CA">
              <w:rPr>
                <w:szCs w:val="20"/>
              </w:rPr>
              <w:t xml:space="preserve"> adults. </w:t>
            </w:r>
          </w:p>
        </w:tc>
        <w:tc>
          <w:tcPr>
            <w:tcW w:w="1177" w:type="pct"/>
            <w:tcBorders>
              <w:top w:val="single" w:sz="4" w:space="0" w:color="auto"/>
              <w:bottom w:val="single" w:sz="4" w:space="0" w:color="auto"/>
            </w:tcBorders>
          </w:tcPr>
          <w:p w14:paraId="72ECAF89" w14:textId="77777777" w:rsidR="007D4D11" w:rsidRPr="00DB03CA" w:rsidRDefault="007D4D11" w:rsidP="009A477A">
            <w:pPr>
              <w:pStyle w:val="TableText0"/>
              <w:keepNext w:val="0"/>
              <w:widowControl w:val="0"/>
              <w:rPr>
                <w:i/>
                <w:szCs w:val="20"/>
              </w:rPr>
            </w:pPr>
            <w:r w:rsidRPr="00DB03CA">
              <w:rPr>
                <w:rFonts w:cs="Univers LT Std 47 Cn Lt"/>
                <w:color w:val="211D1E"/>
                <w:szCs w:val="20"/>
              </w:rPr>
              <w:t>European Congress of Clinical Microbiology and Infectious Diseases 2021.</w:t>
            </w:r>
          </w:p>
        </w:tc>
      </w:tr>
      <w:tr w:rsidR="007D4D11" w:rsidRPr="00DB03CA" w14:paraId="7A0668FC" w14:textId="77777777" w:rsidTr="009A477A">
        <w:trPr>
          <w:cantSplit/>
        </w:trPr>
        <w:tc>
          <w:tcPr>
            <w:tcW w:w="796" w:type="pct"/>
            <w:tcBorders>
              <w:top w:val="single" w:sz="4" w:space="0" w:color="auto"/>
              <w:bottom w:val="single" w:sz="4" w:space="0" w:color="auto"/>
            </w:tcBorders>
          </w:tcPr>
          <w:p w14:paraId="7719FABD" w14:textId="77777777" w:rsidR="007D4D11" w:rsidRPr="00DB03CA" w:rsidRDefault="007D4D11" w:rsidP="009A477A">
            <w:pPr>
              <w:pStyle w:val="TableText0"/>
              <w:keepNext w:val="0"/>
              <w:widowControl w:val="0"/>
              <w:rPr>
                <w:b/>
                <w:bCs w:val="0"/>
                <w:szCs w:val="20"/>
              </w:rPr>
            </w:pPr>
            <w:r w:rsidRPr="00DB03CA">
              <w:rPr>
                <w:rFonts w:eastAsia="TimesNewRoman" w:cstheme="minorHAnsi"/>
                <w:szCs w:val="20"/>
              </w:rPr>
              <w:t>B7471006, B7471007 and B7471008</w:t>
            </w:r>
          </w:p>
        </w:tc>
        <w:tc>
          <w:tcPr>
            <w:tcW w:w="3027" w:type="pct"/>
            <w:tcBorders>
              <w:top w:val="single" w:sz="4" w:space="0" w:color="auto"/>
              <w:bottom w:val="single" w:sz="4" w:space="0" w:color="auto"/>
            </w:tcBorders>
          </w:tcPr>
          <w:p w14:paraId="3AB52BE8" w14:textId="7F2F24F5" w:rsidR="007D4D11" w:rsidRPr="00DB03CA" w:rsidRDefault="007D4D11" w:rsidP="009A477A">
            <w:pPr>
              <w:pStyle w:val="TableText0"/>
              <w:keepNext w:val="0"/>
              <w:widowControl w:val="0"/>
              <w:rPr>
                <w:szCs w:val="20"/>
              </w:rPr>
            </w:pPr>
            <w:proofErr w:type="spellStart"/>
            <w:r w:rsidRPr="009467F2">
              <w:rPr>
                <w:rFonts w:eastAsia="FuturaStd-Bold" w:cs="FuturaStd-Bold"/>
                <w:szCs w:val="20"/>
                <w:lang w:val="es-US"/>
              </w:rPr>
              <w:t>Sabharwal</w:t>
            </w:r>
            <w:proofErr w:type="spellEnd"/>
            <w:r w:rsidRPr="009467F2">
              <w:rPr>
                <w:rFonts w:eastAsia="FuturaStd-Bold" w:cs="FuturaStd-Bold"/>
                <w:szCs w:val="20"/>
                <w:lang w:val="es-US"/>
              </w:rPr>
              <w:t xml:space="preserve"> C, </w:t>
            </w:r>
            <w:proofErr w:type="spellStart"/>
            <w:r w:rsidRPr="009467F2">
              <w:rPr>
                <w:rFonts w:eastAsia="FuturaStd-Bold" w:cs="FuturaStd-Bold"/>
                <w:szCs w:val="20"/>
                <w:lang w:val="es-US"/>
              </w:rPr>
              <w:t>Sundaraiyer</w:t>
            </w:r>
            <w:proofErr w:type="spellEnd"/>
            <w:r w:rsidRPr="009467F2">
              <w:rPr>
                <w:rFonts w:eastAsia="FuturaStd-Bold" w:cs="FuturaStd-Bold"/>
                <w:szCs w:val="20"/>
                <w:lang w:val="es-US"/>
              </w:rPr>
              <w:t xml:space="preserve"> V, </w:t>
            </w:r>
            <w:proofErr w:type="spellStart"/>
            <w:r w:rsidRPr="009467F2">
              <w:rPr>
                <w:rFonts w:eastAsia="FuturaStd-Bold" w:cs="FuturaStd-Bold"/>
                <w:szCs w:val="20"/>
                <w:lang w:val="es-US"/>
              </w:rPr>
              <w:t>Peng</w:t>
            </w:r>
            <w:proofErr w:type="spellEnd"/>
            <w:r w:rsidRPr="009467F2">
              <w:rPr>
                <w:rFonts w:eastAsia="FuturaStd-Bold" w:cs="FuturaStd-Bold"/>
                <w:szCs w:val="20"/>
                <w:lang w:val="es-US"/>
              </w:rPr>
              <w:t xml:space="preserve"> Y, et al. </w:t>
            </w:r>
            <w:r w:rsidRPr="00DB03CA">
              <w:rPr>
                <w:rFonts w:eastAsia="FuturaStd-Bold" w:cs="FuturaStd-Bold"/>
                <w:szCs w:val="20"/>
              </w:rPr>
              <w:t xml:space="preserve">Immunogenicity of a 20-valent pneumococcal conjugate vaccine in adults 18 years and older with medical conditions and other factors that increase risk of pneumococcal disease. </w:t>
            </w:r>
          </w:p>
        </w:tc>
        <w:tc>
          <w:tcPr>
            <w:tcW w:w="1177" w:type="pct"/>
            <w:tcBorders>
              <w:top w:val="single" w:sz="4" w:space="0" w:color="auto"/>
              <w:bottom w:val="single" w:sz="4" w:space="0" w:color="auto"/>
            </w:tcBorders>
          </w:tcPr>
          <w:p w14:paraId="536237E0" w14:textId="77777777" w:rsidR="007D4D11" w:rsidRPr="00DB03CA" w:rsidRDefault="007D4D11" w:rsidP="009A477A">
            <w:pPr>
              <w:pStyle w:val="TableText0"/>
              <w:keepNext w:val="0"/>
              <w:widowControl w:val="0"/>
              <w:rPr>
                <w:i/>
                <w:szCs w:val="20"/>
              </w:rPr>
            </w:pPr>
            <w:r w:rsidRPr="00DB03CA">
              <w:rPr>
                <w:rFonts w:cs="UniversLTStd-BoldCn"/>
                <w:szCs w:val="20"/>
              </w:rPr>
              <w:t>European Congress of Clinical Microbiology and Infectious Diseases 2021.</w:t>
            </w:r>
          </w:p>
        </w:tc>
      </w:tr>
      <w:tr w:rsidR="007D4D11" w:rsidRPr="00DB03CA" w14:paraId="72CEF5A9" w14:textId="77777777" w:rsidTr="009A477A">
        <w:trPr>
          <w:cantSplit/>
        </w:trPr>
        <w:tc>
          <w:tcPr>
            <w:tcW w:w="796" w:type="pct"/>
            <w:tcBorders>
              <w:top w:val="single" w:sz="4" w:space="0" w:color="auto"/>
              <w:bottom w:val="single" w:sz="4" w:space="0" w:color="auto"/>
            </w:tcBorders>
          </w:tcPr>
          <w:p w14:paraId="62F678DE" w14:textId="77777777" w:rsidR="007D4D11" w:rsidRPr="00DB03CA" w:rsidRDefault="007D4D11" w:rsidP="009A477A">
            <w:pPr>
              <w:pStyle w:val="TableText0"/>
              <w:keepNext w:val="0"/>
              <w:widowControl w:val="0"/>
              <w:rPr>
                <w:b/>
                <w:bCs w:val="0"/>
                <w:szCs w:val="20"/>
              </w:rPr>
            </w:pPr>
            <w:r w:rsidRPr="00DB03CA">
              <w:rPr>
                <w:rFonts w:eastAsia="TimesNewRoman" w:cstheme="minorHAnsi"/>
                <w:szCs w:val="20"/>
              </w:rPr>
              <w:t>B7471026</w:t>
            </w:r>
          </w:p>
        </w:tc>
        <w:tc>
          <w:tcPr>
            <w:tcW w:w="3027" w:type="pct"/>
            <w:tcBorders>
              <w:top w:val="single" w:sz="4" w:space="0" w:color="auto"/>
              <w:bottom w:val="single" w:sz="4" w:space="0" w:color="auto"/>
            </w:tcBorders>
          </w:tcPr>
          <w:p w14:paraId="2487B717" w14:textId="77777777" w:rsidR="007D4D11" w:rsidRPr="00DB03CA" w:rsidRDefault="007D4D11" w:rsidP="009A477A">
            <w:pPr>
              <w:pStyle w:val="TableText0"/>
              <w:keepNext w:val="0"/>
              <w:widowControl w:val="0"/>
              <w:rPr>
                <w:rFonts w:eastAsia="FuturaStd-Bold" w:cs="FuturaStd-Bold"/>
                <w:szCs w:val="20"/>
              </w:rPr>
            </w:pPr>
            <w:r w:rsidRPr="00DB03CA">
              <w:rPr>
                <w:rFonts w:eastAsia="FuturaStd-Bold" w:cs="FuturaStd-Bold"/>
                <w:szCs w:val="20"/>
              </w:rPr>
              <w:t xml:space="preserve">Protocol B7471026. </w:t>
            </w:r>
          </w:p>
          <w:p w14:paraId="0587AA0D" w14:textId="77777777" w:rsidR="007D4D11" w:rsidRPr="00DB03CA" w:rsidRDefault="007D4D11" w:rsidP="009A477A">
            <w:pPr>
              <w:pStyle w:val="TableText0"/>
              <w:keepNext w:val="0"/>
              <w:widowControl w:val="0"/>
              <w:rPr>
                <w:szCs w:val="20"/>
              </w:rPr>
            </w:pPr>
            <w:r w:rsidRPr="00DB03CA">
              <w:rPr>
                <w:rFonts w:eastAsia="FuturaStd-Bold" w:cs="FuturaStd-Bold"/>
                <w:szCs w:val="20"/>
              </w:rPr>
              <w:t xml:space="preserve">A phase 3, randomized, double-blind trial to describe the safety and immunogenicity of 20-valent pneumococcal conjugate vaccine when </w:t>
            </w:r>
            <w:proofErr w:type="spellStart"/>
            <w:r w:rsidRPr="00DB03CA">
              <w:rPr>
                <w:rFonts w:eastAsia="FuturaStd-Bold" w:cs="FuturaStd-Bold"/>
                <w:szCs w:val="20"/>
              </w:rPr>
              <w:t>coadministered</w:t>
            </w:r>
            <w:proofErr w:type="spellEnd"/>
            <w:r w:rsidRPr="00DB03CA">
              <w:rPr>
                <w:rFonts w:eastAsia="FuturaStd-Bold" w:cs="FuturaStd-Bold"/>
                <w:szCs w:val="20"/>
              </w:rPr>
              <w:t xml:space="preserve"> with a booster dose of BNT162b2 in adults 65 years of age and older. </w:t>
            </w:r>
          </w:p>
        </w:tc>
        <w:tc>
          <w:tcPr>
            <w:tcW w:w="1177" w:type="pct"/>
            <w:tcBorders>
              <w:top w:val="single" w:sz="4" w:space="0" w:color="auto"/>
              <w:bottom w:val="single" w:sz="4" w:space="0" w:color="auto"/>
            </w:tcBorders>
          </w:tcPr>
          <w:p w14:paraId="40936D25" w14:textId="77777777" w:rsidR="007D4D11" w:rsidRPr="00DB03CA" w:rsidRDefault="007D4D11" w:rsidP="009A477A">
            <w:pPr>
              <w:pStyle w:val="TableText0"/>
              <w:keepNext w:val="0"/>
              <w:widowControl w:val="0"/>
              <w:rPr>
                <w:i/>
                <w:szCs w:val="20"/>
              </w:rPr>
            </w:pPr>
            <w:r w:rsidRPr="00DB03CA">
              <w:rPr>
                <w:rFonts w:eastAsia="FuturaStd-Bold" w:cs="FuturaStd-Bold"/>
                <w:szCs w:val="20"/>
              </w:rPr>
              <w:t>17 March 2022</w:t>
            </w:r>
          </w:p>
        </w:tc>
      </w:tr>
      <w:tr w:rsidR="007D4D11" w:rsidRPr="00DB03CA" w14:paraId="622BCA0D" w14:textId="77777777" w:rsidTr="009A477A">
        <w:trPr>
          <w:cantSplit/>
        </w:trPr>
        <w:tc>
          <w:tcPr>
            <w:tcW w:w="5000" w:type="pct"/>
            <w:gridSpan w:val="3"/>
            <w:tcBorders>
              <w:top w:val="single" w:sz="4" w:space="0" w:color="auto"/>
              <w:bottom w:val="single" w:sz="4" w:space="0" w:color="auto"/>
            </w:tcBorders>
          </w:tcPr>
          <w:p w14:paraId="08B350B4" w14:textId="6A64968E" w:rsidR="007D4D11" w:rsidRPr="00DB03CA" w:rsidRDefault="007D4D11" w:rsidP="009A477A">
            <w:pPr>
              <w:pStyle w:val="TableText0"/>
              <w:keepNext w:val="0"/>
              <w:widowControl w:val="0"/>
              <w:rPr>
                <w:b/>
                <w:bCs w:val="0"/>
                <w:iCs/>
                <w:szCs w:val="20"/>
              </w:rPr>
            </w:pPr>
            <w:r w:rsidRPr="00DB03CA">
              <w:rPr>
                <w:b/>
                <w:bCs w:val="0"/>
                <w:iCs/>
                <w:szCs w:val="20"/>
              </w:rPr>
              <w:t>15vPCV</w:t>
            </w:r>
            <w:r w:rsidR="00003C12">
              <w:rPr>
                <w:b/>
                <w:bCs w:val="0"/>
                <w:iCs/>
                <w:szCs w:val="20"/>
              </w:rPr>
              <w:t xml:space="preserve"> immunogenicity trials</w:t>
            </w:r>
          </w:p>
        </w:tc>
      </w:tr>
      <w:tr w:rsidR="007D4D11" w:rsidRPr="00DB03CA" w14:paraId="485AE2E2" w14:textId="77777777" w:rsidTr="009A477A">
        <w:trPr>
          <w:cantSplit/>
        </w:trPr>
        <w:tc>
          <w:tcPr>
            <w:tcW w:w="796" w:type="pct"/>
            <w:vMerge w:val="restart"/>
            <w:tcBorders>
              <w:top w:val="single" w:sz="4" w:space="0" w:color="auto"/>
            </w:tcBorders>
          </w:tcPr>
          <w:p w14:paraId="44F34B8F" w14:textId="77777777" w:rsidR="007D4D11" w:rsidRPr="00DB03CA" w:rsidRDefault="007D4D11" w:rsidP="009A477A">
            <w:pPr>
              <w:pStyle w:val="TableText0"/>
              <w:keepNext w:val="0"/>
              <w:widowControl w:val="0"/>
              <w:rPr>
                <w:szCs w:val="20"/>
              </w:rPr>
            </w:pPr>
            <w:r w:rsidRPr="00DB03CA">
              <w:rPr>
                <w:szCs w:val="20"/>
              </w:rPr>
              <w:t>PNEU-AGE</w:t>
            </w:r>
          </w:p>
        </w:tc>
        <w:tc>
          <w:tcPr>
            <w:tcW w:w="3027" w:type="pct"/>
            <w:tcBorders>
              <w:top w:val="single" w:sz="4" w:space="0" w:color="auto"/>
              <w:bottom w:val="nil"/>
            </w:tcBorders>
          </w:tcPr>
          <w:p w14:paraId="44A689EF" w14:textId="77777777" w:rsidR="007D4D11" w:rsidRPr="00DB03CA" w:rsidRDefault="007D4D11" w:rsidP="009A477A">
            <w:pPr>
              <w:widowControl w:val="0"/>
              <w:autoSpaceDE w:val="0"/>
              <w:autoSpaceDN w:val="0"/>
              <w:adjustRightInd w:val="0"/>
              <w:spacing w:after="60"/>
              <w:rPr>
                <w:rFonts w:ascii="Arial Narrow" w:hAnsi="Arial Narrow" w:cstheme="minorHAnsi"/>
                <w:bCs/>
                <w:sz w:val="20"/>
                <w:szCs w:val="20"/>
              </w:rPr>
            </w:pPr>
            <w:r w:rsidRPr="00DB03CA">
              <w:rPr>
                <w:rFonts w:ascii="Arial Narrow" w:hAnsi="Arial Narrow" w:cstheme="minorHAnsi"/>
                <w:bCs/>
                <w:color w:val="000000"/>
                <w:sz w:val="20"/>
                <w:szCs w:val="20"/>
              </w:rPr>
              <w:t xml:space="preserve">Platt HL, Cardona JF, </w:t>
            </w:r>
            <w:proofErr w:type="spellStart"/>
            <w:r w:rsidRPr="00DB03CA">
              <w:rPr>
                <w:rFonts w:ascii="Arial Narrow" w:hAnsi="Arial Narrow" w:cstheme="minorHAnsi"/>
                <w:bCs/>
                <w:color w:val="000000"/>
                <w:sz w:val="20"/>
                <w:szCs w:val="20"/>
              </w:rPr>
              <w:t>Haranaka</w:t>
            </w:r>
            <w:proofErr w:type="spellEnd"/>
            <w:r w:rsidRPr="00DB03CA">
              <w:rPr>
                <w:rFonts w:ascii="Arial Narrow" w:hAnsi="Arial Narrow" w:cstheme="minorHAnsi"/>
                <w:bCs/>
                <w:color w:val="000000"/>
                <w:sz w:val="20"/>
                <w:szCs w:val="20"/>
              </w:rPr>
              <w:t xml:space="preserve"> M, et al. </w:t>
            </w:r>
            <w:r w:rsidRPr="00DB03CA">
              <w:rPr>
                <w:rFonts w:ascii="Arial Narrow" w:hAnsi="Arial Narrow" w:cstheme="minorHAnsi"/>
                <w:bCs/>
                <w:color w:val="000000" w:themeColor="text1"/>
                <w:sz w:val="20"/>
                <w:szCs w:val="20"/>
              </w:rPr>
              <w:t xml:space="preserve">A phase III trial of safety, tolerability, and immunogenicity of V114, 15-valent pneumococcal conjugate vaccine, compared with 13-valent pneumococcal conjugate vaccine in adults 50 years of age and older (PNEU-AGE). </w:t>
            </w:r>
          </w:p>
        </w:tc>
        <w:tc>
          <w:tcPr>
            <w:tcW w:w="1177" w:type="pct"/>
            <w:tcBorders>
              <w:top w:val="single" w:sz="4" w:space="0" w:color="auto"/>
              <w:bottom w:val="nil"/>
            </w:tcBorders>
          </w:tcPr>
          <w:p w14:paraId="44067F9F" w14:textId="77777777" w:rsidR="007D4D11" w:rsidRPr="00DB03CA" w:rsidRDefault="007D4D11" w:rsidP="009A477A">
            <w:pPr>
              <w:pStyle w:val="TableText0"/>
              <w:keepNext w:val="0"/>
              <w:widowControl w:val="0"/>
              <w:rPr>
                <w:i/>
                <w:szCs w:val="20"/>
              </w:rPr>
            </w:pPr>
            <w:r w:rsidRPr="00DB03CA">
              <w:rPr>
                <w:rFonts w:cs="UniversLTStd-BoldCn"/>
                <w:szCs w:val="20"/>
              </w:rPr>
              <w:t>European Congress of Clinical Microbiology and Infectious Diseases 2021.</w:t>
            </w:r>
          </w:p>
        </w:tc>
      </w:tr>
      <w:tr w:rsidR="007D4D11" w:rsidRPr="00DB03CA" w14:paraId="5DF3D875" w14:textId="77777777" w:rsidTr="009A477A">
        <w:trPr>
          <w:cantSplit/>
        </w:trPr>
        <w:tc>
          <w:tcPr>
            <w:tcW w:w="796" w:type="pct"/>
            <w:vMerge/>
            <w:tcBorders>
              <w:bottom w:val="single" w:sz="4" w:space="0" w:color="auto"/>
            </w:tcBorders>
          </w:tcPr>
          <w:p w14:paraId="61BED60F" w14:textId="77777777" w:rsidR="007D4D11" w:rsidRPr="00DB03CA" w:rsidRDefault="007D4D11" w:rsidP="009A477A">
            <w:pPr>
              <w:pStyle w:val="TableText0"/>
              <w:keepNext w:val="0"/>
              <w:widowControl w:val="0"/>
              <w:rPr>
                <w:szCs w:val="20"/>
              </w:rPr>
            </w:pPr>
          </w:p>
        </w:tc>
        <w:tc>
          <w:tcPr>
            <w:tcW w:w="3027" w:type="pct"/>
            <w:tcBorders>
              <w:top w:val="nil"/>
              <w:bottom w:val="single" w:sz="4" w:space="0" w:color="auto"/>
            </w:tcBorders>
          </w:tcPr>
          <w:p w14:paraId="7126F51B" w14:textId="77777777" w:rsidR="007D4D11" w:rsidRPr="00DB03CA" w:rsidRDefault="007D4D11" w:rsidP="009A477A">
            <w:pPr>
              <w:pStyle w:val="TableText0"/>
              <w:keepNext w:val="0"/>
              <w:widowControl w:val="0"/>
              <w:rPr>
                <w:szCs w:val="20"/>
              </w:rPr>
            </w:pPr>
            <w:r w:rsidRPr="00DB03CA">
              <w:rPr>
                <w:rFonts w:cstheme="minorHAnsi"/>
                <w:color w:val="000000"/>
                <w:szCs w:val="20"/>
              </w:rPr>
              <w:t xml:space="preserve">Platt HL, Cardona JF, </w:t>
            </w:r>
            <w:proofErr w:type="spellStart"/>
            <w:r w:rsidRPr="00DB03CA">
              <w:rPr>
                <w:rFonts w:cstheme="minorHAnsi"/>
                <w:color w:val="000000"/>
                <w:szCs w:val="20"/>
              </w:rPr>
              <w:t>Haranaka</w:t>
            </w:r>
            <w:proofErr w:type="spellEnd"/>
            <w:r w:rsidRPr="00DB03CA">
              <w:rPr>
                <w:rFonts w:cstheme="minorHAnsi"/>
                <w:color w:val="000000"/>
                <w:szCs w:val="20"/>
              </w:rPr>
              <w:t xml:space="preserve"> M, et al. </w:t>
            </w:r>
            <w:r w:rsidRPr="00DB03CA">
              <w:rPr>
                <w:rFonts w:cstheme="minorHAnsi"/>
                <w:szCs w:val="20"/>
              </w:rPr>
              <w:t xml:space="preserve">A phase 3 trial of safety, tolerability, and immunogenicity of V114, 15-valent pneumococcal conjugate vaccine, compared with 13-valent pneumococcal conjugate vaccine in adults 50 years of age and older (PNEU-AGE). </w:t>
            </w:r>
          </w:p>
        </w:tc>
        <w:tc>
          <w:tcPr>
            <w:tcW w:w="1177" w:type="pct"/>
            <w:tcBorders>
              <w:top w:val="nil"/>
              <w:bottom w:val="single" w:sz="4" w:space="0" w:color="auto"/>
            </w:tcBorders>
          </w:tcPr>
          <w:p w14:paraId="7E961014" w14:textId="77777777" w:rsidR="007D4D11" w:rsidRPr="00DB03CA" w:rsidRDefault="007D4D11" w:rsidP="009A477A">
            <w:pPr>
              <w:pStyle w:val="TableText0"/>
              <w:keepNext w:val="0"/>
              <w:widowControl w:val="0"/>
              <w:rPr>
                <w:i/>
                <w:szCs w:val="20"/>
              </w:rPr>
            </w:pPr>
            <w:r w:rsidRPr="00DB03CA">
              <w:rPr>
                <w:rFonts w:cstheme="minorHAnsi"/>
                <w:i/>
                <w:iCs/>
                <w:szCs w:val="20"/>
              </w:rPr>
              <w:t>Vaccine</w:t>
            </w:r>
            <w:r w:rsidRPr="00DB03CA">
              <w:rPr>
                <w:rFonts w:cstheme="minorHAnsi"/>
                <w:szCs w:val="20"/>
              </w:rPr>
              <w:t xml:space="preserve"> 2022; 40(1): 162-172.</w:t>
            </w:r>
          </w:p>
        </w:tc>
      </w:tr>
      <w:tr w:rsidR="007D4D11" w:rsidRPr="00DB03CA" w14:paraId="7690FBF6" w14:textId="77777777" w:rsidTr="009A477A">
        <w:trPr>
          <w:cantSplit/>
        </w:trPr>
        <w:tc>
          <w:tcPr>
            <w:tcW w:w="796" w:type="pct"/>
            <w:vMerge w:val="restart"/>
            <w:tcBorders>
              <w:top w:val="single" w:sz="4" w:space="0" w:color="auto"/>
            </w:tcBorders>
          </w:tcPr>
          <w:p w14:paraId="6EC3F0D2" w14:textId="77777777" w:rsidR="007D4D11" w:rsidRPr="00DB03CA" w:rsidRDefault="007D4D11" w:rsidP="009A477A">
            <w:pPr>
              <w:pStyle w:val="TableText0"/>
              <w:keepNext w:val="0"/>
              <w:widowControl w:val="0"/>
              <w:rPr>
                <w:szCs w:val="20"/>
              </w:rPr>
            </w:pPr>
            <w:r w:rsidRPr="00DB03CA">
              <w:rPr>
                <w:szCs w:val="20"/>
              </w:rPr>
              <w:t>PNEU-DAY</w:t>
            </w:r>
          </w:p>
        </w:tc>
        <w:tc>
          <w:tcPr>
            <w:tcW w:w="3027" w:type="pct"/>
            <w:tcBorders>
              <w:top w:val="single" w:sz="4" w:space="0" w:color="auto"/>
              <w:bottom w:val="nil"/>
            </w:tcBorders>
          </w:tcPr>
          <w:p w14:paraId="6DFA8CD7" w14:textId="77777777" w:rsidR="007D4D11" w:rsidRPr="00DB03CA" w:rsidRDefault="007D4D11" w:rsidP="009A477A">
            <w:pPr>
              <w:pStyle w:val="TableText0"/>
              <w:keepNext w:val="0"/>
              <w:widowControl w:val="0"/>
              <w:rPr>
                <w:szCs w:val="20"/>
              </w:rPr>
            </w:pPr>
            <w:proofErr w:type="spellStart"/>
            <w:r w:rsidRPr="00DB03CA">
              <w:rPr>
                <w:rFonts w:cstheme="minorHAnsi"/>
                <w:szCs w:val="20"/>
              </w:rPr>
              <w:t>Hammitt</w:t>
            </w:r>
            <w:proofErr w:type="spellEnd"/>
            <w:r w:rsidRPr="00DB03CA">
              <w:rPr>
                <w:rFonts w:cstheme="minorHAnsi"/>
                <w:szCs w:val="20"/>
              </w:rPr>
              <w:t xml:space="preserve"> L, Quinn D, </w:t>
            </w:r>
            <w:proofErr w:type="spellStart"/>
            <w:r w:rsidRPr="00DB03CA">
              <w:rPr>
                <w:rFonts w:cstheme="minorHAnsi"/>
                <w:szCs w:val="20"/>
              </w:rPr>
              <w:t>Janczewska</w:t>
            </w:r>
            <w:proofErr w:type="spellEnd"/>
            <w:r w:rsidRPr="00DB03CA">
              <w:rPr>
                <w:rFonts w:cstheme="minorHAnsi"/>
                <w:szCs w:val="20"/>
              </w:rPr>
              <w:t xml:space="preserve"> E, et al. </w:t>
            </w:r>
            <w:r w:rsidRPr="00DB03CA">
              <w:rPr>
                <w:rFonts w:eastAsia="Arial" w:cstheme="minorHAnsi"/>
                <w:szCs w:val="20"/>
              </w:rPr>
              <w:t xml:space="preserve">Immunogenicity, </w:t>
            </w:r>
            <w:r w:rsidRPr="00DB03CA">
              <w:rPr>
                <w:rFonts w:cstheme="minorHAnsi"/>
                <w:szCs w:val="20"/>
              </w:rPr>
              <w:t>safety, and tolerability</w:t>
            </w:r>
            <w:r w:rsidRPr="00DB03CA">
              <w:rPr>
                <w:rFonts w:eastAsia="Arial" w:cstheme="minorHAnsi"/>
                <w:szCs w:val="20"/>
              </w:rPr>
              <w:t xml:space="preserve"> of V114, a 15-</w:t>
            </w:r>
            <w:r w:rsidRPr="00DB03CA">
              <w:rPr>
                <w:rFonts w:cstheme="minorHAnsi"/>
                <w:szCs w:val="20"/>
              </w:rPr>
              <w:t>valent pneumococcal conjugate vaccine, in immunocompetent adults aged 18–49 years with or without risk factors for pneumococcal disease: a randomized</w:t>
            </w:r>
            <w:r w:rsidRPr="00DB03CA">
              <w:rPr>
                <w:rFonts w:eastAsia="Arial" w:cstheme="minorHAnsi"/>
                <w:szCs w:val="20"/>
              </w:rPr>
              <w:t xml:space="preserve"> Phase 3 Trial (PNEU-DAY)</w:t>
            </w:r>
            <w:r w:rsidRPr="00DB03CA">
              <w:rPr>
                <w:rFonts w:cstheme="minorHAnsi"/>
                <w:szCs w:val="20"/>
              </w:rPr>
              <w:t>.  Published by Oxford University Press on behalf of Infectious Diseases Society of America. 2021</w:t>
            </w:r>
          </w:p>
        </w:tc>
        <w:tc>
          <w:tcPr>
            <w:tcW w:w="1177" w:type="pct"/>
            <w:tcBorders>
              <w:top w:val="single" w:sz="4" w:space="0" w:color="auto"/>
              <w:bottom w:val="nil"/>
            </w:tcBorders>
          </w:tcPr>
          <w:p w14:paraId="3FFA0B51" w14:textId="77777777" w:rsidR="007D4D11" w:rsidRPr="00DB03CA" w:rsidRDefault="007D4D11" w:rsidP="009A477A">
            <w:pPr>
              <w:pStyle w:val="TableText0"/>
              <w:keepNext w:val="0"/>
              <w:widowControl w:val="0"/>
              <w:rPr>
                <w:iCs/>
                <w:szCs w:val="20"/>
              </w:rPr>
            </w:pPr>
            <w:r w:rsidRPr="00DB03CA">
              <w:rPr>
                <w:i/>
                <w:szCs w:val="20"/>
              </w:rPr>
              <w:t xml:space="preserve">Open Forum Infectious Diseases </w:t>
            </w:r>
            <w:r w:rsidRPr="00DB03CA">
              <w:rPr>
                <w:iCs/>
                <w:szCs w:val="20"/>
              </w:rPr>
              <w:t>2022; 9(3).</w:t>
            </w:r>
          </w:p>
        </w:tc>
      </w:tr>
      <w:tr w:rsidR="007D4D11" w:rsidRPr="00DB03CA" w14:paraId="0EBB1486" w14:textId="77777777" w:rsidTr="009A477A">
        <w:trPr>
          <w:cantSplit/>
        </w:trPr>
        <w:tc>
          <w:tcPr>
            <w:tcW w:w="796" w:type="pct"/>
            <w:vMerge/>
            <w:tcBorders>
              <w:bottom w:val="single" w:sz="4" w:space="0" w:color="auto"/>
            </w:tcBorders>
          </w:tcPr>
          <w:p w14:paraId="331F0EE5" w14:textId="77777777" w:rsidR="007D4D11" w:rsidRPr="00DB03CA" w:rsidRDefault="007D4D11" w:rsidP="009A477A">
            <w:pPr>
              <w:pStyle w:val="TableText0"/>
              <w:keepNext w:val="0"/>
              <w:widowControl w:val="0"/>
              <w:rPr>
                <w:b/>
                <w:bCs w:val="0"/>
                <w:szCs w:val="20"/>
              </w:rPr>
            </w:pPr>
          </w:p>
        </w:tc>
        <w:tc>
          <w:tcPr>
            <w:tcW w:w="3027" w:type="pct"/>
            <w:tcBorders>
              <w:top w:val="nil"/>
              <w:bottom w:val="single" w:sz="4" w:space="0" w:color="auto"/>
            </w:tcBorders>
          </w:tcPr>
          <w:p w14:paraId="498B2ADA" w14:textId="77777777" w:rsidR="007D4D11" w:rsidRPr="00DB03CA" w:rsidRDefault="007D4D11" w:rsidP="009A477A">
            <w:pPr>
              <w:pStyle w:val="TableText0"/>
              <w:keepNext w:val="0"/>
              <w:widowControl w:val="0"/>
              <w:rPr>
                <w:szCs w:val="20"/>
              </w:rPr>
            </w:pPr>
            <w:proofErr w:type="spellStart"/>
            <w:r w:rsidRPr="009467F2">
              <w:rPr>
                <w:rFonts w:cstheme="minorHAnsi"/>
                <w:szCs w:val="20"/>
                <w:lang w:val="es-US"/>
              </w:rPr>
              <w:t>Hammitt</w:t>
            </w:r>
            <w:proofErr w:type="spellEnd"/>
            <w:r w:rsidRPr="009467F2">
              <w:rPr>
                <w:rFonts w:cstheme="minorHAnsi"/>
                <w:szCs w:val="20"/>
                <w:lang w:val="es-US"/>
              </w:rPr>
              <w:t xml:space="preserve"> LL, Quinn D, </w:t>
            </w:r>
            <w:proofErr w:type="spellStart"/>
            <w:r w:rsidRPr="009467F2">
              <w:rPr>
                <w:rFonts w:cstheme="minorHAnsi"/>
                <w:szCs w:val="20"/>
                <w:lang w:val="es-US"/>
              </w:rPr>
              <w:t>Janczewska</w:t>
            </w:r>
            <w:proofErr w:type="spellEnd"/>
            <w:r w:rsidRPr="009467F2">
              <w:rPr>
                <w:rFonts w:cstheme="minorHAnsi"/>
                <w:szCs w:val="20"/>
                <w:lang w:val="es-US"/>
              </w:rPr>
              <w:t xml:space="preserve"> E, et al. </w:t>
            </w:r>
            <w:r w:rsidRPr="00DB03CA">
              <w:rPr>
                <w:rFonts w:cstheme="minorHAnsi"/>
                <w:szCs w:val="20"/>
              </w:rPr>
              <w:t xml:space="preserve">Phase 3 trial to evaluate safety, tolerability and immunogenicity of V114 followed by 23-valent pneumococcal polysaccharide vaccine 6 months later in at-risk adults aged 18-49 years (PNEU-DAY). </w:t>
            </w:r>
          </w:p>
        </w:tc>
        <w:tc>
          <w:tcPr>
            <w:tcW w:w="1177" w:type="pct"/>
            <w:tcBorders>
              <w:top w:val="nil"/>
              <w:bottom w:val="single" w:sz="4" w:space="0" w:color="auto"/>
            </w:tcBorders>
          </w:tcPr>
          <w:p w14:paraId="7AF7C7DB" w14:textId="77777777" w:rsidR="007D4D11" w:rsidRPr="00DB03CA" w:rsidRDefault="007D4D11" w:rsidP="009A477A">
            <w:pPr>
              <w:pStyle w:val="TableText0"/>
              <w:keepNext w:val="0"/>
              <w:widowControl w:val="0"/>
              <w:rPr>
                <w:i/>
                <w:szCs w:val="20"/>
              </w:rPr>
            </w:pPr>
            <w:r w:rsidRPr="00DB03CA">
              <w:rPr>
                <w:rFonts w:cstheme="minorHAnsi"/>
                <w:szCs w:val="20"/>
              </w:rPr>
              <w:t>European Congress of Clinical Microbiology 2021.</w:t>
            </w:r>
          </w:p>
        </w:tc>
      </w:tr>
      <w:tr w:rsidR="007D4D11" w:rsidRPr="00DB03CA" w14:paraId="5BB90495" w14:textId="77777777" w:rsidTr="009A477A">
        <w:trPr>
          <w:cantSplit/>
        </w:trPr>
        <w:tc>
          <w:tcPr>
            <w:tcW w:w="796" w:type="pct"/>
            <w:tcBorders>
              <w:top w:val="single" w:sz="4" w:space="0" w:color="auto"/>
              <w:bottom w:val="single" w:sz="4" w:space="0" w:color="auto"/>
            </w:tcBorders>
          </w:tcPr>
          <w:p w14:paraId="3A0F04D0" w14:textId="77777777" w:rsidR="007D4D11" w:rsidRPr="00DB03CA" w:rsidRDefault="007D4D11" w:rsidP="009A477A">
            <w:pPr>
              <w:pStyle w:val="TableText0"/>
              <w:keepNext w:val="0"/>
              <w:widowControl w:val="0"/>
              <w:rPr>
                <w:b/>
                <w:bCs w:val="0"/>
                <w:szCs w:val="20"/>
              </w:rPr>
            </w:pPr>
            <w:r w:rsidRPr="00DB03CA">
              <w:rPr>
                <w:rFonts w:cstheme="minorHAnsi"/>
                <w:szCs w:val="20"/>
              </w:rPr>
              <w:t>PNEU-PATH</w:t>
            </w:r>
          </w:p>
        </w:tc>
        <w:tc>
          <w:tcPr>
            <w:tcW w:w="3027" w:type="pct"/>
            <w:tcBorders>
              <w:top w:val="single" w:sz="4" w:space="0" w:color="auto"/>
              <w:bottom w:val="single" w:sz="4" w:space="0" w:color="auto"/>
            </w:tcBorders>
          </w:tcPr>
          <w:p w14:paraId="6D3878E0" w14:textId="77777777" w:rsidR="007D4D11" w:rsidRPr="00DB03CA" w:rsidRDefault="007D4D11" w:rsidP="009A477A">
            <w:pPr>
              <w:pStyle w:val="TableText0"/>
              <w:keepNext w:val="0"/>
              <w:widowControl w:val="0"/>
              <w:rPr>
                <w:szCs w:val="20"/>
              </w:rPr>
            </w:pPr>
            <w:r w:rsidRPr="00DB03CA">
              <w:rPr>
                <w:rFonts w:cstheme="minorHAnsi"/>
                <w:color w:val="000000"/>
                <w:szCs w:val="20"/>
              </w:rPr>
              <w:t xml:space="preserve">Song JY, Chang CJ, Andrews C, et al. </w:t>
            </w:r>
            <w:r w:rsidRPr="00DB03CA">
              <w:rPr>
                <w:rFonts w:cstheme="minorHAnsi"/>
                <w:szCs w:val="20"/>
              </w:rPr>
              <w:t xml:space="preserve">Safety, tolerability, and immunogenicity of V114, a 15-valent pneumococcal conjugate vaccine, followed by sequential 23vPPV vaccination in healthy adults aged ≥50 years: a randomized phase III trial (PNEU-PATH). </w:t>
            </w:r>
          </w:p>
        </w:tc>
        <w:tc>
          <w:tcPr>
            <w:tcW w:w="1177" w:type="pct"/>
            <w:tcBorders>
              <w:top w:val="single" w:sz="4" w:space="0" w:color="auto"/>
              <w:bottom w:val="single" w:sz="4" w:space="0" w:color="auto"/>
            </w:tcBorders>
          </w:tcPr>
          <w:p w14:paraId="2A8216FF" w14:textId="77777777" w:rsidR="007D4D11" w:rsidRPr="00DB03CA" w:rsidRDefault="007D4D11" w:rsidP="009A477A">
            <w:pPr>
              <w:pStyle w:val="TableText0"/>
              <w:keepNext w:val="0"/>
              <w:widowControl w:val="0"/>
              <w:rPr>
                <w:i/>
                <w:szCs w:val="20"/>
              </w:rPr>
            </w:pPr>
            <w:r w:rsidRPr="00DB03CA">
              <w:rPr>
                <w:i/>
                <w:szCs w:val="20"/>
              </w:rPr>
              <w:t xml:space="preserve">Vaccine </w:t>
            </w:r>
            <w:r w:rsidRPr="00DB03CA">
              <w:rPr>
                <w:iCs/>
                <w:szCs w:val="20"/>
              </w:rPr>
              <w:t>2021; 39(43): 6422-6436.</w:t>
            </w:r>
          </w:p>
        </w:tc>
      </w:tr>
      <w:tr w:rsidR="007D4D11" w:rsidRPr="00DB03CA" w14:paraId="088D2998" w14:textId="77777777" w:rsidTr="009A477A">
        <w:trPr>
          <w:cantSplit/>
        </w:trPr>
        <w:tc>
          <w:tcPr>
            <w:tcW w:w="796" w:type="pct"/>
            <w:vMerge w:val="restart"/>
            <w:tcBorders>
              <w:top w:val="single" w:sz="4" w:space="0" w:color="auto"/>
            </w:tcBorders>
          </w:tcPr>
          <w:p w14:paraId="63F1C110" w14:textId="77777777" w:rsidR="007D4D11" w:rsidRPr="00DB03CA" w:rsidRDefault="007D4D11" w:rsidP="009A477A">
            <w:pPr>
              <w:pStyle w:val="TableText0"/>
              <w:keepNext w:val="0"/>
              <w:widowControl w:val="0"/>
              <w:rPr>
                <w:rFonts w:cstheme="minorHAnsi"/>
                <w:szCs w:val="20"/>
              </w:rPr>
            </w:pPr>
            <w:r w:rsidRPr="00DB03CA">
              <w:rPr>
                <w:rFonts w:cstheme="minorHAnsi"/>
                <w:szCs w:val="20"/>
              </w:rPr>
              <w:t>PNEU-TRUE</w:t>
            </w:r>
          </w:p>
        </w:tc>
        <w:tc>
          <w:tcPr>
            <w:tcW w:w="3027" w:type="pct"/>
            <w:tcBorders>
              <w:top w:val="single" w:sz="4" w:space="0" w:color="auto"/>
              <w:bottom w:val="nil"/>
            </w:tcBorders>
          </w:tcPr>
          <w:p w14:paraId="4C886318" w14:textId="77777777" w:rsidR="007D4D11" w:rsidRPr="00DB03CA" w:rsidRDefault="007D4D11" w:rsidP="009A477A">
            <w:pPr>
              <w:widowControl w:val="0"/>
              <w:autoSpaceDE w:val="0"/>
              <w:autoSpaceDN w:val="0"/>
              <w:adjustRightInd w:val="0"/>
              <w:spacing w:after="60"/>
              <w:rPr>
                <w:rFonts w:ascii="Arial Narrow" w:hAnsi="Arial Narrow" w:cstheme="minorHAnsi"/>
                <w:color w:val="000000"/>
                <w:sz w:val="20"/>
                <w:szCs w:val="20"/>
              </w:rPr>
            </w:pPr>
            <w:r w:rsidRPr="00DB03CA">
              <w:rPr>
                <w:rFonts w:ascii="Arial Narrow" w:hAnsi="Arial Narrow" w:cstheme="minorHAnsi"/>
                <w:color w:val="000000" w:themeColor="text1"/>
                <w:sz w:val="20"/>
                <w:szCs w:val="20"/>
              </w:rPr>
              <w:t xml:space="preserve">Simon JK, </w:t>
            </w:r>
            <w:proofErr w:type="spellStart"/>
            <w:r w:rsidRPr="00DB03CA">
              <w:rPr>
                <w:rFonts w:ascii="Arial Narrow" w:hAnsi="Arial Narrow" w:cstheme="minorHAnsi"/>
                <w:color w:val="000000" w:themeColor="text1"/>
                <w:sz w:val="20"/>
                <w:szCs w:val="20"/>
              </w:rPr>
              <w:t>Staerke</w:t>
            </w:r>
            <w:proofErr w:type="spellEnd"/>
            <w:r w:rsidRPr="00DB03CA">
              <w:rPr>
                <w:rFonts w:ascii="Arial Narrow" w:hAnsi="Arial Narrow" w:cstheme="minorHAnsi"/>
                <w:color w:val="000000" w:themeColor="text1"/>
                <w:sz w:val="20"/>
                <w:szCs w:val="20"/>
              </w:rPr>
              <w:t xml:space="preserve"> NB, Hemming-</w:t>
            </w:r>
            <w:proofErr w:type="spellStart"/>
            <w:r w:rsidRPr="00DB03CA">
              <w:rPr>
                <w:rFonts w:ascii="Arial Narrow" w:hAnsi="Arial Narrow" w:cstheme="minorHAnsi"/>
                <w:color w:val="000000" w:themeColor="text1"/>
                <w:sz w:val="20"/>
                <w:szCs w:val="20"/>
              </w:rPr>
              <w:t>Harlo</w:t>
            </w:r>
            <w:proofErr w:type="spellEnd"/>
            <w:r w:rsidRPr="00DB03CA">
              <w:rPr>
                <w:rFonts w:ascii="Arial Narrow" w:hAnsi="Arial Narrow" w:cstheme="minorHAnsi"/>
                <w:color w:val="000000" w:themeColor="text1"/>
                <w:sz w:val="20"/>
                <w:szCs w:val="20"/>
              </w:rPr>
              <w:t xml:space="preserve"> M, et al. </w:t>
            </w:r>
            <w:r w:rsidRPr="00DB03CA">
              <w:rPr>
                <w:rFonts w:ascii="Arial Narrow" w:hAnsi="Arial Narrow" w:cstheme="minorHAnsi"/>
                <w:color w:val="000000"/>
                <w:sz w:val="20"/>
                <w:szCs w:val="20"/>
              </w:rPr>
              <w:t>Lot-to-lot consistency, safety, tolerability, and immunogenicity of V114, a 15-valent pneumococcal conjugate vaccine, in healthy adults aged ≥50 years: A randomized phase 3 trial (PNEU-TRUE. Vaccine 2022</w:t>
            </w:r>
          </w:p>
        </w:tc>
        <w:tc>
          <w:tcPr>
            <w:tcW w:w="1177" w:type="pct"/>
            <w:tcBorders>
              <w:top w:val="single" w:sz="4" w:space="0" w:color="auto"/>
              <w:bottom w:val="nil"/>
            </w:tcBorders>
          </w:tcPr>
          <w:p w14:paraId="274E7938" w14:textId="77777777" w:rsidR="007D4D11" w:rsidRPr="00DB03CA" w:rsidRDefault="007D4D11" w:rsidP="009A477A">
            <w:pPr>
              <w:pStyle w:val="TableText0"/>
              <w:keepNext w:val="0"/>
              <w:widowControl w:val="0"/>
              <w:rPr>
                <w:i/>
                <w:szCs w:val="20"/>
              </w:rPr>
            </w:pPr>
            <w:r w:rsidRPr="00DB03CA">
              <w:rPr>
                <w:i/>
                <w:szCs w:val="20"/>
              </w:rPr>
              <w:t xml:space="preserve">Vaccine </w:t>
            </w:r>
            <w:r w:rsidRPr="00DB03CA">
              <w:rPr>
                <w:iCs/>
                <w:szCs w:val="20"/>
              </w:rPr>
              <w:t>2022; 40(9): 1342-1351.</w:t>
            </w:r>
          </w:p>
        </w:tc>
      </w:tr>
      <w:tr w:rsidR="007D4D11" w:rsidRPr="00DB03CA" w14:paraId="002751D7" w14:textId="77777777" w:rsidTr="009A477A">
        <w:trPr>
          <w:cantSplit/>
        </w:trPr>
        <w:tc>
          <w:tcPr>
            <w:tcW w:w="796" w:type="pct"/>
            <w:vMerge/>
            <w:tcBorders>
              <w:bottom w:val="single" w:sz="4" w:space="0" w:color="auto"/>
            </w:tcBorders>
          </w:tcPr>
          <w:p w14:paraId="2A81744D" w14:textId="77777777" w:rsidR="007D4D11" w:rsidRPr="00DB03CA" w:rsidRDefault="007D4D11" w:rsidP="009A477A">
            <w:pPr>
              <w:pStyle w:val="TableText0"/>
              <w:keepNext w:val="0"/>
              <w:widowControl w:val="0"/>
              <w:rPr>
                <w:rFonts w:cstheme="minorHAnsi"/>
                <w:szCs w:val="20"/>
              </w:rPr>
            </w:pPr>
          </w:p>
        </w:tc>
        <w:tc>
          <w:tcPr>
            <w:tcW w:w="3027" w:type="pct"/>
            <w:tcBorders>
              <w:top w:val="nil"/>
              <w:bottom w:val="single" w:sz="4" w:space="0" w:color="auto"/>
            </w:tcBorders>
          </w:tcPr>
          <w:p w14:paraId="43577DC5" w14:textId="77777777" w:rsidR="007D4D11" w:rsidRPr="00DB03CA" w:rsidRDefault="007D4D11" w:rsidP="009A477A">
            <w:pPr>
              <w:pStyle w:val="TableText0"/>
              <w:keepNext w:val="0"/>
              <w:widowControl w:val="0"/>
              <w:rPr>
                <w:rFonts w:cstheme="minorHAnsi"/>
                <w:color w:val="000000"/>
                <w:szCs w:val="20"/>
              </w:rPr>
            </w:pPr>
            <w:r w:rsidRPr="00DB03CA">
              <w:rPr>
                <w:rFonts w:cstheme="minorHAnsi"/>
                <w:color w:val="000000" w:themeColor="text1"/>
                <w:szCs w:val="20"/>
              </w:rPr>
              <w:t xml:space="preserve">Simon JK, </w:t>
            </w:r>
            <w:proofErr w:type="spellStart"/>
            <w:r w:rsidRPr="00DB03CA">
              <w:rPr>
                <w:rFonts w:cstheme="minorHAnsi"/>
                <w:color w:val="000000" w:themeColor="text1"/>
                <w:szCs w:val="20"/>
              </w:rPr>
              <w:t>Staerke</w:t>
            </w:r>
            <w:proofErr w:type="spellEnd"/>
            <w:r w:rsidRPr="00DB03CA">
              <w:rPr>
                <w:rFonts w:cstheme="minorHAnsi"/>
                <w:color w:val="000000" w:themeColor="text1"/>
                <w:szCs w:val="20"/>
              </w:rPr>
              <w:t xml:space="preserve"> NB, Hemming-</w:t>
            </w:r>
            <w:proofErr w:type="spellStart"/>
            <w:r w:rsidRPr="00DB03CA">
              <w:rPr>
                <w:rFonts w:cstheme="minorHAnsi"/>
                <w:color w:val="000000" w:themeColor="text1"/>
                <w:szCs w:val="20"/>
              </w:rPr>
              <w:t>Harlo</w:t>
            </w:r>
            <w:proofErr w:type="spellEnd"/>
            <w:r w:rsidRPr="00DB03CA">
              <w:rPr>
                <w:rFonts w:cstheme="minorHAnsi"/>
                <w:color w:val="000000" w:themeColor="text1"/>
                <w:szCs w:val="20"/>
              </w:rPr>
              <w:t xml:space="preserve"> M, et al.  A phase III, randomised, double-blind, active comparator-controlled, lot-to-lot consistency study to evaluate the safety and immunogenicity of V114 in healthy adults ≥50 years of age (PNEU-TRUE). </w:t>
            </w:r>
          </w:p>
        </w:tc>
        <w:tc>
          <w:tcPr>
            <w:tcW w:w="1177" w:type="pct"/>
            <w:tcBorders>
              <w:top w:val="nil"/>
              <w:bottom w:val="single" w:sz="4" w:space="0" w:color="auto"/>
            </w:tcBorders>
          </w:tcPr>
          <w:p w14:paraId="0E80D991" w14:textId="77777777" w:rsidR="007D4D11" w:rsidRPr="00DB03CA" w:rsidRDefault="007D4D11" w:rsidP="009A477A">
            <w:pPr>
              <w:pStyle w:val="TableText0"/>
              <w:keepNext w:val="0"/>
              <w:widowControl w:val="0"/>
              <w:rPr>
                <w:i/>
                <w:szCs w:val="20"/>
              </w:rPr>
            </w:pPr>
            <w:r w:rsidRPr="00DB03CA">
              <w:rPr>
                <w:rFonts w:cstheme="minorHAnsi"/>
                <w:szCs w:val="20"/>
              </w:rPr>
              <w:t>European Congress of Clinical Microbiology &amp; Infectious Diseases 2021.</w:t>
            </w:r>
          </w:p>
        </w:tc>
      </w:tr>
    </w:tbl>
    <w:p w14:paraId="7F7B677D" w14:textId="77777777" w:rsidR="007D4D11" w:rsidRPr="00B1011F" w:rsidRDefault="007D4D11" w:rsidP="009467F2">
      <w:pPr>
        <w:pStyle w:val="TableFigureFooter"/>
        <w:rPr>
          <w:sz w:val="20"/>
        </w:rPr>
      </w:pPr>
      <w:r w:rsidRPr="008F40AE">
        <w:t>Source: Table 2.2.1, pp12-14 of the submission</w:t>
      </w:r>
      <w:r>
        <w:t>.</w:t>
      </w:r>
    </w:p>
    <w:p w14:paraId="0DE8DA68" w14:textId="19C9378D" w:rsidR="797859CF" w:rsidRDefault="797859CF" w:rsidP="009467F2">
      <w:pPr>
        <w:pStyle w:val="TableFigureFooter"/>
      </w:pPr>
      <w:r>
        <w:t xml:space="preserve">Abbreviations: </w:t>
      </w:r>
      <w:r w:rsidR="70771B48">
        <w:t xml:space="preserve">15vPCV 15-valent </w:t>
      </w:r>
      <w:r w:rsidR="7D5A6E9E">
        <w:t>pneumococcal</w:t>
      </w:r>
      <w:r w:rsidR="70771B48">
        <w:t xml:space="preserve"> conjugate vaccine; </w:t>
      </w:r>
      <w:r>
        <w:t>20vPCV  20-valent pneumococcal conjugate vaccine</w:t>
      </w:r>
    </w:p>
    <w:p w14:paraId="0F0381E2" w14:textId="3D541542" w:rsidR="00AA5F7D" w:rsidRPr="004E375B" w:rsidRDefault="00AA5F7D" w:rsidP="00AA5F7D">
      <w:pPr>
        <w:pStyle w:val="TableFigureFooter"/>
        <w:rPr>
          <w:iCs/>
        </w:rPr>
      </w:pPr>
      <w:r w:rsidRPr="004E375B">
        <w:rPr>
          <w:iCs/>
        </w:rPr>
        <w:t>Note: Trials B7471006, B7471004, and B7471026 were not directly relevant to supporting the proposed clinical claims.</w:t>
      </w:r>
    </w:p>
    <w:p w14:paraId="5DC05021" w14:textId="4B4D6071" w:rsidR="00AA5F7D" w:rsidRPr="004E375B" w:rsidRDefault="00AA5F7D" w:rsidP="009467F2">
      <w:pPr>
        <w:pStyle w:val="TableFigureFooter"/>
        <w:rPr>
          <w:iCs/>
        </w:rPr>
      </w:pPr>
      <w:r w:rsidRPr="004E375B">
        <w:rPr>
          <w:iCs/>
        </w:rPr>
        <w:t>Note: Among the presented 15vPCV trials, the PBAC previously considered that only PNEU-AGE was powered to compare efficacy between 15vPCV and 13vPCV and the remaining trials were considered supplementary evidence (</w:t>
      </w:r>
      <w:bookmarkStart w:id="23" w:name="_Hlk119573134"/>
      <w:r w:rsidRPr="004E375B">
        <w:rPr>
          <w:iCs/>
        </w:rPr>
        <w:t xml:space="preserve">paragraph 6.8, </w:t>
      </w:r>
      <w:proofErr w:type="spellStart"/>
      <w:r w:rsidRPr="004E375B">
        <w:rPr>
          <w:iCs/>
        </w:rPr>
        <w:t>Vaxneuvance</w:t>
      </w:r>
      <w:proofErr w:type="spellEnd"/>
      <w:r w:rsidRPr="004E375B">
        <w:rPr>
          <w:iCs/>
        </w:rPr>
        <w:t xml:space="preserve">, </w:t>
      </w:r>
      <w:r w:rsidR="00C10350">
        <w:rPr>
          <w:iCs/>
        </w:rPr>
        <w:t>PSD</w:t>
      </w:r>
      <w:r w:rsidRPr="004E375B">
        <w:rPr>
          <w:iCs/>
        </w:rPr>
        <w:t>, November 2021 PBAC Meeting).</w:t>
      </w:r>
    </w:p>
    <w:bookmarkEnd w:id="23"/>
    <w:p w14:paraId="4AEB811B" w14:textId="52B026DF" w:rsidR="00793F8B" w:rsidRPr="0076267C" w:rsidRDefault="00793F8B" w:rsidP="00036C51">
      <w:pPr>
        <w:pStyle w:val="3-BodyText"/>
      </w:pPr>
      <w:r w:rsidRPr="00793F8B">
        <w:t xml:space="preserve">The key features of the randomised trials used to directly support the clinical and safety claims are summarised </w:t>
      </w:r>
      <w:r w:rsidRPr="00675997">
        <w:t xml:space="preserve">in </w:t>
      </w:r>
      <w:r w:rsidR="00675997" w:rsidRPr="00675997">
        <w:fldChar w:fldCharType="begin"/>
      </w:r>
      <w:r w:rsidR="00675997" w:rsidRPr="00675997">
        <w:instrText xml:space="preserve"> REF _Ref113879340 \h  \* MERGEFORMAT </w:instrText>
      </w:r>
      <w:r w:rsidR="00675997" w:rsidRPr="00675997">
        <w:fldChar w:fldCharType="separate"/>
      </w:r>
      <w:r w:rsidR="00137984" w:rsidRPr="00137984">
        <w:t>Table 5</w:t>
      </w:r>
      <w:r w:rsidR="00675997" w:rsidRPr="00675997">
        <w:fldChar w:fldCharType="end"/>
      </w:r>
      <w:r w:rsidR="00675997" w:rsidRPr="00675997">
        <w:t>.</w:t>
      </w:r>
    </w:p>
    <w:p w14:paraId="73E8D2AB" w14:textId="27F189C2" w:rsidR="007D4D11" w:rsidRPr="00AE5141" w:rsidRDefault="007D4D11" w:rsidP="004634C6">
      <w:pPr>
        <w:pStyle w:val="Caption"/>
        <w:rPr>
          <w:rStyle w:val="CommentReference"/>
          <w:b/>
        </w:rPr>
      </w:pPr>
      <w:bookmarkStart w:id="24" w:name="_Ref113879340"/>
      <w:r>
        <w:rPr>
          <w:rStyle w:val="CommentReference"/>
          <w:b/>
        </w:rPr>
        <w:lastRenderedPageBreak/>
        <w:t xml:space="preserve">Table </w:t>
      </w:r>
      <w:r>
        <w:rPr>
          <w:rStyle w:val="CommentReference"/>
          <w:b/>
        </w:rPr>
        <w:fldChar w:fldCharType="begin"/>
      </w:r>
      <w:r w:rsidRPr="00675997">
        <w:rPr>
          <w:rStyle w:val="CommentReference"/>
          <w:b/>
        </w:rPr>
        <w:instrText xml:space="preserve"> SEQ Table \* ARABIC </w:instrText>
      </w:r>
      <w:r>
        <w:rPr>
          <w:rStyle w:val="CommentReference"/>
          <w:b/>
        </w:rPr>
        <w:fldChar w:fldCharType="separate"/>
      </w:r>
      <w:r w:rsidR="00137984">
        <w:rPr>
          <w:rStyle w:val="CommentReference"/>
          <w:b/>
          <w:noProof/>
        </w:rPr>
        <w:t>5</w:t>
      </w:r>
      <w:r>
        <w:rPr>
          <w:rStyle w:val="CommentReference"/>
          <w:b/>
        </w:rPr>
        <w:fldChar w:fldCharType="end"/>
      </w:r>
      <w:bookmarkEnd w:id="24"/>
      <w:r>
        <w:rPr>
          <w:rStyle w:val="CommentReference"/>
          <w:b/>
        </w:rPr>
        <w:t xml:space="preserve">: </w:t>
      </w:r>
      <w:r w:rsidRPr="00AE5141">
        <w:rPr>
          <w:rStyle w:val="CommentReference"/>
          <w:b/>
        </w:rPr>
        <w:t>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467"/>
        <w:gridCol w:w="990"/>
        <w:gridCol w:w="630"/>
        <w:gridCol w:w="2984"/>
        <w:gridCol w:w="1676"/>
        <w:gridCol w:w="1384"/>
      </w:tblGrid>
      <w:tr w:rsidR="007D4D11" w:rsidRPr="00B41614" w14:paraId="07D2DCF5" w14:textId="77777777" w:rsidTr="004634C6">
        <w:trPr>
          <w:tblHeader/>
        </w:trPr>
        <w:tc>
          <w:tcPr>
            <w:tcW w:w="0" w:type="auto"/>
            <w:shd w:val="clear" w:color="auto" w:fill="auto"/>
            <w:vAlign w:val="center"/>
          </w:tcPr>
          <w:p w14:paraId="45E6DC76" w14:textId="77777777" w:rsidR="007D4D11" w:rsidRPr="00B41614" w:rsidRDefault="007D4D11" w:rsidP="004634C6">
            <w:pPr>
              <w:pStyle w:val="In-tableHeading"/>
            </w:pPr>
            <w:r w:rsidRPr="00B41614">
              <w:t>Trial</w:t>
            </w:r>
          </w:p>
        </w:tc>
        <w:tc>
          <w:tcPr>
            <w:tcW w:w="0" w:type="auto"/>
            <w:shd w:val="clear" w:color="auto" w:fill="auto"/>
            <w:vAlign w:val="center"/>
          </w:tcPr>
          <w:p w14:paraId="44A47BE6" w14:textId="77777777" w:rsidR="007D4D11" w:rsidRPr="00B41614" w:rsidRDefault="007D4D11" w:rsidP="004634C6">
            <w:pPr>
              <w:pStyle w:val="In-tableHeading"/>
              <w:jc w:val="center"/>
            </w:pPr>
            <w:r w:rsidRPr="00B41614">
              <w:t>N</w:t>
            </w:r>
          </w:p>
        </w:tc>
        <w:tc>
          <w:tcPr>
            <w:tcW w:w="0" w:type="auto"/>
            <w:shd w:val="clear" w:color="auto" w:fill="auto"/>
            <w:vAlign w:val="center"/>
          </w:tcPr>
          <w:p w14:paraId="75320902" w14:textId="77777777" w:rsidR="007D4D11" w:rsidRPr="00B41614" w:rsidRDefault="007D4D11" w:rsidP="004634C6">
            <w:pPr>
              <w:pStyle w:val="In-tableHeading"/>
              <w:jc w:val="center"/>
            </w:pPr>
            <w:r w:rsidRPr="00B41614">
              <w:t>Design</w:t>
            </w:r>
          </w:p>
        </w:tc>
        <w:tc>
          <w:tcPr>
            <w:tcW w:w="0" w:type="auto"/>
            <w:shd w:val="clear" w:color="auto" w:fill="auto"/>
            <w:vAlign w:val="center"/>
          </w:tcPr>
          <w:p w14:paraId="1B90857E" w14:textId="77777777" w:rsidR="007D4D11" w:rsidRPr="00B41614" w:rsidRDefault="007D4D11" w:rsidP="004634C6">
            <w:pPr>
              <w:pStyle w:val="In-tableHeading"/>
              <w:jc w:val="center"/>
            </w:pPr>
            <w:r w:rsidRPr="00B41614">
              <w:t>Risk of bias</w:t>
            </w:r>
          </w:p>
        </w:tc>
        <w:tc>
          <w:tcPr>
            <w:tcW w:w="0" w:type="auto"/>
            <w:shd w:val="clear" w:color="auto" w:fill="auto"/>
            <w:vAlign w:val="center"/>
          </w:tcPr>
          <w:p w14:paraId="125DFEAE" w14:textId="09745C53" w:rsidR="007D4D11" w:rsidRPr="00B41614" w:rsidRDefault="00594F47" w:rsidP="004634C6">
            <w:pPr>
              <w:pStyle w:val="In-tableHeading"/>
              <w:jc w:val="center"/>
            </w:pPr>
            <w:r>
              <w:t>P</w:t>
            </w:r>
            <w:r w:rsidR="007D4D11" w:rsidRPr="00B41614">
              <w:t>opulation</w:t>
            </w:r>
          </w:p>
        </w:tc>
        <w:tc>
          <w:tcPr>
            <w:tcW w:w="0" w:type="auto"/>
            <w:shd w:val="clear" w:color="auto" w:fill="auto"/>
            <w:vAlign w:val="center"/>
          </w:tcPr>
          <w:p w14:paraId="3B000CC3" w14:textId="77777777" w:rsidR="007D4D11" w:rsidRPr="00B41614" w:rsidRDefault="007D4D11" w:rsidP="004634C6">
            <w:pPr>
              <w:pStyle w:val="In-tableHeading"/>
              <w:jc w:val="center"/>
            </w:pPr>
            <w:r w:rsidRPr="00B41614">
              <w:t>Outcome(s)</w:t>
            </w:r>
          </w:p>
        </w:tc>
        <w:tc>
          <w:tcPr>
            <w:tcW w:w="0" w:type="auto"/>
            <w:shd w:val="clear" w:color="auto" w:fill="auto"/>
            <w:vAlign w:val="center"/>
          </w:tcPr>
          <w:p w14:paraId="0BF66D7C" w14:textId="77777777" w:rsidR="007D4D11" w:rsidRPr="00B41614" w:rsidRDefault="007D4D11" w:rsidP="004634C6">
            <w:pPr>
              <w:pStyle w:val="In-tableHeading"/>
              <w:jc w:val="center"/>
            </w:pPr>
            <w:r w:rsidRPr="00B41614">
              <w:t>Use in modelled evaluation</w:t>
            </w:r>
          </w:p>
        </w:tc>
      </w:tr>
      <w:tr w:rsidR="007D4D11" w:rsidRPr="00E2771E" w14:paraId="451A51C1" w14:textId="77777777" w:rsidTr="004634C6">
        <w:tc>
          <w:tcPr>
            <w:tcW w:w="0" w:type="auto"/>
            <w:gridSpan w:val="7"/>
            <w:shd w:val="clear" w:color="auto" w:fill="auto"/>
            <w:vAlign w:val="center"/>
          </w:tcPr>
          <w:p w14:paraId="3F734B3E" w14:textId="3379A570" w:rsidR="007D4D11" w:rsidRPr="00083CC6" w:rsidRDefault="007D4D11" w:rsidP="004634C6">
            <w:pPr>
              <w:pStyle w:val="In-tableHeading"/>
              <w:rPr>
                <w:bCs/>
              </w:rPr>
            </w:pPr>
            <w:r w:rsidRPr="00083CC6">
              <w:rPr>
                <w:bCs/>
              </w:rPr>
              <w:t>20vPCV (</w:t>
            </w:r>
            <w:r w:rsidR="00675997">
              <w:rPr>
                <w:bCs/>
              </w:rPr>
              <w:t>i</w:t>
            </w:r>
            <w:r w:rsidRPr="00083CC6">
              <w:rPr>
                <w:bCs/>
              </w:rPr>
              <w:t>mmunogenicity studies)</w:t>
            </w:r>
          </w:p>
        </w:tc>
      </w:tr>
      <w:tr w:rsidR="007D4D11" w:rsidRPr="004E375B" w14:paraId="1887C76D" w14:textId="77777777" w:rsidTr="004634C6">
        <w:tc>
          <w:tcPr>
            <w:tcW w:w="0" w:type="auto"/>
            <w:shd w:val="clear" w:color="auto" w:fill="auto"/>
            <w:vAlign w:val="center"/>
          </w:tcPr>
          <w:p w14:paraId="1DBF36DA" w14:textId="77777777" w:rsidR="007D4D11" w:rsidRPr="004E375B" w:rsidRDefault="007D4D11" w:rsidP="004634C6">
            <w:pPr>
              <w:pStyle w:val="TableText0"/>
              <w:widowControl w:val="0"/>
            </w:pPr>
            <w:r w:rsidRPr="004E375B">
              <w:t xml:space="preserve">B7471007 </w:t>
            </w:r>
          </w:p>
        </w:tc>
        <w:tc>
          <w:tcPr>
            <w:tcW w:w="0" w:type="auto"/>
            <w:shd w:val="clear" w:color="auto" w:fill="auto"/>
            <w:vAlign w:val="center"/>
          </w:tcPr>
          <w:p w14:paraId="4BA80596" w14:textId="77777777" w:rsidR="007D4D11" w:rsidRPr="004E375B" w:rsidRDefault="007D4D11" w:rsidP="004634C6">
            <w:pPr>
              <w:pStyle w:val="TableText0"/>
              <w:jc w:val="center"/>
              <w:rPr>
                <w:lang w:val="en-US"/>
              </w:rPr>
            </w:pPr>
            <w:r w:rsidRPr="004E375B">
              <w:rPr>
                <w:lang w:val="en-US"/>
              </w:rPr>
              <w:t>3,889</w:t>
            </w:r>
          </w:p>
        </w:tc>
        <w:tc>
          <w:tcPr>
            <w:tcW w:w="0" w:type="auto"/>
            <w:shd w:val="clear" w:color="auto" w:fill="auto"/>
            <w:vAlign w:val="center"/>
          </w:tcPr>
          <w:p w14:paraId="07EB34C5" w14:textId="77777777" w:rsidR="007D4D11" w:rsidRPr="004E375B" w:rsidRDefault="007D4D11" w:rsidP="004634C6">
            <w:pPr>
              <w:pStyle w:val="TableText0"/>
              <w:jc w:val="center"/>
              <w:rPr>
                <w:lang w:val="en-US"/>
              </w:rPr>
            </w:pPr>
            <w:r w:rsidRPr="004E375B">
              <w:t>Phase III, MC, R, DB</w:t>
            </w:r>
          </w:p>
        </w:tc>
        <w:tc>
          <w:tcPr>
            <w:tcW w:w="0" w:type="auto"/>
            <w:shd w:val="clear" w:color="auto" w:fill="auto"/>
            <w:vAlign w:val="center"/>
          </w:tcPr>
          <w:p w14:paraId="655424E8" w14:textId="77777777" w:rsidR="007D4D11" w:rsidRPr="004E375B" w:rsidRDefault="007D4D11" w:rsidP="004634C6">
            <w:pPr>
              <w:pStyle w:val="TableText0"/>
              <w:jc w:val="center"/>
              <w:rPr>
                <w:lang w:val="en-US"/>
              </w:rPr>
            </w:pPr>
            <w:r w:rsidRPr="004E375B">
              <w:rPr>
                <w:lang w:val="en-US"/>
              </w:rPr>
              <w:t>Low</w:t>
            </w:r>
          </w:p>
        </w:tc>
        <w:tc>
          <w:tcPr>
            <w:tcW w:w="0" w:type="auto"/>
            <w:shd w:val="clear" w:color="auto" w:fill="auto"/>
            <w:vAlign w:val="center"/>
          </w:tcPr>
          <w:p w14:paraId="6818D316" w14:textId="77777777" w:rsidR="007D4D11" w:rsidRPr="004E375B" w:rsidRDefault="007D4D11" w:rsidP="004634C6">
            <w:pPr>
              <w:pStyle w:val="TableText0"/>
              <w:widowControl w:val="0"/>
              <w:jc w:val="center"/>
              <w:rPr>
                <w:lang w:val="en-US"/>
              </w:rPr>
            </w:pPr>
            <w:r w:rsidRPr="004E375B">
              <w:t>Pneumococcal vaccine-naïve adults aged ≥ 18 years</w:t>
            </w:r>
          </w:p>
        </w:tc>
        <w:tc>
          <w:tcPr>
            <w:tcW w:w="0" w:type="auto"/>
            <w:shd w:val="clear" w:color="auto" w:fill="auto"/>
            <w:vAlign w:val="center"/>
          </w:tcPr>
          <w:p w14:paraId="1B66E808" w14:textId="77777777" w:rsidR="007D4D11" w:rsidRPr="004E375B" w:rsidRDefault="007D4D11" w:rsidP="004634C6">
            <w:pPr>
              <w:pStyle w:val="TableText0"/>
              <w:jc w:val="center"/>
              <w:rPr>
                <w:lang w:val="en-US"/>
              </w:rPr>
            </w:pPr>
            <w:r w:rsidRPr="004E375B">
              <w:t>Serotype-specific OPA GMTs, Safety</w:t>
            </w:r>
          </w:p>
        </w:tc>
        <w:tc>
          <w:tcPr>
            <w:tcW w:w="0" w:type="auto"/>
            <w:shd w:val="clear" w:color="auto" w:fill="auto"/>
            <w:vAlign w:val="center"/>
          </w:tcPr>
          <w:p w14:paraId="55E04A1B" w14:textId="77777777" w:rsidR="007D4D11" w:rsidRPr="004E375B" w:rsidRDefault="007D4D11" w:rsidP="004634C6">
            <w:pPr>
              <w:pStyle w:val="TableText0"/>
              <w:jc w:val="center"/>
              <w:rPr>
                <w:lang w:val="en-US"/>
              </w:rPr>
            </w:pPr>
            <w:r w:rsidRPr="004E375B">
              <w:rPr>
                <w:lang w:val="en-US"/>
              </w:rPr>
              <w:t>Not used</w:t>
            </w:r>
          </w:p>
        </w:tc>
      </w:tr>
      <w:tr w:rsidR="007D4D11" w:rsidRPr="004E375B" w14:paraId="2206DB2D" w14:textId="77777777" w:rsidTr="004634C6">
        <w:tc>
          <w:tcPr>
            <w:tcW w:w="0" w:type="auto"/>
            <w:shd w:val="clear" w:color="auto" w:fill="auto"/>
            <w:vAlign w:val="center"/>
          </w:tcPr>
          <w:p w14:paraId="2BFA5D5E" w14:textId="77777777" w:rsidR="007D4D11" w:rsidRPr="004E375B" w:rsidRDefault="007D4D11" w:rsidP="004634C6">
            <w:pPr>
              <w:pStyle w:val="TableText0"/>
              <w:widowControl w:val="0"/>
            </w:pPr>
            <w:r w:rsidRPr="004E375B">
              <w:t>B7471008</w:t>
            </w:r>
          </w:p>
          <w:p w14:paraId="3EDC9E8A" w14:textId="77777777" w:rsidR="007D4D11" w:rsidRPr="004E375B" w:rsidRDefault="007D4D11" w:rsidP="004634C6">
            <w:pPr>
              <w:pStyle w:val="TableText0"/>
              <w:rPr>
                <w:lang w:val="en-US"/>
              </w:rPr>
            </w:pPr>
          </w:p>
        </w:tc>
        <w:tc>
          <w:tcPr>
            <w:tcW w:w="0" w:type="auto"/>
            <w:shd w:val="clear" w:color="auto" w:fill="auto"/>
            <w:vAlign w:val="center"/>
          </w:tcPr>
          <w:p w14:paraId="30BAE13C" w14:textId="77777777" w:rsidR="007D4D11" w:rsidRPr="004E375B" w:rsidRDefault="007D4D11" w:rsidP="004634C6">
            <w:pPr>
              <w:pStyle w:val="TableText0"/>
              <w:jc w:val="center"/>
              <w:rPr>
                <w:lang w:val="en-US"/>
              </w:rPr>
            </w:pPr>
            <w:r w:rsidRPr="004E375B">
              <w:rPr>
                <w:lang w:val="en-US"/>
              </w:rPr>
              <w:t>1,708</w:t>
            </w:r>
          </w:p>
        </w:tc>
        <w:tc>
          <w:tcPr>
            <w:tcW w:w="0" w:type="auto"/>
            <w:shd w:val="clear" w:color="auto" w:fill="auto"/>
            <w:vAlign w:val="center"/>
          </w:tcPr>
          <w:p w14:paraId="0C5F911E" w14:textId="77777777" w:rsidR="007D4D11" w:rsidRPr="004E375B" w:rsidRDefault="007D4D11" w:rsidP="004634C6">
            <w:pPr>
              <w:pStyle w:val="TableText0"/>
              <w:jc w:val="center"/>
              <w:rPr>
                <w:lang w:val="en-US"/>
              </w:rPr>
            </w:pPr>
            <w:r w:rsidRPr="004E375B">
              <w:t>Phase III, MC, R, DB</w:t>
            </w:r>
          </w:p>
        </w:tc>
        <w:tc>
          <w:tcPr>
            <w:tcW w:w="0" w:type="auto"/>
            <w:shd w:val="clear" w:color="auto" w:fill="auto"/>
            <w:vAlign w:val="center"/>
          </w:tcPr>
          <w:p w14:paraId="494EE8F7" w14:textId="77777777" w:rsidR="007D4D11" w:rsidRPr="004E375B" w:rsidRDefault="007D4D11" w:rsidP="004634C6">
            <w:pPr>
              <w:pStyle w:val="TableText0"/>
              <w:jc w:val="center"/>
              <w:rPr>
                <w:lang w:val="en-US"/>
              </w:rPr>
            </w:pPr>
            <w:r w:rsidRPr="004E375B">
              <w:rPr>
                <w:lang w:val="en-US"/>
              </w:rPr>
              <w:t>Low</w:t>
            </w:r>
          </w:p>
        </w:tc>
        <w:tc>
          <w:tcPr>
            <w:tcW w:w="0" w:type="auto"/>
            <w:shd w:val="clear" w:color="auto" w:fill="auto"/>
            <w:vAlign w:val="center"/>
          </w:tcPr>
          <w:p w14:paraId="734C26FE" w14:textId="77777777" w:rsidR="007D4D11" w:rsidRPr="004E375B" w:rsidRDefault="007D4D11" w:rsidP="004634C6">
            <w:pPr>
              <w:pStyle w:val="TableText0"/>
              <w:widowControl w:val="0"/>
              <w:jc w:val="center"/>
            </w:pPr>
            <w:r w:rsidRPr="004E375B">
              <w:t>Pneumococcal vaccine-naïve adults aged 18-49 years</w:t>
            </w:r>
          </w:p>
        </w:tc>
        <w:tc>
          <w:tcPr>
            <w:tcW w:w="0" w:type="auto"/>
            <w:shd w:val="clear" w:color="auto" w:fill="auto"/>
            <w:vAlign w:val="center"/>
          </w:tcPr>
          <w:p w14:paraId="4B80C141" w14:textId="77777777" w:rsidR="007D4D11" w:rsidRPr="004E375B" w:rsidRDefault="007D4D11" w:rsidP="004634C6">
            <w:pPr>
              <w:pStyle w:val="TableText0"/>
              <w:jc w:val="center"/>
              <w:rPr>
                <w:lang w:val="en-US"/>
              </w:rPr>
            </w:pPr>
            <w:r w:rsidRPr="004E375B">
              <w:t>Serotype-specific OPA GMTs, Safety</w:t>
            </w:r>
          </w:p>
        </w:tc>
        <w:tc>
          <w:tcPr>
            <w:tcW w:w="0" w:type="auto"/>
            <w:shd w:val="clear" w:color="auto" w:fill="auto"/>
            <w:vAlign w:val="center"/>
          </w:tcPr>
          <w:p w14:paraId="2582B282" w14:textId="77777777" w:rsidR="007D4D11" w:rsidRPr="004E375B" w:rsidRDefault="007D4D11" w:rsidP="004634C6">
            <w:pPr>
              <w:pStyle w:val="TableText0"/>
              <w:jc w:val="center"/>
              <w:rPr>
                <w:lang w:val="en-US"/>
              </w:rPr>
            </w:pPr>
            <w:r w:rsidRPr="004E375B">
              <w:rPr>
                <w:lang w:val="en-US"/>
              </w:rPr>
              <w:t>Not used</w:t>
            </w:r>
          </w:p>
        </w:tc>
      </w:tr>
      <w:tr w:rsidR="007D4D11" w:rsidRPr="00E2771E" w14:paraId="04913C99" w14:textId="77777777" w:rsidTr="004634C6">
        <w:tc>
          <w:tcPr>
            <w:tcW w:w="0" w:type="auto"/>
            <w:gridSpan w:val="7"/>
            <w:shd w:val="clear" w:color="auto" w:fill="auto"/>
            <w:vAlign w:val="center"/>
          </w:tcPr>
          <w:p w14:paraId="7C131ECB" w14:textId="0A41D28F" w:rsidR="007D4D11" w:rsidRPr="00083CC6" w:rsidRDefault="007D4D11" w:rsidP="004634C6">
            <w:pPr>
              <w:pStyle w:val="TableText0"/>
              <w:rPr>
                <w:b/>
                <w:bCs w:val="0"/>
                <w:lang w:val="en-US"/>
              </w:rPr>
            </w:pPr>
            <w:r w:rsidRPr="00083CC6">
              <w:rPr>
                <w:b/>
                <w:bCs w:val="0"/>
              </w:rPr>
              <w:t>15vPCV (</w:t>
            </w:r>
            <w:r w:rsidR="00675997">
              <w:rPr>
                <w:b/>
                <w:bCs w:val="0"/>
              </w:rPr>
              <w:t>i</w:t>
            </w:r>
            <w:r w:rsidRPr="00083CC6">
              <w:rPr>
                <w:b/>
                <w:bCs w:val="0"/>
              </w:rPr>
              <w:t>mmunogenicity studies)</w:t>
            </w:r>
          </w:p>
        </w:tc>
      </w:tr>
      <w:tr w:rsidR="007D4D11" w:rsidRPr="004E375B" w14:paraId="10C5D861" w14:textId="77777777" w:rsidTr="004634C6">
        <w:tc>
          <w:tcPr>
            <w:tcW w:w="0" w:type="auto"/>
            <w:shd w:val="clear" w:color="auto" w:fill="auto"/>
          </w:tcPr>
          <w:p w14:paraId="52CE6DF5" w14:textId="77777777" w:rsidR="007D4D11" w:rsidRPr="004E375B" w:rsidRDefault="007D4D11" w:rsidP="004634C6">
            <w:pPr>
              <w:pStyle w:val="TableText0"/>
              <w:rPr>
                <w:lang w:val="en-US"/>
              </w:rPr>
            </w:pPr>
            <w:r w:rsidRPr="004E375B">
              <w:rPr>
                <w:szCs w:val="20"/>
              </w:rPr>
              <w:t>PNEU-AGE</w:t>
            </w:r>
          </w:p>
        </w:tc>
        <w:tc>
          <w:tcPr>
            <w:tcW w:w="0" w:type="auto"/>
            <w:shd w:val="clear" w:color="auto" w:fill="auto"/>
            <w:vAlign w:val="center"/>
          </w:tcPr>
          <w:p w14:paraId="545D2891" w14:textId="77777777" w:rsidR="007D4D11" w:rsidRPr="004E375B" w:rsidRDefault="007D4D11" w:rsidP="004634C6">
            <w:pPr>
              <w:pStyle w:val="TableText0"/>
              <w:jc w:val="center"/>
              <w:rPr>
                <w:lang w:val="en-US"/>
              </w:rPr>
            </w:pPr>
            <w:r w:rsidRPr="004E375B">
              <w:rPr>
                <w:lang w:val="en-US"/>
              </w:rPr>
              <w:t>1,205</w:t>
            </w:r>
          </w:p>
        </w:tc>
        <w:tc>
          <w:tcPr>
            <w:tcW w:w="0" w:type="auto"/>
            <w:shd w:val="clear" w:color="auto" w:fill="auto"/>
            <w:vAlign w:val="center"/>
          </w:tcPr>
          <w:p w14:paraId="14EA3758" w14:textId="77777777" w:rsidR="007D4D11" w:rsidRPr="004E375B" w:rsidRDefault="007D4D11" w:rsidP="004634C6">
            <w:pPr>
              <w:pStyle w:val="TableText0"/>
              <w:jc w:val="center"/>
              <w:rPr>
                <w:lang w:val="en-US"/>
              </w:rPr>
            </w:pPr>
            <w:r w:rsidRPr="004E375B">
              <w:rPr>
                <w:lang w:val="en-US"/>
              </w:rPr>
              <w:t>Phase III, R, DB, MC</w:t>
            </w:r>
          </w:p>
          <w:p w14:paraId="7859D753" w14:textId="77777777" w:rsidR="007D4D11" w:rsidRPr="004E375B" w:rsidRDefault="007D4D11" w:rsidP="004634C6">
            <w:pPr>
              <w:pStyle w:val="TableText0"/>
              <w:jc w:val="center"/>
              <w:rPr>
                <w:lang w:val="en-US"/>
              </w:rPr>
            </w:pPr>
            <w:r w:rsidRPr="004E375B">
              <w:rPr>
                <w:lang w:val="en-US"/>
              </w:rPr>
              <w:t xml:space="preserve">6 </w:t>
            </w:r>
            <w:proofErr w:type="spellStart"/>
            <w:r w:rsidRPr="004E375B">
              <w:rPr>
                <w:lang w:val="en-US"/>
              </w:rPr>
              <w:t>mths</w:t>
            </w:r>
            <w:proofErr w:type="spellEnd"/>
          </w:p>
        </w:tc>
        <w:tc>
          <w:tcPr>
            <w:tcW w:w="0" w:type="auto"/>
            <w:shd w:val="clear" w:color="auto" w:fill="auto"/>
            <w:vAlign w:val="center"/>
          </w:tcPr>
          <w:p w14:paraId="29A67960" w14:textId="77777777" w:rsidR="007D4D11" w:rsidRPr="004E375B" w:rsidRDefault="007D4D11" w:rsidP="004634C6">
            <w:pPr>
              <w:pStyle w:val="TableText0"/>
              <w:jc w:val="center"/>
              <w:rPr>
                <w:lang w:val="en-US"/>
              </w:rPr>
            </w:pPr>
            <w:r w:rsidRPr="004E375B">
              <w:rPr>
                <w:lang w:val="en-US"/>
              </w:rPr>
              <w:t>Low</w:t>
            </w:r>
          </w:p>
        </w:tc>
        <w:tc>
          <w:tcPr>
            <w:tcW w:w="0" w:type="auto"/>
            <w:shd w:val="clear" w:color="auto" w:fill="auto"/>
            <w:vAlign w:val="center"/>
          </w:tcPr>
          <w:p w14:paraId="728B12D7" w14:textId="77777777" w:rsidR="007D4D11" w:rsidRPr="004E375B" w:rsidRDefault="007D4D11" w:rsidP="004634C6">
            <w:pPr>
              <w:pStyle w:val="TableText0"/>
              <w:jc w:val="center"/>
              <w:rPr>
                <w:lang w:val="en-US"/>
              </w:rPr>
            </w:pPr>
            <w:r w:rsidRPr="004E375B">
              <w:t>Pneumococcal vaccine-naïve adults aged ≥ 50 years</w:t>
            </w:r>
          </w:p>
        </w:tc>
        <w:tc>
          <w:tcPr>
            <w:tcW w:w="0" w:type="auto"/>
            <w:shd w:val="clear" w:color="auto" w:fill="auto"/>
          </w:tcPr>
          <w:p w14:paraId="5C5EC06F" w14:textId="77777777" w:rsidR="007D4D11" w:rsidRPr="004E375B" w:rsidRDefault="007D4D11" w:rsidP="004634C6">
            <w:pPr>
              <w:pStyle w:val="TableText0"/>
              <w:jc w:val="center"/>
              <w:rPr>
                <w:lang w:val="en-US"/>
              </w:rPr>
            </w:pPr>
            <w:r w:rsidRPr="004E375B">
              <w:t>Serotype-specific OPA GMTs, Safety</w:t>
            </w:r>
          </w:p>
        </w:tc>
        <w:tc>
          <w:tcPr>
            <w:tcW w:w="0" w:type="auto"/>
            <w:shd w:val="clear" w:color="auto" w:fill="auto"/>
            <w:vAlign w:val="center"/>
          </w:tcPr>
          <w:p w14:paraId="3A0945C1" w14:textId="77777777" w:rsidR="007D4D11" w:rsidRPr="004E375B" w:rsidRDefault="007D4D11" w:rsidP="004634C6">
            <w:pPr>
              <w:pStyle w:val="TableText0"/>
              <w:jc w:val="center"/>
              <w:rPr>
                <w:lang w:val="en-US"/>
              </w:rPr>
            </w:pPr>
            <w:r w:rsidRPr="004E375B">
              <w:rPr>
                <w:lang w:val="en-US"/>
              </w:rPr>
              <w:t>Not used</w:t>
            </w:r>
          </w:p>
        </w:tc>
      </w:tr>
      <w:tr w:rsidR="007D4D11" w:rsidRPr="00E2771E" w14:paraId="472556D9" w14:textId="77777777" w:rsidTr="004634C6">
        <w:tc>
          <w:tcPr>
            <w:tcW w:w="0" w:type="auto"/>
            <w:shd w:val="clear" w:color="auto" w:fill="auto"/>
          </w:tcPr>
          <w:p w14:paraId="110ABDDC" w14:textId="77777777" w:rsidR="007D4D11" w:rsidRPr="00E2771E" w:rsidRDefault="007D4D11" w:rsidP="004634C6">
            <w:pPr>
              <w:pStyle w:val="TableText0"/>
              <w:rPr>
                <w:lang w:val="en-US"/>
              </w:rPr>
            </w:pPr>
            <w:r w:rsidRPr="00DB03CA">
              <w:rPr>
                <w:szCs w:val="20"/>
              </w:rPr>
              <w:t>PNEU-DAY</w:t>
            </w:r>
          </w:p>
        </w:tc>
        <w:tc>
          <w:tcPr>
            <w:tcW w:w="0" w:type="auto"/>
            <w:shd w:val="clear" w:color="auto" w:fill="auto"/>
            <w:vAlign w:val="center"/>
          </w:tcPr>
          <w:p w14:paraId="6422525F" w14:textId="77777777" w:rsidR="007D4D11" w:rsidRPr="00E2771E" w:rsidRDefault="007D4D11" w:rsidP="004634C6">
            <w:pPr>
              <w:pStyle w:val="TableText0"/>
              <w:jc w:val="center"/>
              <w:rPr>
                <w:lang w:val="en-US"/>
              </w:rPr>
            </w:pPr>
            <w:r>
              <w:rPr>
                <w:lang w:val="en-US"/>
              </w:rPr>
              <w:t>1,515</w:t>
            </w:r>
          </w:p>
        </w:tc>
        <w:tc>
          <w:tcPr>
            <w:tcW w:w="0" w:type="auto"/>
            <w:shd w:val="clear" w:color="auto" w:fill="auto"/>
            <w:vAlign w:val="center"/>
          </w:tcPr>
          <w:p w14:paraId="13BF0239" w14:textId="77777777" w:rsidR="007D4D11" w:rsidRPr="006F2757" w:rsidRDefault="007D4D11" w:rsidP="004634C6">
            <w:pPr>
              <w:pStyle w:val="TableText0"/>
              <w:jc w:val="center"/>
              <w:rPr>
                <w:lang w:val="en-US"/>
              </w:rPr>
            </w:pPr>
            <w:r w:rsidRPr="006F2757">
              <w:rPr>
                <w:lang w:val="en-US"/>
              </w:rPr>
              <w:t>Phase III, R, DB, MC</w:t>
            </w:r>
          </w:p>
          <w:p w14:paraId="21C4F3EA" w14:textId="77777777" w:rsidR="007D4D11" w:rsidRPr="00E2771E" w:rsidRDefault="007D4D11" w:rsidP="004634C6">
            <w:pPr>
              <w:pStyle w:val="TableText0"/>
              <w:jc w:val="center"/>
              <w:rPr>
                <w:lang w:val="en-US"/>
              </w:rPr>
            </w:pPr>
            <w:r w:rsidRPr="006F2757">
              <w:rPr>
                <w:lang w:val="en-US"/>
              </w:rPr>
              <w:t xml:space="preserve">6 </w:t>
            </w:r>
            <w:proofErr w:type="spellStart"/>
            <w:r w:rsidRPr="006F2757">
              <w:rPr>
                <w:lang w:val="en-US"/>
              </w:rPr>
              <w:t>mths</w:t>
            </w:r>
            <w:proofErr w:type="spellEnd"/>
          </w:p>
        </w:tc>
        <w:tc>
          <w:tcPr>
            <w:tcW w:w="0" w:type="auto"/>
            <w:shd w:val="clear" w:color="auto" w:fill="auto"/>
            <w:vAlign w:val="center"/>
          </w:tcPr>
          <w:p w14:paraId="1BCE1C1F" w14:textId="77777777" w:rsidR="007D4D11" w:rsidRPr="00E2771E" w:rsidRDefault="007D4D11" w:rsidP="004634C6">
            <w:pPr>
              <w:pStyle w:val="TableText0"/>
              <w:jc w:val="center"/>
              <w:rPr>
                <w:lang w:val="en-US"/>
              </w:rPr>
            </w:pPr>
            <w:r w:rsidRPr="004E375B">
              <w:rPr>
                <w:lang w:val="en-US"/>
              </w:rPr>
              <w:t>Low</w:t>
            </w:r>
          </w:p>
        </w:tc>
        <w:tc>
          <w:tcPr>
            <w:tcW w:w="0" w:type="auto"/>
            <w:shd w:val="clear" w:color="auto" w:fill="auto"/>
            <w:vAlign w:val="center"/>
          </w:tcPr>
          <w:p w14:paraId="4D198902" w14:textId="1DD47659" w:rsidR="007D4D11" w:rsidRPr="00E2771E" w:rsidRDefault="007D4D11" w:rsidP="004634C6">
            <w:pPr>
              <w:pStyle w:val="TableText0"/>
              <w:jc w:val="center"/>
              <w:rPr>
                <w:lang w:val="en-US"/>
              </w:rPr>
            </w:pPr>
            <w:r>
              <w:rPr>
                <w:lang w:val="en-US"/>
              </w:rPr>
              <w:t>P</w:t>
            </w:r>
            <w:r w:rsidRPr="006F2757">
              <w:rPr>
                <w:lang w:val="en-US"/>
              </w:rPr>
              <w:t>neumococcal vaccine-naïve immunocompetent adults aged 18</w:t>
            </w:r>
            <w:r w:rsidR="00AF0143">
              <w:rPr>
                <w:lang w:val="en-US"/>
              </w:rPr>
              <w:t>-</w:t>
            </w:r>
            <w:r w:rsidRPr="006F2757">
              <w:rPr>
                <w:lang w:val="en-US"/>
              </w:rPr>
              <w:t>49 years</w:t>
            </w:r>
          </w:p>
        </w:tc>
        <w:tc>
          <w:tcPr>
            <w:tcW w:w="0" w:type="auto"/>
            <w:shd w:val="clear" w:color="auto" w:fill="auto"/>
          </w:tcPr>
          <w:p w14:paraId="67A9F0F5" w14:textId="77777777" w:rsidR="007D4D11" w:rsidRPr="00E2771E" w:rsidRDefault="007D4D11" w:rsidP="004634C6">
            <w:pPr>
              <w:pStyle w:val="TableText0"/>
              <w:jc w:val="center"/>
              <w:rPr>
                <w:lang w:val="en-US"/>
              </w:rPr>
            </w:pPr>
            <w:r w:rsidRPr="006941AD">
              <w:t>Serotype-specific OPA GMTs, Safety</w:t>
            </w:r>
          </w:p>
        </w:tc>
        <w:tc>
          <w:tcPr>
            <w:tcW w:w="0" w:type="auto"/>
            <w:shd w:val="clear" w:color="auto" w:fill="auto"/>
            <w:vAlign w:val="center"/>
          </w:tcPr>
          <w:p w14:paraId="7D8DE208" w14:textId="77777777" w:rsidR="007D4D11" w:rsidRPr="00E2771E" w:rsidRDefault="007D4D11" w:rsidP="004634C6">
            <w:pPr>
              <w:pStyle w:val="TableText0"/>
              <w:jc w:val="center"/>
              <w:rPr>
                <w:lang w:val="en-US"/>
              </w:rPr>
            </w:pPr>
            <w:r w:rsidRPr="00E2771E">
              <w:rPr>
                <w:lang w:val="en-US"/>
              </w:rPr>
              <w:t>Not used</w:t>
            </w:r>
          </w:p>
        </w:tc>
      </w:tr>
      <w:tr w:rsidR="007D4D11" w:rsidRPr="00E2771E" w14:paraId="404C56F3" w14:textId="77777777" w:rsidTr="004634C6">
        <w:tc>
          <w:tcPr>
            <w:tcW w:w="0" w:type="auto"/>
            <w:shd w:val="clear" w:color="auto" w:fill="auto"/>
          </w:tcPr>
          <w:p w14:paraId="7E81AC1A" w14:textId="77777777" w:rsidR="007D4D11" w:rsidRPr="00E2771E" w:rsidRDefault="007D4D11" w:rsidP="004634C6">
            <w:pPr>
              <w:pStyle w:val="TableText0"/>
              <w:rPr>
                <w:lang w:val="en-US"/>
              </w:rPr>
            </w:pPr>
            <w:r>
              <w:rPr>
                <w:lang w:val="en-US"/>
              </w:rPr>
              <w:t>PNEU-PATH</w:t>
            </w:r>
          </w:p>
        </w:tc>
        <w:tc>
          <w:tcPr>
            <w:tcW w:w="0" w:type="auto"/>
            <w:shd w:val="clear" w:color="auto" w:fill="auto"/>
            <w:vAlign w:val="center"/>
          </w:tcPr>
          <w:p w14:paraId="4FB46984" w14:textId="77777777" w:rsidR="007D4D11" w:rsidRPr="00E2771E" w:rsidRDefault="007D4D11" w:rsidP="004634C6">
            <w:pPr>
              <w:pStyle w:val="TableText0"/>
              <w:jc w:val="center"/>
              <w:rPr>
                <w:lang w:val="en-US"/>
              </w:rPr>
            </w:pPr>
            <w:r>
              <w:rPr>
                <w:lang w:val="en-US"/>
              </w:rPr>
              <w:t>652</w:t>
            </w:r>
          </w:p>
        </w:tc>
        <w:tc>
          <w:tcPr>
            <w:tcW w:w="0" w:type="auto"/>
            <w:shd w:val="clear" w:color="auto" w:fill="auto"/>
            <w:vAlign w:val="center"/>
          </w:tcPr>
          <w:p w14:paraId="5740C165" w14:textId="77777777" w:rsidR="007D4D11" w:rsidRPr="006F2757" w:rsidRDefault="007D4D11" w:rsidP="004634C6">
            <w:pPr>
              <w:pStyle w:val="TableText0"/>
              <w:jc w:val="center"/>
              <w:rPr>
                <w:lang w:val="en-US"/>
              </w:rPr>
            </w:pPr>
            <w:r w:rsidRPr="006F2757">
              <w:rPr>
                <w:lang w:val="en-US"/>
              </w:rPr>
              <w:t>Phase III, R, DB, MC</w:t>
            </w:r>
          </w:p>
          <w:p w14:paraId="6A4834BA" w14:textId="77777777" w:rsidR="007D4D11" w:rsidRPr="00E2771E" w:rsidRDefault="007D4D11" w:rsidP="004634C6">
            <w:pPr>
              <w:pStyle w:val="TableText0"/>
              <w:jc w:val="center"/>
              <w:rPr>
                <w:lang w:val="en-US"/>
              </w:rPr>
            </w:pPr>
            <w:r>
              <w:rPr>
                <w:lang w:val="en-US"/>
              </w:rPr>
              <w:t>13</w:t>
            </w:r>
            <w:r w:rsidRPr="006F2757">
              <w:rPr>
                <w:lang w:val="en-US"/>
              </w:rPr>
              <w:t xml:space="preserve"> </w:t>
            </w:r>
            <w:proofErr w:type="spellStart"/>
            <w:r w:rsidRPr="006F2757">
              <w:rPr>
                <w:lang w:val="en-US"/>
              </w:rPr>
              <w:t>mths</w:t>
            </w:r>
            <w:proofErr w:type="spellEnd"/>
          </w:p>
        </w:tc>
        <w:tc>
          <w:tcPr>
            <w:tcW w:w="0" w:type="auto"/>
            <w:shd w:val="clear" w:color="auto" w:fill="auto"/>
            <w:vAlign w:val="center"/>
          </w:tcPr>
          <w:p w14:paraId="6F1BB921" w14:textId="77777777" w:rsidR="007D4D11" w:rsidRPr="00E2771E" w:rsidRDefault="007D4D11" w:rsidP="004634C6">
            <w:pPr>
              <w:pStyle w:val="TableText0"/>
              <w:jc w:val="center"/>
              <w:rPr>
                <w:lang w:val="en-US"/>
              </w:rPr>
            </w:pPr>
            <w:r w:rsidRPr="004E375B">
              <w:rPr>
                <w:lang w:val="en-US"/>
              </w:rPr>
              <w:t>Low</w:t>
            </w:r>
          </w:p>
        </w:tc>
        <w:tc>
          <w:tcPr>
            <w:tcW w:w="0" w:type="auto"/>
            <w:shd w:val="clear" w:color="auto" w:fill="auto"/>
            <w:vAlign w:val="center"/>
          </w:tcPr>
          <w:p w14:paraId="159A26F8" w14:textId="77777777" w:rsidR="007D4D11" w:rsidRPr="00E2771E" w:rsidRDefault="007D4D11" w:rsidP="004634C6">
            <w:pPr>
              <w:pStyle w:val="TableText0"/>
              <w:jc w:val="center"/>
              <w:rPr>
                <w:lang w:val="en-US"/>
              </w:rPr>
            </w:pPr>
            <w:r>
              <w:t>Pneumococcal vaccine-naïve adults aged ≥ 50 years</w:t>
            </w:r>
          </w:p>
        </w:tc>
        <w:tc>
          <w:tcPr>
            <w:tcW w:w="0" w:type="auto"/>
            <w:shd w:val="clear" w:color="auto" w:fill="auto"/>
          </w:tcPr>
          <w:p w14:paraId="55D5B4DC" w14:textId="77777777" w:rsidR="007D4D11" w:rsidRPr="00E2771E" w:rsidRDefault="007D4D11" w:rsidP="004634C6">
            <w:pPr>
              <w:pStyle w:val="TableText0"/>
              <w:jc w:val="center"/>
              <w:rPr>
                <w:lang w:val="en-US"/>
              </w:rPr>
            </w:pPr>
            <w:r w:rsidRPr="006941AD">
              <w:t>Serotype-specific OPA GMTs, Safety</w:t>
            </w:r>
          </w:p>
        </w:tc>
        <w:tc>
          <w:tcPr>
            <w:tcW w:w="0" w:type="auto"/>
            <w:shd w:val="clear" w:color="auto" w:fill="auto"/>
            <w:vAlign w:val="center"/>
          </w:tcPr>
          <w:p w14:paraId="028841AE" w14:textId="77777777" w:rsidR="007D4D11" w:rsidRPr="00E2771E" w:rsidRDefault="007D4D11" w:rsidP="004634C6">
            <w:pPr>
              <w:pStyle w:val="TableText0"/>
              <w:jc w:val="center"/>
              <w:rPr>
                <w:lang w:val="en-US"/>
              </w:rPr>
            </w:pPr>
            <w:r w:rsidRPr="00E2771E">
              <w:rPr>
                <w:lang w:val="en-US"/>
              </w:rPr>
              <w:t>Not used</w:t>
            </w:r>
          </w:p>
        </w:tc>
      </w:tr>
      <w:tr w:rsidR="007D4D11" w:rsidRPr="00E2771E" w14:paraId="6E8F044B" w14:textId="77777777" w:rsidTr="004634C6">
        <w:tc>
          <w:tcPr>
            <w:tcW w:w="0" w:type="auto"/>
            <w:shd w:val="clear" w:color="auto" w:fill="auto"/>
          </w:tcPr>
          <w:p w14:paraId="4BB07E99" w14:textId="77777777" w:rsidR="007D4D11" w:rsidRPr="00E2771E" w:rsidRDefault="007D4D11" w:rsidP="004634C6">
            <w:pPr>
              <w:pStyle w:val="TableText0"/>
              <w:rPr>
                <w:lang w:val="en-US"/>
              </w:rPr>
            </w:pPr>
            <w:r>
              <w:rPr>
                <w:lang w:val="en-US"/>
              </w:rPr>
              <w:t>PNEU-TRUE</w:t>
            </w:r>
          </w:p>
        </w:tc>
        <w:tc>
          <w:tcPr>
            <w:tcW w:w="0" w:type="auto"/>
            <w:shd w:val="clear" w:color="auto" w:fill="auto"/>
            <w:vAlign w:val="center"/>
          </w:tcPr>
          <w:p w14:paraId="4CF587A7" w14:textId="77777777" w:rsidR="007D4D11" w:rsidRPr="00E2771E" w:rsidRDefault="007D4D11" w:rsidP="004634C6">
            <w:pPr>
              <w:pStyle w:val="TableText0"/>
              <w:jc w:val="center"/>
              <w:rPr>
                <w:lang w:val="en-US"/>
              </w:rPr>
            </w:pPr>
            <w:r>
              <w:rPr>
                <w:lang w:val="en-US"/>
              </w:rPr>
              <w:t>2,340</w:t>
            </w:r>
          </w:p>
        </w:tc>
        <w:tc>
          <w:tcPr>
            <w:tcW w:w="0" w:type="auto"/>
            <w:shd w:val="clear" w:color="auto" w:fill="auto"/>
            <w:vAlign w:val="center"/>
          </w:tcPr>
          <w:p w14:paraId="0261E3DE" w14:textId="77777777" w:rsidR="007D4D11" w:rsidRPr="006F2757" w:rsidRDefault="007D4D11" w:rsidP="004634C6">
            <w:pPr>
              <w:pStyle w:val="TableText0"/>
              <w:jc w:val="center"/>
              <w:rPr>
                <w:lang w:val="en-US"/>
              </w:rPr>
            </w:pPr>
            <w:r w:rsidRPr="006F2757">
              <w:rPr>
                <w:lang w:val="en-US"/>
              </w:rPr>
              <w:t>Phase III, R, DB, MC</w:t>
            </w:r>
          </w:p>
          <w:p w14:paraId="006F7918" w14:textId="77777777" w:rsidR="007D4D11" w:rsidRPr="00E2771E" w:rsidRDefault="007D4D11" w:rsidP="004634C6">
            <w:pPr>
              <w:pStyle w:val="TableText0"/>
              <w:jc w:val="center"/>
              <w:rPr>
                <w:lang w:val="en-US"/>
              </w:rPr>
            </w:pPr>
            <w:r w:rsidRPr="006F2757">
              <w:rPr>
                <w:lang w:val="en-US"/>
              </w:rPr>
              <w:t xml:space="preserve">6 </w:t>
            </w:r>
            <w:proofErr w:type="spellStart"/>
            <w:r w:rsidRPr="006F2757">
              <w:rPr>
                <w:lang w:val="en-US"/>
              </w:rPr>
              <w:t>mths</w:t>
            </w:r>
            <w:proofErr w:type="spellEnd"/>
          </w:p>
        </w:tc>
        <w:tc>
          <w:tcPr>
            <w:tcW w:w="0" w:type="auto"/>
            <w:shd w:val="clear" w:color="auto" w:fill="auto"/>
            <w:vAlign w:val="center"/>
          </w:tcPr>
          <w:p w14:paraId="4F853F19" w14:textId="77777777" w:rsidR="007D4D11" w:rsidRPr="00E2771E" w:rsidRDefault="007D4D11" w:rsidP="004634C6">
            <w:pPr>
              <w:pStyle w:val="TableText0"/>
              <w:jc w:val="center"/>
              <w:rPr>
                <w:lang w:val="en-US"/>
              </w:rPr>
            </w:pPr>
            <w:r w:rsidRPr="004E375B">
              <w:rPr>
                <w:lang w:val="en-US"/>
              </w:rPr>
              <w:t>Low</w:t>
            </w:r>
          </w:p>
        </w:tc>
        <w:tc>
          <w:tcPr>
            <w:tcW w:w="0" w:type="auto"/>
            <w:shd w:val="clear" w:color="auto" w:fill="auto"/>
            <w:vAlign w:val="center"/>
          </w:tcPr>
          <w:p w14:paraId="45D28774" w14:textId="77777777" w:rsidR="007D4D11" w:rsidRPr="00E2771E" w:rsidRDefault="007D4D11" w:rsidP="004634C6">
            <w:pPr>
              <w:pStyle w:val="TableText0"/>
              <w:jc w:val="center"/>
              <w:rPr>
                <w:lang w:val="en-US"/>
              </w:rPr>
            </w:pPr>
            <w:r>
              <w:t>Pneumococcal vaccine-naïve adults aged ≥ 50 years</w:t>
            </w:r>
          </w:p>
        </w:tc>
        <w:tc>
          <w:tcPr>
            <w:tcW w:w="0" w:type="auto"/>
            <w:shd w:val="clear" w:color="auto" w:fill="auto"/>
          </w:tcPr>
          <w:p w14:paraId="38A35105" w14:textId="77777777" w:rsidR="007D4D11" w:rsidRPr="00E2771E" w:rsidRDefault="007D4D11" w:rsidP="004634C6">
            <w:pPr>
              <w:pStyle w:val="TableText0"/>
              <w:jc w:val="center"/>
              <w:rPr>
                <w:lang w:val="en-US"/>
              </w:rPr>
            </w:pPr>
            <w:r w:rsidRPr="006941AD">
              <w:t>Serotype-specific OPA GMTs, Safety</w:t>
            </w:r>
          </w:p>
        </w:tc>
        <w:tc>
          <w:tcPr>
            <w:tcW w:w="0" w:type="auto"/>
            <w:shd w:val="clear" w:color="auto" w:fill="auto"/>
            <w:vAlign w:val="center"/>
          </w:tcPr>
          <w:p w14:paraId="6C680B86" w14:textId="77777777" w:rsidR="007D4D11" w:rsidRPr="00E2771E" w:rsidRDefault="007D4D11" w:rsidP="004634C6">
            <w:pPr>
              <w:pStyle w:val="TableText0"/>
              <w:jc w:val="center"/>
              <w:rPr>
                <w:lang w:val="en-US"/>
              </w:rPr>
            </w:pPr>
            <w:r w:rsidRPr="00E2771E">
              <w:rPr>
                <w:lang w:val="en-US"/>
              </w:rPr>
              <w:t>Not used</w:t>
            </w:r>
          </w:p>
        </w:tc>
      </w:tr>
    </w:tbl>
    <w:p w14:paraId="7FA4B1BF" w14:textId="77777777" w:rsidR="007D4D11" w:rsidRPr="004E375B" w:rsidRDefault="007D4D11" w:rsidP="004634C6">
      <w:pPr>
        <w:pStyle w:val="FooterTableFigure"/>
        <w:keepNext/>
      </w:pPr>
      <w:r>
        <w:t xml:space="preserve">Source: </w:t>
      </w:r>
      <w:r w:rsidRPr="004E375B">
        <w:t>Compiled during the evaluation using information from Sections 2.3-2.5 of the submission</w:t>
      </w:r>
    </w:p>
    <w:p w14:paraId="6C43DA01" w14:textId="18D050FB" w:rsidR="007D4D11" w:rsidRPr="00B1011F" w:rsidRDefault="007D4D11" w:rsidP="004634C6">
      <w:pPr>
        <w:pStyle w:val="FooterTableFigure"/>
        <w:keepNext/>
        <w:rPr>
          <w:sz w:val="20"/>
          <w:szCs w:val="20"/>
        </w:rPr>
      </w:pPr>
      <w:r>
        <w:t xml:space="preserve">Abbreviations: </w:t>
      </w:r>
      <w:r w:rsidRPr="00D07CC6">
        <w:t xml:space="preserve">13vPCV, 13-valent pneumococcal conjugate vaccine; 15vPCV, 15-valent pneumococcal conjugate vaccine; 20vPCV, 20-valent pneumococcal conjugate vaccine; </w:t>
      </w:r>
      <w:r w:rsidRPr="0072416F">
        <w:t>DB</w:t>
      </w:r>
      <w:r w:rsidR="02600164">
        <w:t>,</w:t>
      </w:r>
      <w:r>
        <w:t xml:space="preserve"> </w:t>
      </w:r>
      <w:r w:rsidRPr="0072416F">
        <w:t>double blind; MC</w:t>
      </w:r>
      <w:r w:rsidR="6D210377">
        <w:t>,</w:t>
      </w:r>
      <w:r>
        <w:t xml:space="preserve"> </w:t>
      </w:r>
      <w:r w:rsidRPr="0072416F">
        <w:t xml:space="preserve">multi-centre; </w:t>
      </w:r>
      <w:proofErr w:type="spellStart"/>
      <w:r w:rsidR="009B697E">
        <w:t>mths</w:t>
      </w:r>
      <w:proofErr w:type="spellEnd"/>
      <w:r w:rsidR="009B697E">
        <w:t xml:space="preserve">, months; </w:t>
      </w:r>
      <w:r w:rsidRPr="0072416F">
        <w:t>R</w:t>
      </w:r>
      <w:r w:rsidR="748EAF2F">
        <w:t>,</w:t>
      </w:r>
      <w:r>
        <w:t xml:space="preserve"> </w:t>
      </w:r>
      <w:r w:rsidRPr="0072416F">
        <w:t>randomised.</w:t>
      </w:r>
    </w:p>
    <w:p w14:paraId="1F037D64" w14:textId="631F1ABA" w:rsidR="001639D5" w:rsidDel="00061211" w:rsidRDefault="000471D5" w:rsidP="00B64033">
      <w:pPr>
        <w:pStyle w:val="3-BodyText"/>
      </w:pPr>
      <w:r w:rsidRPr="00C23984">
        <w:t xml:space="preserve">The key outcome to support the clinical claims was </w:t>
      </w:r>
      <w:proofErr w:type="gramStart"/>
      <w:r w:rsidRPr="00C23984">
        <w:t>serotype-specific</w:t>
      </w:r>
      <w:proofErr w:type="gramEnd"/>
      <w:r w:rsidRPr="00C23984">
        <w:t xml:space="preserve"> OPA at 1 month after vaccination measured as geometric mean titre (GMT). Based on this, OPA geometric mean ratios (GMRs) were calculated. </w:t>
      </w:r>
    </w:p>
    <w:p w14:paraId="0894DEA2" w14:textId="7476FB52" w:rsidR="00061211" w:rsidRPr="00675997" w:rsidRDefault="009D727F" w:rsidP="00A60FF4">
      <w:pPr>
        <w:pStyle w:val="3-BodyText"/>
        <w:keepNext/>
        <w:numPr>
          <w:ilvl w:val="0"/>
          <w:numId w:val="0"/>
        </w:numPr>
        <w:rPr>
          <w:b/>
          <w:bCs/>
        </w:rPr>
      </w:pPr>
      <w:r>
        <w:rPr>
          <w:b/>
          <w:bCs/>
        </w:rPr>
        <w:t xml:space="preserve">Pivotal randomised head-to-head </w:t>
      </w:r>
      <w:r w:rsidR="009773A7" w:rsidRPr="00675997">
        <w:rPr>
          <w:b/>
          <w:bCs/>
        </w:rPr>
        <w:t>20vPCV vs 13vPCV</w:t>
      </w:r>
      <w:r>
        <w:rPr>
          <w:b/>
          <w:bCs/>
        </w:rPr>
        <w:t xml:space="preserve"> </w:t>
      </w:r>
      <w:r w:rsidR="001B28F3" w:rsidRPr="00683533">
        <w:rPr>
          <w:b/>
          <w:bCs/>
          <w:iCs/>
        </w:rPr>
        <w:t>and 23vPPV</w:t>
      </w:r>
      <w:r w:rsidR="001B28F3" w:rsidRPr="001B28F3">
        <w:rPr>
          <w:b/>
          <w:bCs/>
        </w:rPr>
        <w:t xml:space="preserve"> </w:t>
      </w:r>
      <w:r>
        <w:rPr>
          <w:b/>
          <w:bCs/>
        </w:rPr>
        <w:t>trial</w:t>
      </w:r>
      <w:r w:rsidR="00834F4C">
        <w:rPr>
          <w:b/>
          <w:bCs/>
        </w:rPr>
        <w:t xml:space="preserve"> (B7471007)</w:t>
      </w:r>
      <w:r w:rsidR="00C44928">
        <w:rPr>
          <w:b/>
          <w:bCs/>
        </w:rPr>
        <w:t>: immunogenicity</w:t>
      </w:r>
    </w:p>
    <w:p w14:paraId="254FB48E" w14:textId="50B5A7C3" w:rsidR="00793F8B" w:rsidRPr="00C23984" w:rsidRDefault="00793F8B" w:rsidP="00036C51">
      <w:pPr>
        <w:pStyle w:val="3-BodyText"/>
      </w:pPr>
      <w:r w:rsidRPr="00C23984">
        <w:t>In</w:t>
      </w:r>
      <w:r w:rsidR="007061D9">
        <w:t xml:space="preserve"> study</w:t>
      </w:r>
      <w:r w:rsidRPr="00C23984">
        <w:t xml:space="preserve"> B7471007, the primary objectives were to demonstrate, in adults</w:t>
      </w:r>
      <w:r w:rsidR="007061D9">
        <w:t xml:space="preserve"> aged</w:t>
      </w:r>
      <w:r w:rsidRPr="00C23984">
        <w:t xml:space="preserve"> ≥ 60 years (Cohort 1), non-inferiority of immune responses</w:t>
      </w:r>
      <w:r w:rsidR="004E5403">
        <w:t xml:space="preserve"> </w:t>
      </w:r>
      <w:r w:rsidR="004E5403" w:rsidRPr="00C23984">
        <w:t>(</w:t>
      </w:r>
      <w:proofErr w:type="gramStart"/>
      <w:r w:rsidR="004E5403" w:rsidRPr="00C23984">
        <w:t>serotype-specific</w:t>
      </w:r>
      <w:proofErr w:type="gramEnd"/>
      <w:r w:rsidR="004E5403" w:rsidRPr="00C23984">
        <w:t xml:space="preserve"> OPA GMT one month after vaccination) </w:t>
      </w:r>
      <w:r w:rsidRPr="00C23984">
        <w:t>induced by 20vPCV compared to:</w:t>
      </w:r>
    </w:p>
    <w:p w14:paraId="7DCE6786" w14:textId="500020C2" w:rsidR="00793F8B" w:rsidRDefault="00793F8B" w:rsidP="00227608">
      <w:pPr>
        <w:pStyle w:val="ListBulletlvl2"/>
        <w:numPr>
          <w:ilvl w:val="1"/>
          <w:numId w:val="20"/>
        </w:numPr>
      </w:pPr>
      <w:r>
        <w:t>13vPCV for the shared 13 serotypes in 13vPCV (1, 3, 4, 5, 6A, 6B, 7F, 9V, 14, 18C, 19A, 19F, and 23F)</w:t>
      </w:r>
      <w:r w:rsidR="00804E48">
        <w:t>; and</w:t>
      </w:r>
    </w:p>
    <w:p w14:paraId="72668BDE" w14:textId="56138BDD" w:rsidR="00793F8B" w:rsidRDefault="00793F8B" w:rsidP="00227608">
      <w:pPr>
        <w:pStyle w:val="ListBulletlvl2"/>
        <w:numPr>
          <w:ilvl w:val="1"/>
          <w:numId w:val="20"/>
        </w:numPr>
      </w:pPr>
      <w:r>
        <w:t>23vPPV for the 7 additional serotypes (8, 10A, 11A, 12F, 15B, 22F, and 33F)</w:t>
      </w:r>
      <w:r w:rsidR="00804E48">
        <w:t>.</w:t>
      </w:r>
    </w:p>
    <w:p w14:paraId="6310BE28" w14:textId="5CF39943" w:rsidR="00793F8B" w:rsidRPr="00293C27" w:rsidRDefault="00793F8B" w:rsidP="00036C51">
      <w:pPr>
        <w:pStyle w:val="3-BodyText"/>
      </w:pPr>
      <w:r w:rsidRPr="3738BD90">
        <w:t xml:space="preserve">Evidence to support clinical claims (non-inferiority/superiority) of 20vPCV to 13vPCV and </w:t>
      </w:r>
      <w:r w:rsidR="00BB700F" w:rsidRPr="3738BD90">
        <w:t>23vP</w:t>
      </w:r>
      <w:r w:rsidR="00BB700F">
        <w:t>P</w:t>
      </w:r>
      <w:r w:rsidR="00BB700F" w:rsidRPr="3738BD90">
        <w:t xml:space="preserve">V </w:t>
      </w:r>
      <w:r w:rsidRPr="3738BD90">
        <w:t>for populations aged 18 to 59</w:t>
      </w:r>
      <w:r w:rsidR="00C639C6">
        <w:t xml:space="preserve"> years</w:t>
      </w:r>
      <w:r w:rsidRPr="3738BD90">
        <w:t xml:space="preserve"> were based on secondary objectives to demonstrate non-inferiority of immune response to the 20 serotypes in 20vPCV (</w:t>
      </w:r>
      <w:proofErr w:type="spellStart"/>
      <w:r w:rsidRPr="3738BD90">
        <w:t>i</w:t>
      </w:r>
      <w:proofErr w:type="spellEnd"/>
      <w:r w:rsidRPr="3738BD90">
        <w:t>) between adults ≥</w:t>
      </w:r>
      <w:r w:rsidR="00B07E7A">
        <w:t xml:space="preserve"> </w:t>
      </w:r>
      <w:r w:rsidRPr="3738BD90">
        <w:t>60 years (Cohort 1) and adults 50 to 59 (Cohort 2) and (ii) between adults ≥</w:t>
      </w:r>
      <w:r w:rsidR="00B07E7A">
        <w:t xml:space="preserve"> </w:t>
      </w:r>
      <w:r w:rsidRPr="3738BD90">
        <w:t>60 years (Cohort 1) and adults 18 to 49 (Cohort 3).</w:t>
      </w:r>
    </w:p>
    <w:p w14:paraId="145BDDC6" w14:textId="0666BFD1" w:rsidR="00793F8B" w:rsidRPr="004E375B" w:rsidRDefault="00793F8B" w:rsidP="008577A8">
      <w:pPr>
        <w:pStyle w:val="3-BodyText"/>
      </w:pPr>
      <w:r>
        <w:t xml:space="preserve">Across both objectives, the non-inferiority criteria that defined the OPA GMR outcome were the lower bound of the 2-sided 95% </w:t>
      </w:r>
      <w:r w:rsidR="005C6FE1">
        <w:t>confidence interval (</w:t>
      </w:r>
      <w:r>
        <w:t>CI</w:t>
      </w:r>
      <w:r w:rsidR="005C6FE1">
        <w:t>)</w:t>
      </w:r>
      <w:r>
        <w:t xml:space="preserve"> of the OPA GMR &gt;</w:t>
      </w:r>
      <w:r w:rsidR="00804E48">
        <w:t xml:space="preserve"> </w:t>
      </w:r>
      <w:r>
        <w:t xml:space="preserve">0.50. </w:t>
      </w:r>
      <w:r w:rsidRPr="004E375B">
        <w:rPr>
          <w:iCs/>
        </w:rPr>
        <w:t>OPA GMR &gt;</w:t>
      </w:r>
      <w:r w:rsidR="00804E48" w:rsidRPr="004E375B">
        <w:rPr>
          <w:iCs/>
        </w:rPr>
        <w:t xml:space="preserve"> </w:t>
      </w:r>
      <w:r w:rsidRPr="004E375B">
        <w:rPr>
          <w:iCs/>
        </w:rPr>
        <w:t xml:space="preserve">0.5 is lower than the World Health Organisation (WHO) recommended lower bound of the 95% </w:t>
      </w:r>
      <w:r w:rsidR="005C6FE1" w:rsidRPr="004E375B">
        <w:rPr>
          <w:iCs/>
        </w:rPr>
        <w:t>CI</w:t>
      </w:r>
      <w:r w:rsidRPr="004E375B">
        <w:rPr>
          <w:iCs/>
        </w:rPr>
        <w:t xml:space="preserve"> of 0.67. ATAGI has considered 0.5 </w:t>
      </w:r>
      <w:r w:rsidR="006E6EC8" w:rsidRPr="004E375B">
        <w:rPr>
          <w:iCs/>
        </w:rPr>
        <w:t xml:space="preserve">to be </w:t>
      </w:r>
      <w:r w:rsidR="002B2B02" w:rsidRPr="004E375B">
        <w:rPr>
          <w:iCs/>
        </w:rPr>
        <w:t>acceptable but</w:t>
      </w:r>
      <w:r w:rsidRPr="004E375B">
        <w:rPr>
          <w:iCs/>
        </w:rPr>
        <w:t xml:space="preserve"> noted concerns regarding the use of low thresholds that could result </w:t>
      </w:r>
      <w:r w:rsidRPr="004E375B">
        <w:rPr>
          <w:iCs/>
        </w:rPr>
        <w:lastRenderedPageBreak/>
        <w:t xml:space="preserve">in acceptance of subsequent vaccines despite inferior immunogenicity to an originally licensed vaccine (“downward drift”) and </w:t>
      </w:r>
      <w:r w:rsidR="002B2B02" w:rsidRPr="00683533">
        <w:t>that this concern may need to be considered alongside any future use of the ‘totality of evidence’ approach</w:t>
      </w:r>
      <w:r w:rsidRPr="004E375B">
        <w:rPr>
          <w:iCs/>
        </w:rPr>
        <w:t xml:space="preserve"> (</w:t>
      </w:r>
      <w:r w:rsidR="003E5619" w:rsidRPr="004E375B">
        <w:rPr>
          <w:iCs/>
        </w:rPr>
        <w:t xml:space="preserve">p31, </w:t>
      </w:r>
      <w:r w:rsidRPr="004E375B">
        <w:rPr>
          <w:iCs/>
        </w:rPr>
        <w:t>Prevenar 20, ATAGI pre-submission advice</w:t>
      </w:r>
      <w:r w:rsidR="00F137BC">
        <w:rPr>
          <w:iCs/>
        </w:rPr>
        <w:t xml:space="preserve"> to PBAC</w:t>
      </w:r>
      <w:r w:rsidRPr="004E375B">
        <w:rPr>
          <w:iCs/>
        </w:rPr>
        <w:t>, April 2022).</w:t>
      </w:r>
      <w:r w:rsidR="002A6B5C">
        <w:rPr>
          <w:iCs/>
        </w:rPr>
        <w:t xml:space="preserve"> </w:t>
      </w:r>
      <w:r w:rsidR="002A6B5C" w:rsidRPr="00683533">
        <w:t xml:space="preserve">The PSCR </w:t>
      </w:r>
      <w:r w:rsidR="008577A8" w:rsidRPr="00683533">
        <w:t xml:space="preserve">noted that ‘downward drift’ </w:t>
      </w:r>
      <w:r w:rsidR="00112DFA" w:rsidRPr="00683533">
        <w:t xml:space="preserve">is less applicable to </w:t>
      </w:r>
      <w:bookmarkStart w:id="25" w:name="_Hlk116456253"/>
      <w:r w:rsidR="00112DFA" w:rsidRPr="00683533">
        <w:t>adult pneumococcal vaccines as</w:t>
      </w:r>
      <w:r w:rsidR="003F14B7" w:rsidRPr="00683533">
        <w:t xml:space="preserve"> </w:t>
      </w:r>
      <w:r w:rsidR="002B2B02" w:rsidRPr="00683533">
        <w:t>13vPCV</w:t>
      </w:r>
      <w:r w:rsidR="00112DFA" w:rsidRPr="00683533">
        <w:t xml:space="preserve"> was the first pneumococcal conjugate vaccine licensed in adults</w:t>
      </w:r>
      <w:bookmarkEnd w:id="25"/>
      <w:r w:rsidR="007B10A9" w:rsidRPr="00683533">
        <w:t>. The PSCR further</w:t>
      </w:r>
      <w:r w:rsidR="002B2B02" w:rsidRPr="00683533">
        <w:t xml:space="preserve"> </w:t>
      </w:r>
      <w:r w:rsidR="00112DFA" w:rsidRPr="00683533">
        <w:t>not</w:t>
      </w:r>
      <w:r w:rsidR="002B2B02" w:rsidRPr="00683533">
        <w:t>ed</w:t>
      </w:r>
      <w:r w:rsidR="00112DFA" w:rsidRPr="00683533">
        <w:t xml:space="preserve"> that it would be difficult to achieve </w:t>
      </w:r>
      <w:r w:rsidR="002B2B02" w:rsidRPr="00683533">
        <w:t xml:space="preserve">the </w:t>
      </w:r>
      <w:r w:rsidR="00112DFA" w:rsidRPr="00683533">
        <w:t>large sample sizes required to assess non-inferiority of vaccines with multiple antigens.</w:t>
      </w:r>
    </w:p>
    <w:p w14:paraId="2357B538" w14:textId="679AD12A" w:rsidR="00793F8B" w:rsidRPr="004E375B" w:rsidRDefault="00793F8B" w:rsidP="00036C51">
      <w:pPr>
        <w:pStyle w:val="3-BodyText"/>
        <w:rPr>
          <w:color w:val="0066FF"/>
        </w:rPr>
      </w:pPr>
      <w:r w:rsidRPr="004E375B">
        <w:t>Superiority criteria or thresholds were not specified in the submission or the B7471007 Clinical Study Report.</w:t>
      </w:r>
      <w:r w:rsidR="003F14B7" w:rsidRPr="003F14B7">
        <w:t xml:space="preserve"> </w:t>
      </w:r>
      <w:r w:rsidR="003F14B7" w:rsidRPr="00683533">
        <w:rPr>
          <w:iCs/>
        </w:rPr>
        <w:t xml:space="preserve">The PSCR provided additional information regarding the pre-specified statistical plans to test and demonstrate superiority. The PSCR indicated that superiority for the 7 additional serotypes would only be tested after non-inferiority was achieved for the 7 serotypes. The results presented in B7471007 showed that lower bound of </w:t>
      </w:r>
      <w:r w:rsidR="00F87D6A" w:rsidRPr="00683533">
        <w:rPr>
          <w:iCs/>
        </w:rPr>
        <w:t xml:space="preserve">the </w:t>
      </w:r>
      <w:r w:rsidR="003F14B7" w:rsidRPr="00683533">
        <w:rPr>
          <w:iCs/>
        </w:rPr>
        <w:t xml:space="preserve">95% CI for serotype 8 was 0.49, therefore, did not meet non-inferiority criteria. </w:t>
      </w:r>
      <w:r w:rsidR="00EF4CD4">
        <w:rPr>
          <w:iCs/>
        </w:rPr>
        <w:t>Therefore,</w:t>
      </w:r>
      <w:r w:rsidR="003F14B7" w:rsidRPr="00683533">
        <w:rPr>
          <w:iCs/>
        </w:rPr>
        <w:t xml:space="preserve"> superiority for the 7 additional serotypes could not be tested </w:t>
      </w:r>
      <w:r w:rsidR="00EF4CD4">
        <w:rPr>
          <w:iCs/>
        </w:rPr>
        <w:t>and</w:t>
      </w:r>
      <w:r w:rsidR="003F14B7" w:rsidRPr="00683533">
        <w:rPr>
          <w:iCs/>
        </w:rPr>
        <w:t xml:space="preserve"> it would be reasonable to exercise caution when interpreting these results.</w:t>
      </w:r>
      <w:r w:rsidR="003310AE">
        <w:rPr>
          <w:iCs/>
        </w:rPr>
        <w:t xml:space="preserve"> </w:t>
      </w:r>
    </w:p>
    <w:p w14:paraId="280571D3" w14:textId="63F1D727" w:rsidR="000471D5" w:rsidRPr="004E375B" w:rsidRDefault="000471D5" w:rsidP="00036C51">
      <w:pPr>
        <w:pStyle w:val="3-BodyText"/>
        <w:rPr>
          <w:iCs/>
        </w:rPr>
      </w:pPr>
      <w:r w:rsidRPr="004E375B">
        <w:t xml:space="preserve">Although the trial included participants that covered the relevant age groups for the proposed NIP listing, the following differences to the proposed </w:t>
      </w:r>
      <w:r w:rsidR="005D38B3" w:rsidRPr="004E375B">
        <w:t xml:space="preserve">listing </w:t>
      </w:r>
      <w:r w:rsidRPr="004E375B">
        <w:t>were noted:</w:t>
      </w:r>
    </w:p>
    <w:p w14:paraId="578B29E3" w14:textId="140FB424" w:rsidR="007D4D11" w:rsidRPr="004E375B" w:rsidRDefault="007D4D11" w:rsidP="00227608">
      <w:pPr>
        <w:pStyle w:val="ListParagraph"/>
        <w:numPr>
          <w:ilvl w:val="0"/>
          <w:numId w:val="21"/>
        </w:numPr>
        <w:rPr>
          <w:iCs/>
        </w:rPr>
      </w:pPr>
      <w:r w:rsidRPr="004E375B">
        <w:t>Non-indigenous adults aged ≥</w:t>
      </w:r>
      <w:r w:rsidR="00804E48" w:rsidRPr="004E375B">
        <w:t xml:space="preserve"> </w:t>
      </w:r>
      <w:r w:rsidRPr="004E375B">
        <w:t xml:space="preserve">70 years. </w:t>
      </w:r>
      <w:r w:rsidRPr="004E375B">
        <w:rPr>
          <w:iCs/>
        </w:rPr>
        <w:t>Only 12.9% of participants in Cohort 1 were aged ≥</w:t>
      </w:r>
      <w:r w:rsidR="00804E48" w:rsidRPr="004E375B">
        <w:rPr>
          <w:iCs/>
        </w:rPr>
        <w:t xml:space="preserve"> </w:t>
      </w:r>
      <w:r w:rsidRPr="004E375B">
        <w:rPr>
          <w:iCs/>
        </w:rPr>
        <w:t xml:space="preserve">70 years. </w:t>
      </w:r>
    </w:p>
    <w:p w14:paraId="10D2C302" w14:textId="1F3C9BFF" w:rsidR="007D4D11" w:rsidRPr="004E375B" w:rsidRDefault="007D4D11" w:rsidP="00227608">
      <w:pPr>
        <w:pStyle w:val="ListParagraph"/>
        <w:numPr>
          <w:ilvl w:val="0"/>
          <w:numId w:val="21"/>
        </w:numPr>
      </w:pPr>
      <w:r w:rsidRPr="004E375B">
        <w:t>Aboriginal and Torres Strait Islander adults aged ≥</w:t>
      </w:r>
      <w:r w:rsidR="00804E48" w:rsidRPr="004E375B">
        <w:t xml:space="preserve"> </w:t>
      </w:r>
      <w:r w:rsidRPr="004E375B">
        <w:t xml:space="preserve">50 years and aged 25-49 </w:t>
      </w:r>
      <w:r w:rsidR="00804E48" w:rsidRPr="004E375B">
        <w:t xml:space="preserve"> years </w:t>
      </w:r>
      <w:r w:rsidRPr="004E375B">
        <w:t xml:space="preserve">(expanded NIP population). </w:t>
      </w:r>
      <w:r w:rsidRPr="004E375B">
        <w:rPr>
          <w:iCs/>
        </w:rPr>
        <w:t>There is a lack of racial diversity across all 3 age cohorts. Although native populations such as American Indian or Alaska Native were included in the trial, these represented less than 0.7% across all 3 cohorts. The majority (&gt;</w:t>
      </w:r>
      <w:r w:rsidR="00A6730C" w:rsidRPr="004E375B">
        <w:rPr>
          <w:iCs/>
        </w:rPr>
        <w:t xml:space="preserve"> </w:t>
      </w:r>
      <w:r w:rsidRPr="004E375B">
        <w:rPr>
          <w:iCs/>
        </w:rPr>
        <w:t>82.7%) of the participants were white.</w:t>
      </w:r>
      <w:r w:rsidRPr="004E375B">
        <w:t xml:space="preserve"> </w:t>
      </w:r>
    </w:p>
    <w:p w14:paraId="008FD987" w14:textId="52E1B089" w:rsidR="007D4D11" w:rsidRPr="004E375B" w:rsidRDefault="007D4D11" w:rsidP="00227608">
      <w:pPr>
        <w:pStyle w:val="ListParagraph"/>
        <w:numPr>
          <w:ilvl w:val="0"/>
          <w:numId w:val="21"/>
        </w:numPr>
        <w:rPr>
          <w:iCs/>
        </w:rPr>
      </w:pPr>
      <w:r w:rsidRPr="004E375B">
        <w:t xml:space="preserve">Adults </w:t>
      </w:r>
      <w:r w:rsidR="00A6730C" w:rsidRPr="004E375B">
        <w:t xml:space="preserve">aged </w:t>
      </w:r>
      <w:r w:rsidRPr="004E375B">
        <w:t>&gt;</w:t>
      </w:r>
      <w:r w:rsidR="00A6730C" w:rsidRPr="004E375B">
        <w:t xml:space="preserve"> </w:t>
      </w:r>
      <w:r w:rsidRPr="004E375B">
        <w:t xml:space="preserve">18 years with NIP-funded risk conditions for pneumococcal disease. 33.1% of </w:t>
      </w:r>
      <w:r w:rsidR="00594F47">
        <w:t>individual</w:t>
      </w:r>
      <w:r w:rsidRPr="004E375B">
        <w:t xml:space="preserve">s across all 3 age cohorts had one or more risk factors for serious pneumococcal infection. </w:t>
      </w:r>
      <w:r w:rsidRPr="004E375B">
        <w:rPr>
          <w:iCs/>
        </w:rPr>
        <w:t>However, none of these risk factors reflect the NIP-funded risk conditions for pneumococcal disease.</w:t>
      </w:r>
    </w:p>
    <w:p w14:paraId="4267FDDD" w14:textId="77777777" w:rsidR="00D41F50" w:rsidRPr="00AE65AF" w:rsidRDefault="00D41F50" w:rsidP="00D41F50">
      <w:pPr>
        <w:keepNext/>
      </w:pPr>
      <w:r w:rsidRPr="00D41F50">
        <w:rPr>
          <w:b/>
          <w:bCs/>
        </w:rPr>
        <w:t>Indirect treatment comparisons between 20vPCV and 15vPCV: immunogenicity</w:t>
      </w:r>
    </w:p>
    <w:p w14:paraId="2998D38E" w14:textId="1B7BC441" w:rsidR="007D4D11" w:rsidRPr="004E375B" w:rsidRDefault="007D4D11" w:rsidP="003E5619">
      <w:pPr>
        <w:pStyle w:val="3-BodyText"/>
        <w:spacing w:before="120"/>
      </w:pPr>
      <w:r w:rsidRPr="00C23984">
        <w:t xml:space="preserve">The submission performed four meta-analyses (20vPCV vs 13vPCV and 15vPCV vs 13vPCV across two age groups: </w:t>
      </w:r>
      <w:r w:rsidRPr="00825086">
        <w:t>age ≥</w:t>
      </w:r>
      <w:r w:rsidR="00A6730C">
        <w:t xml:space="preserve"> </w:t>
      </w:r>
      <w:r w:rsidRPr="00825086">
        <w:t>50 years, and age 18-49 years</w:t>
      </w:r>
      <w:r w:rsidRPr="00C23984">
        <w:t>) to generate data used in the indirect comparison</w:t>
      </w:r>
      <w:r w:rsidR="00D41F50">
        <w:t>s</w:t>
      </w:r>
      <w:r w:rsidR="00515A0B">
        <w:t xml:space="preserve"> v</w:t>
      </w:r>
      <w:r w:rsidR="00D41F50">
        <w:t>ersu</w:t>
      </w:r>
      <w:r w:rsidR="00515A0B">
        <w:t>s 15vPCV</w:t>
      </w:r>
      <w:r w:rsidRPr="00C23984">
        <w:t xml:space="preserve">. </w:t>
      </w:r>
    </w:p>
    <w:p w14:paraId="66F8BB50" w14:textId="7898E11C" w:rsidR="007D4D11" w:rsidRPr="00C23984" w:rsidRDefault="007D4D11" w:rsidP="00BE0030">
      <w:pPr>
        <w:pStyle w:val="3-BodyText"/>
        <w:spacing w:before="120"/>
      </w:pPr>
      <w:r w:rsidRPr="00C23984">
        <w:t xml:space="preserve">The submission conducted ITCs comparing serotype specific OPA GMRs between 20vPCV and 15vPCV, using 13vPCV as a common comparator, across nominated age </w:t>
      </w:r>
      <w:r w:rsidRPr="00825086">
        <w:t xml:space="preserve">groups: </w:t>
      </w:r>
      <w:r w:rsidR="004F197D">
        <w:t xml:space="preserve">indirect comparison 1 </w:t>
      </w:r>
      <w:r w:rsidRPr="00825086">
        <w:t>(IC1) age ≥</w:t>
      </w:r>
      <w:r w:rsidR="00A6730C">
        <w:t xml:space="preserve"> </w:t>
      </w:r>
      <w:r w:rsidRPr="00825086">
        <w:t xml:space="preserve">50 years, and </w:t>
      </w:r>
      <w:r w:rsidR="004F197D">
        <w:t xml:space="preserve">indirect comparison 2 </w:t>
      </w:r>
      <w:r w:rsidRPr="00825086">
        <w:t xml:space="preserve">(IC2) age 18-49 years. </w:t>
      </w:r>
      <w:r w:rsidRPr="00C23984">
        <w:t>The submission used the Bucher method to perform the indirect comparisons.</w:t>
      </w:r>
    </w:p>
    <w:p w14:paraId="6F36D167" w14:textId="77777777" w:rsidR="007D4D11" w:rsidRPr="00C23984" w:rsidRDefault="007D4D11" w:rsidP="00036C51">
      <w:pPr>
        <w:pStyle w:val="3-BodyText"/>
      </w:pPr>
      <w:r w:rsidRPr="00825086">
        <w:lastRenderedPageBreak/>
        <w:t xml:space="preserve">Data used for IC1 were obtained from B7471007 Cohorts 1 and 2 for 20vPCV and PNEU-AGE, PNEU-PATH and PNEU-TRUE for 15vPCV. For IC2, data were from B7471007 Cohort 3 and B7471008 for 20vPCV and PNEU-DAY for 15vPCV. </w:t>
      </w:r>
    </w:p>
    <w:p w14:paraId="250C3CC7" w14:textId="4A6D6F6A" w:rsidR="007D4D11" w:rsidRPr="004E375B" w:rsidRDefault="007D4D11" w:rsidP="00036C51">
      <w:pPr>
        <w:pStyle w:val="3-BodyText"/>
      </w:pPr>
      <w:r w:rsidRPr="004E375B">
        <w:t xml:space="preserve">Only a small proportion of participants in B7471007 Cohort 1 were aged </w:t>
      </w:r>
      <w:r w:rsidR="005F37CD" w:rsidRPr="004E375B">
        <w:rPr>
          <w:iCs/>
        </w:rPr>
        <w:t xml:space="preserve">≥ </w:t>
      </w:r>
      <w:r w:rsidRPr="004E375B">
        <w:t>70 (12.9%). Further, it was observed that OPA GMTs of those in younger age groups (Cohorts 2 and 3) were often higher than those of older participants in Cohort 1. Therefore, including data from a younger age group (≥</w:t>
      </w:r>
      <w:r w:rsidR="008D7F33" w:rsidRPr="004E375B">
        <w:t xml:space="preserve"> </w:t>
      </w:r>
      <w:r w:rsidRPr="004E375B">
        <w:t xml:space="preserve">50 years) to represent those over 70 </w:t>
      </w:r>
      <w:r w:rsidR="008D7F33" w:rsidRPr="004E375B">
        <w:t xml:space="preserve">years </w:t>
      </w:r>
      <w:r w:rsidRPr="004E375B">
        <w:t>may overestimate the effect.</w:t>
      </w:r>
    </w:p>
    <w:p w14:paraId="6184688C" w14:textId="24BEC68A" w:rsidR="007D4D11" w:rsidRPr="004E375B" w:rsidRDefault="007D4D11" w:rsidP="00036C51">
      <w:pPr>
        <w:pStyle w:val="3-BodyText"/>
      </w:pPr>
      <w:r w:rsidRPr="004E375B">
        <w:t xml:space="preserve">The submission combined data from studies that were designed for different purposes; for example, B7471008 and PNEU-TRUE were designed to evaluate batch consistency. Only the pivotal trials, B7471007 and PNEU-AGE, were designed for comparative assessment while the remaining trials were descriptive studies without formal hypothesis testing. Additionally, ATAGI had cautioned that </w:t>
      </w:r>
      <w:r w:rsidR="00CA792A">
        <w:t>‘</w:t>
      </w:r>
      <w:r w:rsidRPr="004E375B">
        <w:t xml:space="preserve">while inclusion and exclusion criteria </w:t>
      </w:r>
      <w:r w:rsidR="00CA792A" w:rsidRPr="00683533">
        <w:rPr>
          <w:iCs/>
        </w:rPr>
        <w:t>were otherwise</w:t>
      </w:r>
      <w:r w:rsidR="00CA792A" w:rsidRPr="004E375B">
        <w:t xml:space="preserve"> </w:t>
      </w:r>
      <w:r w:rsidRPr="004E375B">
        <w:t xml:space="preserve">similar across </w:t>
      </w:r>
      <w:r w:rsidR="00CA792A" w:rsidRPr="00683533">
        <w:rPr>
          <w:iCs/>
        </w:rPr>
        <w:t>the</w:t>
      </w:r>
      <w:r w:rsidR="00CA792A">
        <w:t xml:space="preserve"> </w:t>
      </w:r>
      <w:r w:rsidRPr="004E375B">
        <w:t>studies, specific differences in subject populations across studies were not controlled</w:t>
      </w:r>
      <w:r w:rsidR="00CA792A">
        <w:t>.</w:t>
      </w:r>
      <w:r w:rsidRPr="004E375B">
        <w:t xml:space="preserve"> </w:t>
      </w:r>
      <w:r w:rsidR="00CA792A" w:rsidRPr="00683533">
        <w:rPr>
          <w:iCs/>
        </w:rPr>
        <w:t>Cross-study comparative conclusions must be drawn with caution, as the uncontrolled factors could impact on the immune responses and confound the interpretation of cross-study results’</w:t>
      </w:r>
      <w:r w:rsidR="00CA792A">
        <w:t xml:space="preserve"> </w:t>
      </w:r>
      <w:r w:rsidRPr="004E375B">
        <w:t xml:space="preserve">(p69, 20vPCV </w:t>
      </w:r>
      <w:r w:rsidR="008D7F33" w:rsidRPr="004E375B">
        <w:t xml:space="preserve">TGA </w:t>
      </w:r>
      <w:r w:rsidRPr="004E375B">
        <w:t xml:space="preserve">Clinical Evaluation Report, 2021). For example, although the mean ages of B7471007 (Cohort 3) and B7471008 (Cohort 3) were similar (34.0 vs 35.4 years), the distribution of race across these studies varied. </w:t>
      </w:r>
    </w:p>
    <w:p w14:paraId="2FAB9CED" w14:textId="1B6F87C3" w:rsidR="007D4D11" w:rsidRPr="004E375B" w:rsidRDefault="007D4D11" w:rsidP="00036C51">
      <w:pPr>
        <w:pStyle w:val="3-BodyText"/>
      </w:pPr>
      <w:r w:rsidRPr="00C23984">
        <w:t>The submission stated that indirect comparisons were not specifically conducted for the following requested NIP populations</w:t>
      </w:r>
      <w:r w:rsidR="00DC7081" w:rsidRPr="00DC7081">
        <w:t xml:space="preserve"> </w:t>
      </w:r>
      <w:r w:rsidR="005F37CD">
        <w:t>due to</w:t>
      </w:r>
      <w:r w:rsidR="00DC7081" w:rsidRPr="00825086">
        <w:t xml:space="preserve"> a lack of data specific to these populations and for the required combination of vaccination schedule</w:t>
      </w:r>
      <w:r w:rsidR="005C6FE1">
        <w:t>:</w:t>
      </w:r>
      <w:r w:rsidRPr="00C23984">
        <w:t xml:space="preserve"> non-Indigenous adults </w:t>
      </w:r>
      <w:r w:rsidRPr="00825086">
        <w:t>≥</w:t>
      </w:r>
      <w:r w:rsidR="005C6FE1">
        <w:t xml:space="preserve"> </w:t>
      </w:r>
      <w:r w:rsidRPr="00825086">
        <w:t>70 years, Aboriginal and Torres Strait Islander populations and adults (≥</w:t>
      </w:r>
      <w:r w:rsidR="005C6FE1">
        <w:t xml:space="preserve"> </w:t>
      </w:r>
      <w:r w:rsidRPr="00825086">
        <w:t xml:space="preserve">18 years) with specified risk conditions for pneumococcal disease. </w:t>
      </w:r>
      <w:r w:rsidRPr="004E375B">
        <w:t xml:space="preserve">Evidence to support these populations were proxied using the indirect comparisons conducted by age groups. </w:t>
      </w:r>
    </w:p>
    <w:p w14:paraId="65AFF04F" w14:textId="572AD0A3" w:rsidR="00822F9C" w:rsidRDefault="007D4D11" w:rsidP="00036C51">
      <w:pPr>
        <w:pStyle w:val="3-BodyText"/>
      </w:pPr>
      <w:r w:rsidRPr="00C23984">
        <w:t xml:space="preserve">The submission nominated the non-inferiority margin as the </w:t>
      </w:r>
      <w:r w:rsidRPr="00825086">
        <w:t>lower bound of the 95% CI &gt;</w:t>
      </w:r>
      <w:r w:rsidR="005C6FE1">
        <w:t xml:space="preserve"> </w:t>
      </w:r>
      <w:r w:rsidRPr="00825086">
        <w:t xml:space="preserve">0.5 as it was used by both the 20vPCV and 15vPCV pivotal trials. </w:t>
      </w:r>
    </w:p>
    <w:p w14:paraId="08FFC4BA" w14:textId="34744D70" w:rsidR="007D4D11" w:rsidRPr="00822F9C" w:rsidRDefault="00822F9C" w:rsidP="00822F9C">
      <w:pPr>
        <w:spacing w:after="160" w:line="259" w:lineRule="auto"/>
        <w:jc w:val="left"/>
        <w:rPr>
          <w:rFonts w:asciiTheme="minorHAnsi" w:eastAsia="Calibri" w:hAnsiTheme="minorHAnsi"/>
          <w:snapToGrid w:val="0"/>
        </w:rPr>
      </w:pPr>
      <w:r>
        <w:br w:type="page"/>
      </w:r>
    </w:p>
    <w:p w14:paraId="29A2FA17" w14:textId="77777777" w:rsidR="007D4D11" w:rsidRPr="00C9624D" w:rsidRDefault="007D4D11" w:rsidP="007D4D11">
      <w:pPr>
        <w:pStyle w:val="4-SubsectionHeading"/>
      </w:pPr>
      <w:bookmarkStart w:id="26" w:name="_Toc22897641"/>
      <w:bookmarkStart w:id="27" w:name="_Toc114061398"/>
      <w:r w:rsidRPr="00C9624D">
        <w:lastRenderedPageBreak/>
        <w:t>Comparative effectiveness</w:t>
      </w:r>
      <w:bookmarkEnd w:id="26"/>
      <w:bookmarkEnd w:id="27"/>
    </w:p>
    <w:p w14:paraId="6C6113B4" w14:textId="4FFFFA55" w:rsidR="007D4D11" w:rsidRDefault="007D4D11" w:rsidP="00036C51">
      <w:pPr>
        <w:pStyle w:val="3-BodyText"/>
      </w:pPr>
      <w:r>
        <w:t xml:space="preserve">A summary of the OPA GMRs in adults aged </w:t>
      </w:r>
      <w:r w:rsidRPr="00036C51">
        <w:rPr>
          <w:rFonts w:cs="Calibri"/>
        </w:rPr>
        <w:t>≥</w:t>
      </w:r>
      <w:r>
        <w:t xml:space="preserve"> 60 years for the 13 shared and 7 additional serotypes is presented in </w:t>
      </w:r>
      <w:r w:rsidR="00C052E6">
        <w:fldChar w:fldCharType="begin"/>
      </w:r>
      <w:r w:rsidR="00C052E6">
        <w:instrText xml:space="preserve"> REF _Ref113881622 \h  \* MERGEFORMAT </w:instrText>
      </w:r>
      <w:r w:rsidR="00C052E6">
        <w:fldChar w:fldCharType="separate"/>
      </w:r>
      <w:r w:rsidR="00137984" w:rsidRPr="00137984">
        <w:t>Table 6</w:t>
      </w:r>
      <w:r w:rsidR="00C052E6">
        <w:fldChar w:fldCharType="end"/>
      </w:r>
      <w:r w:rsidR="00C052E6">
        <w:t>.</w:t>
      </w:r>
    </w:p>
    <w:p w14:paraId="633DC7F1" w14:textId="188E2916" w:rsidR="007D4D11" w:rsidRPr="00EC5836" w:rsidRDefault="007D4D11" w:rsidP="007D4D11">
      <w:pPr>
        <w:pStyle w:val="Caption"/>
        <w:rPr>
          <w:rStyle w:val="CommentReference"/>
          <w:b/>
          <w:szCs w:val="24"/>
        </w:rPr>
      </w:pPr>
      <w:bookmarkStart w:id="28" w:name="_Ref113881622"/>
      <w:r>
        <w:rPr>
          <w:rStyle w:val="CommentReference"/>
          <w:b/>
        </w:rPr>
        <w:t xml:space="preserve">Table </w:t>
      </w:r>
      <w:r>
        <w:rPr>
          <w:rStyle w:val="CommentReference"/>
          <w:b/>
        </w:rPr>
        <w:fldChar w:fldCharType="begin"/>
      </w:r>
      <w:r w:rsidRPr="00BE0030">
        <w:rPr>
          <w:rFonts w:eastAsiaTheme="majorEastAsia"/>
        </w:rPr>
        <w:instrText xml:space="preserve"> SEQ Table \* ARABIC </w:instrText>
      </w:r>
      <w:r>
        <w:rPr>
          <w:rStyle w:val="CommentReference"/>
          <w:b/>
        </w:rPr>
        <w:fldChar w:fldCharType="separate"/>
      </w:r>
      <w:r w:rsidR="00137984">
        <w:rPr>
          <w:rFonts w:eastAsiaTheme="majorEastAsia"/>
          <w:noProof/>
        </w:rPr>
        <w:t>6</w:t>
      </w:r>
      <w:r>
        <w:rPr>
          <w:rStyle w:val="CommentReference"/>
          <w:b/>
        </w:rPr>
        <w:fldChar w:fldCharType="end"/>
      </w:r>
      <w:bookmarkEnd w:id="28"/>
      <w:r>
        <w:rPr>
          <w:rStyle w:val="CommentReference"/>
          <w:b/>
        </w:rPr>
        <w:t xml:space="preserve">: </w:t>
      </w:r>
      <w:r w:rsidRPr="005547CB">
        <w:rPr>
          <w:rStyle w:val="CommentReference"/>
          <w:b/>
          <w:bCs/>
        </w:rPr>
        <w:t>Result</w:t>
      </w:r>
      <w:r w:rsidRPr="00555BF3">
        <w:rPr>
          <w:rStyle w:val="CommentReference"/>
          <w:b/>
          <w:bCs/>
        </w:rPr>
        <w:t xml:space="preserve"> of OPA GMT and GMR for 13 shared </w:t>
      </w:r>
      <w:r w:rsidR="00B24F74" w:rsidRPr="00B24F74">
        <w:rPr>
          <w:rStyle w:val="CommentReference"/>
          <w:b/>
          <w:bCs/>
        </w:rPr>
        <w:t xml:space="preserve">and 7 additional </w:t>
      </w:r>
      <w:r w:rsidRPr="00555BF3">
        <w:rPr>
          <w:rStyle w:val="CommentReference"/>
          <w:b/>
          <w:bCs/>
        </w:rPr>
        <w:t>serotypes from Cohort 1 of B7471007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672"/>
        <w:gridCol w:w="848"/>
        <w:gridCol w:w="1437"/>
        <w:gridCol w:w="819"/>
        <w:gridCol w:w="718"/>
        <w:gridCol w:w="1457"/>
        <w:gridCol w:w="702"/>
        <w:gridCol w:w="1060"/>
        <w:gridCol w:w="723"/>
      </w:tblGrid>
      <w:tr w:rsidR="007D4D11" w14:paraId="6FBA343D" w14:textId="77777777" w:rsidTr="00C052E6">
        <w:trPr>
          <w:trHeight w:val="20"/>
          <w:tblHeader/>
        </w:trPr>
        <w:tc>
          <w:tcPr>
            <w:tcW w:w="3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2C4396" w14:textId="77777777" w:rsidR="007D4D11" w:rsidRDefault="007D4D11" w:rsidP="009A477A">
            <w:pPr>
              <w:pStyle w:val="TableFigureHeading"/>
            </w:pPr>
            <w:proofErr w:type="spellStart"/>
            <w:r>
              <w:t>Sero</w:t>
            </w:r>
            <w:proofErr w:type="spellEnd"/>
          </w:p>
          <w:p w14:paraId="4129C5EE" w14:textId="77777777" w:rsidR="007D4D11" w:rsidRDefault="007D4D11" w:rsidP="009A477A">
            <w:pPr>
              <w:pStyle w:val="TableFigureHeading"/>
            </w:pPr>
            <w:r>
              <w:t>type</w:t>
            </w:r>
          </w:p>
        </w:tc>
        <w:tc>
          <w:tcPr>
            <w:tcW w:w="33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A9B1FA3" w14:textId="77777777" w:rsidR="007D4D11" w:rsidRDefault="007D4D11" w:rsidP="009A477A">
            <w:pPr>
              <w:pStyle w:val="TableFigureHeading"/>
              <w:jc w:val="center"/>
            </w:pPr>
            <w:r>
              <w:t>Vaccine group (as randomised)</w:t>
            </w:r>
          </w:p>
        </w:tc>
        <w:tc>
          <w:tcPr>
            <w:tcW w:w="1378" w:type="pct"/>
            <w:gridSpan w:val="3"/>
            <w:vMerge w:val="restart"/>
            <w:tcBorders>
              <w:top w:val="single" w:sz="4" w:space="0" w:color="auto"/>
              <w:left w:val="single" w:sz="4" w:space="0" w:color="auto"/>
              <w:right w:val="single" w:sz="4" w:space="0" w:color="auto"/>
            </w:tcBorders>
            <w:shd w:val="clear" w:color="auto" w:fill="auto"/>
            <w:vAlign w:val="bottom"/>
            <w:hideMark/>
          </w:tcPr>
          <w:p w14:paraId="2C19AACD" w14:textId="77777777" w:rsidR="007D4D11" w:rsidRDefault="007D4D11" w:rsidP="009A477A">
            <w:pPr>
              <w:pStyle w:val="TableFigureHeading"/>
              <w:jc w:val="center"/>
            </w:pPr>
            <w:r>
              <w:t>Vaccine comparison</w:t>
            </w:r>
          </w:p>
        </w:tc>
      </w:tr>
      <w:tr w:rsidR="007D4D11" w14:paraId="3CC78784" w14:textId="77777777" w:rsidTr="00C052E6">
        <w:trPr>
          <w:trHeight w:val="341"/>
          <w:tblHeader/>
        </w:trPr>
        <w:tc>
          <w:tcPr>
            <w:tcW w:w="3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730A16" w14:textId="77777777" w:rsidR="007D4D11" w:rsidRDefault="007D4D11" w:rsidP="009A477A">
            <w:pPr>
              <w:jc w:val="left"/>
              <w:rPr>
                <w:rFonts w:ascii="Arial Narrow" w:eastAsiaTheme="majorEastAsia" w:hAnsi="Arial Narrow" w:cstheme="majorBidi"/>
                <w:b/>
                <w:bCs/>
                <w:sz w:val="20"/>
              </w:rPr>
            </w:pPr>
          </w:p>
        </w:tc>
        <w:tc>
          <w:tcPr>
            <w:tcW w:w="164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56C6A2" w14:textId="77777777" w:rsidR="007D4D11" w:rsidRDefault="007D4D11" w:rsidP="009A477A">
            <w:pPr>
              <w:pStyle w:val="TableFigureHeading"/>
              <w:jc w:val="center"/>
            </w:pPr>
            <w:r>
              <w:t>Vaccination 1                                                 20vPCV/saline</w:t>
            </w:r>
          </w:p>
        </w:tc>
        <w:tc>
          <w:tcPr>
            <w:tcW w:w="16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0F0A1F" w14:textId="77777777" w:rsidR="007D4D11" w:rsidRDefault="007D4D11" w:rsidP="009A477A">
            <w:pPr>
              <w:pStyle w:val="TableFigureHeading"/>
              <w:jc w:val="center"/>
            </w:pPr>
            <w:r>
              <w:t>Vaccination 1                                                13vPCV/23vPPV</w:t>
            </w:r>
          </w:p>
        </w:tc>
        <w:tc>
          <w:tcPr>
            <w:tcW w:w="1378" w:type="pct"/>
            <w:gridSpan w:val="3"/>
            <w:vMerge/>
            <w:tcBorders>
              <w:left w:val="single" w:sz="4" w:space="0" w:color="auto"/>
              <w:bottom w:val="single" w:sz="4" w:space="0" w:color="auto"/>
              <w:right w:val="single" w:sz="4" w:space="0" w:color="auto"/>
            </w:tcBorders>
            <w:shd w:val="clear" w:color="auto" w:fill="auto"/>
            <w:vAlign w:val="center"/>
            <w:hideMark/>
          </w:tcPr>
          <w:p w14:paraId="490415DC" w14:textId="77777777" w:rsidR="007D4D11" w:rsidRDefault="007D4D11" w:rsidP="009A477A">
            <w:pPr>
              <w:jc w:val="left"/>
              <w:rPr>
                <w:rFonts w:ascii="Arial Narrow" w:eastAsiaTheme="majorEastAsia" w:hAnsi="Arial Narrow" w:cstheme="majorBidi"/>
                <w:b/>
                <w:bCs/>
                <w:sz w:val="20"/>
              </w:rPr>
            </w:pPr>
          </w:p>
        </w:tc>
      </w:tr>
      <w:tr w:rsidR="007D4D11" w14:paraId="253C9E28" w14:textId="77777777" w:rsidTr="00C052E6">
        <w:trPr>
          <w:trHeight w:val="20"/>
          <w:tblHeader/>
        </w:trPr>
        <w:tc>
          <w:tcPr>
            <w:tcW w:w="3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6B0B0" w14:textId="77777777" w:rsidR="007D4D11" w:rsidRDefault="007D4D11" w:rsidP="009A477A">
            <w:pPr>
              <w:jc w:val="left"/>
              <w:rPr>
                <w:rFonts w:ascii="Arial Narrow" w:eastAsiaTheme="majorEastAsia" w:hAnsi="Arial Narrow" w:cstheme="majorBidi"/>
                <w:b/>
                <w:bCs/>
                <w:sz w:val="20"/>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532B2" w14:textId="77777777" w:rsidR="007D4D11" w:rsidRDefault="007D4D11" w:rsidP="009A477A">
            <w:pPr>
              <w:pStyle w:val="TableFigureHeading"/>
              <w:jc w:val="center"/>
              <w:rPr>
                <w:vertAlign w:val="superscript"/>
              </w:rPr>
            </w:pPr>
            <w:proofErr w:type="spellStart"/>
            <w:r>
              <w:t>n</w:t>
            </w:r>
            <w:r>
              <w:rPr>
                <w:vertAlign w:val="superscript"/>
              </w:rPr>
              <w:t>a</w:t>
            </w:r>
            <w:proofErr w:type="spellEnd"/>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69994" w14:textId="77777777" w:rsidR="007D4D11" w:rsidRDefault="007D4D11" w:rsidP="009A477A">
            <w:pPr>
              <w:pStyle w:val="TableFigureHeading"/>
              <w:jc w:val="center"/>
              <w:rPr>
                <w:vertAlign w:val="superscript"/>
              </w:rPr>
            </w:pPr>
            <w:proofErr w:type="spellStart"/>
            <w:r>
              <w:t>GMT</w:t>
            </w:r>
            <w:r>
              <w:rPr>
                <w:vertAlign w:val="superscript"/>
              </w:rPr>
              <w:t>b</w:t>
            </w:r>
            <w:proofErr w:type="spellEnd"/>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E7E1C" w14:textId="77777777" w:rsidR="007D4D11" w:rsidRDefault="007D4D11" w:rsidP="009A477A">
            <w:pPr>
              <w:pStyle w:val="TableFigureHeading"/>
              <w:jc w:val="center"/>
              <w:rPr>
                <w:vertAlign w:val="superscript"/>
              </w:rPr>
            </w:pPr>
            <w:r>
              <w:t>(95% CI)</w:t>
            </w:r>
            <w:r>
              <w:rPr>
                <w:vertAlign w:val="superscript"/>
              </w:rPr>
              <w:t>b</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8CC9D" w14:textId="77777777" w:rsidR="007D4D11" w:rsidRDefault="007D4D11" w:rsidP="009A477A">
            <w:pPr>
              <w:pStyle w:val="TableFigureHeading"/>
              <w:jc w:val="center"/>
            </w:pPr>
            <w:proofErr w:type="spellStart"/>
            <w:r>
              <w:t>n</w:t>
            </w:r>
            <w:r>
              <w:rPr>
                <w:vertAlign w:val="superscript"/>
              </w:rPr>
              <w:t>a</w:t>
            </w:r>
            <w:proofErr w:type="spellEnd"/>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E9812" w14:textId="77777777" w:rsidR="007D4D11" w:rsidRDefault="007D4D11" w:rsidP="009A477A">
            <w:pPr>
              <w:pStyle w:val="TableFigureHeading"/>
              <w:jc w:val="center"/>
            </w:pPr>
            <w:proofErr w:type="spellStart"/>
            <w:r>
              <w:t>GMT</w:t>
            </w:r>
            <w:r>
              <w:rPr>
                <w:vertAlign w:val="superscript"/>
              </w:rPr>
              <w:t>b</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2CE041" w14:textId="77777777" w:rsidR="007D4D11" w:rsidRDefault="007D4D11" w:rsidP="009A477A">
            <w:pPr>
              <w:pStyle w:val="TableFigureHeading"/>
              <w:jc w:val="center"/>
            </w:pPr>
            <w:r>
              <w:t>(95% CI)</w:t>
            </w:r>
            <w:r>
              <w:rPr>
                <w:vertAlign w:val="superscript"/>
              </w:rPr>
              <w:t>b</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3DECD" w14:textId="77777777" w:rsidR="007D4D11" w:rsidRDefault="007D4D11" w:rsidP="009A477A">
            <w:pPr>
              <w:pStyle w:val="TableFigureHeading"/>
              <w:jc w:val="center"/>
              <w:rPr>
                <w:vertAlign w:val="superscript"/>
              </w:rPr>
            </w:pPr>
            <w:proofErr w:type="spellStart"/>
            <w:r>
              <w:t>GMR</w:t>
            </w:r>
            <w:r>
              <w:rPr>
                <w:vertAlign w:val="superscript"/>
              </w:rPr>
              <w:t>c</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7395C" w14:textId="77777777" w:rsidR="007D4D11" w:rsidRDefault="007D4D11" w:rsidP="009A477A">
            <w:pPr>
              <w:pStyle w:val="TableFigureHeading"/>
              <w:jc w:val="center"/>
            </w:pPr>
            <w:r>
              <w:t>(95% CI)</w:t>
            </w:r>
            <w:r w:rsidRPr="00E31CED">
              <w:rPr>
                <w:vertAlign w:val="superscript"/>
              </w:rPr>
              <w:t>c</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165064ED" w14:textId="77777777" w:rsidR="007D4D11" w:rsidRPr="008305B5" w:rsidRDefault="007D4D11" w:rsidP="009A477A">
            <w:pPr>
              <w:pStyle w:val="TableFigureHeading"/>
              <w:jc w:val="center"/>
              <w:rPr>
                <w:vertAlign w:val="superscript"/>
              </w:rPr>
            </w:pPr>
            <w:r>
              <w:t>p-Value</w:t>
            </w:r>
            <w:r>
              <w:rPr>
                <w:vertAlign w:val="superscript"/>
              </w:rPr>
              <w:t>d</w:t>
            </w:r>
          </w:p>
        </w:tc>
      </w:tr>
      <w:tr w:rsidR="007D4D11" w14:paraId="7D7D7FC1" w14:textId="77777777" w:rsidTr="009A477A">
        <w:trPr>
          <w:trHeight w:val="20"/>
        </w:trPr>
        <w:tc>
          <w:tcPr>
            <w:tcW w:w="4599" w:type="pct"/>
            <w:gridSpan w:val="9"/>
            <w:tcBorders>
              <w:top w:val="single" w:sz="4" w:space="0" w:color="auto"/>
              <w:left w:val="single" w:sz="4" w:space="0" w:color="auto"/>
              <w:bottom w:val="single" w:sz="4" w:space="0" w:color="auto"/>
              <w:right w:val="single" w:sz="4" w:space="0" w:color="auto"/>
            </w:tcBorders>
            <w:vAlign w:val="center"/>
          </w:tcPr>
          <w:p w14:paraId="218C3801" w14:textId="36FABE76" w:rsidR="007D4D11" w:rsidRPr="002E3480" w:rsidRDefault="007D4D11" w:rsidP="009A477A">
            <w:pPr>
              <w:pStyle w:val="TableText0"/>
              <w:rPr>
                <w:b/>
                <w:bCs w:val="0"/>
                <w:i/>
                <w:iCs/>
              </w:rPr>
            </w:pPr>
            <w:r w:rsidRPr="009A0EF3">
              <w:rPr>
                <w:b/>
                <w:bCs w:val="0"/>
              </w:rPr>
              <w:t>Shared</w:t>
            </w:r>
            <w:r w:rsidR="00937916">
              <w:rPr>
                <w:b/>
                <w:bCs w:val="0"/>
              </w:rPr>
              <w:t xml:space="preserve"> </w:t>
            </w:r>
            <w:r w:rsidR="00937916" w:rsidRPr="00683533">
              <w:rPr>
                <w:b/>
                <w:bCs w:val="0"/>
                <w:iCs/>
              </w:rPr>
              <w:t>(20vPCV versus 13vPCV)</w:t>
            </w:r>
          </w:p>
        </w:tc>
        <w:tc>
          <w:tcPr>
            <w:tcW w:w="401" w:type="pct"/>
            <w:tcBorders>
              <w:top w:val="single" w:sz="4" w:space="0" w:color="auto"/>
              <w:left w:val="single" w:sz="4" w:space="0" w:color="auto"/>
              <w:bottom w:val="single" w:sz="4" w:space="0" w:color="auto"/>
              <w:right w:val="single" w:sz="4" w:space="0" w:color="auto"/>
            </w:tcBorders>
          </w:tcPr>
          <w:p w14:paraId="1B4D3F2E" w14:textId="77777777" w:rsidR="007D4D11" w:rsidRPr="009A0EF3" w:rsidRDefault="007D4D11" w:rsidP="009A477A">
            <w:pPr>
              <w:pStyle w:val="TableText0"/>
              <w:rPr>
                <w:b/>
                <w:bCs w:val="0"/>
              </w:rPr>
            </w:pPr>
          </w:p>
        </w:tc>
      </w:tr>
      <w:tr w:rsidR="007D4D11" w:rsidRPr="004E375B" w14:paraId="2DAF3E86"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vAlign w:val="center"/>
          </w:tcPr>
          <w:p w14:paraId="529B0A38" w14:textId="77777777" w:rsidR="007D4D11" w:rsidRPr="004E375B" w:rsidRDefault="007D4D11" w:rsidP="009A477A">
            <w:pPr>
              <w:pStyle w:val="TableText0"/>
            </w:pPr>
            <w:r w:rsidRPr="004E375B">
              <w:t>1</w:t>
            </w:r>
          </w:p>
        </w:tc>
        <w:tc>
          <w:tcPr>
            <w:tcW w:w="373" w:type="pct"/>
            <w:tcBorders>
              <w:top w:val="single" w:sz="4" w:space="0" w:color="auto"/>
              <w:left w:val="single" w:sz="4" w:space="0" w:color="auto"/>
              <w:bottom w:val="single" w:sz="4" w:space="0" w:color="auto"/>
              <w:right w:val="single" w:sz="4" w:space="0" w:color="auto"/>
            </w:tcBorders>
            <w:vAlign w:val="center"/>
          </w:tcPr>
          <w:p w14:paraId="20E3F0F8" w14:textId="77777777" w:rsidR="007D4D11" w:rsidRPr="004E375B" w:rsidRDefault="007D4D11" w:rsidP="009A477A">
            <w:pPr>
              <w:pStyle w:val="TableText0"/>
              <w:jc w:val="center"/>
            </w:pPr>
            <w:r w:rsidRPr="004E375B">
              <w:t>1430</w:t>
            </w:r>
          </w:p>
        </w:tc>
        <w:tc>
          <w:tcPr>
            <w:tcW w:w="470" w:type="pct"/>
            <w:tcBorders>
              <w:top w:val="single" w:sz="4" w:space="0" w:color="auto"/>
              <w:left w:val="single" w:sz="4" w:space="0" w:color="auto"/>
              <w:bottom w:val="single" w:sz="4" w:space="0" w:color="auto"/>
              <w:right w:val="single" w:sz="4" w:space="0" w:color="auto"/>
            </w:tcBorders>
            <w:vAlign w:val="center"/>
          </w:tcPr>
          <w:p w14:paraId="63A01FC6" w14:textId="77777777" w:rsidR="007D4D11" w:rsidRPr="004E375B" w:rsidRDefault="007D4D11" w:rsidP="009A477A">
            <w:pPr>
              <w:pStyle w:val="TableText0"/>
              <w:jc w:val="center"/>
            </w:pPr>
            <w:r w:rsidRPr="004E375B">
              <w:t>123.4</w:t>
            </w:r>
          </w:p>
        </w:tc>
        <w:tc>
          <w:tcPr>
            <w:tcW w:w="797" w:type="pct"/>
            <w:tcBorders>
              <w:top w:val="single" w:sz="4" w:space="0" w:color="auto"/>
              <w:left w:val="single" w:sz="4" w:space="0" w:color="auto"/>
              <w:bottom w:val="single" w:sz="4" w:space="0" w:color="auto"/>
              <w:right w:val="single" w:sz="4" w:space="0" w:color="auto"/>
            </w:tcBorders>
            <w:vAlign w:val="center"/>
          </w:tcPr>
          <w:p w14:paraId="10EFEC4A" w14:textId="77777777" w:rsidR="007D4D11" w:rsidRPr="004E375B" w:rsidRDefault="007D4D11" w:rsidP="009A477A">
            <w:pPr>
              <w:pStyle w:val="TableText0"/>
              <w:jc w:val="center"/>
            </w:pPr>
            <w:r w:rsidRPr="004E375B">
              <w:t>(112.3, 135.5)</w:t>
            </w:r>
          </w:p>
        </w:tc>
        <w:tc>
          <w:tcPr>
            <w:tcW w:w="454" w:type="pct"/>
            <w:tcBorders>
              <w:top w:val="single" w:sz="4" w:space="0" w:color="auto"/>
              <w:left w:val="single" w:sz="4" w:space="0" w:color="auto"/>
              <w:bottom w:val="single" w:sz="4" w:space="0" w:color="auto"/>
              <w:right w:val="single" w:sz="4" w:space="0" w:color="auto"/>
            </w:tcBorders>
            <w:vAlign w:val="center"/>
          </w:tcPr>
          <w:p w14:paraId="5F4881F0" w14:textId="77777777" w:rsidR="007D4D11" w:rsidRPr="004E375B" w:rsidRDefault="007D4D11" w:rsidP="009A477A">
            <w:pPr>
              <w:pStyle w:val="TableText0"/>
              <w:jc w:val="center"/>
            </w:pPr>
            <w:r w:rsidRPr="004E375B">
              <w:t>1419</w:t>
            </w:r>
          </w:p>
        </w:tc>
        <w:tc>
          <w:tcPr>
            <w:tcW w:w="398" w:type="pct"/>
            <w:tcBorders>
              <w:top w:val="single" w:sz="4" w:space="0" w:color="auto"/>
              <w:left w:val="single" w:sz="4" w:space="0" w:color="auto"/>
              <w:bottom w:val="single" w:sz="4" w:space="0" w:color="auto"/>
              <w:right w:val="single" w:sz="4" w:space="0" w:color="auto"/>
            </w:tcBorders>
            <w:vAlign w:val="center"/>
          </w:tcPr>
          <w:p w14:paraId="7BADB0B8" w14:textId="77777777" w:rsidR="007D4D11" w:rsidRPr="004E375B" w:rsidRDefault="007D4D11" w:rsidP="009A477A">
            <w:pPr>
              <w:pStyle w:val="TableText0"/>
              <w:jc w:val="center"/>
            </w:pPr>
            <w:r w:rsidRPr="004E375B">
              <w:t>153.8</w:t>
            </w:r>
          </w:p>
        </w:tc>
        <w:tc>
          <w:tcPr>
            <w:tcW w:w="808" w:type="pct"/>
            <w:tcBorders>
              <w:top w:val="single" w:sz="4" w:space="0" w:color="auto"/>
              <w:left w:val="single" w:sz="4" w:space="0" w:color="auto"/>
              <w:bottom w:val="single" w:sz="4" w:space="0" w:color="auto"/>
              <w:right w:val="single" w:sz="4" w:space="0" w:color="auto"/>
            </w:tcBorders>
            <w:vAlign w:val="center"/>
          </w:tcPr>
          <w:p w14:paraId="51618F8F" w14:textId="77777777" w:rsidR="007D4D11" w:rsidRPr="004E375B" w:rsidRDefault="007D4D11" w:rsidP="009A477A">
            <w:pPr>
              <w:pStyle w:val="TableText0"/>
              <w:jc w:val="center"/>
            </w:pPr>
            <w:r w:rsidRPr="004E375B">
              <w:t>(140.2, 168.8)</w:t>
            </w:r>
          </w:p>
        </w:tc>
        <w:tc>
          <w:tcPr>
            <w:tcW w:w="389" w:type="pct"/>
            <w:tcBorders>
              <w:top w:val="single" w:sz="4" w:space="0" w:color="auto"/>
              <w:left w:val="single" w:sz="4" w:space="0" w:color="auto"/>
              <w:bottom w:val="single" w:sz="4" w:space="0" w:color="auto"/>
              <w:right w:val="single" w:sz="4" w:space="0" w:color="auto"/>
            </w:tcBorders>
            <w:vAlign w:val="center"/>
          </w:tcPr>
          <w:p w14:paraId="26CD3F96" w14:textId="77777777" w:rsidR="007D4D11" w:rsidRPr="004E375B" w:rsidRDefault="007D4D11" w:rsidP="009A477A">
            <w:pPr>
              <w:pStyle w:val="TableText0"/>
              <w:jc w:val="center"/>
            </w:pPr>
            <w:r w:rsidRPr="004E375B">
              <w:t>0.80</w:t>
            </w:r>
          </w:p>
        </w:tc>
        <w:tc>
          <w:tcPr>
            <w:tcW w:w="588" w:type="pct"/>
            <w:tcBorders>
              <w:top w:val="single" w:sz="4" w:space="0" w:color="auto"/>
              <w:left w:val="single" w:sz="4" w:space="0" w:color="auto"/>
              <w:bottom w:val="single" w:sz="4" w:space="0" w:color="auto"/>
              <w:right w:val="single" w:sz="4" w:space="0" w:color="auto"/>
            </w:tcBorders>
            <w:vAlign w:val="center"/>
          </w:tcPr>
          <w:p w14:paraId="2B0D20C8" w14:textId="77777777" w:rsidR="007D4D11" w:rsidRPr="004E375B" w:rsidRDefault="007D4D11" w:rsidP="009A477A">
            <w:pPr>
              <w:pStyle w:val="TableText0"/>
              <w:jc w:val="center"/>
            </w:pPr>
            <w:r w:rsidRPr="004E375B">
              <w:t>(0.71, 0.90)</w:t>
            </w:r>
          </w:p>
        </w:tc>
        <w:tc>
          <w:tcPr>
            <w:tcW w:w="401" w:type="pct"/>
            <w:tcBorders>
              <w:top w:val="single" w:sz="4" w:space="0" w:color="auto"/>
              <w:left w:val="single" w:sz="4" w:space="0" w:color="auto"/>
              <w:bottom w:val="single" w:sz="4" w:space="0" w:color="auto"/>
              <w:right w:val="single" w:sz="4" w:space="0" w:color="auto"/>
            </w:tcBorders>
          </w:tcPr>
          <w:p w14:paraId="31AF507B" w14:textId="77777777" w:rsidR="007D4D11" w:rsidRPr="004E375B" w:rsidRDefault="007D4D11" w:rsidP="009A477A">
            <w:pPr>
              <w:pStyle w:val="TableText0"/>
              <w:jc w:val="center"/>
              <w:rPr>
                <w:iCs/>
              </w:rPr>
            </w:pPr>
            <w:r w:rsidRPr="004E375B">
              <w:rPr>
                <w:iCs/>
              </w:rPr>
              <w:t>NA</w:t>
            </w:r>
          </w:p>
        </w:tc>
      </w:tr>
      <w:tr w:rsidR="007D4D11" w14:paraId="45F5E65D"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hideMark/>
          </w:tcPr>
          <w:p w14:paraId="36FE6B3A" w14:textId="77777777" w:rsidR="007D4D11" w:rsidRDefault="007D4D11" w:rsidP="009A477A">
            <w:pPr>
              <w:pStyle w:val="TableText0"/>
            </w:pPr>
            <w:r>
              <w:t>3</w:t>
            </w:r>
          </w:p>
        </w:tc>
        <w:tc>
          <w:tcPr>
            <w:tcW w:w="373" w:type="pct"/>
            <w:tcBorders>
              <w:top w:val="single" w:sz="4" w:space="0" w:color="auto"/>
              <w:left w:val="single" w:sz="4" w:space="0" w:color="auto"/>
              <w:bottom w:val="single" w:sz="4" w:space="0" w:color="auto"/>
              <w:right w:val="single" w:sz="4" w:space="0" w:color="auto"/>
            </w:tcBorders>
            <w:hideMark/>
          </w:tcPr>
          <w:p w14:paraId="59647406" w14:textId="77777777" w:rsidR="007D4D11" w:rsidRDefault="007D4D11" w:rsidP="009A477A">
            <w:pPr>
              <w:pStyle w:val="TableText0"/>
              <w:jc w:val="center"/>
            </w:pPr>
            <w:r>
              <w:t>1415</w:t>
            </w:r>
          </w:p>
        </w:tc>
        <w:tc>
          <w:tcPr>
            <w:tcW w:w="470" w:type="pct"/>
            <w:tcBorders>
              <w:top w:val="single" w:sz="4" w:space="0" w:color="auto"/>
              <w:left w:val="single" w:sz="4" w:space="0" w:color="auto"/>
              <w:bottom w:val="single" w:sz="4" w:space="0" w:color="auto"/>
              <w:right w:val="single" w:sz="4" w:space="0" w:color="auto"/>
            </w:tcBorders>
            <w:hideMark/>
          </w:tcPr>
          <w:p w14:paraId="7DC3EFDB" w14:textId="77777777" w:rsidR="007D4D11" w:rsidRDefault="007D4D11" w:rsidP="009A477A">
            <w:pPr>
              <w:pStyle w:val="TableText0"/>
              <w:jc w:val="center"/>
            </w:pPr>
            <w:r>
              <w:t>40.7</w:t>
            </w:r>
          </w:p>
        </w:tc>
        <w:tc>
          <w:tcPr>
            <w:tcW w:w="797" w:type="pct"/>
            <w:tcBorders>
              <w:top w:val="single" w:sz="4" w:space="0" w:color="auto"/>
              <w:left w:val="single" w:sz="4" w:space="0" w:color="auto"/>
              <w:bottom w:val="single" w:sz="4" w:space="0" w:color="auto"/>
              <w:right w:val="single" w:sz="4" w:space="0" w:color="auto"/>
            </w:tcBorders>
            <w:hideMark/>
          </w:tcPr>
          <w:p w14:paraId="60D5910E" w14:textId="77777777" w:rsidR="007D4D11" w:rsidRDefault="007D4D11" w:rsidP="009A477A">
            <w:pPr>
              <w:pStyle w:val="TableText0"/>
              <w:jc w:val="center"/>
            </w:pPr>
            <w:r>
              <w:t>(38.0, 43.6)</w:t>
            </w:r>
          </w:p>
        </w:tc>
        <w:tc>
          <w:tcPr>
            <w:tcW w:w="454" w:type="pct"/>
            <w:tcBorders>
              <w:top w:val="single" w:sz="4" w:space="0" w:color="auto"/>
              <w:left w:val="single" w:sz="4" w:space="0" w:color="auto"/>
              <w:bottom w:val="single" w:sz="4" w:space="0" w:color="auto"/>
              <w:right w:val="single" w:sz="4" w:space="0" w:color="auto"/>
            </w:tcBorders>
            <w:hideMark/>
          </w:tcPr>
          <w:p w14:paraId="7C2AA085" w14:textId="77777777" w:rsidR="007D4D11" w:rsidRDefault="007D4D11" w:rsidP="009A477A">
            <w:pPr>
              <w:pStyle w:val="TableText0"/>
              <w:jc w:val="center"/>
            </w:pPr>
            <w:r>
              <w:t>1411</w:t>
            </w:r>
          </w:p>
        </w:tc>
        <w:tc>
          <w:tcPr>
            <w:tcW w:w="398" w:type="pct"/>
            <w:tcBorders>
              <w:top w:val="single" w:sz="4" w:space="0" w:color="auto"/>
              <w:left w:val="single" w:sz="4" w:space="0" w:color="auto"/>
              <w:bottom w:val="single" w:sz="4" w:space="0" w:color="auto"/>
              <w:right w:val="single" w:sz="4" w:space="0" w:color="auto"/>
            </w:tcBorders>
            <w:hideMark/>
          </w:tcPr>
          <w:p w14:paraId="0A5D17BD" w14:textId="77777777" w:rsidR="007D4D11" w:rsidRDefault="007D4D11" w:rsidP="009A477A">
            <w:pPr>
              <w:pStyle w:val="TableText0"/>
              <w:jc w:val="center"/>
            </w:pPr>
            <w:r>
              <w:t>47.8</w:t>
            </w:r>
          </w:p>
        </w:tc>
        <w:tc>
          <w:tcPr>
            <w:tcW w:w="808" w:type="pct"/>
            <w:tcBorders>
              <w:top w:val="single" w:sz="4" w:space="0" w:color="auto"/>
              <w:left w:val="single" w:sz="4" w:space="0" w:color="auto"/>
              <w:bottom w:val="single" w:sz="4" w:space="0" w:color="auto"/>
              <w:right w:val="single" w:sz="4" w:space="0" w:color="auto"/>
            </w:tcBorders>
            <w:hideMark/>
          </w:tcPr>
          <w:p w14:paraId="3064663B" w14:textId="77777777" w:rsidR="007D4D11" w:rsidRDefault="007D4D11" w:rsidP="009A477A">
            <w:pPr>
              <w:pStyle w:val="TableText0"/>
              <w:jc w:val="center"/>
            </w:pPr>
            <w:r>
              <w:t>(44.7, 51.2)</w:t>
            </w:r>
          </w:p>
        </w:tc>
        <w:tc>
          <w:tcPr>
            <w:tcW w:w="389" w:type="pct"/>
            <w:tcBorders>
              <w:top w:val="single" w:sz="4" w:space="0" w:color="auto"/>
              <w:left w:val="single" w:sz="4" w:space="0" w:color="auto"/>
              <w:bottom w:val="single" w:sz="4" w:space="0" w:color="auto"/>
              <w:right w:val="single" w:sz="4" w:space="0" w:color="auto"/>
            </w:tcBorders>
            <w:hideMark/>
          </w:tcPr>
          <w:p w14:paraId="16B2C498" w14:textId="77777777" w:rsidR="007D4D11" w:rsidRDefault="007D4D11" w:rsidP="009A477A">
            <w:pPr>
              <w:pStyle w:val="TableText0"/>
              <w:jc w:val="center"/>
            </w:pPr>
            <w:r>
              <w:t>0.85</w:t>
            </w:r>
          </w:p>
        </w:tc>
        <w:tc>
          <w:tcPr>
            <w:tcW w:w="588" w:type="pct"/>
            <w:tcBorders>
              <w:top w:val="single" w:sz="4" w:space="0" w:color="auto"/>
              <w:left w:val="single" w:sz="4" w:space="0" w:color="auto"/>
              <w:bottom w:val="single" w:sz="4" w:space="0" w:color="auto"/>
              <w:right w:val="single" w:sz="4" w:space="0" w:color="auto"/>
            </w:tcBorders>
            <w:hideMark/>
          </w:tcPr>
          <w:p w14:paraId="632CC8EB" w14:textId="77777777" w:rsidR="007D4D11" w:rsidRDefault="007D4D11" w:rsidP="009A477A">
            <w:pPr>
              <w:pStyle w:val="TableText0"/>
              <w:jc w:val="center"/>
            </w:pPr>
            <w:r>
              <w:t>(0.78, 0.93)</w:t>
            </w:r>
          </w:p>
        </w:tc>
        <w:tc>
          <w:tcPr>
            <w:tcW w:w="401" w:type="pct"/>
            <w:tcBorders>
              <w:top w:val="single" w:sz="4" w:space="0" w:color="auto"/>
              <w:left w:val="single" w:sz="4" w:space="0" w:color="auto"/>
              <w:bottom w:val="single" w:sz="4" w:space="0" w:color="auto"/>
              <w:right w:val="single" w:sz="4" w:space="0" w:color="auto"/>
            </w:tcBorders>
          </w:tcPr>
          <w:p w14:paraId="4824C712" w14:textId="77777777" w:rsidR="007D4D11" w:rsidRDefault="007D4D11" w:rsidP="009A477A">
            <w:pPr>
              <w:pStyle w:val="TableText0"/>
              <w:jc w:val="center"/>
            </w:pPr>
            <w:r w:rsidRPr="004E375B">
              <w:rPr>
                <w:iCs/>
              </w:rPr>
              <w:t>NA</w:t>
            </w:r>
          </w:p>
        </w:tc>
      </w:tr>
      <w:tr w:rsidR="007D4D11" w14:paraId="017E5655"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hideMark/>
          </w:tcPr>
          <w:p w14:paraId="05935C0D" w14:textId="77777777" w:rsidR="007D4D11" w:rsidRDefault="007D4D11" w:rsidP="009A477A">
            <w:pPr>
              <w:pStyle w:val="TableText0"/>
            </w:pPr>
            <w:r>
              <w:t>4</w:t>
            </w:r>
          </w:p>
        </w:tc>
        <w:tc>
          <w:tcPr>
            <w:tcW w:w="373" w:type="pct"/>
            <w:tcBorders>
              <w:top w:val="single" w:sz="4" w:space="0" w:color="auto"/>
              <w:left w:val="single" w:sz="4" w:space="0" w:color="auto"/>
              <w:bottom w:val="single" w:sz="4" w:space="0" w:color="auto"/>
              <w:right w:val="single" w:sz="4" w:space="0" w:color="auto"/>
            </w:tcBorders>
            <w:hideMark/>
          </w:tcPr>
          <w:p w14:paraId="013EFF2C" w14:textId="77777777" w:rsidR="007D4D11" w:rsidRDefault="007D4D11" w:rsidP="009A477A">
            <w:pPr>
              <w:pStyle w:val="TableText0"/>
              <w:jc w:val="center"/>
            </w:pPr>
            <w:r>
              <w:t>1415</w:t>
            </w:r>
          </w:p>
        </w:tc>
        <w:tc>
          <w:tcPr>
            <w:tcW w:w="470" w:type="pct"/>
            <w:tcBorders>
              <w:top w:val="single" w:sz="4" w:space="0" w:color="auto"/>
              <w:left w:val="single" w:sz="4" w:space="0" w:color="auto"/>
              <w:bottom w:val="single" w:sz="4" w:space="0" w:color="auto"/>
              <w:right w:val="single" w:sz="4" w:space="0" w:color="auto"/>
            </w:tcBorders>
            <w:hideMark/>
          </w:tcPr>
          <w:p w14:paraId="68CFE10C" w14:textId="77777777" w:rsidR="007D4D11" w:rsidRDefault="007D4D11" w:rsidP="009A477A">
            <w:pPr>
              <w:pStyle w:val="TableText0"/>
              <w:jc w:val="center"/>
            </w:pPr>
            <w:r>
              <w:t>508.7</w:t>
            </w:r>
          </w:p>
        </w:tc>
        <w:tc>
          <w:tcPr>
            <w:tcW w:w="797" w:type="pct"/>
            <w:tcBorders>
              <w:top w:val="single" w:sz="4" w:space="0" w:color="auto"/>
              <w:left w:val="single" w:sz="4" w:space="0" w:color="auto"/>
              <w:bottom w:val="single" w:sz="4" w:space="0" w:color="auto"/>
              <w:right w:val="single" w:sz="4" w:space="0" w:color="auto"/>
            </w:tcBorders>
            <w:hideMark/>
          </w:tcPr>
          <w:p w14:paraId="09F96DB1" w14:textId="77777777" w:rsidR="007D4D11" w:rsidRDefault="007D4D11" w:rsidP="009A477A">
            <w:pPr>
              <w:pStyle w:val="TableText0"/>
              <w:jc w:val="center"/>
            </w:pPr>
            <w:r>
              <w:t>(456.5, 566.9)</w:t>
            </w:r>
          </w:p>
        </w:tc>
        <w:tc>
          <w:tcPr>
            <w:tcW w:w="454" w:type="pct"/>
            <w:tcBorders>
              <w:top w:val="single" w:sz="4" w:space="0" w:color="auto"/>
              <w:left w:val="single" w:sz="4" w:space="0" w:color="auto"/>
              <w:bottom w:val="single" w:sz="4" w:space="0" w:color="auto"/>
              <w:right w:val="single" w:sz="4" w:space="0" w:color="auto"/>
            </w:tcBorders>
            <w:hideMark/>
          </w:tcPr>
          <w:p w14:paraId="40F1E68F" w14:textId="77777777" w:rsidR="007D4D11" w:rsidRDefault="007D4D11" w:rsidP="009A477A">
            <w:pPr>
              <w:pStyle w:val="TableText0"/>
              <w:jc w:val="center"/>
            </w:pPr>
            <w:r>
              <w:t>1409</w:t>
            </w:r>
          </w:p>
        </w:tc>
        <w:tc>
          <w:tcPr>
            <w:tcW w:w="398" w:type="pct"/>
            <w:tcBorders>
              <w:top w:val="single" w:sz="4" w:space="0" w:color="auto"/>
              <w:left w:val="single" w:sz="4" w:space="0" w:color="auto"/>
              <w:bottom w:val="single" w:sz="4" w:space="0" w:color="auto"/>
              <w:right w:val="single" w:sz="4" w:space="0" w:color="auto"/>
            </w:tcBorders>
            <w:hideMark/>
          </w:tcPr>
          <w:p w14:paraId="1B26CBD3" w14:textId="77777777" w:rsidR="007D4D11" w:rsidRDefault="007D4D11" w:rsidP="009A477A">
            <w:pPr>
              <w:pStyle w:val="TableText0"/>
              <w:jc w:val="center"/>
            </w:pPr>
            <w:r>
              <w:t>626.9</w:t>
            </w:r>
          </w:p>
        </w:tc>
        <w:tc>
          <w:tcPr>
            <w:tcW w:w="808" w:type="pct"/>
            <w:tcBorders>
              <w:top w:val="single" w:sz="4" w:space="0" w:color="auto"/>
              <w:left w:val="single" w:sz="4" w:space="0" w:color="auto"/>
              <w:bottom w:val="single" w:sz="4" w:space="0" w:color="auto"/>
              <w:right w:val="single" w:sz="4" w:space="0" w:color="auto"/>
            </w:tcBorders>
            <w:hideMark/>
          </w:tcPr>
          <w:p w14:paraId="3A662941" w14:textId="77777777" w:rsidR="007D4D11" w:rsidRDefault="007D4D11" w:rsidP="009A477A">
            <w:pPr>
              <w:pStyle w:val="TableText0"/>
              <w:jc w:val="center"/>
            </w:pPr>
            <w:r>
              <w:t>(563.5, 697.4)</w:t>
            </w:r>
          </w:p>
        </w:tc>
        <w:tc>
          <w:tcPr>
            <w:tcW w:w="389" w:type="pct"/>
            <w:tcBorders>
              <w:top w:val="single" w:sz="4" w:space="0" w:color="auto"/>
              <w:left w:val="single" w:sz="4" w:space="0" w:color="auto"/>
              <w:bottom w:val="single" w:sz="4" w:space="0" w:color="auto"/>
              <w:right w:val="single" w:sz="4" w:space="0" w:color="auto"/>
            </w:tcBorders>
            <w:hideMark/>
          </w:tcPr>
          <w:p w14:paraId="7C498704" w14:textId="77777777" w:rsidR="007D4D11" w:rsidRDefault="007D4D11" w:rsidP="009A477A">
            <w:pPr>
              <w:pStyle w:val="TableText0"/>
              <w:jc w:val="center"/>
            </w:pPr>
            <w:r>
              <w:t>0.81</w:t>
            </w:r>
          </w:p>
        </w:tc>
        <w:tc>
          <w:tcPr>
            <w:tcW w:w="588" w:type="pct"/>
            <w:tcBorders>
              <w:top w:val="single" w:sz="4" w:space="0" w:color="auto"/>
              <w:left w:val="single" w:sz="4" w:space="0" w:color="auto"/>
              <w:bottom w:val="single" w:sz="4" w:space="0" w:color="auto"/>
              <w:right w:val="single" w:sz="4" w:space="0" w:color="auto"/>
            </w:tcBorders>
            <w:hideMark/>
          </w:tcPr>
          <w:p w14:paraId="2BCD8D94" w14:textId="77777777" w:rsidR="007D4D11" w:rsidRDefault="007D4D11" w:rsidP="009A477A">
            <w:pPr>
              <w:pStyle w:val="TableText0"/>
              <w:jc w:val="center"/>
            </w:pPr>
            <w:r>
              <w:t>(0.71, 0.93)</w:t>
            </w:r>
          </w:p>
        </w:tc>
        <w:tc>
          <w:tcPr>
            <w:tcW w:w="401" w:type="pct"/>
            <w:tcBorders>
              <w:top w:val="single" w:sz="4" w:space="0" w:color="auto"/>
              <w:left w:val="single" w:sz="4" w:space="0" w:color="auto"/>
              <w:bottom w:val="single" w:sz="4" w:space="0" w:color="auto"/>
              <w:right w:val="single" w:sz="4" w:space="0" w:color="auto"/>
            </w:tcBorders>
          </w:tcPr>
          <w:p w14:paraId="07BD3A9D" w14:textId="77777777" w:rsidR="007D4D11" w:rsidRDefault="007D4D11" w:rsidP="009A477A">
            <w:pPr>
              <w:pStyle w:val="TableText0"/>
              <w:jc w:val="center"/>
            </w:pPr>
            <w:r w:rsidRPr="004E375B">
              <w:rPr>
                <w:iCs/>
              </w:rPr>
              <w:t>NA</w:t>
            </w:r>
          </w:p>
        </w:tc>
      </w:tr>
      <w:tr w:rsidR="007D4D11" w14:paraId="26B2DF12"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hideMark/>
          </w:tcPr>
          <w:p w14:paraId="66C29E51" w14:textId="77777777" w:rsidR="007D4D11" w:rsidRDefault="007D4D11" w:rsidP="009A477A">
            <w:pPr>
              <w:pStyle w:val="TableText0"/>
            </w:pPr>
            <w:r>
              <w:t>5</w:t>
            </w:r>
          </w:p>
        </w:tc>
        <w:tc>
          <w:tcPr>
            <w:tcW w:w="373" w:type="pct"/>
            <w:tcBorders>
              <w:top w:val="single" w:sz="4" w:space="0" w:color="auto"/>
              <w:left w:val="single" w:sz="4" w:space="0" w:color="auto"/>
              <w:bottom w:val="single" w:sz="4" w:space="0" w:color="auto"/>
              <w:right w:val="single" w:sz="4" w:space="0" w:color="auto"/>
            </w:tcBorders>
            <w:hideMark/>
          </w:tcPr>
          <w:p w14:paraId="53408668" w14:textId="77777777" w:rsidR="007D4D11" w:rsidRDefault="007D4D11" w:rsidP="009A477A">
            <w:pPr>
              <w:pStyle w:val="TableText0"/>
              <w:jc w:val="center"/>
            </w:pPr>
            <w:r>
              <w:t>1418</w:t>
            </w:r>
          </w:p>
        </w:tc>
        <w:tc>
          <w:tcPr>
            <w:tcW w:w="470" w:type="pct"/>
            <w:tcBorders>
              <w:top w:val="single" w:sz="4" w:space="0" w:color="auto"/>
              <w:left w:val="single" w:sz="4" w:space="0" w:color="auto"/>
              <w:bottom w:val="single" w:sz="4" w:space="0" w:color="auto"/>
              <w:right w:val="single" w:sz="4" w:space="0" w:color="auto"/>
            </w:tcBorders>
            <w:hideMark/>
          </w:tcPr>
          <w:p w14:paraId="6D71282F" w14:textId="77777777" w:rsidR="007D4D11" w:rsidRDefault="007D4D11" w:rsidP="009A477A">
            <w:pPr>
              <w:pStyle w:val="TableText0"/>
              <w:jc w:val="center"/>
            </w:pPr>
            <w:r>
              <w:t>91.6</w:t>
            </w:r>
          </w:p>
        </w:tc>
        <w:tc>
          <w:tcPr>
            <w:tcW w:w="797" w:type="pct"/>
            <w:tcBorders>
              <w:top w:val="single" w:sz="4" w:space="0" w:color="auto"/>
              <w:left w:val="single" w:sz="4" w:space="0" w:color="auto"/>
              <w:bottom w:val="single" w:sz="4" w:space="0" w:color="auto"/>
              <w:right w:val="single" w:sz="4" w:space="0" w:color="auto"/>
            </w:tcBorders>
            <w:hideMark/>
          </w:tcPr>
          <w:p w14:paraId="291F7C33" w14:textId="77777777" w:rsidR="007D4D11" w:rsidRDefault="007D4D11" w:rsidP="009A477A">
            <w:pPr>
              <w:pStyle w:val="TableText0"/>
              <w:jc w:val="center"/>
            </w:pPr>
            <w:r>
              <w:t>(83.4, 100.5)</w:t>
            </w:r>
          </w:p>
        </w:tc>
        <w:tc>
          <w:tcPr>
            <w:tcW w:w="454" w:type="pct"/>
            <w:tcBorders>
              <w:top w:val="single" w:sz="4" w:space="0" w:color="auto"/>
              <w:left w:val="single" w:sz="4" w:space="0" w:color="auto"/>
              <w:bottom w:val="single" w:sz="4" w:space="0" w:color="auto"/>
              <w:right w:val="single" w:sz="4" w:space="0" w:color="auto"/>
            </w:tcBorders>
            <w:hideMark/>
          </w:tcPr>
          <w:p w14:paraId="37EC845F" w14:textId="77777777" w:rsidR="007D4D11" w:rsidRDefault="007D4D11" w:rsidP="009A477A">
            <w:pPr>
              <w:pStyle w:val="TableText0"/>
              <w:jc w:val="center"/>
            </w:pPr>
            <w:r>
              <w:t>1395</w:t>
            </w:r>
          </w:p>
        </w:tc>
        <w:tc>
          <w:tcPr>
            <w:tcW w:w="398" w:type="pct"/>
            <w:tcBorders>
              <w:top w:val="single" w:sz="4" w:space="0" w:color="auto"/>
              <w:left w:val="single" w:sz="4" w:space="0" w:color="auto"/>
              <w:bottom w:val="single" w:sz="4" w:space="0" w:color="auto"/>
              <w:right w:val="single" w:sz="4" w:space="0" w:color="auto"/>
            </w:tcBorders>
            <w:hideMark/>
          </w:tcPr>
          <w:p w14:paraId="079F142C" w14:textId="77777777" w:rsidR="007D4D11" w:rsidRDefault="007D4D11" w:rsidP="009A477A">
            <w:pPr>
              <w:pStyle w:val="TableText0"/>
              <w:jc w:val="center"/>
            </w:pPr>
            <w:r>
              <w:t>109.7</w:t>
            </w:r>
          </w:p>
        </w:tc>
        <w:tc>
          <w:tcPr>
            <w:tcW w:w="808" w:type="pct"/>
            <w:tcBorders>
              <w:top w:val="single" w:sz="4" w:space="0" w:color="auto"/>
              <w:left w:val="single" w:sz="4" w:space="0" w:color="auto"/>
              <w:bottom w:val="single" w:sz="4" w:space="0" w:color="auto"/>
              <w:right w:val="single" w:sz="4" w:space="0" w:color="auto"/>
            </w:tcBorders>
            <w:hideMark/>
          </w:tcPr>
          <w:p w14:paraId="7CD57F6C" w14:textId="77777777" w:rsidR="007D4D11" w:rsidRDefault="007D4D11" w:rsidP="009A477A">
            <w:pPr>
              <w:pStyle w:val="TableText0"/>
              <w:jc w:val="center"/>
            </w:pPr>
            <w:r>
              <w:t>(100.1, 120.3)</w:t>
            </w:r>
          </w:p>
        </w:tc>
        <w:tc>
          <w:tcPr>
            <w:tcW w:w="389" w:type="pct"/>
            <w:tcBorders>
              <w:top w:val="single" w:sz="4" w:space="0" w:color="auto"/>
              <w:left w:val="single" w:sz="4" w:space="0" w:color="auto"/>
              <w:bottom w:val="single" w:sz="4" w:space="0" w:color="auto"/>
              <w:right w:val="single" w:sz="4" w:space="0" w:color="auto"/>
            </w:tcBorders>
            <w:hideMark/>
          </w:tcPr>
          <w:p w14:paraId="25864F37" w14:textId="77777777" w:rsidR="007D4D11" w:rsidRDefault="007D4D11" w:rsidP="009A477A">
            <w:pPr>
              <w:pStyle w:val="TableText0"/>
              <w:jc w:val="center"/>
            </w:pPr>
            <w:r>
              <w:t>0.83</w:t>
            </w:r>
          </w:p>
        </w:tc>
        <w:tc>
          <w:tcPr>
            <w:tcW w:w="588" w:type="pct"/>
            <w:tcBorders>
              <w:top w:val="single" w:sz="4" w:space="0" w:color="auto"/>
              <w:left w:val="single" w:sz="4" w:space="0" w:color="auto"/>
              <w:bottom w:val="single" w:sz="4" w:space="0" w:color="auto"/>
              <w:right w:val="single" w:sz="4" w:space="0" w:color="auto"/>
            </w:tcBorders>
            <w:hideMark/>
          </w:tcPr>
          <w:p w14:paraId="2C99C9EC" w14:textId="77777777" w:rsidR="007D4D11" w:rsidRPr="00AA5847" w:rsidRDefault="007D4D11" w:rsidP="009A477A">
            <w:pPr>
              <w:pStyle w:val="TableText0"/>
              <w:jc w:val="center"/>
            </w:pPr>
            <w:r w:rsidRPr="00AA5847">
              <w:t>(0.74, 0.94)</w:t>
            </w:r>
          </w:p>
        </w:tc>
        <w:tc>
          <w:tcPr>
            <w:tcW w:w="401" w:type="pct"/>
            <w:tcBorders>
              <w:top w:val="single" w:sz="4" w:space="0" w:color="auto"/>
              <w:left w:val="single" w:sz="4" w:space="0" w:color="auto"/>
              <w:bottom w:val="single" w:sz="4" w:space="0" w:color="auto"/>
              <w:right w:val="single" w:sz="4" w:space="0" w:color="auto"/>
            </w:tcBorders>
          </w:tcPr>
          <w:p w14:paraId="22E42D84" w14:textId="77777777" w:rsidR="007D4D11" w:rsidRDefault="007D4D11" w:rsidP="009A477A">
            <w:pPr>
              <w:pStyle w:val="TableText0"/>
              <w:jc w:val="center"/>
            </w:pPr>
            <w:r w:rsidRPr="004E375B">
              <w:rPr>
                <w:iCs/>
              </w:rPr>
              <w:t>NA</w:t>
            </w:r>
          </w:p>
        </w:tc>
      </w:tr>
      <w:tr w:rsidR="007D4D11" w14:paraId="41D443AC" w14:textId="77777777" w:rsidTr="00D8538D">
        <w:trPr>
          <w:trHeight w:val="20"/>
        </w:trPr>
        <w:tc>
          <w:tcPr>
            <w:tcW w:w="322" w:type="pct"/>
            <w:tcBorders>
              <w:top w:val="single" w:sz="4" w:space="0" w:color="auto"/>
              <w:left w:val="single" w:sz="4" w:space="0" w:color="auto"/>
              <w:bottom w:val="single" w:sz="4" w:space="0" w:color="auto"/>
              <w:right w:val="single" w:sz="4" w:space="0" w:color="auto"/>
            </w:tcBorders>
            <w:shd w:val="clear" w:color="auto" w:fill="auto"/>
            <w:hideMark/>
          </w:tcPr>
          <w:p w14:paraId="37247F45" w14:textId="77777777" w:rsidR="007D4D11" w:rsidRPr="00D8538D" w:rsidRDefault="007D4D11" w:rsidP="009A477A">
            <w:pPr>
              <w:pStyle w:val="TableText0"/>
            </w:pPr>
            <w:r w:rsidRPr="00D8538D">
              <w:t>6A</w:t>
            </w:r>
          </w:p>
        </w:tc>
        <w:tc>
          <w:tcPr>
            <w:tcW w:w="373" w:type="pct"/>
            <w:tcBorders>
              <w:top w:val="single" w:sz="4" w:space="0" w:color="auto"/>
              <w:left w:val="single" w:sz="4" w:space="0" w:color="auto"/>
              <w:bottom w:val="single" w:sz="4" w:space="0" w:color="auto"/>
              <w:right w:val="single" w:sz="4" w:space="0" w:color="auto"/>
            </w:tcBorders>
            <w:shd w:val="clear" w:color="auto" w:fill="auto"/>
            <w:hideMark/>
          </w:tcPr>
          <w:p w14:paraId="0E3349B8" w14:textId="77777777" w:rsidR="007D4D11" w:rsidRPr="00D8538D" w:rsidRDefault="007D4D11" w:rsidP="009A477A">
            <w:pPr>
              <w:pStyle w:val="TableText0"/>
              <w:jc w:val="center"/>
            </w:pPr>
            <w:r w:rsidRPr="00D8538D">
              <w:t>1403</w:t>
            </w:r>
          </w:p>
        </w:tc>
        <w:tc>
          <w:tcPr>
            <w:tcW w:w="470" w:type="pct"/>
            <w:tcBorders>
              <w:top w:val="single" w:sz="4" w:space="0" w:color="auto"/>
              <w:left w:val="single" w:sz="4" w:space="0" w:color="auto"/>
              <w:bottom w:val="single" w:sz="4" w:space="0" w:color="auto"/>
              <w:right w:val="single" w:sz="4" w:space="0" w:color="auto"/>
            </w:tcBorders>
            <w:shd w:val="clear" w:color="auto" w:fill="auto"/>
            <w:hideMark/>
          </w:tcPr>
          <w:p w14:paraId="609FCE8A" w14:textId="77777777" w:rsidR="007D4D11" w:rsidRPr="00D8538D" w:rsidRDefault="007D4D11" w:rsidP="009A477A">
            <w:pPr>
              <w:pStyle w:val="TableText0"/>
              <w:jc w:val="center"/>
            </w:pPr>
            <w:r w:rsidRPr="00D8538D">
              <w:t>889.0</w:t>
            </w:r>
          </w:p>
        </w:tc>
        <w:tc>
          <w:tcPr>
            <w:tcW w:w="797" w:type="pct"/>
            <w:tcBorders>
              <w:top w:val="single" w:sz="4" w:space="0" w:color="auto"/>
              <w:left w:val="single" w:sz="4" w:space="0" w:color="auto"/>
              <w:bottom w:val="single" w:sz="4" w:space="0" w:color="auto"/>
              <w:right w:val="single" w:sz="4" w:space="0" w:color="auto"/>
            </w:tcBorders>
            <w:shd w:val="clear" w:color="auto" w:fill="auto"/>
            <w:hideMark/>
          </w:tcPr>
          <w:p w14:paraId="6DC374E6" w14:textId="77777777" w:rsidR="007D4D11" w:rsidRPr="00D8538D" w:rsidRDefault="007D4D11" w:rsidP="009A477A">
            <w:pPr>
              <w:pStyle w:val="TableText0"/>
              <w:jc w:val="center"/>
            </w:pPr>
            <w:r w:rsidRPr="00D8538D">
              <w:t>(795.0, 994.1)</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14:paraId="7E68838D" w14:textId="77777777" w:rsidR="007D4D11" w:rsidRPr="00D8538D" w:rsidRDefault="007D4D11" w:rsidP="009A477A">
            <w:pPr>
              <w:pStyle w:val="TableText0"/>
              <w:jc w:val="center"/>
            </w:pPr>
            <w:r w:rsidRPr="00D8538D">
              <w:t>1390</w:t>
            </w: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14:paraId="0A8BBCED" w14:textId="77777777" w:rsidR="007D4D11" w:rsidRPr="00D8538D" w:rsidRDefault="007D4D11" w:rsidP="009A477A">
            <w:pPr>
              <w:pStyle w:val="TableText0"/>
              <w:jc w:val="center"/>
            </w:pPr>
            <w:r w:rsidRPr="00D8538D">
              <w:t>1165.1</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2DDB7796" w14:textId="77777777" w:rsidR="007D4D11" w:rsidRPr="00D8538D" w:rsidRDefault="007D4D11" w:rsidP="009A477A">
            <w:pPr>
              <w:pStyle w:val="TableText0"/>
              <w:jc w:val="center"/>
            </w:pPr>
            <w:r w:rsidRPr="00D8538D">
              <w:t>(1043.3, 1301.0)</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14:paraId="578784C4" w14:textId="77777777" w:rsidR="007D4D11" w:rsidRPr="00D8538D" w:rsidRDefault="007D4D11" w:rsidP="009A477A">
            <w:pPr>
              <w:pStyle w:val="TableText0"/>
              <w:jc w:val="center"/>
            </w:pPr>
            <w:r w:rsidRPr="00D8538D">
              <w:t>0.76</w:t>
            </w:r>
          </w:p>
        </w:tc>
        <w:tc>
          <w:tcPr>
            <w:tcW w:w="588" w:type="pct"/>
            <w:tcBorders>
              <w:top w:val="single" w:sz="4" w:space="0" w:color="auto"/>
              <w:left w:val="single" w:sz="4" w:space="0" w:color="auto"/>
              <w:bottom w:val="single" w:sz="4" w:space="0" w:color="auto"/>
              <w:right w:val="single" w:sz="4" w:space="0" w:color="auto"/>
            </w:tcBorders>
            <w:shd w:val="clear" w:color="auto" w:fill="auto"/>
            <w:hideMark/>
          </w:tcPr>
          <w:p w14:paraId="04FD33CA" w14:textId="77777777" w:rsidR="007D4D11" w:rsidRPr="00D8538D" w:rsidRDefault="007D4D11" w:rsidP="009A477A">
            <w:pPr>
              <w:pStyle w:val="TableText0"/>
              <w:jc w:val="center"/>
            </w:pPr>
            <w:r w:rsidRPr="00D8538D">
              <w:t>(0.66, 0.88)</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00B88508" w14:textId="77777777" w:rsidR="007D4D11" w:rsidRPr="00D8538D" w:rsidRDefault="007D4D11" w:rsidP="009A477A">
            <w:pPr>
              <w:pStyle w:val="TableText0"/>
              <w:jc w:val="center"/>
            </w:pPr>
            <w:r w:rsidRPr="00D8538D">
              <w:rPr>
                <w:iCs/>
              </w:rPr>
              <w:t>NA</w:t>
            </w:r>
          </w:p>
        </w:tc>
      </w:tr>
      <w:tr w:rsidR="007D4D11" w14:paraId="7A3F4748"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hideMark/>
          </w:tcPr>
          <w:p w14:paraId="0734E712" w14:textId="77777777" w:rsidR="007D4D11" w:rsidRDefault="007D4D11" w:rsidP="009A477A">
            <w:pPr>
              <w:pStyle w:val="TableText0"/>
            </w:pPr>
            <w:r>
              <w:t>6B</w:t>
            </w:r>
          </w:p>
        </w:tc>
        <w:tc>
          <w:tcPr>
            <w:tcW w:w="373" w:type="pct"/>
            <w:tcBorders>
              <w:top w:val="single" w:sz="4" w:space="0" w:color="auto"/>
              <w:left w:val="single" w:sz="4" w:space="0" w:color="auto"/>
              <w:bottom w:val="single" w:sz="4" w:space="0" w:color="auto"/>
              <w:right w:val="single" w:sz="4" w:space="0" w:color="auto"/>
            </w:tcBorders>
            <w:hideMark/>
          </w:tcPr>
          <w:p w14:paraId="1391445B" w14:textId="77777777" w:rsidR="007D4D11" w:rsidRDefault="007D4D11" w:rsidP="009A477A">
            <w:pPr>
              <w:pStyle w:val="TableText0"/>
              <w:jc w:val="center"/>
            </w:pPr>
            <w:r>
              <w:t>1413</w:t>
            </w:r>
          </w:p>
        </w:tc>
        <w:tc>
          <w:tcPr>
            <w:tcW w:w="470" w:type="pct"/>
            <w:tcBorders>
              <w:top w:val="single" w:sz="4" w:space="0" w:color="auto"/>
              <w:left w:val="single" w:sz="4" w:space="0" w:color="auto"/>
              <w:bottom w:val="single" w:sz="4" w:space="0" w:color="auto"/>
              <w:right w:val="single" w:sz="4" w:space="0" w:color="auto"/>
            </w:tcBorders>
            <w:hideMark/>
          </w:tcPr>
          <w:p w14:paraId="46F80DFB" w14:textId="77777777" w:rsidR="007D4D11" w:rsidRDefault="007D4D11" w:rsidP="009A477A">
            <w:pPr>
              <w:pStyle w:val="TableText0"/>
              <w:jc w:val="center"/>
            </w:pPr>
            <w:r>
              <w:t>1115.2</w:t>
            </w:r>
          </w:p>
        </w:tc>
        <w:tc>
          <w:tcPr>
            <w:tcW w:w="797" w:type="pct"/>
            <w:tcBorders>
              <w:top w:val="single" w:sz="4" w:space="0" w:color="auto"/>
              <w:left w:val="single" w:sz="4" w:space="0" w:color="auto"/>
              <w:bottom w:val="single" w:sz="4" w:space="0" w:color="auto"/>
              <w:right w:val="single" w:sz="4" w:space="0" w:color="auto"/>
            </w:tcBorders>
            <w:hideMark/>
          </w:tcPr>
          <w:p w14:paraId="353D357E" w14:textId="77777777" w:rsidR="007D4D11" w:rsidRDefault="007D4D11" w:rsidP="009A477A">
            <w:pPr>
              <w:pStyle w:val="TableText0"/>
              <w:jc w:val="center"/>
            </w:pPr>
            <w:r>
              <w:t>(1003.1, 1239.8)</w:t>
            </w:r>
          </w:p>
        </w:tc>
        <w:tc>
          <w:tcPr>
            <w:tcW w:w="454" w:type="pct"/>
            <w:tcBorders>
              <w:top w:val="single" w:sz="4" w:space="0" w:color="auto"/>
              <w:left w:val="single" w:sz="4" w:space="0" w:color="auto"/>
              <w:bottom w:val="single" w:sz="4" w:space="0" w:color="auto"/>
              <w:right w:val="single" w:sz="4" w:space="0" w:color="auto"/>
            </w:tcBorders>
            <w:hideMark/>
          </w:tcPr>
          <w:p w14:paraId="0839FE6A" w14:textId="77777777" w:rsidR="007D4D11" w:rsidRDefault="007D4D11" w:rsidP="009A477A">
            <w:pPr>
              <w:pStyle w:val="TableText0"/>
              <w:jc w:val="center"/>
            </w:pPr>
            <w:r>
              <w:t>1401</w:t>
            </w:r>
          </w:p>
        </w:tc>
        <w:tc>
          <w:tcPr>
            <w:tcW w:w="398" w:type="pct"/>
            <w:tcBorders>
              <w:top w:val="single" w:sz="4" w:space="0" w:color="auto"/>
              <w:left w:val="single" w:sz="4" w:space="0" w:color="auto"/>
              <w:bottom w:val="single" w:sz="4" w:space="0" w:color="auto"/>
              <w:right w:val="single" w:sz="4" w:space="0" w:color="auto"/>
            </w:tcBorders>
            <w:hideMark/>
          </w:tcPr>
          <w:p w14:paraId="33E1E19B" w14:textId="77777777" w:rsidR="007D4D11" w:rsidRDefault="007D4D11" w:rsidP="009A477A">
            <w:pPr>
              <w:pStyle w:val="TableText0"/>
              <w:jc w:val="center"/>
            </w:pPr>
            <w:r>
              <w:t>1341.3</w:t>
            </w:r>
          </w:p>
        </w:tc>
        <w:tc>
          <w:tcPr>
            <w:tcW w:w="808" w:type="pct"/>
            <w:tcBorders>
              <w:top w:val="single" w:sz="4" w:space="0" w:color="auto"/>
              <w:left w:val="single" w:sz="4" w:space="0" w:color="auto"/>
              <w:bottom w:val="single" w:sz="4" w:space="0" w:color="auto"/>
              <w:right w:val="single" w:sz="4" w:space="0" w:color="auto"/>
            </w:tcBorders>
            <w:hideMark/>
          </w:tcPr>
          <w:p w14:paraId="7B98BA84" w14:textId="77777777" w:rsidR="007D4D11" w:rsidRDefault="007D4D11" w:rsidP="009A477A">
            <w:pPr>
              <w:pStyle w:val="TableText0"/>
              <w:jc w:val="center"/>
            </w:pPr>
            <w:r>
              <w:t>(1208.5, 1488.8)</w:t>
            </w:r>
          </w:p>
        </w:tc>
        <w:tc>
          <w:tcPr>
            <w:tcW w:w="389" w:type="pct"/>
            <w:tcBorders>
              <w:top w:val="single" w:sz="4" w:space="0" w:color="auto"/>
              <w:left w:val="single" w:sz="4" w:space="0" w:color="auto"/>
              <w:bottom w:val="single" w:sz="4" w:space="0" w:color="auto"/>
              <w:right w:val="single" w:sz="4" w:space="0" w:color="auto"/>
            </w:tcBorders>
            <w:hideMark/>
          </w:tcPr>
          <w:p w14:paraId="2D385789" w14:textId="77777777" w:rsidR="007D4D11" w:rsidRDefault="007D4D11" w:rsidP="009A477A">
            <w:pPr>
              <w:pStyle w:val="TableText0"/>
              <w:jc w:val="center"/>
            </w:pPr>
            <w:r>
              <w:t>0.83</w:t>
            </w:r>
          </w:p>
        </w:tc>
        <w:tc>
          <w:tcPr>
            <w:tcW w:w="588" w:type="pct"/>
            <w:tcBorders>
              <w:top w:val="single" w:sz="4" w:space="0" w:color="auto"/>
              <w:left w:val="single" w:sz="4" w:space="0" w:color="auto"/>
              <w:bottom w:val="single" w:sz="4" w:space="0" w:color="auto"/>
              <w:right w:val="single" w:sz="4" w:space="0" w:color="auto"/>
            </w:tcBorders>
            <w:hideMark/>
          </w:tcPr>
          <w:p w14:paraId="6582E6BA" w14:textId="77777777" w:rsidR="007D4D11" w:rsidRPr="00AA5847" w:rsidRDefault="007D4D11" w:rsidP="009A477A">
            <w:pPr>
              <w:pStyle w:val="TableText0"/>
              <w:jc w:val="center"/>
            </w:pPr>
            <w:r w:rsidRPr="00AA5847">
              <w:t>(0.73, 0.95)</w:t>
            </w:r>
          </w:p>
        </w:tc>
        <w:tc>
          <w:tcPr>
            <w:tcW w:w="401" w:type="pct"/>
            <w:tcBorders>
              <w:top w:val="single" w:sz="4" w:space="0" w:color="auto"/>
              <w:left w:val="single" w:sz="4" w:space="0" w:color="auto"/>
              <w:bottom w:val="single" w:sz="4" w:space="0" w:color="auto"/>
              <w:right w:val="single" w:sz="4" w:space="0" w:color="auto"/>
            </w:tcBorders>
          </w:tcPr>
          <w:p w14:paraId="69DA641B" w14:textId="77777777" w:rsidR="007D4D11" w:rsidRDefault="007D4D11" w:rsidP="009A477A">
            <w:pPr>
              <w:pStyle w:val="TableText0"/>
              <w:jc w:val="center"/>
            </w:pPr>
            <w:r w:rsidRPr="004E375B">
              <w:rPr>
                <w:iCs/>
              </w:rPr>
              <w:t>NA</w:t>
            </w:r>
          </w:p>
        </w:tc>
      </w:tr>
      <w:tr w:rsidR="007D4D11" w14:paraId="273C6A16"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hideMark/>
          </w:tcPr>
          <w:p w14:paraId="689E8F70" w14:textId="77777777" w:rsidR="007D4D11" w:rsidRDefault="007D4D11" w:rsidP="009A477A">
            <w:pPr>
              <w:pStyle w:val="TableText0"/>
            </w:pPr>
            <w:r>
              <w:t>7F</w:t>
            </w:r>
          </w:p>
        </w:tc>
        <w:tc>
          <w:tcPr>
            <w:tcW w:w="373" w:type="pct"/>
            <w:tcBorders>
              <w:top w:val="single" w:sz="4" w:space="0" w:color="auto"/>
              <w:left w:val="single" w:sz="4" w:space="0" w:color="auto"/>
              <w:bottom w:val="single" w:sz="4" w:space="0" w:color="auto"/>
              <w:right w:val="single" w:sz="4" w:space="0" w:color="auto"/>
            </w:tcBorders>
            <w:hideMark/>
          </w:tcPr>
          <w:p w14:paraId="25F1A650" w14:textId="77777777" w:rsidR="007D4D11" w:rsidRDefault="007D4D11" w:rsidP="009A477A">
            <w:pPr>
              <w:pStyle w:val="TableText0"/>
              <w:jc w:val="center"/>
            </w:pPr>
            <w:r>
              <w:t>1409</w:t>
            </w:r>
          </w:p>
        </w:tc>
        <w:tc>
          <w:tcPr>
            <w:tcW w:w="470" w:type="pct"/>
            <w:tcBorders>
              <w:top w:val="single" w:sz="4" w:space="0" w:color="auto"/>
              <w:left w:val="single" w:sz="4" w:space="0" w:color="auto"/>
              <w:bottom w:val="single" w:sz="4" w:space="0" w:color="auto"/>
              <w:right w:val="single" w:sz="4" w:space="0" w:color="auto"/>
            </w:tcBorders>
            <w:hideMark/>
          </w:tcPr>
          <w:p w14:paraId="428610BF" w14:textId="77777777" w:rsidR="007D4D11" w:rsidRDefault="007D4D11" w:rsidP="009A477A">
            <w:pPr>
              <w:pStyle w:val="TableText0"/>
              <w:jc w:val="center"/>
            </w:pPr>
            <w:r>
              <w:t>968.8</w:t>
            </w:r>
          </w:p>
        </w:tc>
        <w:tc>
          <w:tcPr>
            <w:tcW w:w="797" w:type="pct"/>
            <w:tcBorders>
              <w:top w:val="single" w:sz="4" w:space="0" w:color="auto"/>
              <w:left w:val="single" w:sz="4" w:space="0" w:color="auto"/>
              <w:bottom w:val="single" w:sz="4" w:space="0" w:color="auto"/>
              <w:right w:val="single" w:sz="4" w:space="0" w:color="auto"/>
            </w:tcBorders>
            <w:hideMark/>
          </w:tcPr>
          <w:p w14:paraId="2C3D4661" w14:textId="77777777" w:rsidR="007D4D11" w:rsidRDefault="007D4D11" w:rsidP="009A477A">
            <w:pPr>
              <w:pStyle w:val="TableText0"/>
              <w:jc w:val="center"/>
            </w:pPr>
            <w:r>
              <w:t>(887.0, 1058.3)</w:t>
            </w:r>
          </w:p>
        </w:tc>
        <w:tc>
          <w:tcPr>
            <w:tcW w:w="454" w:type="pct"/>
            <w:tcBorders>
              <w:top w:val="single" w:sz="4" w:space="0" w:color="auto"/>
              <w:left w:val="single" w:sz="4" w:space="0" w:color="auto"/>
              <w:bottom w:val="single" w:sz="4" w:space="0" w:color="auto"/>
              <w:right w:val="single" w:sz="4" w:space="0" w:color="auto"/>
            </w:tcBorders>
            <w:hideMark/>
          </w:tcPr>
          <w:p w14:paraId="45C1CCA8" w14:textId="77777777" w:rsidR="007D4D11" w:rsidRDefault="007D4D11" w:rsidP="009A477A">
            <w:pPr>
              <w:pStyle w:val="TableText0"/>
              <w:jc w:val="center"/>
            </w:pPr>
            <w:r>
              <w:t>1391</w:t>
            </w:r>
          </w:p>
        </w:tc>
        <w:tc>
          <w:tcPr>
            <w:tcW w:w="398" w:type="pct"/>
            <w:tcBorders>
              <w:top w:val="single" w:sz="4" w:space="0" w:color="auto"/>
              <w:left w:val="single" w:sz="4" w:space="0" w:color="auto"/>
              <w:bottom w:val="single" w:sz="4" w:space="0" w:color="auto"/>
              <w:right w:val="single" w:sz="4" w:space="0" w:color="auto"/>
            </w:tcBorders>
            <w:hideMark/>
          </w:tcPr>
          <w:p w14:paraId="36D52592" w14:textId="77777777" w:rsidR="007D4D11" w:rsidRDefault="007D4D11" w:rsidP="009A477A">
            <w:pPr>
              <w:pStyle w:val="TableText0"/>
              <w:jc w:val="center"/>
            </w:pPr>
            <w:r>
              <w:t>1129.2</w:t>
            </w:r>
          </w:p>
        </w:tc>
        <w:tc>
          <w:tcPr>
            <w:tcW w:w="808" w:type="pct"/>
            <w:tcBorders>
              <w:top w:val="single" w:sz="4" w:space="0" w:color="auto"/>
              <w:left w:val="single" w:sz="4" w:space="0" w:color="auto"/>
              <w:bottom w:val="single" w:sz="4" w:space="0" w:color="auto"/>
              <w:right w:val="single" w:sz="4" w:space="0" w:color="auto"/>
            </w:tcBorders>
            <w:hideMark/>
          </w:tcPr>
          <w:p w14:paraId="2A0F1208" w14:textId="77777777" w:rsidR="007D4D11" w:rsidRDefault="007D4D11" w:rsidP="009A477A">
            <w:pPr>
              <w:pStyle w:val="TableText0"/>
              <w:jc w:val="center"/>
            </w:pPr>
            <w:r>
              <w:t>(1034.7, 1232.4)</w:t>
            </w:r>
          </w:p>
        </w:tc>
        <w:tc>
          <w:tcPr>
            <w:tcW w:w="389" w:type="pct"/>
            <w:tcBorders>
              <w:top w:val="single" w:sz="4" w:space="0" w:color="auto"/>
              <w:left w:val="single" w:sz="4" w:space="0" w:color="auto"/>
              <w:bottom w:val="single" w:sz="4" w:space="0" w:color="auto"/>
              <w:right w:val="single" w:sz="4" w:space="0" w:color="auto"/>
            </w:tcBorders>
            <w:hideMark/>
          </w:tcPr>
          <w:p w14:paraId="1F337508" w14:textId="77777777" w:rsidR="007D4D11" w:rsidRDefault="007D4D11" w:rsidP="009A477A">
            <w:pPr>
              <w:pStyle w:val="TableText0"/>
              <w:jc w:val="center"/>
            </w:pPr>
            <w:r>
              <w:t>0.86</w:t>
            </w:r>
          </w:p>
        </w:tc>
        <w:tc>
          <w:tcPr>
            <w:tcW w:w="588" w:type="pct"/>
            <w:tcBorders>
              <w:top w:val="single" w:sz="4" w:space="0" w:color="auto"/>
              <w:left w:val="single" w:sz="4" w:space="0" w:color="auto"/>
              <w:bottom w:val="single" w:sz="4" w:space="0" w:color="auto"/>
              <w:right w:val="single" w:sz="4" w:space="0" w:color="auto"/>
            </w:tcBorders>
            <w:hideMark/>
          </w:tcPr>
          <w:p w14:paraId="141D6942" w14:textId="77777777" w:rsidR="007D4D11" w:rsidRPr="00AA5847" w:rsidRDefault="007D4D11" w:rsidP="009A477A">
            <w:pPr>
              <w:pStyle w:val="TableText0"/>
              <w:jc w:val="center"/>
            </w:pPr>
            <w:r w:rsidRPr="00AA5847">
              <w:t>(0.77, 0.96)</w:t>
            </w:r>
          </w:p>
        </w:tc>
        <w:tc>
          <w:tcPr>
            <w:tcW w:w="401" w:type="pct"/>
            <w:tcBorders>
              <w:top w:val="single" w:sz="4" w:space="0" w:color="auto"/>
              <w:left w:val="single" w:sz="4" w:space="0" w:color="auto"/>
              <w:bottom w:val="single" w:sz="4" w:space="0" w:color="auto"/>
              <w:right w:val="single" w:sz="4" w:space="0" w:color="auto"/>
            </w:tcBorders>
          </w:tcPr>
          <w:p w14:paraId="475BC90A" w14:textId="77777777" w:rsidR="007D4D11" w:rsidRDefault="007D4D11" w:rsidP="009A477A">
            <w:pPr>
              <w:pStyle w:val="TableText0"/>
              <w:jc w:val="center"/>
            </w:pPr>
            <w:r w:rsidRPr="004E375B">
              <w:rPr>
                <w:iCs/>
              </w:rPr>
              <w:t>NA</w:t>
            </w:r>
          </w:p>
        </w:tc>
      </w:tr>
      <w:tr w:rsidR="007D4D11" w14:paraId="0098E205" w14:textId="77777777" w:rsidTr="00FA5778">
        <w:trPr>
          <w:trHeight w:val="20"/>
        </w:trPr>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BEA595" w14:textId="77777777" w:rsidR="007D4D11" w:rsidRDefault="007D4D11" w:rsidP="009A477A">
            <w:pPr>
              <w:pStyle w:val="TableText0"/>
            </w:pPr>
            <w:r>
              <w:t>9V</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E32BEE" w14:textId="77777777" w:rsidR="007D4D11" w:rsidRDefault="007D4D11" w:rsidP="009A477A">
            <w:pPr>
              <w:pStyle w:val="TableText0"/>
              <w:jc w:val="center"/>
            </w:pPr>
            <w:r>
              <w:t>1399</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192B64" w14:textId="77777777" w:rsidR="007D4D11" w:rsidRDefault="007D4D11" w:rsidP="009A477A">
            <w:pPr>
              <w:pStyle w:val="TableText0"/>
              <w:jc w:val="center"/>
            </w:pPr>
            <w:r>
              <w:t>1455.5</w:t>
            </w:r>
          </w:p>
        </w:tc>
        <w:tc>
          <w:tcPr>
            <w:tcW w:w="7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A284AD" w14:textId="77777777" w:rsidR="007D4D11" w:rsidRDefault="007D4D11" w:rsidP="009A477A">
            <w:pPr>
              <w:pStyle w:val="TableText0"/>
              <w:jc w:val="center"/>
            </w:pPr>
            <w:r>
              <w:t>(1317.5, 1608.0)</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C8C986" w14:textId="77777777" w:rsidR="007D4D11" w:rsidRDefault="007D4D11" w:rsidP="009A477A">
            <w:pPr>
              <w:pStyle w:val="TableText0"/>
              <w:jc w:val="center"/>
            </w:pPr>
            <w:r>
              <w:t>1391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E7EA01" w14:textId="77777777" w:rsidR="007D4D11" w:rsidRDefault="007D4D11" w:rsidP="009A477A">
            <w:pPr>
              <w:pStyle w:val="TableText0"/>
              <w:jc w:val="center"/>
            </w:pPr>
            <w:r>
              <w:t>1567.8</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08F76A" w14:textId="77777777" w:rsidR="007D4D11" w:rsidRDefault="007D4D11" w:rsidP="009A477A">
            <w:pPr>
              <w:pStyle w:val="TableText0"/>
              <w:jc w:val="center"/>
            </w:pPr>
            <w:r>
              <w:t>(1420.5, 1730.5)</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08692F" w14:textId="77777777" w:rsidR="007D4D11" w:rsidRDefault="007D4D11" w:rsidP="009A477A">
            <w:pPr>
              <w:pStyle w:val="TableText0"/>
              <w:jc w:val="center"/>
            </w:pPr>
            <w:r>
              <w:t>0.93</w:t>
            </w: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B81B72" w14:textId="77777777" w:rsidR="007D4D11" w:rsidRPr="00AA5847" w:rsidRDefault="007D4D11" w:rsidP="009A477A">
            <w:pPr>
              <w:pStyle w:val="TableText0"/>
              <w:jc w:val="center"/>
            </w:pPr>
            <w:r w:rsidRPr="00AA5847">
              <w:t>(0.82, 1.05)</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1501C96C" w14:textId="77777777" w:rsidR="007D4D11" w:rsidRDefault="007D4D11" w:rsidP="009A477A">
            <w:pPr>
              <w:pStyle w:val="TableText0"/>
              <w:jc w:val="center"/>
            </w:pPr>
            <w:r w:rsidRPr="004E375B">
              <w:rPr>
                <w:iCs/>
              </w:rPr>
              <w:t>NA</w:t>
            </w:r>
          </w:p>
        </w:tc>
      </w:tr>
      <w:tr w:rsidR="007D4D11" w14:paraId="5D375E6F" w14:textId="77777777" w:rsidTr="00FA5778">
        <w:trPr>
          <w:trHeight w:val="20"/>
        </w:trPr>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238C9F" w14:textId="77777777" w:rsidR="007D4D11" w:rsidRDefault="007D4D11" w:rsidP="009A477A">
            <w:pPr>
              <w:pStyle w:val="TableText0"/>
            </w:pPr>
            <w:r>
              <w:t>14</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D66915" w14:textId="77777777" w:rsidR="007D4D11" w:rsidRDefault="007D4D11" w:rsidP="009A477A">
            <w:pPr>
              <w:pStyle w:val="TableText0"/>
              <w:jc w:val="center"/>
            </w:pPr>
            <w:r>
              <w:t>1418</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8A2E3E" w14:textId="77777777" w:rsidR="007D4D11" w:rsidRDefault="007D4D11" w:rsidP="009A477A">
            <w:pPr>
              <w:pStyle w:val="TableText0"/>
              <w:jc w:val="center"/>
            </w:pPr>
            <w:r>
              <w:t>746.7</w:t>
            </w:r>
          </w:p>
        </w:tc>
        <w:tc>
          <w:tcPr>
            <w:tcW w:w="7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1CD26C" w14:textId="77777777" w:rsidR="007D4D11" w:rsidRDefault="007D4D11" w:rsidP="009A477A">
            <w:pPr>
              <w:pStyle w:val="TableText0"/>
              <w:jc w:val="center"/>
            </w:pPr>
            <w:r>
              <w:t>(679.0, 821.2)</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C1412B" w14:textId="77777777" w:rsidR="007D4D11" w:rsidRDefault="007D4D11" w:rsidP="009A477A">
            <w:pPr>
              <w:pStyle w:val="TableText0"/>
              <w:jc w:val="center"/>
            </w:pPr>
            <w:r>
              <w:t>1408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EDD07C" w14:textId="77777777" w:rsidR="007D4D11" w:rsidRDefault="007D4D11" w:rsidP="009A477A">
            <w:pPr>
              <w:pStyle w:val="TableText0"/>
              <w:jc w:val="center"/>
            </w:pPr>
            <w:r>
              <w:t>746.7</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63F1EE" w14:textId="77777777" w:rsidR="007D4D11" w:rsidRDefault="007D4D11" w:rsidP="009A477A">
            <w:pPr>
              <w:pStyle w:val="TableText0"/>
              <w:jc w:val="center"/>
            </w:pPr>
            <w:r>
              <w:t>(679.8, 820.1)</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4E984" w14:textId="77777777" w:rsidR="007D4D11" w:rsidRDefault="007D4D11" w:rsidP="009A477A">
            <w:pPr>
              <w:pStyle w:val="TableText0"/>
              <w:jc w:val="center"/>
            </w:pPr>
            <w:r>
              <w:t>1.00</w:t>
            </w: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BF2D51" w14:textId="77777777" w:rsidR="007D4D11" w:rsidRPr="00AA5847" w:rsidRDefault="007D4D11" w:rsidP="009A477A">
            <w:pPr>
              <w:pStyle w:val="TableText0"/>
              <w:jc w:val="center"/>
            </w:pPr>
            <w:r w:rsidRPr="00AA5847">
              <w:t>(0.89, 1.13)</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543A5763" w14:textId="77777777" w:rsidR="007D4D11" w:rsidRDefault="007D4D11" w:rsidP="009A477A">
            <w:pPr>
              <w:pStyle w:val="TableText0"/>
              <w:jc w:val="center"/>
            </w:pPr>
            <w:r w:rsidRPr="004E375B">
              <w:rPr>
                <w:iCs/>
              </w:rPr>
              <w:t>NA</w:t>
            </w:r>
          </w:p>
        </w:tc>
      </w:tr>
      <w:tr w:rsidR="007D4D11" w14:paraId="34DBF4A6"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hideMark/>
          </w:tcPr>
          <w:p w14:paraId="302EB0A0" w14:textId="77777777" w:rsidR="007D4D11" w:rsidRDefault="007D4D11" w:rsidP="009A477A">
            <w:pPr>
              <w:pStyle w:val="TableText0"/>
            </w:pPr>
            <w:r>
              <w:t>18C</w:t>
            </w:r>
          </w:p>
        </w:tc>
        <w:tc>
          <w:tcPr>
            <w:tcW w:w="373" w:type="pct"/>
            <w:tcBorders>
              <w:top w:val="single" w:sz="4" w:space="0" w:color="auto"/>
              <w:left w:val="single" w:sz="4" w:space="0" w:color="auto"/>
              <w:bottom w:val="single" w:sz="4" w:space="0" w:color="auto"/>
              <w:right w:val="single" w:sz="4" w:space="0" w:color="auto"/>
            </w:tcBorders>
            <w:hideMark/>
          </w:tcPr>
          <w:p w14:paraId="0A3ABDF9" w14:textId="77777777" w:rsidR="007D4D11" w:rsidRDefault="007D4D11" w:rsidP="009A477A">
            <w:pPr>
              <w:pStyle w:val="TableText0"/>
              <w:jc w:val="center"/>
            </w:pPr>
            <w:r>
              <w:t>1420</w:t>
            </w:r>
          </w:p>
        </w:tc>
        <w:tc>
          <w:tcPr>
            <w:tcW w:w="470" w:type="pct"/>
            <w:tcBorders>
              <w:top w:val="single" w:sz="4" w:space="0" w:color="auto"/>
              <w:left w:val="single" w:sz="4" w:space="0" w:color="auto"/>
              <w:bottom w:val="single" w:sz="4" w:space="0" w:color="auto"/>
              <w:right w:val="single" w:sz="4" w:space="0" w:color="auto"/>
            </w:tcBorders>
            <w:hideMark/>
          </w:tcPr>
          <w:p w14:paraId="0A96B6C1" w14:textId="77777777" w:rsidR="007D4D11" w:rsidRDefault="007D4D11" w:rsidP="009A477A">
            <w:pPr>
              <w:pStyle w:val="TableText0"/>
              <w:jc w:val="center"/>
            </w:pPr>
            <w:r>
              <w:t>1252.6</w:t>
            </w:r>
          </w:p>
        </w:tc>
        <w:tc>
          <w:tcPr>
            <w:tcW w:w="797" w:type="pct"/>
            <w:tcBorders>
              <w:top w:val="single" w:sz="4" w:space="0" w:color="auto"/>
              <w:left w:val="single" w:sz="4" w:space="0" w:color="auto"/>
              <w:bottom w:val="single" w:sz="4" w:space="0" w:color="auto"/>
              <w:right w:val="single" w:sz="4" w:space="0" w:color="auto"/>
            </w:tcBorders>
            <w:hideMark/>
          </w:tcPr>
          <w:p w14:paraId="52EDAD8E" w14:textId="77777777" w:rsidR="007D4D11" w:rsidRDefault="007D4D11" w:rsidP="009A477A">
            <w:pPr>
              <w:pStyle w:val="TableText0"/>
              <w:jc w:val="center"/>
            </w:pPr>
            <w:r>
              <w:t>(1123.1, 1397.0)</w:t>
            </w:r>
          </w:p>
        </w:tc>
        <w:tc>
          <w:tcPr>
            <w:tcW w:w="454" w:type="pct"/>
            <w:tcBorders>
              <w:top w:val="single" w:sz="4" w:space="0" w:color="auto"/>
              <w:left w:val="single" w:sz="4" w:space="0" w:color="auto"/>
              <w:bottom w:val="single" w:sz="4" w:space="0" w:color="auto"/>
              <w:right w:val="single" w:sz="4" w:space="0" w:color="auto"/>
            </w:tcBorders>
            <w:hideMark/>
          </w:tcPr>
          <w:p w14:paraId="0327F735" w14:textId="77777777" w:rsidR="007D4D11" w:rsidRDefault="007D4D11" w:rsidP="009A477A">
            <w:pPr>
              <w:pStyle w:val="TableText0"/>
              <w:jc w:val="center"/>
            </w:pPr>
            <w:r>
              <w:t>1403</w:t>
            </w:r>
          </w:p>
        </w:tc>
        <w:tc>
          <w:tcPr>
            <w:tcW w:w="398" w:type="pct"/>
            <w:tcBorders>
              <w:top w:val="single" w:sz="4" w:space="0" w:color="auto"/>
              <w:left w:val="single" w:sz="4" w:space="0" w:color="auto"/>
              <w:bottom w:val="single" w:sz="4" w:space="0" w:color="auto"/>
              <w:right w:val="single" w:sz="4" w:space="0" w:color="auto"/>
            </w:tcBorders>
            <w:hideMark/>
          </w:tcPr>
          <w:p w14:paraId="2F435ED5" w14:textId="77777777" w:rsidR="007D4D11" w:rsidRDefault="007D4D11" w:rsidP="009A477A">
            <w:pPr>
              <w:pStyle w:val="TableText0"/>
              <w:jc w:val="center"/>
            </w:pPr>
            <w:r>
              <w:t>1482.3</w:t>
            </w:r>
          </w:p>
        </w:tc>
        <w:tc>
          <w:tcPr>
            <w:tcW w:w="808" w:type="pct"/>
            <w:tcBorders>
              <w:top w:val="single" w:sz="4" w:space="0" w:color="auto"/>
              <w:left w:val="single" w:sz="4" w:space="0" w:color="auto"/>
              <w:bottom w:val="single" w:sz="4" w:space="0" w:color="auto"/>
              <w:right w:val="single" w:sz="4" w:space="0" w:color="auto"/>
            </w:tcBorders>
            <w:hideMark/>
          </w:tcPr>
          <w:p w14:paraId="4699DC29" w14:textId="77777777" w:rsidR="007D4D11" w:rsidRDefault="007D4D11" w:rsidP="009A477A">
            <w:pPr>
              <w:pStyle w:val="TableText0"/>
              <w:jc w:val="center"/>
            </w:pPr>
            <w:r>
              <w:t>(1330.5, 1651.5)</w:t>
            </w:r>
          </w:p>
        </w:tc>
        <w:tc>
          <w:tcPr>
            <w:tcW w:w="389" w:type="pct"/>
            <w:tcBorders>
              <w:top w:val="single" w:sz="4" w:space="0" w:color="auto"/>
              <w:left w:val="single" w:sz="4" w:space="0" w:color="auto"/>
              <w:bottom w:val="single" w:sz="4" w:space="0" w:color="auto"/>
              <w:right w:val="single" w:sz="4" w:space="0" w:color="auto"/>
            </w:tcBorders>
            <w:hideMark/>
          </w:tcPr>
          <w:p w14:paraId="179FE604" w14:textId="77777777" w:rsidR="007D4D11" w:rsidRDefault="007D4D11" w:rsidP="009A477A">
            <w:pPr>
              <w:pStyle w:val="TableText0"/>
              <w:jc w:val="center"/>
            </w:pPr>
            <w:r>
              <w:t>0.85</w:t>
            </w:r>
          </w:p>
        </w:tc>
        <w:tc>
          <w:tcPr>
            <w:tcW w:w="588" w:type="pct"/>
            <w:tcBorders>
              <w:top w:val="single" w:sz="4" w:space="0" w:color="auto"/>
              <w:left w:val="single" w:sz="4" w:space="0" w:color="auto"/>
              <w:bottom w:val="single" w:sz="4" w:space="0" w:color="auto"/>
              <w:right w:val="single" w:sz="4" w:space="0" w:color="auto"/>
            </w:tcBorders>
            <w:hideMark/>
          </w:tcPr>
          <w:p w14:paraId="6C47E81D" w14:textId="77777777" w:rsidR="007D4D11" w:rsidRPr="00AA5847" w:rsidRDefault="007D4D11" w:rsidP="009A477A">
            <w:pPr>
              <w:pStyle w:val="TableText0"/>
              <w:jc w:val="center"/>
            </w:pPr>
            <w:r w:rsidRPr="00AA5847">
              <w:t>(0.74, 0.97)</w:t>
            </w:r>
          </w:p>
        </w:tc>
        <w:tc>
          <w:tcPr>
            <w:tcW w:w="401" w:type="pct"/>
            <w:tcBorders>
              <w:top w:val="single" w:sz="4" w:space="0" w:color="auto"/>
              <w:left w:val="single" w:sz="4" w:space="0" w:color="auto"/>
              <w:bottom w:val="single" w:sz="4" w:space="0" w:color="auto"/>
              <w:right w:val="single" w:sz="4" w:space="0" w:color="auto"/>
            </w:tcBorders>
          </w:tcPr>
          <w:p w14:paraId="1DA09760" w14:textId="77777777" w:rsidR="007D4D11" w:rsidRDefault="007D4D11" w:rsidP="009A477A">
            <w:pPr>
              <w:pStyle w:val="TableText0"/>
              <w:jc w:val="center"/>
            </w:pPr>
            <w:r w:rsidRPr="004E375B">
              <w:rPr>
                <w:iCs/>
              </w:rPr>
              <w:t>NA</w:t>
            </w:r>
          </w:p>
        </w:tc>
      </w:tr>
      <w:tr w:rsidR="007D4D11" w14:paraId="3D2E501D"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hideMark/>
          </w:tcPr>
          <w:p w14:paraId="754555AD" w14:textId="77777777" w:rsidR="007D4D11" w:rsidRDefault="007D4D11" w:rsidP="009A477A">
            <w:pPr>
              <w:pStyle w:val="TableText0"/>
            </w:pPr>
            <w:r>
              <w:t>19A</w:t>
            </w:r>
          </w:p>
        </w:tc>
        <w:tc>
          <w:tcPr>
            <w:tcW w:w="373" w:type="pct"/>
            <w:tcBorders>
              <w:top w:val="single" w:sz="4" w:space="0" w:color="auto"/>
              <w:left w:val="single" w:sz="4" w:space="0" w:color="auto"/>
              <w:bottom w:val="single" w:sz="4" w:space="0" w:color="auto"/>
              <w:right w:val="single" w:sz="4" w:space="0" w:color="auto"/>
            </w:tcBorders>
            <w:hideMark/>
          </w:tcPr>
          <w:p w14:paraId="7FF4B1B9" w14:textId="77777777" w:rsidR="007D4D11" w:rsidRDefault="007D4D11" w:rsidP="009A477A">
            <w:pPr>
              <w:pStyle w:val="TableText0"/>
              <w:jc w:val="center"/>
            </w:pPr>
            <w:r>
              <w:t>1420</w:t>
            </w:r>
          </w:p>
        </w:tc>
        <w:tc>
          <w:tcPr>
            <w:tcW w:w="470" w:type="pct"/>
            <w:tcBorders>
              <w:top w:val="single" w:sz="4" w:space="0" w:color="auto"/>
              <w:left w:val="single" w:sz="4" w:space="0" w:color="auto"/>
              <w:bottom w:val="single" w:sz="4" w:space="0" w:color="auto"/>
              <w:right w:val="single" w:sz="4" w:space="0" w:color="auto"/>
            </w:tcBorders>
            <w:hideMark/>
          </w:tcPr>
          <w:p w14:paraId="69530B5A" w14:textId="77777777" w:rsidR="007D4D11" w:rsidRDefault="007D4D11" w:rsidP="009A477A">
            <w:pPr>
              <w:pStyle w:val="TableText0"/>
              <w:jc w:val="center"/>
            </w:pPr>
            <w:r>
              <w:t>517.9</w:t>
            </w:r>
          </w:p>
        </w:tc>
        <w:tc>
          <w:tcPr>
            <w:tcW w:w="797" w:type="pct"/>
            <w:tcBorders>
              <w:top w:val="single" w:sz="4" w:space="0" w:color="auto"/>
              <w:left w:val="single" w:sz="4" w:space="0" w:color="auto"/>
              <w:bottom w:val="single" w:sz="4" w:space="0" w:color="auto"/>
              <w:right w:val="single" w:sz="4" w:space="0" w:color="auto"/>
            </w:tcBorders>
            <w:hideMark/>
          </w:tcPr>
          <w:p w14:paraId="31E7735B" w14:textId="77777777" w:rsidR="007D4D11" w:rsidRDefault="007D4D11" w:rsidP="009A477A">
            <w:pPr>
              <w:pStyle w:val="TableText0"/>
              <w:jc w:val="center"/>
            </w:pPr>
            <w:r>
              <w:t>(472.2, 568.0)</w:t>
            </w:r>
          </w:p>
        </w:tc>
        <w:tc>
          <w:tcPr>
            <w:tcW w:w="454" w:type="pct"/>
            <w:tcBorders>
              <w:top w:val="single" w:sz="4" w:space="0" w:color="auto"/>
              <w:left w:val="single" w:sz="4" w:space="0" w:color="auto"/>
              <w:bottom w:val="single" w:sz="4" w:space="0" w:color="auto"/>
              <w:right w:val="single" w:sz="4" w:space="0" w:color="auto"/>
            </w:tcBorders>
            <w:hideMark/>
          </w:tcPr>
          <w:p w14:paraId="174146F9" w14:textId="77777777" w:rsidR="007D4D11" w:rsidRDefault="007D4D11" w:rsidP="009A477A">
            <w:pPr>
              <w:pStyle w:val="TableText0"/>
              <w:jc w:val="center"/>
            </w:pPr>
            <w:r>
              <w:t>1398</w:t>
            </w:r>
          </w:p>
        </w:tc>
        <w:tc>
          <w:tcPr>
            <w:tcW w:w="398" w:type="pct"/>
            <w:tcBorders>
              <w:top w:val="single" w:sz="4" w:space="0" w:color="auto"/>
              <w:left w:val="single" w:sz="4" w:space="0" w:color="auto"/>
              <w:bottom w:val="single" w:sz="4" w:space="0" w:color="auto"/>
              <w:right w:val="single" w:sz="4" w:space="0" w:color="auto"/>
            </w:tcBorders>
            <w:hideMark/>
          </w:tcPr>
          <w:p w14:paraId="3E4C7AED" w14:textId="77777777" w:rsidR="007D4D11" w:rsidRDefault="007D4D11" w:rsidP="009A477A">
            <w:pPr>
              <w:pStyle w:val="TableText0"/>
              <w:jc w:val="center"/>
            </w:pPr>
            <w:r>
              <w:t>645.3</w:t>
            </w:r>
          </w:p>
        </w:tc>
        <w:tc>
          <w:tcPr>
            <w:tcW w:w="808" w:type="pct"/>
            <w:tcBorders>
              <w:top w:val="single" w:sz="4" w:space="0" w:color="auto"/>
              <w:left w:val="single" w:sz="4" w:space="0" w:color="auto"/>
              <w:bottom w:val="single" w:sz="4" w:space="0" w:color="auto"/>
              <w:right w:val="single" w:sz="4" w:space="0" w:color="auto"/>
            </w:tcBorders>
            <w:hideMark/>
          </w:tcPr>
          <w:p w14:paraId="17149FFB" w14:textId="77777777" w:rsidR="007D4D11" w:rsidRDefault="007D4D11" w:rsidP="009A477A">
            <w:pPr>
              <w:pStyle w:val="TableText0"/>
              <w:jc w:val="center"/>
            </w:pPr>
            <w:r>
              <w:t>(588.9, 707.1)</w:t>
            </w:r>
          </w:p>
        </w:tc>
        <w:tc>
          <w:tcPr>
            <w:tcW w:w="389" w:type="pct"/>
            <w:tcBorders>
              <w:top w:val="single" w:sz="4" w:space="0" w:color="auto"/>
              <w:left w:val="single" w:sz="4" w:space="0" w:color="auto"/>
              <w:bottom w:val="single" w:sz="4" w:space="0" w:color="auto"/>
              <w:right w:val="single" w:sz="4" w:space="0" w:color="auto"/>
            </w:tcBorders>
            <w:hideMark/>
          </w:tcPr>
          <w:p w14:paraId="0D4A1769" w14:textId="77777777" w:rsidR="007D4D11" w:rsidRDefault="007D4D11" w:rsidP="009A477A">
            <w:pPr>
              <w:pStyle w:val="TableText0"/>
              <w:jc w:val="center"/>
            </w:pPr>
            <w:r>
              <w:t>0.80</w:t>
            </w:r>
          </w:p>
        </w:tc>
        <w:tc>
          <w:tcPr>
            <w:tcW w:w="588" w:type="pct"/>
            <w:tcBorders>
              <w:top w:val="single" w:sz="4" w:space="0" w:color="auto"/>
              <w:left w:val="single" w:sz="4" w:space="0" w:color="auto"/>
              <w:bottom w:val="single" w:sz="4" w:space="0" w:color="auto"/>
              <w:right w:val="single" w:sz="4" w:space="0" w:color="auto"/>
            </w:tcBorders>
            <w:hideMark/>
          </w:tcPr>
          <w:p w14:paraId="6E70C599" w14:textId="77777777" w:rsidR="007D4D11" w:rsidRPr="00AA5847" w:rsidRDefault="007D4D11" w:rsidP="009A477A">
            <w:pPr>
              <w:pStyle w:val="TableText0"/>
              <w:jc w:val="center"/>
            </w:pPr>
            <w:r w:rsidRPr="00AA5847">
              <w:t>(0.71, 0.90)</w:t>
            </w:r>
          </w:p>
        </w:tc>
        <w:tc>
          <w:tcPr>
            <w:tcW w:w="401" w:type="pct"/>
            <w:tcBorders>
              <w:top w:val="single" w:sz="4" w:space="0" w:color="auto"/>
              <w:left w:val="single" w:sz="4" w:space="0" w:color="auto"/>
              <w:bottom w:val="single" w:sz="4" w:space="0" w:color="auto"/>
              <w:right w:val="single" w:sz="4" w:space="0" w:color="auto"/>
            </w:tcBorders>
          </w:tcPr>
          <w:p w14:paraId="77597018" w14:textId="77777777" w:rsidR="007D4D11" w:rsidRDefault="007D4D11" w:rsidP="009A477A">
            <w:pPr>
              <w:pStyle w:val="TableText0"/>
              <w:jc w:val="center"/>
            </w:pPr>
            <w:r w:rsidRPr="004E375B">
              <w:rPr>
                <w:iCs/>
              </w:rPr>
              <w:t>NA</w:t>
            </w:r>
          </w:p>
        </w:tc>
      </w:tr>
      <w:tr w:rsidR="007D4D11" w14:paraId="1867F914"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hideMark/>
          </w:tcPr>
          <w:p w14:paraId="34C44B11" w14:textId="77777777" w:rsidR="007D4D11" w:rsidRDefault="007D4D11" w:rsidP="009A477A">
            <w:pPr>
              <w:pStyle w:val="TableText0"/>
            </w:pPr>
            <w:r>
              <w:t>19F</w:t>
            </w:r>
          </w:p>
        </w:tc>
        <w:tc>
          <w:tcPr>
            <w:tcW w:w="373" w:type="pct"/>
            <w:tcBorders>
              <w:top w:val="single" w:sz="4" w:space="0" w:color="auto"/>
              <w:left w:val="single" w:sz="4" w:space="0" w:color="auto"/>
              <w:bottom w:val="single" w:sz="4" w:space="0" w:color="auto"/>
              <w:right w:val="single" w:sz="4" w:space="0" w:color="auto"/>
            </w:tcBorders>
            <w:hideMark/>
          </w:tcPr>
          <w:p w14:paraId="69809F8B" w14:textId="77777777" w:rsidR="007D4D11" w:rsidRDefault="007D4D11" w:rsidP="009A477A">
            <w:pPr>
              <w:pStyle w:val="TableText0"/>
              <w:jc w:val="center"/>
            </w:pPr>
            <w:r>
              <w:t>1421</w:t>
            </w:r>
          </w:p>
        </w:tc>
        <w:tc>
          <w:tcPr>
            <w:tcW w:w="470" w:type="pct"/>
            <w:tcBorders>
              <w:top w:val="single" w:sz="4" w:space="0" w:color="auto"/>
              <w:left w:val="single" w:sz="4" w:space="0" w:color="auto"/>
              <w:bottom w:val="single" w:sz="4" w:space="0" w:color="auto"/>
              <w:right w:val="single" w:sz="4" w:space="0" w:color="auto"/>
            </w:tcBorders>
            <w:hideMark/>
          </w:tcPr>
          <w:p w14:paraId="06758592" w14:textId="77777777" w:rsidR="007D4D11" w:rsidRDefault="007D4D11" w:rsidP="009A477A">
            <w:pPr>
              <w:pStyle w:val="TableText0"/>
              <w:jc w:val="center"/>
            </w:pPr>
            <w:r>
              <w:t>265.8</w:t>
            </w:r>
          </w:p>
        </w:tc>
        <w:tc>
          <w:tcPr>
            <w:tcW w:w="797" w:type="pct"/>
            <w:tcBorders>
              <w:top w:val="single" w:sz="4" w:space="0" w:color="auto"/>
              <w:left w:val="single" w:sz="4" w:space="0" w:color="auto"/>
              <w:bottom w:val="single" w:sz="4" w:space="0" w:color="auto"/>
              <w:right w:val="single" w:sz="4" w:space="0" w:color="auto"/>
            </w:tcBorders>
            <w:hideMark/>
          </w:tcPr>
          <w:p w14:paraId="6591DEFE" w14:textId="77777777" w:rsidR="007D4D11" w:rsidRDefault="007D4D11" w:rsidP="009A477A">
            <w:pPr>
              <w:pStyle w:val="TableText0"/>
              <w:jc w:val="center"/>
            </w:pPr>
            <w:r>
              <w:t>(240.2, 294.1)</w:t>
            </w:r>
          </w:p>
        </w:tc>
        <w:tc>
          <w:tcPr>
            <w:tcW w:w="454" w:type="pct"/>
            <w:tcBorders>
              <w:top w:val="single" w:sz="4" w:space="0" w:color="auto"/>
              <w:left w:val="single" w:sz="4" w:space="0" w:color="auto"/>
              <w:bottom w:val="single" w:sz="4" w:space="0" w:color="auto"/>
              <w:right w:val="single" w:sz="4" w:space="0" w:color="auto"/>
            </w:tcBorders>
            <w:hideMark/>
          </w:tcPr>
          <w:p w14:paraId="2824B5E1" w14:textId="77777777" w:rsidR="007D4D11" w:rsidRDefault="007D4D11" w:rsidP="009A477A">
            <w:pPr>
              <w:pStyle w:val="TableText0"/>
              <w:jc w:val="center"/>
            </w:pPr>
            <w:r>
              <w:t>1403</w:t>
            </w:r>
          </w:p>
        </w:tc>
        <w:tc>
          <w:tcPr>
            <w:tcW w:w="398" w:type="pct"/>
            <w:tcBorders>
              <w:top w:val="single" w:sz="4" w:space="0" w:color="auto"/>
              <w:left w:val="single" w:sz="4" w:space="0" w:color="auto"/>
              <w:bottom w:val="single" w:sz="4" w:space="0" w:color="auto"/>
              <w:right w:val="single" w:sz="4" w:space="0" w:color="auto"/>
            </w:tcBorders>
            <w:hideMark/>
          </w:tcPr>
          <w:p w14:paraId="23623907" w14:textId="77777777" w:rsidR="007D4D11" w:rsidRDefault="007D4D11" w:rsidP="009A477A">
            <w:pPr>
              <w:pStyle w:val="TableText0"/>
              <w:jc w:val="center"/>
            </w:pPr>
            <w:r>
              <w:t>333.3</w:t>
            </w:r>
          </w:p>
        </w:tc>
        <w:tc>
          <w:tcPr>
            <w:tcW w:w="808" w:type="pct"/>
            <w:tcBorders>
              <w:top w:val="single" w:sz="4" w:space="0" w:color="auto"/>
              <w:left w:val="single" w:sz="4" w:space="0" w:color="auto"/>
              <w:bottom w:val="single" w:sz="4" w:space="0" w:color="auto"/>
              <w:right w:val="single" w:sz="4" w:space="0" w:color="auto"/>
            </w:tcBorders>
            <w:hideMark/>
          </w:tcPr>
          <w:p w14:paraId="0A32958B" w14:textId="77777777" w:rsidR="007D4D11" w:rsidRDefault="007D4D11" w:rsidP="009A477A">
            <w:pPr>
              <w:pStyle w:val="TableText0"/>
              <w:jc w:val="center"/>
            </w:pPr>
            <w:r>
              <w:t>(301.5, 368.3)</w:t>
            </w:r>
          </w:p>
        </w:tc>
        <w:tc>
          <w:tcPr>
            <w:tcW w:w="389" w:type="pct"/>
            <w:tcBorders>
              <w:top w:val="single" w:sz="4" w:space="0" w:color="auto"/>
              <w:left w:val="single" w:sz="4" w:space="0" w:color="auto"/>
              <w:bottom w:val="single" w:sz="4" w:space="0" w:color="auto"/>
              <w:right w:val="single" w:sz="4" w:space="0" w:color="auto"/>
            </w:tcBorders>
            <w:hideMark/>
          </w:tcPr>
          <w:p w14:paraId="519F9A5C" w14:textId="77777777" w:rsidR="007D4D11" w:rsidRDefault="007D4D11" w:rsidP="009A477A">
            <w:pPr>
              <w:pStyle w:val="TableText0"/>
              <w:jc w:val="center"/>
            </w:pPr>
            <w:r>
              <w:t>0.80</w:t>
            </w:r>
          </w:p>
        </w:tc>
        <w:tc>
          <w:tcPr>
            <w:tcW w:w="588" w:type="pct"/>
            <w:tcBorders>
              <w:top w:val="single" w:sz="4" w:space="0" w:color="auto"/>
              <w:left w:val="single" w:sz="4" w:space="0" w:color="auto"/>
              <w:bottom w:val="single" w:sz="4" w:space="0" w:color="auto"/>
              <w:right w:val="single" w:sz="4" w:space="0" w:color="auto"/>
            </w:tcBorders>
            <w:hideMark/>
          </w:tcPr>
          <w:p w14:paraId="72F1A358" w14:textId="77777777" w:rsidR="007D4D11" w:rsidRPr="00AA5847" w:rsidRDefault="007D4D11" w:rsidP="009A477A">
            <w:pPr>
              <w:pStyle w:val="TableText0"/>
              <w:jc w:val="center"/>
            </w:pPr>
            <w:r w:rsidRPr="00AA5847">
              <w:t>(0.70, 0.91)</w:t>
            </w:r>
          </w:p>
        </w:tc>
        <w:tc>
          <w:tcPr>
            <w:tcW w:w="401" w:type="pct"/>
            <w:tcBorders>
              <w:top w:val="single" w:sz="4" w:space="0" w:color="auto"/>
              <w:left w:val="single" w:sz="4" w:space="0" w:color="auto"/>
              <w:bottom w:val="single" w:sz="4" w:space="0" w:color="auto"/>
              <w:right w:val="single" w:sz="4" w:space="0" w:color="auto"/>
            </w:tcBorders>
          </w:tcPr>
          <w:p w14:paraId="3B1464B3" w14:textId="77777777" w:rsidR="007D4D11" w:rsidRDefault="007D4D11" w:rsidP="009A477A">
            <w:pPr>
              <w:pStyle w:val="TableText0"/>
              <w:jc w:val="center"/>
            </w:pPr>
            <w:r w:rsidRPr="004E375B">
              <w:rPr>
                <w:iCs/>
              </w:rPr>
              <w:t>NA</w:t>
            </w:r>
          </w:p>
        </w:tc>
      </w:tr>
      <w:tr w:rsidR="007D4D11" w14:paraId="0124EE56"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hideMark/>
          </w:tcPr>
          <w:p w14:paraId="67CB23C5" w14:textId="77777777" w:rsidR="007D4D11" w:rsidRDefault="007D4D11" w:rsidP="009A477A">
            <w:pPr>
              <w:pStyle w:val="TableText0"/>
            </w:pPr>
            <w:r>
              <w:t>23F</w:t>
            </w:r>
          </w:p>
        </w:tc>
        <w:tc>
          <w:tcPr>
            <w:tcW w:w="373" w:type="pct"/>
            <w:tcBorders>
              <w:top w:val="single" w:sz="4" w:space="0" w:color="auto"/>
              <w:left w:val="single" w:sz="4" w:space="0" w:color="auto"/>
              <w:bottom w:val="single" w:sz="4" w:space="0" w:color="auto"/>
              <w:right w:val="single" w:sz="4" w:space="0" w:color="auto"/>
            </w:tcBorders>
            <w:hideMark/>
          </w:tcPr>
          <w:p w14:paraId="77281C8C" w14:textId="77777777" w:rsidR="007D4D11" w:rsidRDefault="007D4D11" w:rsidP="009A477A">
            <w:pPr>
              <w:pStyle w:val="TableText0"/>
              <w:jc w:val="center"/>
            </w:pPr>
            <w:r>
              <w:t>1424</w:t>
            </w:r>
          </w:p>
        </w:tc>
        <w:tc>
          <w:tcPr>
            <w:tcW w:w="470" w:type="pct"/>
            <w:tcBorders>
              <w:top w:val="single" w:sz="4" w:space="0" w:color="auto"/>
              <w:left w:val="single" w:sz="4" w:space="0" w:color="auto"/>
              <w:bottom w:val="single" w:sz="4" w:space="0" w:color="auto"/>
              <w:right w:val="single" w:sz="4" w:space="0" w:color="auto"/>
            </w:tcBorders>
            <w:hideMark/>
          </w:tcPr>
          <w:p w14:paraId="58DC1AD9" w14:textId="77777777" w:rsidR="007D4D11" w:rsidRDefault="007D4D11" w:rsidP="009A477A">
            <w:pPr>
              <w:pStyle w:val="TableText0"/>
              <w:jc w:val="center"/>
            </w:pPr>
            <w:r>
              <w:t>276.5</w:t>
            </w:r>
          </w:p>
        </w:tc>
        <w:tc>
          <w:tcPr>
            <w:tcW w:w="797" w:type="pct"/>
            <w:tcBorders>
              <w:top w:val="single" w:sz="4" w:space="0" w:color="auto"/>
              <w:left w:val="single" w:sz="4" w:space="0" w:color="auto"/>
              <w:bottom w:val="single" w:sz="4" w:space="0" w:color="auto"/>
              <w:right w:val="single" w:sz="4" w:space="0" w:color="auto"/>
            </w:tcBorders>
            <w:hideMark/>
          </w:tcPr>
          <w:p w14:paraId="0EFED791" w14:textId="77777777" w:rsidR="007D4D11" w:rsidRDefault="007D4D11" w:rsidP="009A477A">
            <w:pPr>
              <w:pStyle w:val="TableText0"/>
              <w:jc w:val="center"/>
            </w:pPr>
            <w:r>
              <w:t>(242.5, 315.2)</w:t>
            </w:r>
          </w:p>
        </w:tc>
        <w:tc>
          <w:tcPr>
            <w:tcW w:w="454" w:type="pct"/>
            <w:tcBorders>
              <w:top w:val="single" w:sz="4" w:space="0" w:color="auto"/>
              <w:left w:val="single" w:sz="4" w:space="0" w:color="auto"/>
              <w:bottom w:val="single" w:sz="4" w:space="0" w:color="auto"/>
              <w:right w:val="single" w:sz="4" w:space="0" w:color="auto"/>
            </w:tcBorders>
            <w:hideMark/>
          </w:tcPr>
          <w:p w14:paraId="61A09C42" w14:textId="77777777" w:rsidR="007D4D11" w:rsidRDefault="007D4D11" w:rsidP="009A477A">
            <w:pPr>
              <w:pStyle w:val="TableText0"/>
              <w:jc w:val="center"/>
            </w:pPr>
            <w:r>
              <w:t>1409</w:t>
            </w:r>
          </w:p>
        </w:tc>
        <w:tc>
          <w:tcPr>
            <w:tcW w:w="398" w:type="pct"/>
            <w:tcBorders>
              <w:top w:val="single" w:sz="4" w:space="0" w:color="auto"/>
              <w:left w:val="single" w:sz="4" w:space="0" w:color="auto"/>
              <w:bottom w:val="single" w:sz="4" w:space="0" w:color="auto"/>
              <w:right w:val="single" w:sz="4" w:space="0" w:color="auto"/>
            </w:tcBorders>
            <w:hideMark/>
          </w:tcPr>
          <w:p w14:paraId="69976DDC" w14:textId="77777777" w:rsidR="007D4D11" w:rsidRDefault="007D4D11" w:rsidP="009A477A">
            <w:pPr>
              <w:pStyle w:val="TableText0"/>
              <w:jc w:val="center"/>
            </w:pPr>
            <w:r>
              <w:t>335.1</w:t>
            </w:r>
          </w:p>
        </w:tc>
        <w:tc>
          <w:tcPr>
            <w:tcW w:w="808" w:type="pct"/>
            <w:tcBorders>
              <w:top w:val="single" w:sz="4" w:space="0" w:color="auto"/>
              <w:left w:val="single" w:sz="4" w:space="0" w:color="auto"/>
              <w:bottom w:val="single" w:sz="4" w:space="0" w:color="auto"/>
              <w:right w:val="single" w:sz="4" w:space="0" w:color="auto"/>
            </w:tcBorders>
            <w:hideMark/>
          </w:tcPr>
          <w:p w14:paraId="715E819D" w14:textId="77777777" w:rsidR="007D4D11" w:rsidRDefault="007D4D11" w:rsidP="009A477A">
            <w:pPr>
              <w:pStyle w:val="TableText0"/>
              <w:jc w:val="center"/>
            </w:pPr>
            <w:r>
              <w:t>(294.4, 381.4)</w:t>
            </w:r>
          </w:p>
        </w:tc>
        <w:tc>
          <w:tcPr>
            <w:tcW w:w="389" w:type="pct"/>
            <w:tcBorders>
              <w:top w:val="single" w:sz="4" w:space="0" w:color="auto"/>
              <w:left w:val="single" w:sz="4" w:space="0" w:color="auto"/>
              <w:bottom w:val="single" w:sz="4" w:space="0" w:color="auto"/>
              <w:right w:val="single" w:sz="4" w:space="0" w:color="auto"/>
            </w:tcBorders>
            <w:hideMark/>
          </w:tcPr>
          <w:p w14:paraId="519F4511" w14:textId="77777777" w:rsidR="007D4D11" w:rsidRDefault="007D4D11" w:rsidP="009A477A">
            <w:pPr>
              <w:pStyle w:val="TableText0"/>
              <w:jc w:val="center"/>
            </w:pPr>
            <w:r>
              <w:t>0.83</w:t>
            </w:r>
          </w:p>
        </w:tc>
        <w:tc>
          <w:tcPr>
            <w:tcW w:w="588" w:type="pct"/>
            <w:tcBorders>
              <w:top w:val="single" w:sz="4" w:space="0" w:color="auto"/>
              <w:left w:val="single" w:sz="4" w:space="0" w:color="auto"/>
              <w:bottom w:val="single" w:sz="4" w:space="0" w:color="auto"/>
              <w:right w:val="single" w:sz="4" w:space="0" w:color="auto"/>
            </w:tcBorders>
            <w:hideMark/>
          </w:tcPr>
          <w:p w14:paraId="66297FB4" w14:textId="77777777" w:rsidR="007D4D11" w:rsidRPr="00AA5847" w:rsidRDefault="007D4D11" w:rsidP="009A477A">
            <w:pPr>
              <w:pStyle w:val="TableText0"/>
              <w:jc w:val="center"/>
            </w:pPr>
            <w:r w:rsidRPr="00AA5847">
              <w:t>(0.70, 0.97)</w:t>
            </w:r>
          </w:p>
        </w:tc>
        <w:tc>
          <w:tcPr>
            <w:tcW w:w="401" w:type="pct"/>
            <w:tcBorders>
              <w:top w:val="single" w:sz="4" w:space="0" w:color="auto"/>
              <w:left w:val="single" w:sz="4" w:space="0" w:color="auto"/>
              <w:bottom w:val="single" w:sz="4" w:space="0" w:color="auto"/>
              <w:right w:val="single" w:sz="4" w:space="0" w:color="auto"/>
            </w:tcBorders>
          </w:tcPr>
          <w:p w14:paraId="6115171F" w14:textId="77777777" w:rsidR="007D4D11" w:rsidRDefault="007D4D11" w:rsidP="009A477A">
            <w:pPr>
              <w:pStyle w:val="TableText0"/>
              <w:jc w:val="center"/>
            </w:pPr>
            <w:r w:rsidRPr="004E375B">
              <w:rPr>
                <w:iCs/>
              </w:rPr>
              <w:t>NA</w:t>
            </w:r>
          </w:p>
        </w:tc>
      </w:tr>
      <w:tr w:rsidR="007D4D11" w14:paraId="1C34705B" w14:textId="77777777" w:rsidTr="009A477A">
        <w:trPr>
          <w:trHeight w:val="20"/>
        </w:trPr>
        <w:tc>
          <w:tcPr>
            <w:tcW w:w="4599" w:type="pct"/>
            <w:gridSpan w:val="9"/>
            <w:tcBorders>
              <w:top w:val="single" w:sz="4" w:space="0" w:color="auto"/>
              <w:left w:val="single" w:sz="4" w:space="0" w:color="auto"/>
              <w:bottom w:val="single" w:sz="4" w:space="0" w:color="auto"/>
              <w:right w:val="single" w:sz="4" w:space="0" w:color="auto"/>
            </w:tcBorders>
          </w:tcPr>
          <w:p w14:paraId="00D80634" w14:textId="7ACCF8D1" w:rsidR="007D4D11" w:rsidRPr="00AA5847" w:rsidRDefault="007D4D11" w:rsidP="009A477A">
            <w:pPr>
              <w:pStyle w:val="TableText0"/>
              <w:rPr>
                <w:b/>
                <w:bCs w:val="0"/>
                <w:vertAlign w:val="superscript"/>
              </w:rPr>
            </w:pPr>
            <w:proofErr w:type="spellStart"/>
            <w:r w:rsidRPr="00AA5847">
              <w:rPr>
                <w:b/>
                <w:bCs w:val="0"/>
              </w:rPr>
              <w:t>Additional</w:t>
            </w:r>
            <w:r w:rsidRPr="00AA5847">
              <w:rPr>
                <w:b/>
                <w:bCs w:val="0"/>
                <w:vertAlign w:val="superscript"/>
              </w:rPr>
              <w:t>e</w:t>
            </w:r>
            <w:proofErr w:type="spellEnd"/>
            <w:r w:rsidR="007B7379" w:rsidRPr="00AA5847">
              <w:rPr>
                <w:b/>
                <w:bCs w:val="0"/>
                <w:vertAlign w:val="superscript"/>
              </w:rPr>
              <w:t xml:space="preserve"> </w:t>
            </w:r>
            <w:r w:rsidR="007B7379" w:rsidRPr="00683533">
              <w:rPr>
                <w:b/>
                <w:bCs w:val="0"/>
                <w:iCs/>
              </w:rPr>
              <w:t>(20vPCV versus 23vPPV)</w:t>
            </w:r>
          </w:p>
        </w:tc>
        <w:tc>
          <w:tcPr>
            <w:tcW w:w="401" w:type="pct"/>
            <w:tcBorders>
              <w:top w:val="single" w:sz="4" w:space="0" w:color="auto"/>
              <w:left w:val="single" w:sz="4" w:space="0" w:color="auto"/>
              <w:bottom w:val="single" w:sz="4" w:space="0" w:color="auto"/>
              <w:right w:val="single" w:sz="4" w:space="0" w:color="auto"/>
            </w:tcBorders>
          </w:tcPr>
          <w:p w14:paraId="7A72ABC4" w14:textId="77777777" w:rsidR="007D4D11" w:rsidRPr="009A0EF3" w:rsidRDefault="007D4D11" w:rsidP="009A477A">
            <w:pPr>
              <w:pStyle w:val="TableText0"/>
              <w:rPr>
                <w:b/>
                <w:bCs w:val="0"/>
              </w:rPr>
            </w:pPr>
          </w:p>
        </w:tc>
      </w:tr>
      <w:tr w:rsidR="007D4D11" w14:paraId="4133ED00" w14:textId="77777777" w:rsidTr="00FA5778">
        <w:trPr>
          <w:trHeight w:val="20"/>
        </w:trPr>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71ED0" w14:textId="77777777" w:rsidR="007D4D11" w:rsidRDefault="007D4D11" w:rsidP="009A477A">
            <w:pPr>
              <w:pStyle w:val="TableText0"/>
            </w:pPr>
            <w:r>
              <w:t>8</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5DD8A" w14:textId="77777777" w:rsidR="007D4D11" w:rsidRDefault="007D4D11" w:rsidP="009A477A">
            <w:pPr>
              <w:pStyle w:val="TableText0"/>
              <w:jc w:val="center"/>
            </w:pPr>
            <w:r>
              <w:t>1374</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D804" w14:textId="77777777" w:rsidR="007D4D11" w:rsidRDefault="007D4D11" w:rsidP="009A477A">
            <w:pPr>
              <w:pStyle w:val="TableText0"/>
              <w:jc w:val="center"/>
            </w:pPr>
            <w:r>
              <w:t>465.6</w:t>
            </w:r>
          </w:p>
        </w:tc>
        <w:tc>
          <w:tcPr>
            <w:tcW w:w="7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BE5F8" w14:textId="77777777" w:rsidR="007D4D11" w:rsidRDefault="007D4D11" w:rsidP="009A477A">
            <w:pPr>
              <w:pStyle w:val="TableText0"/>
              <w:jc w:val="center"/>
            </w:pPr>
            <w:r>
              <w:t>(422.5, 513.1)</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25719" w14:textId="77777777" w:rsidR="007D4D11" w:rsidRDefault="007D4D11" w:rsidP="009A477A">
            <w:pPr>
              <w:pStyle w:val="TableText0"/>
              <w:jc w:val="center"/>
            </w:pPr>
            <w:r>
              <w:t>1319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44B9A" w14:textId="77777777" w:rsidR="007D4D11" w:rsidRDefault="007D4D11" w:rsidP="009A477A">
            <w:pPr>
              <w:pStyle w:val="TableText0"/>
              <w:jc w:val="center"/>
            </w:pPr>
            <w:r>
              <w:t>848.1</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50D8B" w14:textId="77777777" w:rsidR="007D4D11" w:rsidRDefault="007D4D11" w:rsidP="009A477A">
            <w:pPr>
              <w:pStyle w:val="TableText0"/>
              <w:jc w:val="center"/>
            </w:pPr>
            <w:r>
              <w:t>(769.1, 935.2)</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5429F" w14:textId="77777777" w:rsidR="007D4D11" w:rsidRDefault="007D4D11" w:rsidP="009A477A">
            <w:pPr>
              <w:pStyle w:val="TableText0"/>
              <w:jc w:val="center"/>
            </w:pPr>
            <w:r>
              <w:t>0.55</w:t>
            </w: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99F48" w14:textId="77777777" w:rsidR="007D4D11" w:rsidRPr="00AA5847" w:rsidRDefault="007D4D11" w:rsidP="009A477A">
            <w:pPr>
              <w:pStyle w:val="TableText0"/>
              <w:jc w:val="center"/>
            </w:pPr>
            <w:r w:rsidRPr="00AA5847">
              <w:t>(0.49, 0.62)</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07EF8" w14:textId="77777777" w:rsidR="007D4D11" w:rsidRDefault="007D4D11" w:rsidP="009A477A">
            <w:pPr>
              <w:pStyle w:val="TableText0"/>
              <w:jc w:val="center"/>
            </w:pPr>
            <w:r>
              <w:t>&gt;0.999</w:t>
            </w:r>
          </w:p>
        </w:tc>
      </w:tr>
      <w:tr w:rsidR="007D4D11" w14:paraId="29956E2F"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tcPr>
          <w:p w14:paraId="0017EB0D" w14:textId="77777777" w:rsidR="007D4D11" w:rsidRDefault="007D4D11" w:rsidP="009A477A">
            <w:pPr>
              <w:pStyle w:val="TableText0"/>
            </w:pPr>
            <w:r>
              <w:t>10A</w:t>
            </w:r>
          </w:p>
        </w:tc>
        <w:tc>
          <w:tcPr>
            <w:tcW w:w="373" w:type="pct"/>
            <w:tcBorders>
              <w:top w:val="single" w:sz="4" w:space="0" w:color="auto"/>
              <w:left w:val="single" w:sz="4" w:space="0" w:color="auto"/>
              <w:bottom w:val="single" w:sz="4" w:space="0" w:color="auto"/>
              <w:right w:val="single" w:sz="4" w:space="0" w:color="auto"/>
            </w:tcBorders>
          </w:tcPr>
          <w:p w14:paraId="30A1013A" w14:textId="77777777" w:rsidR="007D4D11" w:rsidRDefault="007D4D11" w:rsidP="009A477A">
            <w:pPr>
              <w:pStyle w:val="TableText0"/>
              <w:jc w:val="center"/>
            </w:pPr>
            <w:r>
              <w:t>1310</w:t>
            </w:r>
          </w:p>
        </w:tc>
        <w:tc>
          <w:tcPr>
            <w:tcW w:w="470" w:type="pct"/>
            <w:tcBorders>
              <w:top w:val="single" w:sz="4" w:space="0" w:color="auto"/>
              <w:left w:val="single" w:sz="4" w:space="0" w:color="auto"/>
              <w:bottom w:val="single" w:sz="4" w:space="0" w:color="auto"/>
              <w:right w:val="single" w:sz="4" w:space="0" w:color="auto"/>
            </w:tcBorders>
          </w:tcPr>
          <w:p w14:paraId="2BB8EE0E" w14:textId="77777777" w:rsidR="007D4D11" w:rsidRDefault="007D4D11" w:rsidP="009A477A">
            <w:pPr>
              <w:pStyle w:val="TableText0"/>
              <w:jc w:val="center"/>
            </w:pPr>
            <w:r>
              <w:t>2007.6</w:t>
            </w:r>
          </w:p>
        </w:tc>
        <w:tc>
          <w:tcPr>
            <w:tcW w:w="797" w:type="pct"/>
            <w:tcBorders>
              <w:top w:val="single" w:sz="4" w:space="0" w:color="auto"/>
              <w:left w:val="single" w:sz="4" w:space="0" w:color="auto"/>
              <w:bottom w:val="single" w:sz="4" w:space="0" w:color="auto"/>
              <w:right w:val="single" w:sz="4" w:space="0" w:color="auto"/>
            </w:tcBorders>
          </w:tcPr>
          <w:p w14:paraId="70916A59" w14:textId="77777777" w:rsidR="007D4D11" w:rsidRDefault="007D4D11" w:rsidP="009A477A">
            <w:pPr>
              <w:pStyle w:val="TableText0"/>
              <w:jc w:val="center"/>
            </w:pPr>
            <w:r>
              <w:t>(1808.0, 2229.1)</w:t>
            </w:r>
          </w:p>
        </w:tc>
        <w:tc>
          <w:tcPr>
            <w:tcW w:w="454" w:type="pct"/>
            <w:tcBorders>
              <w:top w:val="single" w:sz="4" w:space="0" w:color="auto"/>
              <w:left w:val="single" w:sz="4" w:space="0" w:color="auto"/>
              <w:bottom w:val="single" w:sz="4" w:space="0" w:color="auto"/>
              <w:right w:val="single" w:sz="4" w:space="0" w:color="auto"/>
            </w:tcBorders>
          </w:tcPr>
          <w:p w14:paraId="15A9BB51" w14:textId="77777777" w:rsidR="007D4D11" w:rsidRDefault="007D4D11" w:rsidP="009A477A">
            <w:pPr>
              <w:pStyle w:val="TableText0"/>
              <w:jc w:val="center"/>
            </w:pPr>
            <w:r>
              <w:t>1263</w:t>
            </w:r>
          </w:p>
        </w:tc>
        <w:tc>
          <w:tcPr>
            <w:tcW w:w="398" w:type="pct"/>
            <w:tcBorders>
              <w:top w:val="single" w:sz="4" w:space="0" w:color="auto"/>
              <w:left w:val="single" w:sz="4" w:space="0" w:color="auto"/>
              <w:bottom w:val="single" w:sz="4" w:space="0" w:color="auto"/>
              <w:right w:val="single" w:sz="4" w:space="0" w:color="auto"/>
            </w:tcBorders>
          </w:tcPr>
          <w:p w14:paraId="2B83C3F4" w14:textId="77777777" w:rsidR="007D4D11" w:rsidRDefault="007D4D11" w:rsidP="009A477A">
            <w:pPr>
              <w:pStyle w:val="TableText0"/>
              <w:jc w:val="center"/>
            </w:pPr>
            <w:r>
              <w:t>1079.9</w:t>
            </w:r>
          </w:p>
        </w:tc>
        <w:tc>
          <w:tcPr>
            <w:tcW w:w="808" w:type="pct"/>
            <w:tcBorders>
              <w:top w:val="single" w:sz="4" w:space="0" w:color="auto"/>
              <w:left w:val="single" w:sz="4" w:space="0" w:color="auto"/>
              <w:bottom w:val="single" w:sz="4" w:space="0" w:color="auto"/>
              <w:right w:val="single" w:sz="4" w:space="0" w:color="auto"/>
            </w:tcBorders>
          </w:tcPr>
          <w:p w14:paraId="790143F3" w14:textId="77777777" w:rsidR="007D4D11" w:rsidRDefault="007D4D11" w:rsidP="009A477A">
            <w:pPr>
              <w:pStyle w:val="TableText0"/>
              <w:jc w:val="center"/>
            </w:pPr>
            <w:r>
              <w:t>(972.1, 1199.7)</w:t>
            </w:r>
          </w:p>
        </w:tc>
        <w:tc>
          <w:tcPr>
            <w:tcW w:w="389" w:type="pct"/>
            <w:tcBorders>
              <w:top w:val="single" w:sz="4" w:space="0" w:color="auto"/>
              <w:left w:val="single" w:sz="4" w:space="0" w:color="auto"/>
              <w:bottom w:val="single" w:sz="4" w:space="0" w:color="auto"/>
              <w:right w:val="single" w:sz="4" w:space="0" w:color="auto"/>
            </w:tcBorders>
          </w:tcPr>
          <w:p w14:paraId="4098B917" w14:textId="77777777" w:rsidR="007D4D11" w:rsidRDefault="007D4D11" w:rsidP="009A477A">
            <w:pPr>
              <w:pStyle w:val="TableText0"/>
              <w:jc w:val="center"/>
            </w:pPr>
            <w:r>
              <w:t>1.86</w:t>
            </w:r>
          </w:p>
        </w:tc>
        <w:tc>
          <w:tcPr>
            <w:tcW w:w="588" w:type="pct"/>
            <w:tcBorders>
              <w:top w:val="single" w:sz="4" w:space="0" w:color="auto"/>
              <w:left w:val="single" w:sz="4" w:space="0" w:color="auto"/>
              <w:bottom w:val="single" w:sz="4" w:space="0" w:color="auto"/>
              <w:right w:val="single" w:sz="4" w:space="0" w:color="auto"/>
            </w:tcBorders>
          </w:tcPr>
          <w:p w14:paraId="3E016BEA" w14:textId="77777777" w:rsidR="007D4D11" w:rsidRPr="00AA5847" w:rsidRDefault="007D4D11" w:rsidP="009A477A">
            <w:pPr>
              <w:pStyle w:val="TableText0"/>
              <w:jc w:val="center"/>
            </w:pPr>
            <w:r w:rsidRPr="00AA5847">
              <w:t>(1.63, 2.12)</w:t>
            </w:r>
          </w:p>
        </w:tc>
        <w:tc>
          <w:tcPr>
            <w:tcW w:w="401" w:type="pct"/>
            <w:tcBorders>
              <w:top w:val="single" w:sz="4" w:space="0" w:color="auto"/>
              <w:left w:val="single" w:sz="4" w:space="0" w:color="auto"/>
              <w:bottom w:val="single" w:sz="4" w:space="0" w:color="auto"/>
              <w:right w:val="single" w:sz="4" w:space="0" w:color="auto"/>
            </w:tcBorders>
          </w:tcPr>
          <w:p w14:paraId="5795D190" w14:textId="77777777" w:rsidR="007D4D11" w:rsidRDefault="007D4D11" w:rsidP="009A477A">
            <w:pPr>
              <w:pStyle w:val="TableText0"/>
              <w:jc w:val="center"/>
            </w:pPr>
            <w:r>
              <w:t>&lt;0.001</w:t>
            </w:r>
          </w:p>
        </w:tc>
      </w:tr>
      <w:tr w:rsidR="007D4D11" w14:paraId="6735FD6B"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tcPr>
          <w:p w14:paraId="64B0D7FD" w14:textId="77777777" w:rsidR="007D4D11" w:rsidRDefault="007D4D11" w:rsidP="009A477A">
            <w:pPr>
              <w:pStyle w:val="TableText0"/>
            </w:pPr>
            <w:r>
              <w:t>11A</w:t>
            </w:r>
          </w:p>
        </w:tc>
        <w:tc>
          <w:tcPr>
            <w:tcW w:w="373" w:type="pct"/>
            <w:tcBorders>
              <w:top w:val="single" w:sz="4" w:space="0" w:color="auto"/>
              <w:left w:val="single" w:sz="4" w:space="0" w:color="auto"/>
              <w:bottom w:val="single" w:sz="4" w:space="0" w:color="auto"/>
              <w:right w:val="single" w:sz="4" w:space="0" w:color="auto"/>
            </w:tcBorders>
          </w:tcPr>
          <w:p w14:paraId="6F5AF9B9" w14:textId="77777777" w:rsidR="007D4D11" w:rsidRDefault="007D4D11" w:rsidP="009A477A">
            <w:pPr>
              <w:pStyle w:val="TableText0"/>
              <w:jc w:val="center"/>
            </w:pPr>
            <w:r>
              <w:t>1198</w:t>
            </w:r>
          </w:p>
        </w:tc>
        <w:tc>
          <w:tcPr>
            <w:tcW w:w="470" w:type="pct"/>
            <w:tcBorders>
              <w:top w:val="single" w:sz="4" w:space="0" w:color="auto"/>
              <w:left w:val="single" w:sz="4" w:space="0" w:color="auto"/>
              <w:bottom w:val="single" w:sz="4" w:space="0" w:color="auto"/>
              <w:right w:val="single" w:sz="4" w:space="0" w:color="auto"/>
            </w:tcBorders>
          </w:tcPr>
          <w:p w14:paraId="102B0EDE" w14:textId="77777777" w:rsidR="007D4D11" w:rsidRDefault="007D4D11" w:rsidP="009A477A">
            <w:pPr>
              <w:pStyle w:val="TableText0"/>
              <w:jc w:val="center"/>
            </w:pPr>
            <w:r>
              <w:t>4426.8</w:t>
            </w:r>
          </w:p>
        </w:tc>
        <w:tc>
          <w:tcPr>
            <w:tcW w:w="797" w:type="pct"/>
            <w:tcBorders>
              <w:top w:val="single" w:sz="4" w:space="0" w:color="auto"/>
              <w:left w:val="single" w:sz="4" w:space="0" w:color="auto"/>
              <w:bottom w:val="single" w:sz="4" w:space="0" w:color="auto"/>
              <w:right w:val="single" w:sz="4" w:space="0" w:color="auto"/>
            </w:tcBorders>
          </w:tcPr>
          <w:p w14:paraId="5EE61A69" w14:textId="77777777" w:rsidR="007D4D11" w:rsidRDefault="007D4D11" w:rsidP="009A477A">
            <w:pPr>
              <w:pStyle w:val="TableText0"/>
              <w:jc w:val="center"/>
            </w:pPr>
            <w:r>
              <w:t>(3965.5, 4941.8)</w:t>
            </w:r>
          </w:p>
        </w:tc>
        <w:tc>
          <w:tcPr>
            <w:tcW w:w="454" w:type="pct"/>
            <w:tcBorders>
              <w:top w:val="single" w:sz="4" w:space="0" w:color="auto"/>
              <w:left w:val="single" w:sz="4" w:space="0" w:color="auto"/>
              <w:bottom w:val="single" w:sz="4" w:space="0" w:color="auto"/>
              <w:right w:val="single" w:sz="4" w:space="0" w:color="auto"/>
            </w:tcBorders>
          </w:tcPr>
          <w:p w14:paraId="3C901E17" w14:textId="77777777" w:rsidR="007D4D11" w:rsidRDefault="007D4D11" w:rsidP="009A477A">
            <w:pPr>
              <w:pStyle w:val="TableText0"/>
              <w:jc w:val="center"/>
            </w:pPr>
            <w:r>
              <w:t>1209</w:t>
            </w:r>
          </w:p>
        </w:tc>
        <w:tc>
          <w:tcPr>
            <w:tcW w:w="398" w:type="pct"/>
            <w:tcBorders>
              <w:top w:val="single" w:sz="4" w:space="0" w:color="auto"/>
              <w:left w:val="single" w:sz="4" w:space="0" w:color="auto"/>
              <w:bottom w:val="single" w:sz="4" w:space="0" w:color="auto"/>
              <w:right w:val="single" w:sz="4" w:space="0" w:color="auto"/>
            </w:tcBorders>
          </w:tcPr>
          <w:p w14:paraId="7FDF1A10" w14:textId="77777777" w:rsidR="007D4D11" w:rsidRDefault="007D4D11" w:rsidP="009A477A">
            <w:pPr>
              <w:pStyle w:val="TableText0"/>
              <w:jc w:val="center"/>
            </w:pPr>
            <w:r>
              <w:t>2534.9</w:t>
            </w:r>
          </w:p>
        </w:tc>
        <w:tc>
          <w:tcPr>
            <w:tcW w:w="808" w:type="pct"/>
            <w:tcBorders>
              <w:top w:val="single" w:sz="4" w:space="0" w:color="auto"/>
              <w:left w:val="single" w:sz="4" w:space="0" w:color="auto"/>
              <w:bottom w:val="single" w:sz="4" w:space="0" w:color="auto"/>
              <w:right w:val="single" w:sz="4" w:space="0" w:color="auto"/>
            </w:tcBorders>
          </w:tcPr>
          <w:p w14:paraId="2CF7E37B" w14:textId="77777777" w:rsidR="007D4D11" w:rsidRDefault="007D4D11" w:rsidP="009A477A">
            <w:pPr>
              <w:pStyle w:val="TableText0"/>
              <w:jc w:val="center"/>
            </w:pPr>
            <w:r>
              <w:t>(2276.8, 2822.3)</w:t>
            </w:r>
          </w:p>
        </w:tc>
        <w:tc>
          <w:tcPr>
            <w:tcW w:w="389" w:type="pct"/>
            <w:tcBorders>
              <w:top w:val="single" w:sz="4" w:space="0" w:color="auto"/>
              <w:left w:val="single" w:sz="4" w:space="0" w:color="auto"/>
              <w:bottom w:val="single" w:sz="4" w:space="0" w:color="auto"/>
              <w:right w:val="single" w:sz="4" w:space="0" w:color="auto"/>
            </w:tcBorders>
          </w:tcPr>
          <w:p w14:paraId="3CDEAF57" w14:textId="77777777" w:rsidR="007D4D11" w:rsidRDefault="007D4D11" w:rsidP="009A477A">
            <w:pPr>
              <w:pStyle w:val="TableText0"/>
              <w:jc w:val="center"/>
            </w:pPr>
            <w:r>
              <w:t>1.75</w:t>
            </w:r>
          </w:p>
        </w:tc>
        <w:tc>
          <w:tcPr>
            <w:tcW w:w="588" w:type="pct"/>
            <w:tcBorders>
              <w:top w:val="single" w:sz="4" w:space="0" w:color="auto"/>
              <w:left w:val="single" w:sz="4" w:space="0" w:color="auto"/>
              <w:bottom w:val="single" w:sz="4" w:space="0" w:color="auto"/>
              <w:right w:val="single" w:sz="4" w:space="0" w:color="auto"/>
            </w:tcBorders>
          </w:tcPr>
          <w:p w14:paraId="45F96549" w14:textId="77777777" w:rsidR="007D4D11" w:rsidRPr="00AA5847" w:rsidRDefault="007D4D11" w:rsidP="009A477A">
            <w:pPr>
              <w:pStyle w:val="TableText0"/>
              <w:jc w:val="center"/>
            </w:pPr>
            <w:r w:rsidRPr="00AA5847">
              <w:t>(1.52, 2.01)</w:t>
            </w:r>
          </w:p>
        </w:tc>
        <w:tc>
          <w:tcPr>
            <w:tcW w:w="401" w:type="pct"/>
            <w:tcBorders>
              <w:top w:val="single" w:sz="4" w:space="0" w:color="auto"/>
              <w:left w:val="single" w:sz="4" w:space="0" w:color="auto"/>
              <w:bottom w:val="single" w:sz="4" w:space="0" w:color="auto"/>
              <w:right w:val="single" w:sz="4" w:space="0" w:color="auto"/>
            </w:tcBorders>
          </w:tcPr>
          <w:p w14:paraId="0BAF82B4" w14:textId="77777777" w:rsidR="007D4D11" w:rsidRDefault="007D4D11" w:rsidP="009A477A">
            <w:pPr>
              <w:pStyle w:val="TableText0"/>
              <w:jc w:val="center"/>
            </w:pPr>
            <w:r>
              <w:t>&lt;0.001</w:t>
            </w:r>
          </w:p>
        </w:tc>
      </w:tr>
      <w:tr w:rsidR="007D4D11" w14:paraId="7F3FEAD6"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tcPr>
          <w:p w14:paraId="1D47DD65" w14:textId="77777777" w:rsidR="007D4D11" w:rsidRDefault="007D4D11" w:rsidP="009A477A">
            <w:pPr>
              <w:pStyle w:val="TableText0"/>
            </w:pPr>
            <w:r>
              <w:t>12F</w:t>
            </w:r>
          </w:p>
        </w:tc>
        <w:tc>
          <w:tcPr>
            <w:tcW w:w="373" w:type="pct"/>
            <w:tcBorders>
              <w:top w:val="single" w:sz="4" w:space="0" w:color="auto"/>
              <w:left w:val="single" w:sz="4" w:space="0" w:color="auto"/>
              <w:bottom w:val="single" w:sz="4" w:space="0" w:color="auto"/>
              <w:right w:val="single" w:sz="4" w:space="0" w:color="auto"/>
            </w:tcBorders>
          </w:tcPr>
          <w:p w14:paraId="69053844" w14:textId="77777777" w:rsidR="007D4D11" w:rsidRDefault="007D4D11" w:rsidP="009A477A">
            <w:pPr>
              <w:pStyle w:val="TableText0"/>
              <w:jc w:val="center"/>
            </w:pPr>
            <w:r>
              <w:t>1294</w:t>
            </w:r>
          </w:p>
        </w:tc>
        <w:tc>
          <w:tcPr>
            <w:tcW w:w="470" w:type="pct"/>
            <w:tcBorders>
              <w:top w:val="single" w:sz="4" w:space="0" w:color="auto"/>
              <w:left w:val="single" w:sz="4" w:space="0" w:color="auto"/>
              <w:bottom w:val="single" w:sz="4" w:space="0" w:color="auto"/>
              <w:right w:val="single" w:sz="4" w:space="0" w:color="auto"/>
            </w:tcBorders>
          </w:tcPr>
          <w:p w14:paraId="084C7AF9" w14:textId="77777777" w:rsidR="007D4D11" w:rsidRDefault="007D4D11" w:rsidP="009A477A">
            <w:pPr>
              <w:pStyle w:val="TableText0"/>
              <w:jc w:val="center"/>
            </w:pPr>
            <w:r>
              <w:t>2538.7</w:t>
            </w:r>
          </w:p>
        </w:tc>
        <w:tc>
          <w:tcPr>
            <w:tcW w:w="797" w:type="pct"/>
            <w:tcBorders>
              <w:top w:val="single" w:sz="4" w:space="0" w:color="auto"/>
              <w:left w:val="single" w:sz="4" w:space="0" w:color="auto"/>
              <w:bottom w:val="single" w:sz="4" w:space="0" w:color="auto"/>
              <w:right w:val="single" w:sz="4" w:space="0" w:color="auto"/>
            </w:tcBorders>
          </w:tcPr>
          <w:p w14:paraId="79165601" w14:textId="77777777" w:rsidR="007D4D11" w:rsidRDefault="007D4D11" w:rsidP="009A477A">
            <w:pPr>
              <w:pStyle w:val="TableText0"/>
              <w:jc w:val="center"/>
            </w:pPr>
            <w:r>
              <w:t>(2255.3, 2857.7)</w:t>
            </w:r>
          </w:p>
        </w:tc>
        <w:tc>
          <w:tcPr>
            <w:tcW w:w="454" w:type="pct"/>
            <w:tcBorders>
              <w:top w:val="single" w:sz="4" w:space="0" w:color="auto"/>
              <w:left w:val="single" w:sz="4" w:space="0" w:color="auto"/>
              <w:bottom w:val="single" w:sz="4" w:space="0" w:color="auto"/>
              <w:right w:val="single" w:sz="4" w:space="0" w:color="auto"/>
            </w:tcBorders>
          </w:tcPr>
          <w:p w14:paraId="68EE635D" w14:textId="77777777" w:rsidR="007D4D11" w:rsidRDefault="007D4D11" w:rsidP="009A477A">
            <w:pPr>
              <w:pStyle w:val="TableText0"/>
              <w:jc w:val="center"/>
            </w:pPr>
            <w:r>
              <w:t>1222</w:t>
            </w:r>
          </w:p>
        </w:tc>
        <w:tc>
          <w:tcPr>
            <w:tcW w:w="398" w:type="pct"/>
            <w:tcBorders>
              <w:top w:val="single" w:sz="4" w:space="0" w:color="auto"/>
              <w:left w:val="single" w:sz="4" w:space="0" w:color="auto"/>
              <w:bottom w:val="single" w:sz="4" w:space="0" w:color="auto"/>
              <w:right w:val="single" w:sz="4" w:space="0" w:color="auto"/>
            </w:tcBorders>
          </w:tcPr>
          <w:p w14:paraId="1C66E27F" w14:textId="77777777" w:rsidR="007D4D11" w:rsidRDefault="007D4D11" w:rsidP="009A477A">
            <w:pPr>
              <w:pStyle w:val="TableText0"/>
              <w:jc w:val="center"/>
            </w:pPr>
            <w:r>
              <w:t>1716.6</w:t>
            </w:r>
          </w:p>
        </w:tc>
        <w:tc>
          <w:tcPr>
            <w:tcW w:w="808" w:type="pct"/>
            <w:tcBorders>
              <w:top w:val="single" w:sz="4" w:space="0" w:color="auto"/>
              <w:left w:val="single" w:sz="4" w:space="0" w:color="auto"/>
              <w:bottom w:val="single" w:sz="4" w:space="0" w:color="auto"/>
              <w:right w:val="single" w:sz="4" w:space="0" w:color="auto"/>
            </w:tcBorders>
          </w:tcPr>
          <w:p w14:paraId="320BD158" w14:textId="77777777" w:rsidR="007D4D11" w:rsidRDefault="007D4D11" w:rsidP="009A477A">
            <w:pPr>
              <w:pStyle w:val="TableText0"/>
              <w:jc w:val="center"/>
            </w:pPr>
            <w:r>
              <w:t>(1521.8, 1936.3)</w:t>
            </w:r>
          </w:p>
        </w:tc>
        <w:tc>
          <w:tcPr>
            <w:tcW w:w="389" w:type="pct"/>
            <w:tcBorders>
              <w:top w:val="single" w:sz="4" w:space="0" w:color="auto"/>
              <w:left w:val="single" w:sz="4" w:space="0" w:color="auto"/>
              <w:bottom w:val="single" w:sz="4" w:space="0" w:color="auto"/>
              <w:right w:val="single" w:sz="4" w:space="0" w:color="auto"/>
            </w:tcBorders>
          </w:tcPr>
          <w:p w14:paraId="0A6AE115" w14:textId="77777777" w:rsidR="007D4D11" w:rsidRDefault="007D4D11" w:rsidP="009A477A">
            <w:pPr>
              <w:pStyle w:val="TableText0"/>
              <w:jc w:val="center"/>
            </w:pPr>
            <w:r>
              <w:t>1.48</w:t>
            </w:r>
          </w:p>
        </w:tc>
        <w:tc>
          <w:tcPr>
            <w:tcW w:w="588" w:type="pct"/>
            <w:tcBorders>
              <w:top w:val="single" w:sz="4" w:space="0" w:color="auto"/>
              <w:left w:val="single" w:sz="4" w:space="0" w:color="auto"/>
              <w:bottom w:val="single" w:sz="4" w:space="0" w:color="auto"/>
              <w:right w:val="single" w:sz="4" w:space="0" w:color="auto"/>
            </w:tcBorders>
          </w:tcPr>
          <w:p w14:paraId="41499A60" w14:textId="77777777" w:rsidR="007D4D11" w:rsidRDefault="007D4D11" w:rsidP="009A477A">
            <w:pPr>
              <w:pStyle w:val="TableText0"/>
              <w:jc w:val="center"/>
            </w:pPr>
            <w:r>
              <w:t>(1.27, 1.72)</w:t>
            </w:r>
          </w:p>
        </w:tc>
        <w:tc>
          <w:tcPr>
            <w:tcW w:w="401" w:type="pct"/>
            <w:tcBorders>
              <w:top w:val="single" w:sz="4" w:space="0" w:color="auto"/>
              <w:left w:val="single" w:sz="4" w:space="0" w:color="auto"/>
              <w:bottom w:val="single" w:sz="4" w:space="0" w:color="auto"/>
              <w:right w:val="single" w:sz="4" w:space="0" w:color="auto"/>
            </w:tcBorders>
          </w:tcPr>
          <w:p w14:paraId="3FB4341C" w14:textId="77777777" w:rsidR="007D4D11" w:rsidRDefault="007D4D11" w:rsidP="009A477A">
            <w:pPr>
              <w:pStyle w:val="TableText0"/>
              <w:jc w:val="center"/>
            </w:pPr>
            <w:r>
              <w:t>&lt;0.001</w:t>
            </w:r>
          </w:p>
        </w:tc>
      </w:tr>
      <w:tr w:rsidR="007D4D11" w14:paraId="53C22E5E"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tcPr>
          <w:p w14:paraId="52211DAF" w14:textId="77777777" w:rsidR="007D4D11" w:rsidRDefault="007D4D11" w:rsidP="009A477A">
            <w:pPr>
              <w:pStyle w:val="TableText0"/>
            </w:pPr>
            <w:r>
              <w:t>15B</w:t>
            </w:r>
          </w:p>
        </w:tc>
        <w:tc>
          <w:tcPr>
            <w:tcW w:w="373" w:type="pct"/>
            <w:tcBorders>
              <w:top w:val="single" w:sz="4" w:space="0" w:color="auto"/>
              <w:left w:val="single" w:sz="4" w:space="0" w:color="auto"/>
              <w:bottom w:val="single" w:sz="4" w:space="0" w:color="auto"/>
              <w:right w:val="single" w:sz="4" w:space="0" w:color="auto"/>
            </w:tcBorders>
          </w:tcPr>
          <w:p w14:paraId="5B7CABD9" w14:textId="77777777" w:rsidR="007D4D11" w:rsidRDefault="007D4D11" w:rsidP="009A477A">
            <w:pPr>
              <w:pStyle w:val="TableText0"/>
              <w:jc w:val="center"/>
            </w:pPr>
            <w:r>
              <w:t>1283</w:t>
            </w:r>
          </w:p>
        </w:tc>
        <w:tc>
          <w:tcPr>
            <w:tcW w:w="470" w:type="pct"/>
            <w:tcBorders>
              <w:top w:val="single" w:sz="4" w:space="0" w:color="auto"/>
              <w:left w:val="single" w:sz="4" w:space="0" w:color="auto"/>
              <w:bottom w:val="single" w:sz="4" w:space="0" w:color="auto"/>
              <w:right w:val="single" w:sz="4" w:space="0" w:color="auto"/>
            </w:tcBorders>
          </w:tcPr>
          <w:p w14:paraId="58D9858A" w14:textId="77777777" w:rsidR="007D4D11" w:rsidRDefault="007D4D11" w:rsidP="009A477A">
            <w:pPr>
              <w:pStyle w:val="TableText0"/>
              <w:jc w:val="center"/>
            </w:pPr>
            <w:r>
              <w:t>2398.2</w:t>
            </w:r>
          </w:p>
        </w:tc>
        <w:tc>
          <w:tcPr>
            <w:tcW w:w="797" w:type="pct"/>
            <w:tcBorders>
              <w:top w:val="single" w:sz="4" w:space="0" w:color="auto"/>
              <w:left w:val="single" w:sz="4" w:space="0" w:color="auto"/>
              <w:bottom w:val="single" w:sz="4" w:space="0" w:color="auto"/>
              <w:right w:val="single" w:sz="4" w:space="0" w:color="auto"/>
            </w:tcBorders>
          </w:tcPr>
          <w:p w14:paraId="2BE4D394" w14:textId="77777777" w:rsidR="007D4D11" w:rsidRDefault="007D4D11" w:rsidP="009A477A">
            <w:pPr>
              <w:pStyle w:val="TableText0"/>
              <w:jc w:val="center"/>
            </w:pPr>
            <w:r>
              <w:t>(2090.6, 2751.2)</w:t>
            </w:r>
          </w:p>
        </w:tc>
        <w:tc>
          <w:tcPr>
            <w:tcW w:w="454" w:type="pct"/>
            <w:tcBorders>
              <w:top w:val="single" w:sz="4" w:space="0" w:color="auto"/>
              <w:left w:val="single" w:sz="4" w:space="0" w:color="auto"/>
              <w:bottom w:val="single" w:sz="4" w:space="0" w:color="auto"/>
              <w:right w:val="single" w:sz="4" w:space="0" w:color="auto"/>
            </w:tcBorders>
          </w:tcPr>
          <w:p w14:paraId="0495A372" w14:textId="77777777" w:rsidR="007D4D11" w:rsidRDefault="007D4D11" w:rsidP="009A477A">
            <w:pPr>
              <w:pStyle w:val="TableText0"/>
              <w:jc w:val="center"/>
            </w:pPr>
            <w:r>
              <w:t>1249</w:t>
            </w:r>
          </w:p>
        </w:tc>
        <w:tc>
          <w:tcPr>
            <w:tcW w:w="398" w:type="pct"/>
            <w:tcBorders>
              <w:top w:val="single" w:sz="4" w:space="0" w:color="auto"/>
              <w:left w:val="single" w:sz="4" w:space="0" w:color="auto"/>
              <w:bottom w:val="single" w:sz="4" w:space="0" w:color="auto"/>
              <w:right w:val="single" w:sz="4" w:space="0" w:color="auto"/>
            </w:tcBorders>
          </w:tcPr>
          <w:p w14:paraId="7BABF53F" w14:textId="77777777" w:rsidR="007D4D11" w:rsidRDefault="007D4D11" w:rsidP="009A477A">
            <w:pPr>
              <w:pStyle w:val="TableText0"/>
              <w:jc w:val="center"/>
            </w:pPr>
            <w:r>
              <w:t>768.5</w:t>
            </w:r>
          </w:p>
        </w:tc>
        <w:tc>
          <w:tcPr>
            <w:tcW w:w="808" w:type="pct"/>
            <w:tcBorders>
              <w:top w:val="single" w:sz="4" w:space="0" w:color="auto"/>
              <w:left w:val="single" w:sz="4" w:space="0" w:color="auto"/>
              <w:bottom w:val="single" w:sz="4" w:space="0" w:color="auto"/>
              <w:right w:val="single" w:sz="4" w:space="0" w:color="auto"/>
            </w:tcBorders>
          </w:tcPr>
          <w:p w14:paraId="0EEC71DE" w14:textId="77777777" w:rsidR="007D4D11" w:rsidRDefault="007D4D11" w:rsidP="009A477A">
            <w:pPr>
              <w:pStyle w:val="TableText0"/>
              <w:jc w:val="center"/>
            </w:pPr>
            <w:r>
              <w:t>(669.7, 881.9)</w:t>
            </w:r>
          </w:p>
        </w:tc>
        <w:tc>
          <w:tcPr>
            <w:tcW w:w="389" w:type="pct"/>
            <w:tcBorders>
              <w:top w:val="single" w:sz="4" w:space="0" w:color="auto"/>
              <w:left w:val="single" w:sz="4" w:space="0" w:color="auto"/>
              <w:bottom w:val="single" w:sz="4" w:space="0" w:color="auto"/>
              <w:right w:val="single" w:sz="4" w:space="0" w:color="auto"/>
            </w:tcBorders>
          </w:tcPr>
          <w:p w14:paraId="1FD90E6B" w14:textId="77777777" w:rsidR="007D4D11" w:rsidRDefault="007D4D11" w:rsidP="009A477A">
            <w:pPr>
              <w:pStyle w:val="TableText0"/>
              <w:jc w:val="center"/>
            </w:pPr>
            <w:r>
              <w:t>3.12</w:t>
            </w:r>
          </w:p>
        </w:tc>
        <w:tc>
          <w:tcPr>
            <w:tcW w:w="588" w:type="pct"/>
            <w:tcBorders>
              <w:top w:val="single" w:sz="4" w:space="0" w:color="auto"/>
              <w:left w:val="single" w:sz="4" w:space="0" w:color="auto"/>
              <w:bottom w:val="single" w:sz="4" w:space="0" w:color="auto"/>
              <w:right w:val="single" w:sz="4" w:space="0" w:color="auto"/>
            </w:tcBorders>
          </w:tcPr>
          <w:p w14:paraId="650ADE42" w14:textId="77777777" w:rsidR="007D4D11" w:rsidRDefault="007D4D11" w:rsidP="009A477A">
            <w:pPr>
              <w:pStyle w:val="TableText0"/>
              <w:jc w:val="center"/>
            </w:pPr>
            <w:r>
              <w:t>(2.62, 3.71)</w:t>
            </w:r>
          </w:p>
        </w:tc>
        <w:tc>
          <w:tcPr>
            <w:tcW w:w="401" w:type="pct"/>
            <w:tcBorders>
              <w:top w:val="single" w:sz="4" w:space="0" w:color="auto"/>
              <w:left w:val="single" w:sz="4" w:space="0" w:color="auto"/>
              <w:bottom w:val="single" w:sz="4" w:space="0" w:color="auto"/>
              <w:right w:val="single" w:sz="4" w:space="0" w:color="auto"/>
            </w:tcBorders>
          </w:tcPr>
          <w:p w14:paraId="6CFD7D70" w14:textId="77777777" w:rsidR="007D4D11" w:rsidRDefault="007D4D11" w:rsidP="009A477A">
            <w:pPr>
              <w:pStyle w:val="TableText0"/>
              <w:jc w:val="center"/>
            </w:pPr>
            <w:r>
              <w:t>&lt;0.001</w:t>
            </w:r>
          </w:p>
        </w:tc>
      </w:tr>
      <w:tr w:rsidR="007D4D11" w14:paraId="25624A4D"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tcPr>
          <w:p w14:paraId="5B79AF94" w14:textId="77777777" w:rsidR="007D4D11" w:rsidRDefault="007D4D11" w:rsidP="009A477A">
            <w:pPr>
              <w:pStyle w:val="TableText0"/>
            </w:pPr>
            <w:r>
              <w:t>22F</w:t>
            </w:r>
          </w:p>
        </w:tc>
        <w:tc>
          <w:tcPr>
            <w:tcW w:w="373" w:type="pct"/>
            <w:tcBorders>
              <w:top w:val="single" w:sz="4" w:space="0" w:color="auto"/>
              <w:left w:val="single" w:sz="4" w:space="0" w:color="auto"/>
              <w:bottom w:val="single" w:sz="4" w:space="0" w:color="auto"/>
              <w:right w:val="single" w:sz="4" w:space="0" w:color="auto"/>
            </w:tcBorders>
          </w:tcPr>
          <w:p w14:paraId="66519C07" w14:textId="77777777" w:rsidR="007D4D11" w:rsidRDefault="007D4D11" w:rsidP="009A477A">
            <w:pPr>
              <w:pStyle w:val="TableText0"/>
              <w:jc w:val="center"/>
            </w:pPr>
            <w:r>
              <w:t>1274</w:t>
            </w:r>
          </w:p>
        </w:tc>
        <w:tc>
          <w:tcPr>
            <w:tcW w:w="470" w:type="pct"/>
            <w:tcBorders>
              <w:top w:val="single" w:sz="4" w:space="0" w:color="auto"/>
              <w:left w:val="single" w:sz="4" w:space="0" w:color="auto"/>
              <w:bottom w:val="single" w:sz="4" w:space="0" w:color="auto"/>
              <w:right w:val="single" w:sz="4" w:space="0" w:color="auto"/>
            </w:tcBorders>
          </w:tcPr>
          <w:p w14:paraId="63DB9B85" w14:textId="77777777" w:rsidR="007D4D11" w:rsidRDefault="007D4D11" w:rsidP="009A477A">
            <w:pPr>
              <w:pStyle w:val="TableText0"/>
              <w:jc w:val="center"/>
            </w:pPr>
            <w:r>
              <w:t>3666.2</w:t>
            </w:r>
          </w:p>
        </w:tc>
        <w:tc>
          <w:tcPr>
            <w:tcW w:w="797" w:type="pct"/>
            <w:tcBorders>
              <w:top w:val="single" w:sz="4" w:space="0" w:color="auto"/>
              <w:left w:val="single" w:sz="4" w:space="0" w:color="auto"/>
              <w:bottom w:val="single" w:sz="4" w:space="0" w:color="auto"/>
              <w:right w:val="single" w:sz="4" w:space="0" w:color="auto"/>
            </w:tcBorders>
          </w:tcPr>
          <w:p w14:paraId="7AEA3B7E" w14:textId="77777777" w:rsidR="007D4D11" w:rsidRDefault="007D4D11" w:rsidP="009A477A">
            <w:pPr>
              <w:pStyle w:val="TableText0"/>
              <w:jc w:val="center"/>
            </w:pPr>
            <w:r>
              <w:t>(3244.4, 4143.0)</w:t>
            </w:r>
          </w:p>
        </w:tc>
        <w:tc>
          <w:tcPr>
            <w:tcW w:w="454" w:type="pct"/>
            <w:tcBorders>
              <w:top w:val="single" w:sz="4" w:space="0" w:color="auto"/>
              <w:left w:val="single" w:sz="4" w:space="0" w:color="auto"/>
              <w:bottom w:val="single" w:sz="4" w:space="0" w:color="auto"/>
              <w:right w:val="single" w:sz="4" w:space="0" w:color="auto"/>
            </w:tcBorders>
          </w:tcPr>
          <w:p w14:paraId="06F94C7C" w14:textId="77777777" w:rsidR="007D4D11" w:rsidRDefault="007D4D11" w:rsidP="009A477A">
            <w:pPr>
              <w:pStyle w:val="TableText0"/>
              <w:jc w:val="center"/>
            </w:pPr>
            <w:r>
              <w:t>1227</w:t>
            </w:r>
          </w:p>
        </w:tc>
        <w:tc>
          <w:tcPr>
            <w:tcW w:w="398" w:type="pct"/>
            <w:tcBorders>
              <w:top w:val="single" w:sz="4" w:space="0" w:color="auto"/>
              <w:left w:val="single" w:sz="4" w:space="0" w:color="auto"/>
              <w:bottom w:val="single" w:sz="4" w:space="0" w:color="auto"/>
              <w:right w:val="single" w:sz="4" w:space="0" w:color="auto"/>
            </w:tcBorders>
          </w:tcPr>
          <w:p w14:paraId="24F7E054" w14:textId="77777777" w:rsidR="007D4D11" w:rsidRDefault="007D4D11" w:rsidP="009A477A">
            <w:pPr>
              <w:pStyle w:val="TableText0"/>
              <w:jc w:val="center"/>
            </w:pPr>
            <w:r>
              <w:t>1846.2</w:t>
            </w:r>
          </w:p>
        </w:tc>
        <w:tc>
          <w:tcPr>
            <w:tcW w:w="808" w:type="pct"/>
            <w:tcBorders>
              <w:top w:val="single" w:sz="4" w:space="0" w:color="auto"/>
              <w:left w:val="single" w:sz="4" w:space="0" w:color="auto"/>
              <w:bottom w:val="single" w:sz="4" w:space="0" w:color="auto"/>
              <w:right w:val="single" w:sz="4" w:space="0" w:color="auto"/>
            </w:tcBorders>
          </w:tcPr>
          <w:p w14:paraId="5465C198" w14:textId="77777777" w:rsidR="007D4D11" w:rsidRDefault="007D4D11" w:rsidP="009A477A">
            <w:pPr>
              <w:pStyle w:val="TableText0"/>
              <w:jc w:val="center"/>
            </w:pPr>
            <w:r>
              <w:t>(1636.6, 2082.6)</w:t>
            </w:r>
          </w:p>
        </w:tc>
        <w:tc>
          <w:tcPr>
            <w:tcW w:w="389" w:type="pct"/>
            <w:tcBorders>
              <w:top w:val="single" w:sz="4" w:space="0" w:color="auto"/>
              <w:left w:val="single" w:sz="4" w:space="0" w:color="auto"/>
              <w:bottom w:val="single" w:sz="4" w:space="0" w:color="auto"/>
              <w:right w:val="single" w:sz="4" w:space="0" w:color="auto"/>
            </w:tcBorders>
          </w:tcPr>
          <w:p w14:paraId="5EC0BE35" w14:textId="77777777" w:rsidR="007D4D11" w:rsidRDefault="007D4D11" w:rsidP="009A477A">
            <w:pPr>
              <w:pStyle w:val="TableText0"/>
              <w:jc w:val="center"/>
            </w:pPr>
            <w:r>
              <w:t>1.99</w:t>
            </w:r>
          </w:p>
        </w:tc>
        <w:tc>
          <w:tcPr>
            <w:tcW w:w="588" w:type="pct"/>
            <w:tcBorders>
              <w:top w:val="single" w:sz="4" w:space="0" w:color="auto"/>
              <w:left w:val="single" w:sz="4" w:space="0" w:color="auto"/>
              <w:bottom w:val="single" w:sz="4" w:space="0" w:color="auto"/>
              <w:right w:val="single" w:sz="4" w:space="0" w:color="auto"/>
            </w:tcBorders>
          </w:tcPr>
          <w:p w14:paraId="234DD6DD" w14:textId="77777777" w:rsidR="007D4D11" w:rsidRDefault="007D4D11" w:rsidP="009A477A">
            <w:pPr>
              <w:pStyle w:val="TableText0"/>
              <w:jc w:val="center"/>
            </w:pPr>
            <w:r>
              <w:t>(1.70, 2.32)</w:t>
            </w:r>
          </w:p>
        </w:tc>
        <w:tc>
          <w:tcPr>
            <w:tcW w:w="401" w:type="pct"/>
            <w:tcBorders>
              <w:top w:val="single" w:sz="4" w:space="0" w:color="auto"/>
              <w:left w:val="single" w:sz="4" w:space="0" w:color="auto"/>
              <w:bottom w:val="single" w:sz="4" w:space="0" w:color="auto"/>
              <w:right w:val="single" w:sz="4" w:space="0" w:color="auto"/>
            </w:tcBorders>
          </w:tcPr>
          <w:p w14:paraId="7C38AD6E" w14:textId="77777777" w:rsidR="007D4D11" w:rsidRDefault="007D4D11" w:rsidP="009A477A">
            <w:pPr>
              <w:pStyle w:val="TableText0"/>
              <w:jc w:val="center"/>
            </w:pPr>
            <w:r>
              <w:t>&lt;0.001</w:t>
            </w:r>
          </w:p>
        </w:tc>
      </w:tr>
      <w:tr w:rsidR="007D4D11" w14:paraId="35CC036E" w14:textId="77777777" w:rsidTr="009A477A">
        <w:trPr>
          <w:trHeight w:val="20"/>
        </w:trPr>
        <w:tc>
          <w:tcPr>
            <w:tcW w:w="322" w:type="pct"/>
            <w:tcBorders>
              <w:top w:val="single" w:sz="4" w:space="0" w:color="auto"/>
              <w:left w:val="single" w:sz="4" w:space="0" w:color="auto"/>
              <w:bottom w:val="single" w:sz="4" w:space="0" w:color="auto"/>
              <w:right w:val="single" w:sz="4" w:space="0" w:color="auto"/>
            </w:tcBorders>
          </w:tcPr>
          <w:p w14:paraId="46C930D5" w14:textId="77777777" w:rsidR="007D4D11" w:rsidRDefault="007D4D11" w:rsidP="009A477A">
            <w:pPr>
              <w:pStyle w:val="TableText0"/>
            </w:pPr>
            <w:r>
              <w:t>33F</w:t>
            </w:r>
          </w:p>
        </w:tc>
        <w:tc>
          <w:tcPr>
            <w:tcW w:w="373" w:type="pct"/>
            <w:tcBorders>
              <w:top w:val="single" w:sz="4" w:space="0" w:color="auto"/>
              <w:left w:val="single" w:sz="4" w:space="0" w:color="auto"/>
              <w:bottom w:val="single" w:sz="4" w:space="0" w:color="auto"/>
              <w:right w:val="single" w:sz="4" w:space="0" w:color="auto"/>
            </w:tcBorders>
          </w:tcPr>
          <w:p w14:paraId="2F633272" w14:textId="77777777" w:rsidR="007D4D11" w:rsidRDefault="007D4D11" w:rsidP="009A477A">
            <w:pPr>
              <w:pStyle w:val="TableText0"/>
              <w:jc w:val="center"/>
            </w:pPr>
            <w:r>
              <w:t>1157</w:t>
            </w:r>
          </w:p>
        </w:tc>
        <w:tc>
          <w:tcPr>
            <w:tcW w:w="470" w:type="pct"/>
            <w:tcBorders>
              <w:top w:val="single" w:sz="4" w:space="0" w:color="auto"/>
              <w:left w:val="single" w:sz="4" w:space="0" w:color="auto"/>
              <w:bottom w:val="single" w:sz="4" w:space="0" w:color="auto"/>
              <w:right w:val="single" w:sz="4" w:space="0" w:color="auto"/>
            </w:tcBorders>
          </w:tcPr>
          <w:p w14:paraId="0B931BCE" w14:textId="77777777" w:rsidR="007D4D11" w:rsidRDefault="007D4D11" w:rsidP="009A477A">
            <w:pPr>
              <w:pStyle w:val="TableText0"/>
              <w:jc w:val="center"/>
            </w:pPr>
            <w:r>
              <w:t>5125.9</w:t>
            </w:r>
          </w:p>
        </w:tc>
        <w:tc>
          <w:tcPr>
            <w:tcW w:w="797" w:type="pct"/>
            <w:tcBorders>
              <w:top w:val="single" w:sz="4" w:space="0" w:color="auto"/>
              <w:left w:val="single" w:sz="4" w:space="0" w:color="auto"/>
              <w:bottom w:val="single" w:sz="4" w:space="0" w:color="auto"/>
              <w:right w:val="single" w:sz="4" w:space="0" w:color="auto"/>
            </w:tcBorders>
          </w:tcPr>
          <w:p w14:paraId="259E5FE4" w14:textId="77777777" w:rsidR="007D4D11" w:rsidRDefault="007D4D11" w:rsidP="009A477A">
            <w:pPr>
              <w:pStyle w:val="TableText0"/>
              <w:jc w:val="center"/>
            </w:pPr>
            <w:r>
              <w:t>(4611.3, 5698.0)</w:t>
            </w:r>
          </w:p>
        </w:tc>
        <w:tc>
          <w:tcPr>
            <w:tcW w:w="454" w:type="pct"/>
            <w:tcBorders>
              <w:top w:val="single" w:sz="4" w:space="0" w:color="auto"/>
              <w:left w:val="single" w:sz="4" w:space="0" w:color="auto"/>
              <w:bottom w:val="single" w:sz="4" w:space="0" w:color="auto"/>
              <w:right w:val="single" w:sz="4" w:space="0" w:color="auto"/>
            </w:tcBorders>
          </w:tcPr>
          <w:p w14:paraId="47D16E31" w14:textId="77777777" w:rsidR="007D4D11" w:rsidRDefault="007D4D11" w:rsidP="009A477A">
            <w:pPr>
              <w:pStyle w:val="TableText0"/>
              <w:jc w:val="center"/>
            </w:pPr>
            <w:r>
              <w:t>1201</w:t>
            </w:r>
          </w:p>
        </w:tc>
        <w:tc>
          <w:tcPr>
            <w:tcW w:w="398" w:type="pct"/>
            <w:tcBorders>
              <w:top w:val="single" w:sz="4" w:space="0" w:color="auto"/>
              <w:left w:val="single" w:sz="4" w:space="0" w:color="auto"/>
              <w:bottom w:val="single" w:sz="4" w:space="0" w:color="auto"/>
              <w:right w:val="single" w:sz="4" w:space="0" w:color="auto"/>
            </w:tcBorders>
          </w:tcPr>
          <w:p w14:paraId="487D28C3" w14:textId="77777777" w:rsidR="007D4D11" w:rsidRDefault="007D4D11" w:rsidP="009A477A">
            <w:pPr>
              <w:pStyle w:val="TableText0"/>
              <w:jc w:val="center"/>
            </w:pPr>
            <w:r>
              <w:t>3720.6</w:t>
            </w:r>
          </w:p>
        </w:tc>
        <w:tc>
          <w:tcPr>
            <w:tcW w:w="808" w:type="pct"/>
            <w:tcBorders>
              <w:top w:val="single" w:sz="4" w:space="0" w:color="auto"/>
              <w:left w:val="single" w:sz="4" w:space="0" w:color="auto"/>
              <w:bottom w:val="single" w:sz="4" w:space="0" w:color="auto"/>
              <w:right w:val="single" w:sz="4" w:space="0" w:color="auto"/>
            </w:tcBorders>
          </w:tcPr>
          <w:p w14:paraId="0491AE50" w14:textId="77777777" w:rsidR="007D4D11" w:rsidRDefault="007D4D11" w:rsidP="009A477A">
            <w:pPr>
              <w:pStyle w:val="TableText0"/>
              <w:jc w:val="center"/>
            </w:pPr>
            <w:r>
              <w:t>(3356.2, 4124.6)</w:t>
            </w:r>
          </w:p>
        </w:tc>
        <w:tc>
          <w:tcPr>
            <w:tcW w:w="389" w:type="pct"/>
            <w:tcBorders>
              <w:top w:val="single" w:sz="4" w:space="0" w:color="auto"/>
              <w:left w:val="single" w:sz="4" w:space="0" w:color="auto"/>
              <w:bottom w:val="single" w:sz="4" w:space="0" w:color="auto"/>
              <w:right w:val="single" w:sz="4" w:space="0" w:color="auto"/>
            </w:tcBorders>
          </w:tcPr>
          <w:p w14:paraId="63D8F4FF" w14:textId="77777777" w:rsidR="007D4D11" w:rsidRDefault="007D4D11" w:rsidP="009A477A">
            <w:pPr>
              <w:pStyle w:val="TableText0"/>
              <w:jc w:val="center"/>
            </w:pPr>
            <w:r>
              <w:t>1.38</w:t>
            </w:r>
          </w:p>
        </w:tc>
        <w:tc>
          <w:tcPr>
            <w:tcW w:w="588" w:type="pct"/>
            <w:tcBorders>
              <w:top w:val="single" w:sz="4" w:space="0" w:color="auto"/>
              <w:left w:val="single" w:sz="4" w:space="0" w:color="auto"/>
              <w:bottom w:val="single" w:sz="4" w:space="0" w:color="auto"/>
              <w:right w:val="single" w:sz="4" w:space="0" w:color="auto"/>
            </w:tcBorders>
          </w:tcPr>
          <w:p w14:paraId="153BD4D9" w14:textId="77777777" w:rsidR="007D4D11" w:rsidRDefault="007D4D11" w:rsidP="009A477A">
            <w:pPr>
              <w:pStyle w:val="TableText0"/>
              <w:jc w:val="center"/>
            </w:pPr>
            <w:r>
              <w:t>(1.21, 1.57)</w:t>
            </w:r>
          </w:p>
        </w:tc>
        <w:tc>
          <w:tcPr>
            <w:tcW w:w="401" w:type="pct"/>
            <w:tcBorders>
              <w:top w:val="single" w:sz="4" w:space="0" w:color="auto"/>
              <w:left w:val="single" w:sz="4" w:space="0" w:color="auto"/>
              <w:bottom w:val="single" w:sz="4" w:space="0" w:color="auto"/>
              <w:right w:val="single" w:sz="4" w:space="0" w:color="auto"/>
            </w:tcBorders>
          </w:tcPr>
          <w:p w14:paraId="33614620" w14:textId="77777777" w:rsidR="007D4D11" w:rsidRDefault="007D4D11" w:rsidP="009A477A">
            <w:pPr>
              <w:pStyle w:val="TableText0"/>
              <w:jc w:val="center"/>
            </w:pPr>
            <w:r>
              <w:t>&lt;0.001</w:t>
            </w:r>
          </w:p>
        </w:tc>
      </w:tr>
    </w:tbl>
    <w:p w14:paraId="3A7CEBC0" w14:textId="77777777" w:rsidR="007D4D11" w:rsidRDefault="007D4D11" w:rsidP="007D4D11">
      <w:pPr>
        <w:pStyle w:val="FooterTableFigure"/>
        <w:rPr>
          <w:rFonts w:eastAsia="TimesNewRoman"/>
        </w:rPr>
      </w:pPr>
      <w:r>
        <w:rPr>
          <w:rFonts w:eastAsia="TimesNewRoman"/>
        </w:rPr>
        <w:t>Source: Table 2.5.1 and 2.5.2, p64 and 72 of the submission</w:t>
      </w:r>
    </w:p>
    <w:p w14:paraId="656CED47" w14:textId="75F5131B" w:rsidR="007D4D11" w:rsidRDefault="007D4D11" w:rsidP="007D4D11">
      <w:pPr>
        <w:pStyle w:val="FooterTableFigure"/>
        <w:rPr>
          <w:rFonts w:eastAsia="TimesNewRoman"/>
        </w:rPr>
      </w:pPr>
      <w:r>
        <w:rPr>
          <w:rFonts w:eastAsia="TimesNewRoman"/>
        </w:rPr>
        <w:t xml:space="preserve">Abbreviations: 13vPCV, 13-valent pneumococcal conjugate vaccine; 20vpCV, 20-valent pneumococcal conjugate vaccine; 23vPPV, 23-valent pneumococcal conjugate vaccine; CI, confidence interval; </w:t>
      </w:r>
      <w:r w:rsidR="1AB8D02C" w:rsidRPr="3873E731">
        <w:rPr>
          <w:rFonts w:eastAsia="TimesNewRoman"/>
        </w:rPr>
        <w:t>LS, least squares; NR, not available; OPA, opsonophagocytic activity;</w:t>
      </w:r>
      <w:r w:rsidRPr="5E4454BA">
        <w:rPr>
          <w:rFonts w:eastAsia="TimesNewRoman"/>
        </w:rPr>
        <w:t xml:space="preserve"> </w:t>
      </w:r>
      <w:r>
        <w:rPr>
          <w:rFonts w:eastAsia="TimesNewRoman"/>
        </w:rPr>
        <w:t>GMR, geometric mean ratio; GMT, geometric mean titre</w:t>
      </w:r>
    </w:p>
    <w:p w14:paraId="1ED7B667" w14:textId="731B6A95" w:rsidR="007D4D11" w:rsidRDefault="007D4D11" w:rsidP="007D4D11">
      <w:pPr>
        <w:pStyle w:val="FooterTableFigure"/>
        <w:rPr>
          <w:rFonts w:eastAsia="TimesNewRoman"/>
        </w:rPr>
      </w:pPr>
      <w:r>
        <w:rPr>
          <w:rFonts w:eastAsia="TimesNewRoman"/>
          <w:vertAlign w:val="superscript"/>
        </w:rPr>
        <w:t xml:space="preserve">a </w:t>
      </w:r>
      <w:r>
        <w:rPr>
          <w:rFonts w:eastAsia="TimesNewRoman"/>
        </w:rPr>
        <w:t>n = Number of subjects with valid and determinate OPA titres for</w:t>
      </w:r>
      <w:r w:rsidR="00BE0030">
        <w:rPr>
          <w:rFonts w:eastAsia="TimesNewRoman"/>
        </w:rPr>
        <w:t xml:space="preserve"> </w:t>
      </w:r>
      <w:r>
        <w:rPr>
          <w:rFonts w:eastAsia="TimesNewRoman"/>
        </w:rPr>
        <w:t>the specified serotype.</w:t>
      </w:r>
    </w:p>
    <w:p w14:paraId="547D5FB0" w14:textId="2DB01B36" w:rsidR="007D4D11" w:rsidRDefault="007D4D11" w:rsidP="007D4D11">
      <w:pPr>
        <w:pStyle w:val="FooterTableFigure"/>
        <w:rPr>
          <w:rFonts w:eastAsia="TimesNewRoman"/>
        </w:rPr>
      </w:pPr>
      <w:r>
        <w:rPr>
          <w:rFonts w:eastAsia="TimesNewRoman"/>
          <w:vertAlign w:val="superscript"/>
        </w:rPr>
        <w:t xml:space="preserve">b </w:t>
      </w:r>
      <w:r>
        <w:rPr>
          <w:rFonts w:eastAsia="TimesNewRoman"/>
        </w:rPr>
        <w:t>GMTs and 2-sided C</w:t>
      </w:r>
      <w:r w:rsidR="003E5619">
        <w:rPr>
          <w:rFonts w:eastAsia="TimesNewRoman"/>
        </w:rPr>
        <w:t>i</w:t>
      </w:r>
      <w:r>
        <w:rPr>
          <w:rFonts w:eastAsia="TimesNewRoman"/>
        </w:rPr>
        <w:t>s were calculated by exponentiating the LS means and the corresponding C</w:t>
      </w:r>
      <w:r w:rsidR="003E5619">
        <w:rPr>
          <w:rFonts w:eastAsia="TimesNewRoman"/>
        </w:rPr>
        <w:t>i</w:t>
      </w:r>
      <w:r>
        <w:rPr>
          <w:rFonts w:eastAsia="TimesNewRoman"/>
        </w:rPr>
        <w:t>s based on analysis of log-transformed OPA titres using a regression model with vaccine group, sex, smoking status, age at vaccination in years (continuous), and baseline log transformed OPA titres.</w:t>
      </w:r>
    </w:p>
    <w:p w14:paraId="68CCCDB5" w14:textId="341A2513" w:rsidR="007D4D11" w:rsidRDefault="007D4D11" w:rsidP="007D4D11">
      <w:pPr>
        <w:pStyle w:val="FooterTableFigure"/>
        <w:rPr>
          <w:rFonts w:eastAsia="TimesNewRoman"/>
        </w:rPr>
      </w:pPr>
      <w:r>
        <w:rPr>
          <w:rFonts w:eastAsia="TimesNewRoman"/>
          <w:vertAlign w:val="superscript"/>
        </w:rPr>
        <w:t xml:space="preserve">c </w:t>
      </w:r>
      <w:r>
        <w:rPr>
          <w:rFonts w:eastAsia="TimesNewRoman"/>
        </w:rPr>
        <w:t>GMRs (ratio of GMTs 20vPCV/saline to 13vPCV/23vPPV) and 2-sided C</w:t>
      </w:r>
      <w:r w:rsidR="003E5619">
        <w:rPr>
          <w:rFonts w:eastAsia="TimesNewRoman"/>
        </w:rPr>
        <w:t>i</w:t>
      </w:r>
      <w:r>
        <w:rPr>
          <w:rFonts w:eastAsia="TimesNewRoman"/>
        </w:rPr>
        <w:t>s were calculated by exponentiating the difference of LS means and the corresponding C</w:t>
      </w:r>
      <w:r w:rsidR="003E5619">
        <w:rPr>
          <w:rFonts w:eastAsia="TimesNewRoman"/>
        </w:rPr>
        <w:t>i</w:t>
      </w:r>
      <w:r>
        <w:rPr>
          <w:rFonts w:eastAsia="TimesNewRoman"/>
        </w:rPr>
        <w:t>s based on the same regression model as above.</w:t>
      </w:r>
    </w:p>
    <w:p w14:paraId="13FC92BD" w14:textId="77777777" w:rsidR="007D4D11" w:rsidRDefault="007D4D11" w:rsidP="007D4D11">
      <w:pPr>
        <w:pStyle w:val="FooterTableFigure"/>
        <w:rPr>
          <w:rFonts w:eastAsia="TimesNewRoman"/>
        </w:rPr>
      </w:pPr>
      <w:r>
        <w:rPr>
          <w:rFonts w:eastAsia="TimesNewRoman"/>
          <w:vertAlign w:val="superscript"/>
        </w:rPr>
        <w:t xml:space="preserve">d </w:t>
      </w:r>
      <w:r>
        <w:rPr>
          <w:rFonts w:eastAsia="TimesNewRoman"/>
        </w:rPr>
        <w:t>Nominal 1-sided p-value for superiority based on the same regression model.</w:t>
      </w:r>
    </w:p>
    <w:p w14:paraId="67BBAC59" w14:textId="1DAA3841" w:rsidR="00D41F50" w:rsidRDefault="007D4D11" w:rsidP="007D4D11">
      <w:pPr>
        <w:pStyle w:val="FooterTableFigure"/>
      </w:pPr>
      <w:r>
        <w:rPr>
          <w:rFonts w:eastAsia="TimesNewRoman"/>
          <w:vertAlign w:val="superscript"/>
        </w:rPr>
        <w:t xml:space="preserve">e </w:t>
      </w:r>
      <w:proofErr w:type="gramStart"/>
      <w:r w:rsidRPr="0094386A">
        <w:t>The</w:t>
      </w:r>
      <w:proofErr w:type="gramEnd"/>
      <w:r w:rsidRPr="0094386A">
        <w:t xml:space="preserve"> comparison consists of 20vPCV followed by saline compared to 13vPCV followed by 23vPPV at one month post 23vPPV vaccination</w:t>
      </w:r>
    </w:p>
    <w:p w14:paraId="3B5A2BAB" w14:textId="6CC16F47" w:rsidR="00AA5847" w:rsidRPr="004634C6" w:rsidRDefault="000471D5" w:rsidP="004634C6">
      <w:pPr>
        <w:pStyle w:val="3-BodyText"/>
        <w:rPr>
          <w:rFonts w:ascii="Times New Roman" w:hAnsi="Times New Roman" w:cs="Times New Roman"/>
          <w:iCs/>
        </w:rPr>
      </w:pPr>
      <w:r w:rsidRPr="00720C2C">
        <w:t>Across the 13 shared serotypes, the OPA GMRs comparing the 20vPCV and 13vPCV OPA titres in adults ≥</w:t>
      </w:r>
      <w:r w:rsidR="00D12CF7">
        <w:t xml:space="preserve"> </w:t>
      </w:r>
      <w:r w:rsidRPr="00720C2C">
        <w:t>60 years ranged from 0.76 (serotype 6A) to 1.00 (serotype 14)</w:t>
      </w:r>
      <w:r w:rsidR="00D41F50">
        <w:t xml:space="preserve"> (</w:t>
      </w:r>
      <w:r w:rsidR="00D41F50" w:rsidRPr="00D41F50">
        <w:rPr>
          <w:iCs/>
        </w:rPr>
        <w:fldChar w:fldCharType="begin"/>
      </w:r>
      <w:r w:rsidR="00D41F50" w:rsidRPr="00D41F50">
        <w:rPr>
          <w:iCs/>
        </w:rPr>
        <w:instrText xml:space="preserve"> REF _Ref113881622 \h  \* MERGEFORMAT </w:instrText>
      </w:r>
      <w:r w:rsidR="00D41F50" w:rsidRPr="00D41F50">
        <w:rPr>
          <w:iCs/>
        </w:rPr>
      </w:r>
      <w:r w:rsidR="00D41F50" w:rsidRPr="00D41F50">
        <w:rPr>
          <w:iCs/>
        </w:rPr>
        <w:fldChar w:fldCharType="separate"/>
      </w:r>
      <w:r w:rsidR="00137984" w:rsidRPr="00137984">
        <w:rPr>
          <w:iCs/>
        </w:rPr>
        <w:t>Table 6</w:t>
      </w:r>
      <w:r w:rsidR="00D41F50" w:rsidRPr="00D41F50">
        <w:rPr>
          <w:iCs/>
        </w:rPr>
        <w:fldChar w:fldCharType="end"/>
      </w:r>
      <w:r w:rsidR="00D41F50" w:rsidRPr="00D41F50">
        <w:rPr>
          <w:iCs/>
        </w:rPr>
        <w:t>)</w:t>
      </w:r>
      <w:r w:rsidRPr="00D41F50">
        <w:rPr>
          <w:iCs/>
        </w:rPr>
        <w:t>.</w:t>
      </w:r>
      <w:r w:rsidRPr="004E375B">
        <w:rPr>
          <w:iCs/>
        </w:rPr>
        <w:t xml:space="preserve"> The lower bounds of the 95% CI were above 0.5 for all 13 serotypes, therefore the non-inferiority criteria were met. </w:t>
      </w:r>
      <w:r w:rsidRPr="00AA5847">
        <w:rPr>
          <w:iCs/>
        </w:rPr>
        <w:t>The</w:t>
      </w:r>
      <w:r w:rsidR="00AA5847" w:rsidRPr="00AA5847">
        <w:rPr>
          <w:iCs/>
        </w:rPr>
        <w:t xml:space="preserve"> </w:t>
      </w:r>
      <w:r w:rsidR="00AA5847" w:rsidRPr="00683533">
        <w:t>ESC noted that the</w:t>
      </w:r>
      <w:r w:rsidRPr="00AA5847">
        <w:rPr>
          <w:iCs/>
        </w:rPr>
        <w:t xml:space="preserve"> OPA GMRs for 11 of the 13 matched serotypes had the upper bound of the 95% CI &lt;</w:t>
      </w:r>
      <w:r w:rsidR="00D12CF7" w:rsidRPr="00AA5847">
        <w:rPr>
          <w:iCs/>
        </w:rPr>
        <w:t xml:space="preserve"> </w:t>
      </w:r>
      <w:r w:rsidRPr="00AA5847">
        <w:rPr>
          <w:iCs/>
        </w:rPr>
        <w:t>1</w:t>
      </w:r>
      <w:r w:rsidR="00AA5847" w:rsidRPr="00AA5847">
        <w:rPr>
          <w:iCs/>
        </w:rPr>
        <w:t xml:space="preserve">, </w:t>
      </w:r>
      <w:r w:rsidRPr="00AA5847">
        <w:rPr>
          <w:iCs/>
        </w:rPr>
        <w:t>thus favouring 13vPCV</w:t>
      </w:r>
      <w:r w:rsidR="00733EF5">
        <w:rPr>
          <w:rFonts w:ascii="Times New Roman" w:hAnsi="Times New Roman" w:cs="Times New Roman"/>
          <w:iCs/>
        </w:rPr>
        <w:t xml:space="preserve">. </w:t>
      </w:r>
      <w:r w:rsidR="00733EF5" w:rsidRPr="00733EF5">
        <w:rPr>
          <w:iCs/>
        </w:rPr>
        <w:t xml:space="preserve">The pre-PBAC response </w:t>
      </w:r>
      <w:r w:rsidR="00733EF5">
        <w:rPr>
          <w:iCs/>
        </w:rPr>
        <w:t xml:space="preserve">noted that ATAGI stated that </w:t>
      </w:r>
      <w:r w:rsidR="009725F8">
        <w:rPr>
          <w:iCs/>
        </w:rPr>
        <w:t>‘</w:t>
      </w:r>
      <w:r w:rsidR="00733EF5">
        <w:t xml:space="preserve">While GMRs for 11 of 13 serotypes had confidence intervals below 1 (favouring 13vPCV) observed </w:t>
      </w:r>
      <w:r w:rsidR="00733EF5">
        <w:lastRenderedPageBreak/>
        <w:t>differences are considered to have a low likelihood of resulting in a loss in protection of clinical significance</w:t>
      </w:r>
      <w:r w:rsidR="009725F8">
        <w:rPr>
          <w:iCs/>
        </w:rPr>
        <w:t>’</w:t>
      </w:r>
      <w:r w:rsidR="00733EF5" w:rsidRPr="00733EF5">
        <w:rPr>
          <w:iCs/>
        </w:rPr>
        <w:t xml:space="preserve"> (</w:t>
      </w:r>
      <w:r w:rsidR="00733EF5">
        <w:rPr>
          <w:iCs/>
        </w:rPr>
        <w:t xml:space="preserve">p2, Prevenar 20, </w:t>
      </w:r>
      <w:r w:rsidR="00733EF5" w:rsidRPr="00733EF5">
        <w:rPr>
          <w:iCs/>
        </w:rPr>
        <w:t xml:space="preserve">ATAGI </w:t>
      </w:r>
      <w:r w:rsidR="00733EF5">
        <w:rPr>
          <w:iCs/>
        </w:rPr>
        <w:t>pre-submission advice to PBAC,</w:t>
      </w:r>
      <w:r w:rsidR="00733EF5" w:rsidRPr="00733EF5">
        <w:rPr>
          <w:iCs/>
        </w:rPr>
        <w:t xml:space="preserve"> April 2022).</w:t>
      </w:r>
    </w:p>
    <w:p w14:paraId="5E1BD4A4" w14:textId="5D07B31F" w:rsidR="000471D5" w:rsidRPr="00A71352" w:rsidRDefault="00F51D16" w:rsidP="00CC71B0">
      <w:pPr>
        <w:pStyle w:val="3-BodyText"/>
        <w:rPr>
          <w:iCs/>
        </w:rPr>
      </w:pPr>
      <w:r w:rsidRPr="00720C2C">
        <w:t>For the additional 7 serotypes (8, 10A, 11A, 12F, 15B, 22F, and 33F), the OPA GMRs in adults ≥</w:t>
      </w:r>
      <w:r>
        <w:t xml:space="preserve"> </w:t>
      </w:r>
      <w:r w:rsidRPr="00720C2C">
        <w:t>60 years ranged from 0.55 (serotype 8) to 3.12 (serotype 15B).</w:t>
      </w:r>
      <w:r w:rsidRPr="00A71352">
        <w:rPr>
          <w:iCs/>
        </w:rPr>
        <w:t xml:space="preserve"> The </w:t>
      </w:r>
      <w:r w:rsidRPr="00683533">
        <w:t>ESC noted that the</w:t>
      </w:r>
      <w:r w:rsidRPr="00A71352">
        <w:rPr>
          <w:iCs/>
        </w:rPr>
        <w:t xml:space="preserve"> lower bound of the 95% CI for serotype 8 was 0.49, therefore did not meet the non-inferiority criteria. </w:t>
      </w:r>
      <w:r w:rsidRPr="00683533">
        <w:t>The PSCR stated that as non-inferiority was not met for serotype 8, additional analyses to further characterise the immune responses to this serotype were performed and they suggest that the immune response is expected to be similarly protective to the other 19 vaccine serotypes in 20vPCV that met non-inferiority.</w:t>
      </w:r>
      <w:r w:rsidRPr="00A71352">
        <w:rPr>
          <w:iCs/>
        </w:rPr>
        <w:t xml:space="preserve"> The lower bound of the 95% CI for the OPA GMRs for the remaining 6 serotypes were </w:t>
      </w:r>
      <w:r w:rsidRPr="00F51D16">
        <w:t>&gt; 1 with nominal p-values for superiority &lt;</w:t>
      </w:r>
      <w:r w:rsidR="00E535DF">
        <w:t xml:space="preserve"> </w:t>
      </w:r>
      <w:r w:rsidRPr="00F51D16">
        <w:t xml:space="preserve">0.001. </w:t>
      </w:r>
      <w:r w:rsidR="00F87D6A" w:rsidRPr="00683533">
        <w:rPr>
          <w:iCs/>
        </w:rPr>
        <w:t xml:space="preserve">The PSCR provided additional information (including a redacted </w:t>
      </w:r>
      <w:r w:rsidRPr="00683533">
        <w:rPr>
          <w:iCs/>
        </w:rPr>
        <w:t>Statistical Analysis Plan</w:t>
      </w:r>
      <w:r w:rsidR="00F87D6A" w:rsidRPr="00683533">
        <w:rPr>
          <w:iCs/>
        </w:rPr>
        <w:t xml:space="preserve">) verifying that superiority for the 7 additional serotypes could not be </w:t>
      </w:r>
      <w:r w:rsidRPr="00683533">
        <w:rPr>
          <w:iCs/>
        </w:rPr>
        <w:t xml:space="preserve">formally </w:t>
      </w:r>
      <w:r w:rsidR="00F87D6A" w:rsidRPr="00683533">
        <w:rPr>
          <w:iCs/>
        </w:rPr>
        <w:t xml:space="preserve">tested as non-inferiority was not achieved for all 7 serotypes. </w:t>
      </w:r>
      <w:r w:rsidR="000471D5" w:rsidRPr="00A71352">
        <w:rPr>
          <w:iCs/>
        </w:rPr>
        <w:t xml:space="preserve">Claims for superiority should be interpreted with caution. </w:t>
      </w:r>
    </w:p>
    <w:p w14:paraId="6CB973BD" w14:textId="22DBB08A" w:rsidR="000471D5" w:rsidRPr="00036C51" w:rsidRDefault="000471D5" w:rsidP="008805F3">
      <w:pPr>
        <w:pStyle w:val="3-BodyText"/>
        <w:rPr>
          <w:color w:val="0066FF"/>
        </w:rPr>
      </w:pPr>
      <w:r>
        <w:t xml:space="preserve">The secondary objectives of demonstrating non-inferiority of immune responses to the 20 serotypes in 20vPCV in adults 50 to 59 (Cohort 2) and adults 18 to 49 (Cohort 3) were met (the lower bound of the 95% CI were above 0.5). The submission concluded that clinical claims made based on results from Cohort 1 can be translated to those aged 18 to 59 years vaccinated with 20vPCV. </w:t>
      </w:r>
      <w:r w:rsidR="005B302E" w:rsidRPr="00BB0C95">
        <w:rPr>
          <w:iCs/>
        </w:rPr>
        <w:t>The</w:t>
      </w:r>
      <w:r w:rsidR="00B32CDB" w:rsidRPr="00683533">
        <w:t xml:space="preserve"> </w:t>
      </w:r>
      <w:r w:rsidRPr="004E375B">
        <w:rPr>
          <w:iCs/>
        </w:rPr>
        <w:t>ATAGI considered it acceptable to infer non-inferiority of immunogenicity in the younger age groups for the 13 shared serotypes, although there may be some uncertainty regarding the 7 additional serotypes (p48, Prevenar 20, ATAGI pre-submission advice to PBAC, April 2022).</w:t>
      </w:r>
    </w:p>
    <w:p w14:paraId="77FF9D91" w14:textId="42B08AE7" w:rsidR="00C3008E" w:rsidRPr="00C3008E" w:rsidRDefault="007D4D11" w:rsidP="00C3008E">
      <w:pPr>
        <w:keepNext/>
        <w:rPr>
          <w:b/>
          <w:bCs/>
        </w:rPr>
      </w:pPr>
      <w:r w:rsidRPr="00825086">
        <w:rPr>
          <w:b/>
          <w:bCs/>
        </w:rPr>
        <w:t xml:space="preserve">Results from meta-analyses comparing 20vPCV or 15vPCV with 13vPCV </w:t>
      </w:r>
    </w:p>
    <w:p w14:paraId="524A23C1" w14:textId="4394AD47" w:rsidR="007D4D11" w:rsidRPr="00825086" w:rsidRDefault="007D4D11" w:rsidP="0077625E">
      <w:pPr>
        <w:spacing w:before="120"/>
        <w:rPr>
          <w:b/>
          <w:bCs/>
          <w:u w:val="single"/>
        </w:rPr>
      </w:pPr>
      <w:r w:rsidRPr="00825086">
        <w:rPr>
          <w:b/>
          <w:bCs/>
          <w:u w:val="single"/>
        </w:rPr>
        <w:t xml:space="preserve">Age </w:t>
      </w:r>
      <w:r w:rsidRPr="00825086">
        <w:rPr>
          <w:rFonts w:eastAsia="Calibri"/>
          <w:b/>
          <w:bCs/>
          <w:u w:val="single"/>
        </w:rPr>
        <w:t>≥</w:t>
      </w:r>
      <w:r w:rsidR="00E535DF">
        <w:rPr>
          <w:rFonts w:eastAsia="Calibri"/>
          <w:b/>
          <w:bCs/>
          <w:u w:val="single"/>
        </w:rPr>
        <w:t xml:space="preserve"> </w:t>
      </w:r>
      <w:r w:rsidRPr="00825086">
        <w:rPr>
          <w:rFonts w:eastAsia="Calibri"/>
          <w:b/>
          <w:bCs/>
          <w:u w:val="single"/>
        </w:rPr>
        <w:t>50 years</w:t>
      </w:r>
    </w:p>
    <w:p w14:paraId="548DE6E6" w14:textId="7AACDD18" w:rsidR="000F1B86" w:rsidRDefault="00135CF7" w:rsidP="0077625E">
      <w:pPr>
        <w:pStyle w:val="3-BodyText"/>
        <w:spacing w:before="120"/>
        <w:rPr>
          <w:rStyle w:val="CommentReference"/>
          <w:snapToGrid/>
        </w:rPr>
      </w:pPr>
      <w:r>
        <w:t>In the comparisons between 20vPCV and 13vPCV</w:t>
      </w:r>
      <w:r w:rsidR="00C3008E">
        <w:t>,</w:t>
      </w:r>
      <w:r>
        <w:t xml:space="preserve"> </w:t>
      </w:r>
      <w:r w:rsidR="00C3008E">
        <w:t xml:space="preserve">the upper bounds of the 95% CI were &lt; 1 for </w:t>
      </w:r>
      <w:r>
        <w:t xml:space="preserve">11 of the 13 shared serotypes (except for serotypes 9V and 14), favouring 13vPCV. Overall, in the pooled results, none of the lower bounds of the 95% CI </w:t>
      </w:r>
      <w:r w:rsidR="005547CB">
        <w:t xml:space="preserve">were </w:t>
      </w:r>
      <w:r>
        <w:t>&lt;</w:t>
      </w:r>
      <w:r w:rsidR="005547CB">
        <w:t xml:space="preserve"> </w:t>
      </w:r>
      <w:r>
        <w:t xml:space="preserve">0.5, thus meeting the non-inferiority criteria. Heterogeneity across trials ranged from 0% to 80% and was statistically significant at the 5% level for serotypes 5 and 9V and at the 10% level for serotypes 7F, 19A and 19F. </w:t>
      </w:r>
    </w:p>
    <w:p w14:paraId="2F2A8590" w14:textId="54689DC5" w:rsidR="00135CF7" w:rsidRDefault="7ACB03F6" w:rsidP="00227608">
      <w:pPr>
        <w:pStyle w:val="3-BodyText"/>
        <w:numPr>
          <w:ilvl w:val="1"/>
          <w:numId w:val="23"/>
        </w:numPr>
      </w:pPr>
      <w:r>
        <w:t>In the comparisons between 15vPCV and 13vPC</w:t>
      </w:r>
      <w:r w:rsidR="00C3008E">
        <w:t>V</w:t>
      </w:r>
      <w:r>
        <w:t xml:space="preserve">, </w:t>
      </w:r>
      <w:r w:rsidR="00C3008E" w:rsidRPr="00C052E6">
        <w:t xml:space="preserve">the lower bound of the 95% CI was &gt; 1 </w:t>
      </w:r>
      <w:r>
        <w:t xml:space="preserve">for </w:t>
      </w:r>
      <w:r w:rsidRPr="00C052E6">
        <w:t xml:space="preserve">serotypes 3, 6B, 18C and 23F, thus favouring 15vPCV, while </w:t>
      </w:r>
      <w:r w:rsidR="00FA1C72" w:rsidRPr="00C052E6">
        <w:t>the upper bound of the 95% CI was &lt; 1</w:t>
      </w:r>
      <w:r w:rsidR="00FA1C72">
        <w:t xml:space="preserve"> for</w:t>
      </w:r>
      <w:r w:rsidRPr="00C052E6">
        <w:t xml:space="preserve"> serotypes 4 and 7F, favouring 13vPCV. </w:t>
      </w:r>
      <w:r>
        <w:t>In the overall pooled results, none of the lower bounds of the 95% CI was &lt;</w:t>
      </w:r>
      <w:r w:rsidR="6656E8DF">
        <w:t xml:space="preserve"> </w:t>
      </w:r>
      <w:r>
        <w:t>0.5 therefore meeting the non-inferiority criteria. Heterogeneity across trials ranged from 0% to 73% and was statistically significant at the 5% level for serotype 7F.</w:t>
      </w:r>
    </w:p>
    <w:p w14:paraId="19E19230" w14:textId="77777777" w:rsidR="007D4D11" w:rsidRPr="00825086" w:rsidRDefault="007D4D11" w:rsidP="00C052E6">
      <w:pPr>
        <w:keepNext/>
        <w:rPr>
          <w:b/>
          <w:bCs/>
          <w:u w:val="single"/>
        </w:rPr>
      </w:pPr>
      <w:r w:rsidRPr="00825086">
        <w:rPr>
          <w:b/>
          <w:bCs/>
          <w:u w:val="single"/>
        </w:rPr>
        <w:lastRenderedPageBreak/>
        <w:t>Age 18-49</w:t>
      </w:r>
      <w:r w:rsidRPr="00825086">
        <w:rPr>
          <w:rFonts w:eastAsia="Calibri"/>
          <w:b/>
          <w:bCs/>
          <w:u w:val="single"/>
        </w:rPr>
        <w:t xml:space="preserve"> years</w:t>
      </w:r>
    </w:p>
    <w:p w14:paraId="7E4E9EA2" w14:textId="59DA0F32" w:rsidR="00135CF7" w:rsidRPr="00683533" w:rsidRDefault="00135CF7" w:rsidP="00317751">
      <w:pPr>
        <w:pStyle w:val="3-BodyText"/>
        <w:rPr>
          <w:iCs/>
        </w:rPr>
      </w:pPr>
      <w:r>
        <w:t>In the comparisons between 20vPCV and 13vPCV, the results showed that across all 13 shared serotypes the pooled OPA GMRs were &lt;</w:t>
      </w:r>
      <w:r w:rsidR="00936F8C">
        <w:t xml:space="preserve"> </w:t>
      </w:r>
      <w:r>
        <w:t>1. The upper bounds of the 95% CI were &lt;</w:t>
      </w:r>
      <w:r w:rsidR="005547CB">
        <w:t xml:space="preserve"> </w:t>
      </w:r>
      <w:r>
        <w:t>1 for serotypes 1, 4, 5, 19A and 19F, favouring 13vPCV. For the additional two serotypes 22F and 33F not covered by the 13vPCV, the upper bounds of the 95% CI were &gt;</w:t>
      </w:r>
      <w:r w:rsidR="005547CB">
        <w:t xml:space="preserve"> </w:t>
      </w:r>
      <w:r>
        <w:t>1. The submission claimed that for these serotypes 20vPCV was superior to 13vPCV because the upper bounds of the 95% CI were far greater than 1. The GMR (95% CI) were 56.02 (40.99, 76.57) for 22F and 8.59 (6.73, 10.95) for 33F</w:t>
      </w:r>
      <w:r w:rsidRPr="004E375B">
        <w:rPr>
          <w:iCs/>
        </w:rPr>
        <w:t>.</w:t>
      </w:r>
      <w:r w:rsidR="00C3137E">
        <w:rPr>
          <w:iCs/>
        </w:rPr>
        <w:t xml:space="preserve"> </w:t>
      </w:r>
      <w:r w:rsidRPr="004E375B">
        <w:rPr>
          <w:iCs/>
        </w:rPr>
        <w:t>Claims for superiority should be interpreted with caution</w:t>
      </w:r>
      <w:r w:rsidR="00FA1C72">
        <w:rPr>
          <w:iCs/>
        </w:rPr>
        <w:t xml:space="preserve"> as t</w:t>
      </w:r>
      <w:r w:rsidR="00FA1C72" w:rsidRPr="004E375B">
        <w:rPr>
          <w:iCs/>
        </w:rPr>
        <w:t>he analysis was conducted to demonstrate non-inferiority</w:t>
      </w:r>
      <w:r w:rsidR="00FA1C72">
        <w:rPr>
          <w:iCs/>
        </w:rPr>
        <w:t xml:space="preserve"> and</w:t>
      </w:r>
      <w:r w:rsidRPr="004E375B">
        <w:rPr>
          <w:iCs/>
        </w:rPr>
        <w:t xml:space="preserve"> there is no specific OPA threshold that has been identified which correlates to clinical efficacy. </w:t>
      </w:r>
      <w:r>
        <w:t>Heterogeneity across trials ranged from 0% to 73%, but none were statistically significant at the 5% level.</w:t>
      </w:r>
      <w:r w:rsidRPr="00036C51">
        <w:rPr>
          <w:rFonts w:ascii="Times New Roman" w:hAnsi="Times New Roman" w:cs="Times New Roman"/>
        </w:rPr>
        <w:t xml:space="preserve"> </w:t>
      </w:r>
    </w:p>
    <w:p w14:paraId="0347AABA" w14:textId="5457660B" w:rsidR="00BC5052" w:rsidRPr="004E375B" w:rsidRDefault="00135CF7" w:rsidP="00036C51">
      <w:pPr>
        <w:pStyle w:val="3-BodyText"/>
      </w:pPr>
      <w:r w:rsidRPr="00135CF7">
        <w:t>Comparisons between 15vPCV and 13vPCV were based on one trial (PNEU-DAY). For serotypes 3, 6B, 18C and 23F the lower bound of the 95% CI was &gt;</w:t>
      </w:r>
      <w:r w:rsidR="00562DFF">
        <w:t xml:space="preserve"> </w:t>
      </w:r>
      <w:r w:rsidRPr="00135CF7">
        <w:t xml:space="preserve">1 thus favouring 15vPCV, while </w:t>
      </w:r>
      <w:r w:rsidR="00FA1C72">
        <w:t xml:space="preserve">for </w:t>
      </w:r>
      <w:r w:rsidRPr="00135CF7">
        <w:t>serotypes 4, 5, 7F and 9V the upper bound of the 95% CI was &lt;</w:t>
      </w:r>
      <w:r w:rsidR="00562DFF">
        <w:t xml:space="preserve"> </w:t>
      </w:r>
      <w:r w:rsidRPr="00135CF7">
        <w:t>1 thus favouring 13vPCV. For the additional two serotypes 22F and 33F not covered by the 13vPCV, the upper bounds of the 95% CI were &gt;</w:t>
      </w:r>
      <w:r w:rsidR="00E535DF">
        <w:t xml:space="preserve"> </w:t>
      </w:r>
      <w:r w:rsidRPr="00135CF7">
        <w:t>1. The submission claimed that for these serotypes 15vPCV was superior to 13vPCV as the GMRs (95% CI) were 13.47 (10.14, 17.88) and 5.33 (4.41, 6.45)</w:t>
      </w:r>
      <w:r w:rsidR="00E535DF">
        <w:t>,</w:t>
      </w:r>
      <w:r w:rsidRPr="00135CF7">
        <w:t xml:space="preserve"> respectively.</w:t>
      </w:r>
      <w:r w:rsidR="00FA1C72">
        <w:t xml:space="preserve"> </w:t>
      </w:r>
      <w:r w:rsidR="00FA1C72" w:rsidRPr="00683533">
        <w:rPr>
          <w:iCs/>
        </w:rPr>
        <w:t>As above, claims for superiority should be interpreted with caution.</w:t>
      </w:r>
    </w:p>
    <w:p w14:paraId="3FF4CA7B" w14:textId="237218D0" w:rsidR="007D4D11" w:rsidRPr="0077625E" w:rsidRDefault="007D4D11" w:rsidP="0077625E">
      <w:pPr>
        <w:rPr>
          <w:b/>
          <w:bCs/>
        </w:rPr>
      </w:pPr>
      <w:r w:rsidRPr="0077625E">
        <w:rPr>
          <w:b/>
          <w:bCs/>
        </w:rPr>
        <w:t>Results from ITC comparing 20vPCV with 15vPCV</w:t>
      </w:r>
    </w:p>
    <w:p w14:paraId="4AA7296A" w14:textId="707A6BF8" w:rsidR="008815F4" w:rsidRPr="00036C51" w:rsidRDefault="00734AAB" w:rsidP="008815F4">
      <w:pPr>
        <w:pStyle w:val="3-BodyText"/>
        <w:rPr>
          <w:lang w:val="en-US"/>
        </w:rPr>
      </w:pPr>
      <w:r>
        <w:fldChar w:fldCharType="begin"/>
      </w:r>
      <w:r>
        <w:instrText xml:space="preserve"> REF _Ref112332430 \h </w:instrText>
      </w:r>
      <w:r>
        <w:fldChar w:fldCharType="separate"/>
      </w:r>
      <w:r w:rsidR="00137984">
        <w:t xml:space="preserve">Figure </w:t>
      </w:r>
      <w:r w:rsidR="00137984">
        <w:rPr>
          <w:noProof/>
        </w:rPr>
        <w:t>1</w:t>
      </w:r>
      <w:r>
        <w:fldChar w:fldCharType="end"/>
      </w:r>
      <w:r w:rsidR="007D4D11">
        <w:t xml:space="preserve"> shows the results of the indirect comparisons between 20vPCV and 15vPCV for the 13 shared serotypes for the ≥</w:t>
      </w:r>
      <w:r w:rsidR="00BC5052">
        <w:t xml:space="preserve"> </w:t>
      </w:r>
      <w:r w:rsidR="007D4D11">
        <w:t>50 years age group.</w:t>
      </w:r>
      <w:r w:rsidR="008815F4">
        <w:t xml:space="preserve"> </w:t>
      </w:r>
      <w:r w:rsidR="008815F4" w:rsidRPr="00036C51">
        <w:rPr>
          <w:lang w:val="en-US"/>
        </w:rPr>
        <w:t xml:space="preserve">For serotypes 3, 6B and 23F, lower bounds of the 95% CI were &lt; 0.5, thus did not meet the non-inferiority criteria. </w:t>
      </w:r>
    </w:p>
    <w:p w14:paraId="3DE4E67C" w14:textId="4527BF09" w:rsidR="007D4D11" w:rsidRDefault="007D4D11" w:rsidP="007D4D11">
      <w:pPr>
        <w:pStyle w:val="Caption"/>
        <w:rPr>
          <w:rStyle w:val="CommentReference"/>
          <w:b/>
        </w:rPr>
      </w:pPr>
      <w:bookmarkStart w:id="29" w:name="_Ref112332430"/>
      <w:r>
        <w:lastRenderedPageBreak/>
        <w:t xml:space="preserve">Figure </w:t>
      </w:r>
      <w:r>
        <w:fldChar w:fldCharType="begin"/>
      </w:r>
      <w:r>
        <w:instrText>SEQ Figure \* ARABIC</w:instrText>
      </w:r>
      <w:r>
        <w:fldChar w:fldCharType="separate"/>
      </w:r>
      <w:r w:rsidR="00137984">
        <w:rPr>
          <w:noProof/>
        </w:rPr>
        <w:t>1</w:t>
      </w:r>
      <w:r>
        <w:fldChar w:fldCharType="end"/>
      </w:r>
      <w:bookmarkEnd w:id="29"/>
      <w:r w:rsidRPr="003B0F7D">
        <w:rPr>
          <w:b w:val="0"/>
          <w:bCs w:val="0"/>
        </w:rPr>
        <w:t xml:space="preserve">: </w:t>
      </w:r>
      <w:r w:rsidRPr="003B0F7D">
        <w:rPr>
          <w:rStyle w:val="CommentReference"/>
          <w:b/>
          <w:bCs/>
        </w:rPr>
        <w:t>Forest plot of IC1 – Indirect comparison of 20vPCV vs 15vPCV GMR at 1 month after vaccination (≥</w:t>
      </w:r>
      <w:r w:rsidR="00BC5052">
        <w:rPr>
          <w:rStyle w:val="CommentReference"/>
          <w:b/>
          <w:bCs/>
        </w:rPr>
        <w:t xml:space="preserve"> </w:t>
      </w:r>
      <w:r w:rsidRPr="003B0F7D">
        <w:rPr>
          <w:rStyle w:val="CommentReference"/>
          <w:b/>
          <w:bCs/>
        </w:rPr>
        <w:t>50 years) for 13-shared serotypes</w:t>
      </w:r>
    </w:p>
    <w:p w14:paraId="116AFD90" w14:textId="77777777" w:rsidR="007D4D11" w:rsidRDefault="007D4D11" w:rsidP="007D4D11">
      <w:pPr>
        <w:rPr>
          <w:color w:val="3366FF"/>
        </w:rPr>
      </w:pPr>
      <w:r w:rsidRPr="00231276">
        <w:rPr>
          <w:rFonts w:asciiTheme="majorHAnsi" w:eastAsiaTheme="majorEastAsia" w:hAnsiTheme="majorHAnsi"/>
          <w:noProof/>
          <w:color w:val="2F5496" w:themeColor="accent1" w:themeShade="BF"/>
          <w:sz w:val="26"/>
          <w:shd w:val="clear" w:color="auto" w:fill="E6E6E6"/>
          <w:lang w:val="en-US"/>
        </w:rPr>
        <w:drawing>
          <wp:inline distT="0" distB="0" distL="0" distR="0" wp14:anchorId="3367479B" wp14:editId="3E94CBAE">
            <wp:extent cx="5723890" cy="4097020"/>
            <wp:effectExtent l="0" t="0" r="0" b="0"/>
            <wp:docPr id="5" name="Picture 5" descr="Figure 1: Forest plot of IC1 – Indirect comparison of 20vPCV vs 15vPCV GMR at 1 month after vaccination (≥ 50 years) for 13-shared ser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1: Forest plot of IC1 – Indirect comparison of 20vPCV vs 15vPCV GMR at 1 month after vaccination (≥ 50 years) for 13-shared serotyp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4097020"/>
                    </a:xfrm>
                    <a:prstGeom prst="rect">
                      <a:avLst/>
                    </a:prstGeom>
                    <a:noFill/>
                    <a:ln>
                      <a:noFill/>
                    </a:ln>
                  </pic:spPr>
                </pic:pic>
              </a:graphicData>
            </a:graphic>
          </wp:inline>
        </w:drawing>
      </w:r>
    </w:p>
    <w:p w14:paraId="508E40F9" w14:textId="77777777" w:rsidR="007D4D11" w:rsidRDefault="007D4D11" w:rsidP="007D4D11">
      <w:pPr>
        <w:pStyle w:val="FooterTableFigure"/>
      </w:pPr>
      <w:r>
        <w:t>Source: Figure 2.6.5, p422 of the submission</w:t>
      </w:r>
    </w:p>
    <w:p w14:paraId="7C5F6B1E" w14:textId="77777777" w:rsidR="007D4D11" w:rsidRDefault="007D4D11" w:rsidP="007D4D11">
      <w:pPr>
        <w:pStyle w:val="FooterTableFigure"/>
        <w:rPr>
          <w:rFonts w:eastAsia="TimesNewRoman"/>
        </w:rPr>
      </w:pPr>
      <w:bookmarkStart w:id="30" w:name="_Hlk111638924"/>
      <w:r>
        <w:t xml:space="preserve">Abbreviations: </w:t>
      </w:r>
      <w:r w:rsidRPr="009802BA">
        <w:rPr>
          <w:rFonts w:eastAsia="TimesNewRoman"/>
        </w:rPr>
        <w:t xml:space="preserve">13vPCV, 13-valent pneumococcal conjugate vaccine; 20vpCV, 20-valent </w:t>
      </w:r>
      <w:r w:rsidRPr="006C73AD">
        <w:rPr>
          <w:rFonts w:eastAsia="TimesNewRoman"/>
        </w:rPr>
        <w:t>pneumococcal conjugate vaccine; CI, confidence interval; GMR, geometric mean ratio; GMT, geometric mean titre; GMR, geometric mean ratio</w:t>
      </w:r>
    </w:p>
    <w:bookmarkEnd w:id="30"/>
    <w:p w14:paraId="20040143" w14:textId="6147398A" w:rsidR="007D4D11" w:rsidRPr="006627B7" w:rsidRDefault="00E417DA" w:rsidP="00036C51">
      <w:pPr>
        <w:pStyle w:val="3-BodyText"/>
      </w:pPr>
      <w:r>
        <w:t>T</w:t>
      </w:r>
      <w:r w:rsidR="00135CF7" w:rsidRPr="0076267C">
        <w:t xml:space="preserve">he results </w:t>
      </w:r>
      <w:r>
        <w:t>for</w:t>
      </w:r>
      <w:r w:rsidR="00135CF7" w:rsidRPr="0076267C">
        <w:t xml:space="preserve"> the indirect comparisons between 20vPCV and 15vPCV for the 15 shared</w:t>
      </w:r>
      <w:r w:rsidR="00135CF7" w:rsidRPr="00135CF7">
        <w:t xml:space="preserve"> serotypes for the 18-49 years age group</w:t>
      </w:r>
      <w:r>
        <w:t xml:space="preserve"> were </w:t>
      </w:r>
      <w:proofErr w:type="gramStart"/>
      <w:r>
        <w:t>similar to</w:t>
      </w:r>
      <w:proofErr w:type="gramEnd"/>
      <w:r>
        <w:t xml:space="preserve"> those for the ≥ 50 years age group</w:t>
      </w:r>
      <w:r w:rsidR="00135CF7" w:rsidRPr="00135CF7">
        <w:t>.</w:t>
      </w:r>
      <w:r w:rsidR="008815F4">
        <w:t xml:space="preserve"> </w:t>
      </w:r>
      <w:r w:rsidR="008815F4" w:rsidRPr="00135CF7">
        <w:t>For serotypes 6B, 18C and 23F, lower bounds of the 95% CI were &lt;</w:t>
      </w:r>
      <w:r w:rsidR="008815F4">
        <w:t xml:space="preserve"> </w:t>
      </w:r>
      <w:r w:rsidR="008815F4" w:rsidRPr="00135CF7">
        <w:t>0.5, thus did not meet the non-inferiority criteria.</w:t>
      </w:r>
    </w:p>
    <w:p w14:paraId="3E626146" w14:textId="3CB80F04" w:rsidR="00135CF7" w:rsidRPr="004E375B" w:rsidRDefault="00135CF7" w:rsidP="00036C51">
      <w:pPr>
        <w:pStyle w:val="3-BodyText"/>
      </w:pPr>
      <w:r w:rsidRPr="00683533">
        <w:rPr>
          <w:iCs/>
        </w:rPr>
        <w:t xml:space="preserve">The results </w:t>
      </w:r>
      <w:r w:rsidR="00E417DA" w:rsidRPr="00683533">
        <w:rPr>
          <w:iCs/>
        </w:rPr>
        <w:t xml:space="preserve">of the ITCs </w:t>
      </w:r>
      <w:r w:rsidR="008815F4" w:rsidRPr="00683533">
        <w:rPr>
          <w:iCs/>
        </w:rPr>
        <w:t>should</w:t>
      </w:r>
      <w:r w:rsidRPr="00683533">
        <w:rPr>
          <w:iCs/>
        </w:rPr>
        <w:t xml:space="preserve"> be interpreted </w:t>
      </w:r>
      <w:r w:rsidR="008815F4" w:rsidRPr="00683533">
        <w:rPr>
          <w:iCs/>
        </w:rPr>
        <w:t>in the context of the differences across the trials</w:t>
      </w:r>
      <w:r w:rsidRPr="00683533">
        <w:rPr>
          <w:iCs/>
        </w:rPr>
        <w:t>.</w:t>
      </w:r>
      <w:r w:rsidRPr="004E375B">
        <w:t xml:space="preserve"> This include</w:t>
      </w:r>
      <w:r w:rsidR="0050179F" w:rsidRPr="004E375B">
        <w:t>s</w:t>
      </w:r>
      <w:r w:rsidRPr="004E375B">
        <w:t xml:space="preserve"> differences in serotype specific OPA GMT in the common-comparator arm (13vPCV) across studies, geographical locations in which the studies were conducted, assay methods, statistical analytical methods used to calculate GMRs and characteristics of study populations. These differences affect transitivity in a variety of ways; </w:t>
      </w:r>
      <w:proofErr w:type="gramStart"/>
      <w:r w:rsidRPr="004E375B">
        <w:t>thus</w:t>
      </w:r>
      <w:proofErr w:type="gramEnd"/>
      <w:r w:rsidRPr="004E375B">
        <w:t xml:space="preserve"> the direction of impact is unclear. </w:t>
      </w:r>
    </w:p>
    <w:p w14:paraId="5F3A9A7C" w14:textId="170D03D5" w:rsidR="00135CF7" w:rsidRPr="0076267C" w:rsidRDefault="005A3D21" w:rsidP="00036C51">
      <w:pPr>
        <w:pStyle w:val="3-BodyText"/>
      </w:pPr>
      <w:r w:rsidRPr="005A3D21">
        <w:fldChar w:fldCharType="begin"/>
      </w:r>
      <w:r w:rsidRPr="005A3D21">
        <w:instrText xml:space="preserve"> REF _Ref113694684 \h </w:instrText>
      </w:r>
      <w:r>
        <w:instrText xml:space="preserve"> \* MERGEFORMAT </w:instrText>
      </w:r>
      <w:r w:rsidRPr="005A3D21">
        <w:fldChar w:fldCharType="separate"/>
      </w:r>
      <w:r w:rsidR="00137984" w:rsidRPr="00137984">
        <w:t>Table 7</w:t>
      </w:r>
      <w:r w:rsidRPr="005A3D21">
        <w:fldChar w:fldCharType="end"/>
      </w:r>
      <w:r w:rsidR="0076267C" w:rsidRPr="0076267C">
        <w:t xml:space="preserve"> </w:t>
      </w:r>
      <w:r w:rsidR="00135CF7" w:rsidRPr="0076267C">
        <w:t xml:space="preserve">presents a summary of evidence presented in the submission </w:t>
      </w:r>
      <w:r w:rsidR="008815F4">
        <w:t>indicating</w:t>
      </w:r>
      <w:r w:rsidR="00135CF7" w:rsidRPr="0076267C">
        <w:t xml:space="preserve"> if non-inferiority criteria were met in</w:t>
      </w:r>
      <w:r w:rsidR="008815F4">
        <w:t xml:space="preserve"> the</w:t>
      </w:r>
      <w:r w:rsidR="00135CF7" w:rsidRPr="0076267C">
        <w:t xml:space="preserve"> comparisons </w:t>
      </w:r>
      <w:r w:rsidR="008815F4">
        <w:t xml:space="preserve">of 20vPCV </w:t>
      </w:r>
      <w:r w:rsidR="00135CF7" w:rsidRPr="0076267C">
        <w:t>against 13vPCV and 15vPCV.</w:t>
      </w:r>
      <w:r w:rsidR="00191E83">
        <w:t xml:space="preserve"> In the comparison between 20vPCV and 13vPCV, serotype 8 did not meet the non-inferiority criteria</w:t>
      </w:r>
      <w:r w:rsidR="0015787D">
        <w:t xml:space="preserve"> and </w:t>
      </w:r>
      <w:proofErr w:type="gramStart"/>
      <w:r w:rsidR="0077625E">
        <w:t xml:space="preserve">the </w:t>
      </w:r>
      <w:r w:rsidR="0015787D">
        <w:t>majority of</w:t>
      </w:r>
      <w:proofErr w:type="gramEnd"/>
      <w:r w:rsidR="0015787D">
        <w:t xml:space="preserve"> the results for the matched serotypes favoured 13vPCV</w:t>
      </w:r>
      <w:r w:rsidR="00191E83">
        <w:t xml:space="preserve">. </w:t>
      </w:r>
      <w:r w:rsidR="0015787D">
        <w:t xml:space="preserve">In the indirect comparisons between 20vPCV and 15vPCV, three </w:t>
      </w:r>
      <w:r w:rsidR="0015787D">
        <w:lastRenderedPageBreak/>
        <w:t xml:space="preserve">serotypes (3, 6B and 23F in IC1 and 6B, 18C and 23F in IC2) did not meet the non-inferiority criteria. </w:t>
      </w:r>
    </w:p>
    <w:p w14:paraId="22A536AB" w14:textId="1964A07A" w:rsidR="007D4D11" w:rsidRPr="00135CF7" w:rsidRDefault="007D4D11" w:rsidP="007D4D11">
      <w:pPr>
        <w:pStyle w:val="Caption"/>
        <w:rPr>
          <w:rStyle w:val="CommentReference"/>
          <w:b/>
        </w:rPr>
      </w:pPr>
      <w:bookmarkStart w:id="31" w:name="_Ref113694684"/>
      <w:bookmarkStart w:id="32" w:name="_Ref112657803"/>
      <w:r w:rsidRPr="00135CF7">
        <w:rPr>
          <w:rStyle w:val="CommentReference"/>
          <w:b/>
        </w:rPr>
        <w:t xml:space="preserve">Table </w:t>
      </w:r>
      <w:r w:rsidRPr="00135CF7">
        <w:rPr>
          <w:rStyle w:val="CommentReference"/>
          <w:b/>
        </w:rPr>
        <w:fldChar w:fldCharType="begin"/>
      </w:r>
      <w:r w:rsidRPr="00135CF7">
        <w:rPr>
          <w:rStyle w:val="CommentReference"/>
          <w:b/>
        </w:rPr>
        <w:instrText xml:space="preserve"> SEQ Table \* ARABIC </w:instrText>
      </w:r>
      <w:r w:rsidRPr="00135CF7">
        <w:rPr>
          <w:rStyle w:val="CommentReference"/>
          <w:b/>
        </w:rPr>
        <w:fldChar w:fldCharType="separate"/>
      </w:r>
      <w:r w:rsidR="00137984">
        <w:rPr>
          <w:rStyle w:val="CommentReference"/>
          <w:b/>
          <w:noProof/>
        </w:rPr>
        <w:t>7</w:t>
      </w:r>
      <w:r w:rsidRPr="00135CF7">
        <w:rPr>
          <w:rStyle w:val="CommentReference"/>
          <w:b/>
        </w:rPr>
        <w:fldChar w:fldCharType="end"/>
      </w:r>
      <w:bookmarkEnd w:id="31"/>
      <w:r w:rsidRPr="00135CF7">
        <w:rPr>
          <w:rStyle w:val="CommentReference"/>
          <w:b/>
        </w:rPr>
        <w:t>: Summary demonstrating if non-inferiority criteria were met across serotypes evaluated</w:t>
      </w:r>
      <w:bookmarkEnd w:id="32"/>
    </w:p>
    <w:tbl>
      <w:tblPr>
        <w:tblStyle w:val="TableGrid"/>
        <w:tblW w:w="5000" w:type="pct"/>
        <w:tblLook w:val="04A0" w:firstRow="1" w:lastRow="0" w:firstColumn="1" w:lastColumn="0" w:noHBand="0" w:noVBand="1"/>
      </w:tblPr>
      <w:tblGrid>
        <w:gridCol w:w="2245"/>
        <w:gridCol w:w="2260"/>
        <w:gridCol w:w="2254"/>
        <w:gridCol w:w="2258"/>
      </w:tblGrid>
      <w:tr w:rsidR="00135CF7" w14:paraId="795ED1AF" w14:textId="77777777" w:rsidTr="009A477A">
        <w:tc>
          <w:tcPr>
            <w:tcW w:w="1245" w:type="pct"/>
            <w:vMerge w:val="restart"/>
            <w:tcBorders>
              <w:top w:val="single" w:sz="4" w:space="0" w:color="auto"/>
              <w:left w:val="single" w:sz="4" w:space="0" w:color="auto"/>
              <w:right w:val="single" w:sz="4" w:space="0" w:color="auto"/>
            </w:tcBorders>
          </w:tcPr>
          <w:p w14:paraId="7A5AB665" w14:textId="77777777" w:rsidR="00135CF7" w:rsidRDefault="00135CF7" w:rsidP="009A477A">
            <w:pPr>
              <w:pStyle w:val="TableHeading"/>
              <w:jc w:val="center"/>
              <w:rPr>
                <w:lang w:eastAsia="en-US"/>
              </w:rPr>
            </w:pPr>
            <w:bookmarkStart w:id="33" w:name="_Toc22897642"/>
            <w:r>
              <w:rPr>
                <w:lang w:eastAsia="en-US"/>
              </w:rPr>
              <w:t>Source of results</w:t>
            </w:r>
          </w:p>
        </w:tc>
        <w:tc>
          <w:tcPr>
            <w:tcW w:w="1253" w:type="pct"/>
            <w:tcBorders>
              <w:top w:val="single" w:sz="4" w:space="0" w:color="auto"/>
              <w:left w:val="single" w:sz="4" w:space="0" w:color="auto"/>
              <w:bottom w:val="single" w:sz="4" w:space="0" w:color="auto"/>
              <w:right w:val="single" w:sz="4" w:space="0" w:color="auto"/>
            </w:tcBorders>
          </w:tcPr>
          <w:p w14:paraId="05143CC7" w14:textId="77777777" w:rsidR="00135CF7" w:rsidRDefault="00135CF7" w:rsidP="009A477A">
            <w:pPr>
              <w:pStyle w:val="TableHeading"/>
              <w:jc w:val="center"/>
              <w:rPr>
                <w:lang w:eastAsia="en-US"/>
              </w:rPr>
            </w:pPr>
            <w:r>
              <w:rPr>
                <w:lang w:eastAsia="en-US"/>
              </w:rPr>
              <w:t>20vPCV vs 13vPCV</w:t>
            </w:r>
          </w:p>
        </w:tc>
        <w:tc>
          <w:tcPr>
            <w:tcW w:w="2502" w:type="pct"/>
            <w:gridSpan w:val="2"/>
            <w:tcBorders>
              <w:top w:val="single" w:sz="4" w:space="0" w:color="auto"/>
              <w:left w:val="single" w:sz="4" w:space="0" w:color="auto"/>
              <w:bottom w:val="single" w:sz="4" w:space="0" w:color="auto"/>
              <w:right w:val="single" w:sz="4" w:space="0" w:color="auto"/>
            </w:tcBorders>
          </w:tcPr>
          <w:p w14:paraId="746C49F9" w14:textId="77777777" w:rsidR="00135CF7" w:rsidRDefault="00135CF7" w:rsidP="009A477A">
            <w:pPr>
              <w:pStyle w:val="TableHeading"/>
              <w:jc w:val="center"/>
            </w:pPr>
            <w:r>
              <w:rPr>
                <w:lang w:eastAsia="en-US"/>
              </w:rPr>
              <w:t>20vPCV vs 15vPCV (indirect comparison)</w:t>
            </w:r>
          </w:p>
        </w:tc>
      </w:tr>
      <w:tr w:rsidR="00135CF7" w14:paraId="1450035E" w14:textId="77777777" w:rsidTr="009A477A">
        <w:tc>
          <w:tcPr>
            <w:tcW w:w="1245" w:type="pct"/>
            <w:vMerge/>
            <w:tcBorders>
              <w:left w:val="single" w:sz="4" w:space="0" w:color="auto"/>
              <w:bottom w:val="single" w:sz="4" w:space="0" w:color="auto"/>
              <w:right w:val="single" w:sz="4" w:space="0" w:color="auto"/>
            </w:tcBorders>
          </w:tcPr>
          <w:p w14:paraId="459F2D12" w14:textId="77777777" w:rsidR="00135CF7" w:rsidRDefault="00135CF7" w:rsidP="009A477A">
            <w:pPr>
              <w:pStyle w:val="TableHeading"/>
              <w:jc w:val="center"/>
              <w:rPr>
                <w:lang w:eastAsia="en-US"/>
              </w:rPr>
            </w:pPr>
          </w:p>
        </w:tc>
        <w:tc>
          <w:tcPr>
            <w:tcW w:w="1253" w:type="pct"/>
            <w:tcBorders>
              <w:top w:val="single" w:sz="4" w:space="0" w:color="auto"/>
              <w:left w:val="single" w:sz="4" w:space="0" w:color="auto"/>
              <w:bottom w:val="single" w:sz="4" w:space="0" w:color="auto"/>
              <w:right w:val="single" w:sz="4" w:space="0" w:color="auto"/>
            </w:tcBorders>
          </w:tcPr>
          <w:p w14:paraId="0690E72E" w14:textId="25AEA70C" w:rsidR="00135CF7" w:rsidRDefault="00135CF7" w:rsidP="009A477A">
            <w:pPr>
              <w:pStyle w:val="TableHeading"/>
              <w:jc w:val="center"/>
              <w:rPr>
                <w:lang w:eastAsia="en-US"/>
              </w:rPr>
            </w:pPr>
            <w:r>
              <w:rPr>
                <w:lang w:eastAsia="en-US"/>
              </w:rPr>
              <w:t xml:space="preserve">B7471007 Cohort 1 </w:t>
            </w:r>
            <w:r w:rsidRPr="00354E2F">
              <w:t>≥</w:t>
            </w:r>
            <w:r w:rsidR="0050179F">
              <w:t xml:space="preserve"> </w:t>
            </w:r>
            <w:r w:rsidRPr="00354E2F">
              <w:t>60</w:t>
            </w:r>
            <w:r>
              <w:t xml:space="preserve"> years (which vaccine is favoured</w:t>
            </w:r>
            <w:r>
              <w:rPr>
                <w:lang w:eastAsia="en-US"/>
              </w:rPr>
              <w:t>)</w:t>
            </w:r>
          </w:p>
        </w:tc>
        <w:tc>
          <w:tcPr>
            <w:tcW w:w="1250" w:type="pct"/>
            <w:tcBorders>
              <w:top w:val="single" w:sz="4" w:space="0" w:color="auto"/>
              <w:left w:val="single" w:sz="4" w:space="0" w:color="auto"/>
              <w:bottom w:val="single" w:sz="4" w:space="0" w:color="auto"/>
              <w:right w:val="single" w:sz="4" w:space="0" w:color="auto"/>
            </w:tcBorders>
          </w:tcPr>
          <w:p w14:paraId="000188CF" w14:textId="384B4ECD" w:rsidR="00135CF7" w:rsidRDefault="00135CF7" w:rsidP="009A477A">
            <w:pPr>
              <w:pStyle w:val="TableHeading"/>
              <w:jc w:val="center"/>
            </w:pPr>
            <w:r>
              <w:t>IC1 ≥</w:t>
            </w:r>
            <w:r w:rsidR="0050179F">
              <w:t xml:space="preserve"> </w:t>
            </w:r>
            <w:r>
              <w:t>50 years (which vaccine is favoured)</w:t>
            </w:r>
          </w:p>
        </w:tc>
        <w:tc>
          <w:tcPr>
            <w:tcW w:w="1252" w:type="pct"/>
            <w:tcBorders>
              <w:top w:val="single" w:sz="4" w:space="0" w:color="auto"/>
              <w:left w:val="single" w:sz="4" w:space="0" w:color="auto"/>
              <w:bottom w:val="single" w:sz="4" w:space="0" w:color="auto"/>
              <w:right w:val="single" w:sz="4" w:space="0" w:color="auto"/>
            </w:tcBorders>
          </w:tcPr>
          <w:p w14:paraId="55EA3069" w14:textId="77777777" w:rsidR="00135CF7" w:rsidRDefault="00135CF7" w:rsidP="009A477A">
            <w:pPr>
              <w:pStyle w:val="TableHeading"/>
              <w:jc w:val="center"/>
            </w:pPr>
            <w:r>
              <w:t>IC2 18-49 years (which vaccine is favoured)</w:t>
            </w:r>
          </w:p>
        </w:tc>
      </w:tr>
      <w:tr w:rsidR="00135CF7" w14:paraId="2E8B99A3" w14:textId="77777777" w:rsidTr="009A477A">
        <w:tc>
          <w:tcPr>
            <w:tcW w:w="5000" w:type="pct"/>
            <w:gridSpan w:val="4"/>
            <w:tcBorders>
              <w:top w:val="single" w:sz="4" w:space="0" w:color="auto"/>
              <w:left w:val="single" w:sz="4" w:space="0" w:color="auto"/>
              <w:bottom w:val="single" w:sz="4" w:space="0" w:color="auto"/>
            </w:tcBorders>
            <w:hideMark/>
          </w:tcPr>
          <w:p w14:paraId="5C9DD89B" w14:textId="77777777" w:rsidR="00135CF7" w:rsidRPr="0049172A" w:rsidRDefault="00135CF7" w:rsidP="009A477A">
            <w:pPr>
              <w:pStyle w:val="Tabletext"/>
              <w:rPr>
                <w:b/>
                <w:bCs/>
                <w:lang w:eastAsia="en-US"/>
              </w:rPr>
            </w:pPr>
            <w:r w:rsidRPr="0049172A">
              <w:rPr>
                <w:b/>
                <w:bCs/>
                <w:lang w:eastAsia="en-US"/>
              </w:rPr>
              <w:t>13vPCV matched</w:t>
            </w:r>
            <w:r>
              <w:rPr>
                <w:b/>
                <w:bCs/>
                <w:lang w:eastAsia="en-US"/>
              </w:rPr>
              <w:t xml:space="preserve"> serotypes</w:t>
            </w:r>
          </w:p>
        </w:tc>
      </w:tr>
      <w:tr w:rsidR="00135CF7" w14:paraId="3F33A758" w14:textId="77777777" w:rsidTr="009A477A">
        <w:tc>
          <w:tcPr>
            <w:tcW w:w="1245" w:type="pct"/>
            <w:tcBorders>
              <w:top w:val="single" w:sz="4" w:space="0" w:color="auto"/>
              <w:left w:val="single" w:sz="4" w:space="0" w:color="auto"/>
              <w:bottom w:val="single" w:sz="4" w:space="0" w:color="auto"/>
              <w:right w:val="single" w:sz="4" w:space="0" w:color="auto"/>
            </w:tcBorders>
            <w:vAlign w:val="center"/>
            <w:hideMark/>
          </w:tcPr>
          <w:p w14:paraId="3C91C833" w14:textId="77777777" w:rsidR="00135CF7" w:rsidRDefault="00135CF7" w:rsidP="009A477A">
            <w:pPr>
              <w:pStyle w:val="Tabletext"/>
              <w:rPr>
                <w:lang w:eastAsia="en-US"/>
              </w:rPr>
            </w:pPr>
            <w:r>
              <w:rPr>
                <w:lang w:eastAsia="en-US"/>
              </w:rPr>
              <w:t>1</w:t>
            </w:r>
          </w:p>
        </w:tc>
        <w:tc>
          <w:tcPr>
            <w:tcW w:w="1253" w:type="pct"/>
            <w:tcBorders>
              <w:top w:val="single" w:sz="4" w:space="0" w:color="auto"/>
              <w:left w:val="single" w:sz="4" w:space="0" w:color="auto"/>
              <w:bottom w:val="single" w:sz="4" w:space="0" w:color="auto"/>
              <w:right w:val="single" w:sz="4" w:space="0" w:color="auto"/>
            </w:tcBorders>
            <w:hideMark/>
          </w:tcPr>
          <w:p w14:paraId="3FBA1908" w14:textId="77777777" w:rsidR="00135CF7" w:rsidRDefault="00135CF7" w:rsidP="009A477A">
            <w:pPr>
              <w:pStyle w:val="Tabletext"/>
              <w:jc w:val="center"/>
              <w:rPr>
                <w:lang w:eastAsia="en-US"/>
              </w:rPr>
            </w:pPr>
            <w:r>
              <w:rPr>
                <w:lang w:eastAsia="en-US"/>
              </w:rPr>
              <w:t>Y (13v)</w:t>
            </w:r>
          </w:p>
        </w:tc>
        <w:tc>
          <w:tcPr>
            <w:tcW w:w="1250" w:type="pct"/>
          </w:tcPr>
          <w:p w14:paraId="615F0CD7" w14:textId="77777777" w:rsidR="00135CF7" w:rsidRDefault="00135CF7" w:rsidP="009A477A">
            <w:pPr>
              <w:pStyle w:val="Tabletext"/>
              <w:jc w:val="center"/>
              <w:rPr>
                <w:lang w:eastAsia="en-US"/>
              </w:rPr>
            </w:pPr>
            <w:r w:rsidRPr="00C833AD">
              <w:t>Y</w:t>
            </w:r>
          </w:p>
        </w:tc>
        <w:tc>
          <w:tcPr>
            <w:tcW w:w="1252" w:type="pct"/>
          </w:tcPr>
          <w:p w14:paraId="167C7225" w14:textId="77777777" w:rsidR="00135CF7" w:rsidRPr="00C833AD" w:rsidRDefault="00135CF7" w:rsidP="009A477A">
            <w:pPr>
              <w:pStyle w:val="Tabletext"/>
              <w:jc w:val="center"/>
            </w:pPr>
            <w:r w:rsidRPr="009A3DAF">
              <w:t>Y (15v)</w:t>
            </w:r>
          </w:p>
        </w:tc>
      </w:tr>
      <w:tr w:rsidR="00135CF7" w14:paraId="5A926D87"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3BA7B3C2" w14:textId="77777777" w:rsidR="00135CF7" w:rsidRDefault="00135CF7" w:rsidP="009A477A">
            <w:pPr>
              <w:pStyle w:val="Tabletext"/>
              <w:rPr>
                <w:lang w:eastAsia="en-US"/>
              </w:rPr>
            </w:pPr>
            <w:r>
              <w:rPr>
                <w:lang w:eastAsia="en-US"/>
              </w:rPr>
              <w:t>3</w:t>
            </w:r>
          </w:p>
        </w:tc>
        <w:tc>
          <w:tcPr>
            <w:tcW w:w="1253" w:type="pct"/>
            <w:tcBorders>
              <w:top w:val="single" w:sz="4" w:space="0" w:color="auto"/>
              <w:left w:val="single" w:sz="4" w:space="0" w:color="auto"/>
              <w:bottom w:val="single" w:sz="4" w:space="0" w:color="auto"/>
              <w:right w:val="single" w:sz="4" w:space="0" w:color="auto"/>
            </w:tcBorders>
            <w:hideMark/>
          </w:tcPr>
          <w:p w14:paraId="2BA7FCAF" w14:textId="77777777" w:rsidR="00135CF7" w:rsidRDefault="00135CF7" w:rsidP="009A477A">
            <w:pPr>
              <w:pStyle w:val="Tabletext"/>
              <w:jc w:val="center"/>
              <w:rPr>
                <w:lang w:eastAsia="en-US"/>
              </w:rPr>
            </w:pPr>
            <w:r>
              <w:rPr>
                <w:lang w:eastAsia="en-US"/>
              </w:rPr>
              <w:t>Y (13v)</w:t>
            </w:r>
          </w:p>
        </w:tc>
        <w:tc>
          <w:tcPr>
            <w:tcW w:w="1250" w:type="pct"/>
            <w:shd w:val="clear" w:color="auto" w:fill="D9D9D9" w:themeFill="background1" w:themeFillShade="D9"/>
          </w:tcPr>
          <w:p w14:paraId="66958BEE" w14:textId="77777777" w:rsidR="00135CF7" w:rsidRDefault="00135CF7" w:rsidP="009A477A">
            <w:pPr>
              <w:pStyle w:val="Tabletext"/>
              <w:jc w:val="center"/>
              <w:rPr>
                <w:lang w:eastAsia="en-US"/>
              </w:rPr>
            </w:pPr>
            <w:r w:rsidRPr="00C833AD">
              <w:t>N</w:t>
            </w:r>
          </w:p>
        </w:tc>
        <w:tc>
          <w:tcPr>
            <w:tcW w:w="1252" w:type="pct"/>
          </w:tcPr>
          <w:p w14:paraId="122618CF" w14:textId="77777777" w:rsidR="00135CF7" w:rsidRPr="00C833AD" w:rsidRDefault="00135CF7" w:rsidP="009A477A">
            <w:pPr>
              <w:pStyle w:val="Tabletext"/>
              <w:jc w:val="center"/>
            </w:pPr>
            <w:r w:rsidRPr="009A3DAF">
              <w:t>Y (15v)</w:t>
            </w:r>
          </w:p>
        </w:tc>
      </w:tr>
      <w:tr w:rsidR="00135CF7" w14:paraId="637C572B"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3E80B3F4" w14:textId="77777777" w:rsidR="00135CF7" w:rsidRDefault="00135CF7" w:rsidP="009A477A">
            <w:pPr>
              <w:pStyle w:val="Tabletext"/>
              <w:rPr>
                <w:lang w:eastAsia="en-US"/>
              </w:rPr>
            </w:pPr>
            <w:r>
              <w:rPr>
                <w:lang w:eastAsia="en-US"/>
              </w:rPr>
              <w:t>4</w:t>
            </w:r>
          </w:p>
        </w:tc>
        <w:tc>
          <w:tcPr>
            <w:tcW w:w="1253" w:type="pct"/>
            <w:tcBorders>
              <w:top w:val="single" w:sz="4" w:space="0" w:color="auto"/>
              <w:left w:val="single" w:sz="4" w:space="0" w:color="auto"/>
              <w:bottom w:val="single" w:sz="4" w:space="0" w:color="auto"/>
              <w:right w:val="single" w:sz="4" w:space="0" w:color="auto"/>
            </w:tcBorders>
            <w:hideMark/>
          </w:tcPr>
          <w:p w14:paraId="6A845E4C" w14:textId="77777777" w:rsidR="00135CF7" w:rsidRDefault="00135CF7" w:rsidP="009A477A">
            <w:pPr>
              <w:pStyle w:val="Tabletext"/>
              <w:jc w:val="center"/>
              <w:rPr>
                <w:lang w:eastAsia="en-US"/>
              </w:rPr>
            </w:pPr>
            <w:r>
              <w:rPr>
                <w:lang w:eastAsia="en-US"/>
              </w:rPr>
              <w:t>Y (13v)</w:t>
            </w:r>
          </w:p>
        </w:tc>
        <w:tc>
          <w:tcPr>
            <w:tcW w:w="1250" w:type="pct"/>
          </w:tcPr>
          <w:p w14:paraId="73226E76" w14:textId="77777777" w:rsidR="00135CF7" w:rsidRDefault="00135CF7" w:rsidP="009A477A">
            <w:pPr>
              <w:pStyle w:val="Tabletext"/>
              <w:jc w:val="center"/>
              <w:rPr>
                <w:lang w:eastAsia="en-US"/>
              </w:rPr>
            </w:pPr>
            <w:r w:rsidRPr="00C833AD">
              <w:t>Y</w:t>
            </w:r>
          </w:p>
        </w:tc>
        <w:tc>
          <w:tcPr>
            <w:tcW w:w="1252" w:type="pct"/>
          </w:tcPr>
          <w:p w14:paraId="0AF49171" w14:textId="77777777" w:rsidR="00135CF7" w:rsidRPr="00C833AD" w:rsidRDefault="00135CF7" w:rsidP="009A477A">
            <w:pPr>
              <w:pStyle w:val="Tabletext"/>
              <w:jc w:val="center"/>
            </w:pPr>
            <w:r w:rsidRPr="00B51C3A">
              <w:t>Y</w:t>
            </w:r>
            <w:r>
              <w:t xml:space="preserve"> (</w:t>
            </w:r>
            <w:r w:rsidRPr="00B51C3A">
              <w:t>20v</w:t>
            </w:r>
            <w:r>
              <w:t>)</w:t>
            </w:r>
          </w:p>
        </w:tc>
      </w:tr>
      <w:tr w:rsidR="00135CF7" w14:paraId="6F596171"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3428F286" w14:textId="77777777" w:rsidR="00135CF7" w:rsidRDefault="00135CF7" w:rsidP="009A477A">
            <w:pPr>
              <w:pStyle w:val="Tabletext"/>
              <w:rPr>
                <w:lang w:eastAsia="en-US"/>
              </w:rPr>
            </w:pPr>
            <w:r>
              <w:rPr>
                <w:lang w:eastAsia="en-US"/>
              </w:rPr>
              <w:t>5</w:t>
            </w:r>
          </w:p>
        </w:tc>
        <w:tc>
          <w:tcPr>
            <w:tcW w:w="1253" w:type="pct"/>
            <w:tcBorders>
              <w:top w:val="single" w:sz="4" w:space="0" w:color="auto"/>
              <w:left w:val="single" w:sz="4" w:space="0" w:color="auto"/>
              <w:bottom w:val="single" w:sz="4" w:space="0" w:color="auto"/>
              <w:right w:val="single" w:sz="4" w:space="0" w:color="auto"/>
            </w:tcBorders>
            <w:hideMark/>
          </w:tcPr>
          <w:p w14:paraId="21ECD9B8" w14:textId="77777777" w:rsidR="00135CF7" w:rsidRDefault="00135CF7" w:rsidP="009A477A">
            <w:pPr>
              <w:pStyle w:val="Tabletext"/>
              <w:jc w:val="center"/>
              <w:rPr>
                <w:lang w:eastAsia="en-US"/>
              </w:rPr>
            </w:pPr>
            <w:r>
              <w:rPr>
                <w:lang w:eastAsia="en-US"/>
              </w:rPr>
              <w:t>Y (13v)</w:t>
            </w:r>
          </w:p>
        </w:tc>
        <w:tc>
          <w:tcPr>
            <w:tcW w:w="1250" w:type="pct"/>
          </w:tcPr>
          <w:p w14:paraId="166935EC" w14:textId="77777777" w:rsidR="00135CF7" w:rsidRDefault="00135CF7" w:rsidP="009A477A">
            <w:pPr>
              <w:pStyle w:val="Tabletext"/>
              <w:jc w:val="center"/>
              <w:rPr>
                <w:lang w:eastAsia="en-US"/>
              </w:rPr>
            </w:pPr>
            <w:r w:rsidRPr="00C833AD">
              <w:t>Y</w:t>
            </w:r>
          </w:p>
        </w:tc>
        <w:tc>
          <w:tcPr>
            <w:tcW w:w="1252" w:type="pct"/>
          </w:tcPr>
          <w:p w14:paraId="5D465C8C" w14:textId="77777777" w:rsidR="00135CF7" w:rsidRPr="00C833AD" w:rsidRDefault="00135CF7" w:rsidP="009A477A">
            <w:pPr>
              <w:pStyle w:val="Tabletext"/>
              <w:jc w:val="center"/>
            </w:pPr>
            <w:r w:rsidRPr="00861D82">
              <w:t>Y</w:t>
            </w:r>
          </w:p>
        </w:tc>
      </w:tr>
      <w:tr w:rsidR="00135CF7" w14:paraId="0506D50A"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52FC0C2F" w14:textId="77777777" w:rsidR="00135CF7" w:rsidRDefault="00135CF7" w:rsidP="009A477A">
            <w:pPr>
              <w:pStyle w:val="Tabletext"/>
              <w:rPr>
                <w:lang w:eastAsia="en-US"/>
              </w:rPr>
            </w:pPr>
            <w:r>
              <w:rPr>
                <w:lang w:eastAsia="en-US"/>
              </w:rPr>
              <w:t>6A</w:t>
            </w:r>
          </w:p>
        </w:tc>
        <w:tc>
          <w:tcPr>
            <w:tcW w:w="1253" w:type="pct"/>
            <w:tcBorders>
              <w:top w:val="single" w:sz="4" w:space="0" w:color="auto"/>
              <w:left w:val="single" w:sz="4" w:space="0" w:color="auto"/>
              <w:bottom w:val="single" w:sz="4" w:space="0" w:color="auto"/>
              <w:right w:val="single" w:sz="4" w:space="0" w:color="auto"/>
            </w:tcBorders>
            <w:hideMark/>
          </w:tcPr>
          <w:p w14:paraId="2A6C42B7" w14:textId="77777777" w:rsidR="00135CF7" w:rsidRDefault="00135CF7" w:rsidP="009A477A">
            <w:pPr>
              <w:pStyle w:val="Tabletext"/>
              <w:jc w:val="center"/>
              <w:rPr>
                <w:lang w:eastAsia="en-US"/>
              </w:rPr>
            </w:pPr>
            <w:r>
              <w:rPr>
                <w:lang w:eastAsia="en-US"/>
              </w:rPr>
              <w:t>Y (13v)</w:t>
            </w:r>
          </w:p>
        </w:tc>
        <w:tc>
          <w:tcPr>
            <w:tcW w:w="1250" w:type="pct"/>
          </w:tcPr>
          <w:p w14:paraId="16481F94" w14:textId="77777777" w:rsidR="00135CF7" w:rsidRDefault="00135CF7" w:rsidP="009A477A">
            <w:pPr>
              <w:pStyle w:val="Tabletext"/>
              <w:jc w:val="center"/>
              <w:rPr>
                <w:lang w:eastAsia="en-US"/>
              </w:rPr>
            </w:pPr>
            <w:r w:rsidRPr="00E82C14">
              <w:t>Y</w:t>
            </w:r>
            <w:r>
              <w:t xml:space="preserve"> (15</w:t>
            </w:r>
            <w:r w:rsidRPr="00E82C14">
              <w:t>v</w:t>
            </w:r>
            <w:r>
              <w:t>)</w:t>
            </w:r>
          </w:p>
        </w:tc>
        <w:tc>
          <w:tcPr>
            <w:tcW w:w="1252" w:type="pct"/>
          </w:tcPr>
          <w:p w14:paraId="67F033F9" w14:textId="77777777" w:rsidR="00135CF7" w:rsidRPr="00E82C14" w:rsidRDefault="00135CF7" w:rsidP="009A477A">
            <w:pPr>
              <w:pStyle w:val="Tabletext"/>
              <w:jc w:val="center"/>
            </w:pPr>
            <w:r w:rsidRPr="00861D82">
              <w:t>Y</w:t>
            </w:r>
          </w:p>
        </w:tc>
      </w:tr>
      <w:tr w:rsidR="00135CF7" w14:paraId="7F844663"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7227A497" w14:textId="77777777" w:rsidR="00135CF7" w:rsidRDefault="00135CF7" w:rsidP="009A477A">
            <w:pPr>
              <w:pStyle w:val="Tabletext"/>
              <w:rPr>
                <w:lang w:eastAsia="en-US"/>
              </w:rPr>
            </w:pPr>
            <w:r>
              <w:rPr>
                <w:lang w:eastAsia="en-US"/>
              </w:rPr>
              <w:t>6B</w:t>
            </w:r>
          </w:p>
        </w:tc>
        <w:tc>
          <w:tcPr>
            <w:tcW w:w="1253" w:type="pct"/>
            <w:tcBorders>
              <w:top w:val="single" w:sz="4" w:space="0" w:color="auto"/>
              <w:left w:val="single" w:sz="4" w:space="0" w:color="auto"/>
              <w:bottom w:val="single" w:sz="4" w:space="0" w:color="auto"/>
              <w:right w:val="single" w:sz="4" w:space="0" w:color="auto"/>
            </w:tcBorders>
            <w:hideMark/>
          </w:tcPr>
          <w:p w14:paraId="75E22B64" w14:textId="77777777" w:rsidR="00135CF7" w:rsidRDefault="00135CF7" w:rsidP="009A477A">
            <w:pPr>
              <w:pStyle w:val="Tabletext"/>
              <w:jc w:val="center"/>
              <w:rPr>
                <w:lang w:eastAsia="en-US"/>
              </w:rPr>
            </w:pPr>
            <w:r>
              <w:rPr>
                <w:lang w:eastAsia="en-US"/>
              </w:rPr>
              <w:t>Y (13v)</w:t>
            </w:r>
          </w:p>
        </w:tc>
        <w:tc>
          <w:tcPr>
            <w:tcW w:w="1250" w:type="pct"/>
            <w:shd w:val="clear" w:color="auto" w:fill="D9D9D9" w:themeFill="background1" w:themeFillShade="D9"/>
          </w:tcPr>
          <w:p w14:paraId="00A782F5" w14:textId="77777777" w:rsidR="00135CF7" w:rsidRDefault="00135CF7" w:rsidP="009A477A">
            <w:pPr>
              <w:pStyle w:val="Tabletext"/>
              <w:jc w:val="center"/>
              <w:rPr>
                <w:lang w:eastAsia="en-US"/>
              </w:rPr>
            </w:pPr>
            <w:r w:rsidRPr="00C833AD">
              <w:t>N</w:t>
            </w:r>
          </w:p>
        </w:tc>
        <w:tc>
          <w:tcPr>
            <w:tcW w:w="1252" w:type="pct"/>
            <w:shd w:val="clear" w:color="auto" w:fill="D9D9D9" w:themeFill="background1" w:themeFillShade="D9"/>
          </w:tcPr>
          <w:p w14:paraId="3557AC93" w14:textId="77777777" w:rsidR="00135CF7" w:rsidRPr="00C833AD" w:rsidRDefault="00135CF7" w:rsidP="009A477A">
            <w:pPr>
              <w:pStyle w:val="Tabletext"/>
              <w:jc w:val="center"/>
            </w:pPr>
            <w:r w:rsidRPr="00861D82">
              <w:t>N</w:t>
            </w:r>
          </w:p>
        </w:tc>
      </w:tr>
      <w:tr w:rsidR="00135CF7" w14:paraId="3A11B462"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108D3825" w14:textId="77777777" w:rsidR="00135CF7" w:rsidRDefault="00135CF7" w:rsidP="009A477A">
            <w:pPr>
              <w:pStyle w:val="Tabletext"/>
              <w:rPr>
                <w:rFonts w:ascii="Calibri" w:hAnsi="Calibri" w:cs="Calibri"/>
                <w:sz w:val="22"/>
                <w:szCs w:val="22"/>
                <w:lang w:eastAsia="en-US"/>
              </w:rPr>
            </w:pPr>
            <w:r>
              <w:rPr>
                <w:lang w:eastAsia="en-US"/>
              </w:rPr>
              <w:t>7F</w:t>
            </w:r>
          </w:p>
        </w:tc>
        <w:tc>
          <w:tcPr>
            <w:tcW w:w="1253" w:type="pct"/>
            <w:tcBorders>
              <w:top w:val="single" w:sz="4" w:space="0" w:color="auto"/>
              <w:left w:val="single" w:sz="4" w:space="0" w:color="auto"/>
              <w:bottom w:val="single" w:sz="4" w:space="0" w:color="auto"/>
              <w:right w:val="single" w:sz="4" w:space="0" w:color="auto"/>
            </w:tcBorders>
            <w:hideMark/>
          </w:tcPr>
          <w:p w14:paraId="14AF9C2A" w14:textId="77777777" w:rsidR="00135CF7" w:rsidRDefault="00135CF7" w:rsidP="009A477A">
            <w:pPr>
              <w:pStyle w:val="Tabletext"/>
              <w:jc w:val="center"/>
              <w:rPr>
                <w:lang w:eastAsia="en-US"/>
              </w:rPr>
            </w:pPr>
            <w:r>
              <w:rPr>
                <w:lang w:eastAsia="en-US"/>
              </w:rPr>
              <w:t>Y (13v)</w:t>
            </w:r>
          </w:p>
        </w:tc>
        <w:tc>
          <w:tcPr>
            <w:tcW w:w="1250" w:type="pct"/>
          </w:tcPr>
          <w:p w14:paraId="3006BDFE" w14:textId="77777777" w:rsidR="00135CF7" w:rsidRDefault="00135CF7" w:rsidP="009A477A">
            <w:pPr>
              <w:pStyle w:val="Tabletext"/>
              <w:jc w:val="center"/>
              <w:rPr>
                <w:lang w:eastAsia="en-US"/>
              </w:rPr>
            </w:pPr>
            <w:r w:rsidRPr="00C833AD">
              <w:t>Y</w:t>
            </w:r>
          </w:p>
        </w:tc>
        <w:tc>
          <w:tcPr>
            <w:tcW w:w="1252" w:type="pct"/>
          </w:tcPr>
          <w:p w14:paraId="0DB37EBC" w14:textId="77777777" w:rsidR="00135CF7" w:rsidRPr="00C833AD" w:rsidRDefault="00135CF7" w:rsidP="009A477A">
            <w:pPr>
              <w:pStyle w:val="Tabletext"/>
              <w:jc w:val="center"/>
            </w:pPr>
            <w:r w:rsidRPr="00861D82">
              <w:t>Y</w:t>
            </w:r>
          </w:p>
        </w:tc>
      </w:tr>
      <w:tr w:rsidR="00135CF7" w14:paraId="2DE8D791"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5441F562" w14:textId="77777777" w:rsidR="00135CF7" w:rsidRDefault="00135CF7" w:rsidP="009A477A">
            <w:pPr>
              <w:pStyle w:val="Tabletext"/>
              <w:rPr>
                <w:rFonts w:ascii="Calibri" w:hAnsi="Calibri" w:cs="Calibri"/>
                <w:sz w:val="22"/>
                <w:szCs w:val="22"/>
                <w:lang w:eastAsia="en-US"/>
              </w:rPr>
            </w:pPr>
            <w:r>
              <w:rPr>
                <w:lang w:eastAsia="en-US"/>
              </w:rPr>
              <w:t>9V</w:t>
            </w:r>
          </w:p>
        </w:tc>
        <w:tc>
          <w:tcPr>
            <w:tcW w:w="1253" w:type="pct"/>
            <w:tcBorders>
              <w:top w:val="single" w:sz="4" w:space="0" w:color="auto"/>
              <w:left w:val="single" w:sz="4" w:space="0" w:color="auto"/>
              <w:bottom w:val="single" w:sz="4" w:space="0" w:color="auto"/>
              <w:right w:val="single" w:sz="4" w:space="0" w:color="auto"/>
            </w:tcBorders>
            <w:hideMark/>
          </w:tcPr>
          <w:p w14:paraId="016F8C05" w14:textId="77777777" w:rsidR="00135CF7" w:rsidRDefault="00135CF7" w:rsidP="009A477A">
            <w:pPr>
              <w:pStyle w:val="Tabletext"/>
              <w:jc w:val="center"/>
              <w:rPr>
                <w:lang w:eastAsia="en-US"/>
              </w:rPr>
            </w:pPr>
            <w:r>
              <w:rPr>
                <w:lang w:eastAsia="en-US"/>
              </w:rPr>
              <w:t>Y</w:t>
            </w:r>
          </w:p>
        </w:tc>
        <w:tc>
          <w:tcPr>
            <w:tcW w:w="1250" w:type="pct"/>
          </w:tcPr>
          <w:p w14:paraId="2F5B4002" w14:textId="77777777" w:rsidR="00135CF7" w:rsidRDefault="00135CF7" w:rsidP="009A477A">
            <w:pPr>
              <w:pStyle w:val="Tabletext"/>
              <w:jc w:val="center"/>
              <w:rPr>
                <w:lang w:eastAsia="en-US"/>
              </w:rPr>
            </w:pPr>
            <w:r w:rsidRPr="00C833AD">
              <w:t>Y</w:t>
            </w:r>
          </w:p>
        </w:tc>
        <w:tc>
          <w:tcPr>
            <w:tcW w:w="1252" w:type="pct"/>
          </w:tcPr>
          <w:p w14:paraId="5AB35C4D" w14:textId="77777777" w:rsidR="00135CF7" w:rsidRPr="00C833AD" w:rsidRDefault="00135CF7" w:rsidP="009A477A">
            <w:pPr>
              <w:pStyle w:val="Tabletext"/>
              <w:jc w:val="center"/>
            </w:pPr>
            <w:r w:rsidRPr="00861D82">
              <w:t>Y</w:t>
            </w:r>
          </w:p>
        </w:tc>
      </w:tr>
      <w:tr w:rsidR="00135CF7" w14:paraId="2E8F50E3"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58A2B2E3" w14:textId="77777777" w:rsidR="00135CF7" w:rsidRDefault="00135CF7" w:rsidP="009A477A">
            <w:pPr>
              <w:pStyle w:val="Tabletext"/>
              <w:rPr>
                <w:rFonts w:ascii="Calibri" w:hAnsi="Calibri" w:cs="Calibri"/>
                <w:sz w:val="22"/>
                <w:szCs w:val="22"/>
                <w:lang w:eastAsia="en-US"/>
              </w:rPr>
            </w:pPr>
            <w:r>
              <w:rPr>
                <w:lang w:eastAsia="en-US"/>
              </w:rPr>
              <w:t>14</w:t>
            </w:r>
          </w:p>
        </w:tc>
        <w:tc>
          <w:tcPr>
            <w:tcW w:w="1253" w:type="pct"/>
            <w:tcBorders>
              <w:top w:val="single" w:sz="4" w:space="0" w:color="auto"/>
              <w:left w:val="single" w:sz="4" w:space="0" w:color="auto"/>
              <w:bottom w:val="single" w:sz="4" w:space="0" w:color="auto"/>
              <w:right w:val="single" w:sz="4" w:space="0" w:color="auto"/>
            </w:tcBorders>
            <w:hideMark/>
          </w:tcPr>
          <w:p w14:paraId="74B586CD" w14:textId="77777777" w:rsidR="00135CF7" w:rsidRDefault="00135CF7" w:rsidP="009A477A">
            <w:pPr>
              <w:pStyle w:val="Tabletext"/>
              <w:jc w:val="center"/>
              <w:rPr>
                <w:lang w:eastAsia="en-US"/>
              </w:rPr>
            </w:pPr>
            <w:r>
              <w:rPr>
                <w:lang w:eastAsia="en-US"/>
              </w:rPr>
              <w:t>Y</w:t>
            </w:r>
          </w:p>
        </w:tc>
        <w:tc>
          <w:tcPr>
            <w:tcW w:w="1250" w:type="pct"/>
          </w:tcPr>
          <w:p w14:paraId="73016C97" w14:textId="77777777" w:rsidR="00135CF7" w:rsidRDefault="00135CF7" w:rsidP="009A477A">
            <w:pPr>
              <w:pStyle w:val="Tabletext"/>
              <w:jc w:val="center"/>
              <w:rPr>
                <w:lang w:eastAsia="en-US"/>
              </w:rPr>
            </w:pPr>
            <w:r w:rsidRPr="00C833AD">
              <w:t>Y</w:t>
            </w:r>
          </w:p>
        </w:tc>
        <w:tc>
          <w:tcPr>
            <w:tcW w:w="1252" w:type="pct"/>
          </w:tcPr>
          <w:p w14:paraId="18AFE275" w14:textId="77777777" w:rsidR="00135CF7" w:rsidRPr="00C833AD" w:rsidRDefault="00135CF7" w:rsidP="009A477A">
            <w:pPr>
              <w:pStyle w:val="Tabletext"/>
              <w:jc w:val="center"/>
            </w:pPr>
            <w:r w:rsidRPr="00861D82">
              <w:t>Y</w:t>
            </w:r>
          </w:p>
        </w:tc>
      </w:tr>
      <w:tr w:rsidR="00135CF7" w14:paraId="2BA31CD0"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4B1ED8A6" w14:textId="77777777" w:rsidR="00135CF7" w:rsidRDefault="00135CF7" w:rsidP="009A477A">
            <w:pPr>
              <w:pStyle w:val="Tabletext"/>
              <w:rPr>
                <w:rFonts w:ascii="Calibri" w:hAnsi="Calibri" w:cs="Calibri"/>
                <w:sz w:val="22"/>
                <w:szCs w:val="22"/>
                <w:lang w:eastAsia="en-US"/>
              </w:rPr>
            </w:pPr>
            <w:r>
              <w:rPr>
                <w:lang w:eastAsia="en-US"/>
              </w:rPr>
              <w:t>18C</w:t>
            </w:r>
          </w:p>
        </w:tc>
        <w:tc>
          <w:tcPr>
            <w:tcW w:w="1253" w:type="pct"/>
            <w:tcBorders>
              <w:top w:val="single" w:sz="4" w:space="0" w:color="auto"/>
              <w:left w:val="single" w:sz="4" w:space="0" w:color="auto"/>
              <w:bottom w:val="single" w:sz="4" w:space="0" w:color="auto"/>
              <w:right w:val="single" w:sz="4" w:space="0" w:color="auto"/>
            </w:tcBorders>
            <w:hideMark/>
          </w:tcPr>
          <w:p w14:paraId="796A3D61" w14:textId="77777777" w:rsidR="00135CF7" w:rsidRDefault="00135CF7" w:rsidP="009A477A">
            <w:pPr>
              <w:pStyle w:val="Tabletext"/>
              <w:jc w:val="center"/>
              <w:rPr>
                <w:lang w:eastAsia="en-US"/>
              </w:rPr>
            </w:pPr>
            <w:r>
              <w:rPr>
                <w:lang w:eastAsia="en-US"/>
              </w:rPr>
              <w:t>Y (13v)</w:t>
            </w:r>
          </w:p>
        </w:tc>
        <w:tc>
          <w:tcPr>
            <w:tcW w:w="1250" w:type="pct"/>
          </w:tcPr>
          <w:p w14:paraId="7BC1B3B6" w14:textId="77777777" w:rsidR="00135CF7" w:rsidRDefault="00135CF7" w:rsidP="009A477A">
            <w:pPr>
              <w:pStyle w:val="Tabletext"/>
              <w:jc w:val="center"/>
              <w:rPr>
                <w:lang w:eastAsia="en-US"/>
              </w:rPr>
            </w:pPr>
            <w:r w:rsidRPr="00E82C14">
              <w:t>Y</w:t>
            </w:r>
            <w:r>
              <w:t xml:space="preserve"> (15</w:t>
            </w:r>
            <w:r w:rsidRPr="00E82C14">
              <w:t>v</w:t>
            </w:r>
            <w:r>
              <w:t>)</w:t>
            </w:r>
          </w:p>
        </w:tc>
        <w:tc>
          <w:tcPr>
            <w:tcW w:w="1252" w:type="pct"/>
            <w:shd w:val="clear" w:color="auto" w:fill="D9D9D9" w:themeFill="background1" w:themeFillShade="D9"/>
          </w:tcPr>
          <w:p w14:paraId="51184886" w14:textId="77777777" w:rsidR="00135CF7" w:rsidRPr="00E82C14" w:rsidRDefault="00135CF7" w:rsidP="009A477A">
            <w:pPr>
              <w:pStyle w:val="Tabletext"/>
              <w:jc w:val="center"/>
            </w:pPr>
            <w:r w:rsidRPr="00861D82">
              <w:t>N</w:t>
            </w:r>
          </w:p>
        </w:tc>
      </w:tr>
      <w:tr w:rsidR="00135CF7" w14:paraId="5CD56E59"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2B953320" w14:textId="77777777" w:rsidR="00135CF7" w:rsidRDefault="00135CF7" w:rsidP="009A477A">
            <w:pPr>
              <w:pStyle w:val="Tabletext"/>
              <w:rPr>
                <w:rFonts w:ascii="Calibri" w:hAnsi="Calibri" w:cs="Calibri"/>
                <w:sz w:val="22"/>
                <w:szCs w:val="22"/>
                <w:lang w:eastAsia="en-US"/>
              </w:rPr>
            </w:pPr>
            <w:r>
              <w:rPr>
                <w:lang w:eastAsia="en-US"/>
              </w:rPr>
              <w:t>19A</w:t>
            </w:r>
          </w:p>
        </w:tc>
        <w:tc>
          <w:tcPr>
            <w:tcW w:w="1253" w:type="pct"/>
            <w:tcBorders>
              <w:top w:val="single" w:sz="4" w:space="0" w:color="auto"/>
              <w:left w:val="single" w:sz="4" w:space="0" w:color="auto"/>
              <w:bottom w:val="single" w:sz="4" w:space="0" w:color="auto"/>
              <w:right w:val="single" w:sz="4" w:space="0" w:color="auto"/>
            </w:tcBorders>
            <w:hideMark/>
          </w:tcPr>
          <w:p w14:paraId="15D72B1E" w14:textId="77777777" w:rsidR="00135CF7" w:rsidRDefault="00135CF7" w:rsidP="009A477A">
            <w:pPr>
              <w:pStyle w:val="Tabletext"/>
              <w:jc w:val="center"/>
              <w:rPr>
                <w:lang w:eastAsia="en-US"/>
              </w:rPr>
            </w:pPr>
            <w:r>
              <w:rPr>
                <w:lang w:eastAsia="en-US"/>
              </w:rPr>
              <w:t>Y (13v)</w:t>
            </w:r>
          </w:p>
        </w:tc>
        <w:tc>
          <w:tcPr>
            <w:tcW w:w="1250" w:type="pct"/>
          </w:tcPr>
          <w:p w14:paraId="7A9DE53A" w14:textId="77777777" w:rsidR="00135CF7" w:rsidRDefault="00135CF7" w:rsidP="009A477A">
            <w:pPr>
              <w:pStyle w:val="Tabletext"/>
              <w:jc w:val="center"/>
              <w:rPr>
                <w:lang w:eastAsia="en-US"/>
              </w:rPr>
            </w:pPr>
            <w:r w:rsidRPr="00C833AD">
              <w:t>Y</w:t>
            </w:r>
          </w:p>
        </w:tc>
        <w:tc>
          <w:tcPr>
            <w:tcW w:w="1252" w:type="pct"/>
          </w:tcPr>
          <w:p w14:paraId="166FDF47" w14:textId="77777777" w:rsidR="00135CF7" w:rsidRPr="00C833AD" w:rsidRDefault="00135CF7" w:rsidP="009A477A">
            <w:pPr>
              <w:pStyle w:val="Tabletext"/>
              <w:jc w:val="center"/>
            </w:pPr>
            <w:r w:rsidRPr="00861D82">
              <w:t>Y</w:t>
            </w:r>
          </w:p>
        </w:tc>
      </w:tr>
      <w:tr w:rsidR="00135CF7" w14:paraId="2B91B642"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02F73815" w14:textId="77777777" w:rsidR="00135CF7" w:rsidRDefault="00135CF7" w:rsidP="009A477A">
            <w:pPr>
              <w:pStyle w:val="Tabletext"/>
              <w:rPr>
                <w:rFonts w:ascii="Calibri" w:hAnsi="Calibri" w:cs="Calibri"/>
                <w:sz w:val="22"/>
                <w:szCs w:val="22"/>
                <w:lang w:eastAsia="en-US"/>
              </w:rPr>
            </w:pPr>
            <w:r>
              <w:rPr>
                <w:lang w:eastAsia="en-US"/>
              </w:rPr>
              <w:t>19F</w:t>
            </w:r>
          </w:p>
        </w:tc>
        <w:tc>
          <w:tcPr>
            <w:tcW w:w="1253" w:type="pct"/>
            <w:tcBorders>
              <w:top w:val="single" w:sz="4" w:space="0" w:color="auto"/>
              <w:left w:val="single" w:sz="4" w:space="0" w:color="auto"/>
              <w:bottom w:val="single" w:sz="4" w:space="0" w:color="auto"/>
              <w:right w:val="single" w:sz="4" w:space="0" w:color="auto"/>
            </w:tcBorders>
            <w:hideMark/>
          </w:tcPr>
          <w:p w14:paraId="612F38BF" w14:textId="77777777" w:rsidR="00135CF7" w:rsidRDefault="00135CF7" w:rsidP="009A477A">
            <w:pPr>
              <w:pStyle w:val="Tabletext"/>
              <w:jc w:val="center"/>
              <w:rPr>
                <w:lang w:eastAsia="en-US"/>
              </w:rPr>
            </w:pPr>
            <w:r>
              <w:rPr>
                <w:lang w:eastAsia="en-US"/>
              </w:rPr>
              <w:t>Y (13v)</w:t>
            </w:r>
          </w:p>
        </w:tc>
        <w:tc>
          <w:tcPr>
            <w:tcW w:w="1250" w:type="pct"/>
          </w:tcPr>
          <w:p w14:paraId="6BA0DD4A" w14:textId="77777777" w:rsidR="00135CF7" w:rsidRDefault="00135CF7" w:rsidP="009A477A">
            <w:pPr>
              <w:pStyle w:val="Tabletext"/>
              <w:jc w:val="center"/>
              <w:rPr>
                <w:lang w:eastAsia="en-US"/>
              </w:rPr>
            </w:pPr>
            <w:r w:rsidRPr="00E82C14">
              <w:t>Y</w:t>
            </w:r>
            <w:r>
              <w:t xml:space="preserve"> (15</w:t>
            </w:r>
            <w:r w:rsidRPr="00E82C14">
              <w:t>v</w:t>
            </w:r>
            <w:r>
              <w:t>)</w:t>
            </w:r>
          </w:p>
        </w:tc>
        <w:tc>
          <w:tcPr>
            <w:tcW w:w="1252" w:type="pct"/>
          </w:tcPr>
          <w:p w14:paraId="155651ED" w14:textId="77777777" w:rsidR="00135CF7" w:rsidRPr="00E82C14" w:rsidRDefault="00135CF7" w:rsidP="009A477A">
            <w:pPr>
              <w:pStyle w:val="Tabletext"/>
              <w:jc w:val="center"/>
            </w:pPr>
            <w:r w:rsidRPr="00E82C14">
              <w:t>Y</w:t>
            </w:r>
            <w:r>
              <w:t xml:space="preserve"> (15</w:t>
            </w:r>
            <w:r w:rsidRPr="00E82C14">
              <w:t>v</w:t>
            </w:r>
            <w:r>
              <w:t>)</w:t>
            </w:r>
          </w:p>
        </w:tc>
      </w:tr>
      <w:tr w:rsidR="00135CF7" w14:paraId="153CF304"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1009CE8E" w14:textId="77777777" w:rsidR="00135CF7" w:rsidRDefault="00135CF7" w:rsidP="009A477A">
            <w:pPr>
              <w:pStyle w:val="Tabletext"/>
              <w:rPr>
                <w:rFonts w:ascii="Calibri" w:hAnsi="Calibri" w:cs="Calibri"/>
                <w:sz w:val="22"/>
                <w:szCs w:val="22"/>
                <w:lang w:eastAsia="en-US"/>
              </w:rPr>
            </w:pPr>
            <w:r>
              <w:rPr>
                <w:lang w:eastAsia="en-US"/>
              </w:rPr>
              <w:t>23F</w:t>
            </w:r>
          </w:p>
        </w:tc>
        <w:tc>
          <w:tcPr>
            <w:tcW w:w="1253" w:type="pct"/>
            <w:tcBorders>
              <w:top w:val="single" w:sz="4" w:space="0" w:color="auto"/>
              <w:left w:val="single" w:sz="4" w:space="0" w:color="auto"/>
              <w:bottom w:val="single" w:sz="4" w:space="0" w:color="auto"/>
              <w:right w:val="single" w:sz="4" w:space="0" w:color="auto"/>
            </w:tcBorders>
            <w:hideMark/>
          </w:tcPr>
          <w:p w14:paraId="6345E97D" w14:textId="77777777" w:rsidR="00135CF7" w:rsidRDefault="00135CF7" w:rsidP="009A477A">
            <w:pPr>
              <w:pStyle w:val="Tabletext"/>
              <w:jc w:val="center"/>
              <w:rPr>
                <w:lang w:eastAsia="en-US"/>
              </w:rPr>
            </w:pPr>
            <w:r>
              <w:rPr>
                <w:lang w:eastAsia="en-US"/>
              </w:rPr>
              <w:t>Y (13v)</w:t>
            </w:r>
          </w:p>
        </w:tc>
        <w:tc>
          <w:tcPr>
            <w:tcW w:w="1250" w:type="pct"/>
            <w:shd w:val="clear" w:color="auto" w:fill="D9D9D9" w:themeFill="background1" w:themeFillShade="D9"/>
          </w:tcPr>
          <w:p w14:paraId="0C1B3A54" w14:textId="77777777" w:rsidR="00135CF7" w:rsidRDefault="00135CF7" w:rsidP="009A477A">
            <w:pPr>
              <w:pStyle w:val="Tabletext"/>
              <w:jc w:val="center"/>
              <w:rPr>
                <w:lang w:eastAsia="en-US"/>
              </w:rPr>
            </w:pPr>
            <w:r w:rsidRPr="00C833AD">
              <w:t>N</w:t>
            </w:r>
          </w:p>
        </w:tc>
        <w:tc>
          <w:tcPr>
            <w:tcW w:w="1252" w:type="pct"/>
            <w:shd w:val="clear" w:color="auto" w:fill="D9D9D9" w:themeFill="background1" w:themeFillShade="D9"/>
          </w:tcPr>
          <w:p w14:paraId="0B995ACC" w14:textId="77777777" w:rsidR="00135CF7" w:rsidRPr="00C833AD" w:rsidRDefault="00135CF7" w:rsidP="009A477A">
            <w:pPr>
              <w:pStyle w:val="Tabletext"/>
              <w:jc w:val="center"/>
            </w:pPr>
            <w:r w:rsidRPr="00861D82">
              <w:t>N</w:t>
            </w:r>
          </w:p>
        </w:tc>
      </w:tr>
      <w:tr w:rsidR="00135CF7" w14:paraId="659F7451" w14:textId="77777777" w:rsidTr="009A477A">
        <w:tc>
          <w:tcPr>
            <w:tcW w:w="5000" w:type="pct"/>
            <w:gridSpan w:val="4"/>
            <w:tcBorders>
              <w:top w:val="single" w:sz="4" w:space="0" w:color="auto"/>
              <w:left w:val="single" w:sz="4" w:space="0" w:color="auto"/>
              <w:bottom w:val="single" w:sz="4" w:space="0" w:color="auto"/>
            </w:tcBorders>
            <w:hideMark/>
          </w:tcPr>
          <w:p w14:paraId="5E43AF0D" w14:textId="77777777" w:rsidR="00135CF7" w:rsidRPr="0049172A" w:rsidRDefault="00135CF7" w:rsidP="009A477A">
            <w:pPr>
              <w:pStyle w:val="Tabletext"/>
              <w:rPr>
                <w:b/>
                <w:bCs/>
                <w:lang w:eastAsia="en-US"/>
              </w:rPr>
            </w:pPr>
            <w:r w:rsidRPr="0049172A">
              <w:rPr>
                <w:b/>
                <w:bCs/>
                <w:lang w:eastAsia="en-US"/>
              </w:rPr>
              <w:t>Additional</w:t>
            </w:r>
            <w:r>
              <w:rPr>
                <w:b/>
                <w:bCs/>
                <w:lang w:eastAsia="en-US"/>
              </w:rPr>
              <w:t xml:space="preserve"> serotypes only included in 20vPCV</w:t>
            </w:r>
          </w:p>
        </w:tc>
      </w:tr>
      <w:tr w:rsidR="00135CF7" w14:paraId="569B9266" w14:textId="77777777" w:rsidTr="009A477A">
        <w:tc>
          <w:tcPr>
            <w:tcW w:w="1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E252A" w14:textId="77777777" w:rsidR="00135CF7" w:rsidRDefault="00135CF7" w:rsidP="009A477A">
            <w:pPr>
              <w:pStyle w:val="Tabletext"/>
              <w:rPr>
                <w:rFonts w:ascii="Calibri" w:hAnsi="Calibri" w:cs="Calibri"/>
                <w:sz w:val="22"/>
                <w:szCs w:val="22"/>
                <w:lang w:eastAsia="en-US"/>
              </w:rPr>
            </w:pPr>
            <w:r>
              <w:rPr>
                <w:lang w:eastAsia="en-US"/>
              </w:rPr>
              <w:t>8</w:t>
            </w:r>
          </w:p>
        </w:tc>
        <w:tc>
          <w:tcPr>
            <w:tcW w:w="12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2478A7" w14:textId="77777777" w:rsidR="00135CF7" w:rsidRPr="0049172A" w:rsidRDefault="00135CF7" w:rsidP="009A477A">
            <w:pPr>
              <w:pStyle w:val="Tabletext"/>
              <w:jc w:val="center"/>
              <w:rPr>
                <w:lang w:eastAsia="en-US"/>
              </w:rPr>
            </w:pPr>
            <w:r w:rsidRPr="0049172A">
              <w:rPr>
                <w:lang w:eastAsia="en-US"/>
              </w:rPr>
              <w:t>N</w:t>
            </w:r>
          </w:p>
        </w:tc>
        <w:tc>
          <w:tcPr>
            <w:tcW w:w="1250" w:type="pct"/>
            <w:vMerge w:val="restart"/>
            <w:tcBorders>
              <w:top w:val="single" w:sz="4" w:space="0" w:color="auto"/>
              <w:left w:val="single" w:sz="4" w:space="0" w:color="auto"/>
              <w:right w:val="single" w:sz="4" w:space="0" w:color="auto"/>
            </w:tcBorders>
          </w:tcPr>
          <w:p w14:paraId="6A356194" w14:textId="77777777" w:rsidR="00135CF7" w:rsidRPr="0049172A" w:rsidRDefault="00135CF7" w:rsidP="009A477A">
            <w:pPr>
              <w:pStyle w:val="Tabletext"/>
              <w:jc w:val="center"/>
              <w:rPr>
                <w:lang w:eastAsia="en-US"/>
              </w:rPr>
            </w:pPr>
            <w:r w:rsidRPr="0049172A">
              <w:rPr>
                <w:lang w:eastAsia="en-US"/>
              </w:rPr>
              <w:t>No comparative data</w:t>
            </w:r>
          </w:p>
        </w:tc>
        <w:tc>
          <w:tcPr>
            <w:tcW w:w="1252" w:type="pct"/>
            <w:vMerge w:val="restart"/>
          </w:tcPr>
          <w:p w14:paraId="1CED4C79" w14:textId="77777777" w:rsidR="00135CF7" w:rsidRPr="0049172A" w:rsidRDefault="00135CF7" w:rsidP="009A477A">
            <w:pPr>
              <w:pStyle w:val="Tabletext"/>
              <w:jc w:val="center"/>
              <w:rPr>
                <w:lang w:eastAsia="en-US"/>
              </w:rPr>
            </w:pPr>
            <w:r w:rsidRPr="0049172A">
              <w:rPr>
                <w:lang w:eastAsia="en-US"/>
              </w:rPr>
              <w:t>No comparative data</w:t>
            </w:r>
          </w:p>
        </w:tc>
      </w:tr>
      <w:tr w:rsidR="00135CF7" w14:paraId="6AC67B99"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294C4818" w14:textId="77777777" w:rsidR="00135CF7" w:rsidRDefault="00135CF7" w:rsidP="009A477A">
            <w:pPr>
              <w:pStyle w:val="Tabletext"/>
              <w:rPr>
                <w:rFonts w:ascii="Calibri" w:hAnsi="Calibri" w:cs="Calibri"/>
                <w:sz w:val="22"/>
                <w:szCs w:val="22"/>
                <w:lang w:eastAsia="en-US"/>
              </w:rPr>
            </w:pPr>
            <w:r>
              <w:rPr>
                <w:lang w:eastAsia="en-US"/>
              </w:rPr>
              <w:t>10A</w:t>
            </w:r>
          </w:p>
        </w:tc>
        <w:tc>
          <w:tcPr>
            <w:tcW w:w="1253" w:type="pct"/>
            <w:tcBorders>
              <w:top w:val="single" w:sz="4" w:space="0" w:color="auto"/>
              <w:left w:val="single" w:sz="4" w:space="0" w:color="auto"/>
              <w:bottom w:val="single" w:sz="4" w:space="0" w:color="auto"/>
              <w:right w:val="single" w:sz="4" w:space="0" w:color="auto"/>
            </w:tcBorders>
            <w:hideMark/>
          </w:tcPr>
          <w:p w14:paraId="6E768FEA" w14:textId="77777777" w:rsidR="00135CF7" w:rsidRPr="0049172A" w:rsidRDefault="00135CF7" w:rsidP="009A477A">
            <w:pPr>
              <w:pStyle w:val="Tabletext"/>
              <w:jc w:val="center"/>
              <w:rPr>
                <w:lang w:eastAsia="en-US"/>
              </w:rPr>
            </w:pPr>
            <w:r w:rsidRPr="0049172A">
              <w:rPr>
                <w:lang w:eastAsia="en-US"/>
              </w:rPr>
              <w:t>Y (20v)</w:t>
            </w:r>
          </w:p>
        </w:tc>
        <w:tc>
          <w:tcPr>
            <w:tcW w:w="1250" w:type="pct"/>
            <w:vMerge/>
            <w:tcBorders>
              <w:left w:val="single" w:sz="4" w:space="0" w:color="auto"/>
              <w:right w:val="single" w:sz="4" w:space="0" w:color="auto"/>
            </w:tcBorders>
          </w:tcPr>
          <w:p w14:paraId="557C03FC" w14:textId="77777777" w:rsidR="00135CF7" w:rsidRPr="0049172A" w:rsidRDefault="00135CF7" w:rsidP="009A477A">
            <w:pPr>
              <w:pStyle w:val="Tabletext"/>
              <w:jc w:val="center"/>
              <w:rPr>
                <w:lang w:eastAsia="en-US"/>
              </w:rPr>
            </w:pPr>
          </w:p>
        </w:tc>
        <w:tc>
          <w:tcPr>
            <w:tcW w:w="1252" w:type="pct"/>
            <w:vMerge/>
          </w:tcPr>
          <w:p w14:paraId="11B1BDAE" w14:textId="77777777" w:rsidR="00135CF7" w:rsidRPr="0049172A" w:rsidRDefault="00135CF7" w:rsidP="009A477A">
            <w:pPr>
              <w:pStyle w:val="Tabletext"/>
              <w:jc w:val="center"/>
              <w:rPr>
                <w:lang w:eastAsia="en-US"/>
              </w:rPr>
            </w:pPr>
          </w:p>
        </w:tc>
      </w:tr>
      <w:tr w:rsidR="00135CF7" w14:paraId="05867946"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5B80900C" w14:textId="77777777" w:rsidR="00135CF7" w:rsidRDefault="00135CF7" w:rsidP="009A477A">
            <w:pPr>
              <w:pStyle w:val="Tabletext"/>
              <w:rPr>
                <w:rFonts w:ascii="Calibri" w:hAnsi="Calibri" w:cs="Calibri"/>
                <w:sz w:val="22"/>
                <w:szCs w:val="22"/>
                <w:lang w:eastAsia="en-US"/>
              </w:rPr>
            </w:pPr>
            <w:r>
              <w:rPr>
                <w:lang w:eastAsia="en-US"/>
              </w:rPr>
              <w:t>11A</w:t>
            </w:r>
          </w:p>
        </w:tc>
        <w:tc>
          <w:tcPr>
            <w:tcW w:w="1253" w:type="pct"/>
            <w:tcBorders>
              <w:top w:val="single" w:sz="4" w:space="0" w:color="auto"/>
              <w:left w:val="single" w:sz="4" w:space="0" w:color="auto"/>
              <w:bottom w:val="single" w:sz="4" w:space="0" w:color="auto"/>
              <w:right w:val="single" w:sz="4" w:space="0" w:color="auto"/>
            </w:tcBorders>
            <w:hideMark/>
          </w:tcPr>
          <w:p w14:paraId="6E22F2C0" w14:textId="77777777" w:rsidR="00135CF7" w:rsidRPr="0049172A" w:rsidRDefault="00135CF7" w:rsidP="009A477A">
            <w:pPr>
              <w:pStyle w:val="Tabletext"/>
              <w:jc w:val="center"/>
              <w:rPr>
                <w:lang w:eastAsia="en-US"/>
              </w:rPr>
            </w:pPr>
            <w:r w:rsidRPr="0049172A">
              <w:rPr>
                <w:lang w:eastAsia="en-US"/>
              </w:rPr>
              <w:t>Y (20v)</w:t>
            </w:r>
          </w:p>
        </w:tc>
        <w:tc>
          <w:tcPr>
            <w:tcW w:w="1250" w:type="pct"/>
            <w:vMerge/>
            <w:tcBorders>
              <w:left w:val="single" w:sz="4" w:space="0" w:color="auto"/>
              <w:right w:val="single" w:sz="4" w:space="0" w:color="auto"/>
            </w:tcBorders>
          </w:tcPr>
          <w:p w14:paraId="4DC79A26" w14:textId="77777777" w:rsidR="00135CF7" w:rsidRPr="0049172A" w:rsidRDefault="00135CF7" w:rsidP="009A477A">
            <w:pPr>
              <w:pStyle w:val="Tabletext"/>
              <w:jc w:val="center"/>
              <w:rPr>
                <w:lang w:eastAsia="en-US"/>
              </w:rPr>
            </w:pPr>
          </w:p>
        </w:tc>
        <w:tc>
          <w:tcPr>
            <w:tcW w:w="1252" w:type="pct"/>
            <w:vMerge/>
          </w:tcPr>
          <w:p w14:paraId="7D717AF1" w14:textId="77777777" w:rsidR="00135CF7" w:rsidRPr="0049172A" w:rsidRDefault="00135CF7" w:rsidP="009A477A">
            <w:pPr>
              <w:pStyle w:val="Tabletext"/>
              <w:jc w:val="center"/>
              <w:rPr>
                <w:lang w:eastAsia="en-US"/>
              </w:rPr>
            </w:pPr>
          </w:p>
        </w:tc>
      </w:tr>
      <w:tr w:rsidR="00135CF7" w14:paraId="230E068A"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12E72083" w14:textId="77777777" w:rsidR="00135CF7" w:rsidRDefault="00135CF7" w:rsidP="009A477A">
            <w:pPr>
              <w:pStyle w:val="Tabletext"/>
              <w:rPr>
                <w:rFonts w:ascii="Calibri" w:hAnsi="Calibri" w:cs="Calibri"/>
                <w:sz w:val="22"/>
                <w:szCs w:val="22"/>
                <w:lang w:eastAsia="en-US"/>
              </w:rPr>
            </w:pPr>
            <w:r>
              <w:rPr>
                <w:lang w:eastAsia="en-US"/>
              </w:rPr>
              <w:t>12F</w:t>
            </w:r>
          </w:p>
        </w:tc>
        <w:tc>
          <w:tcPr>
            <w:tcW w:w="1253" w:type="pct"/>
            <w:tcBorders>
              <w:top w:val="single" w:sz="4" w:space="0" w:color="auto"/>
              <w:left w:val="single" w:sz="4" w:space="0" w:color="auto"/>
              <w:bottom w:val="single" w:sz="4" w:space="0" w:color="auto"/>
              <w:right w:val="single" w:sz="4" w:space="0" w:color="auto"/>
            </w:tcBorders>
            <w:hideMark/>
          </w:tcPr>
          <w:p w14:paraId="47D71044" w14:textId="77777777" w:rsidR="00135CF7" w:rsidRPr="0049172A" w:rsidRDefault="00135CF7" w:rsidP="009A477A">
            <w:pPr>
              <w:pStyle w:val="Tabletext"/>
              <w:jc w:val="center"/>
              <w:rPr>
                <w:lang w:eastAsia="en-US"/>
              </w:rPr>
            </w:pPr>
            <w:r w:rsidRPr="0049172A">
              <w:rPr>
                <w:lang w:eastAsia="en-US"/>
              </w:rPr>
              <w:t>Y (20v)</w:t>
            </w:r>
          </w:p>
        </w:tc>
        <w:tc>
          <w:tcPr>
            <w:tcW w:w="1250" w:type="pct"/>
            <w:vMerge/>
            <w:tcBorders>
              <w:left w:val="single" w:sz="4" w:space="0" w:color="auto"/>
              <w:right w:val="single" w:sz="4" w:space="0" w:color="auto"/>
            </w:tcBorders>
          </w:tcPr>
          <w:p w14:paraId="2097CFE8" w14:textId="77777777" w:rsidR="00135CF7" w:rsidRPr="0049172A" w:rsidRDefault="00135CF7" w:rsidP="009A477A">
            <w:pPr>
              <w:pStyle w:val="Tabletext"/>
              <w:jc w:val="center"/>
              <w:rPr>
                <w:lang w:eastAsia="en-US"/>
              </w:rPr>
            </w:pPr>
          </w:p>
        </w:tc>
        <w:tc>
          <w:tcPr>
            <w:tcW w:w="1252" w:type="pct"/>
            <w:vMerge/>
          </w:tcPr>
          <w:p w14:paraId="7B0FAA87" w14:textId="77777777" w:rsidR="00135CF7" w:rsidRPr="0049172A" w:rsidRDefault="00135CF7" w:rsidP="009A477A">
            <w:pPr>
              <w:pStyle w:val="Tabletext"/>
              <w:jc w:val="center"/>
              <w:rPr>
                <w:lang w:eastAsia="en-US"/>
              </w:rPr>
            </w:pPr>
          </w:p>
        </w:tc>
      </w:tr>
      <w:tr w:rsidR="00135CF7" w14:paraId="2BD1BFE1"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6C1D9B98" w14:textId="77777777" w:rsidR="00135CF7" w:rsidRDefault="00135CF7" w:rsidP="009A477A">
            <w:pPr>
              <w:pStyle w:val="Tabletext"/>
              <w:rPr>
                <w:rFonts w:ascii="Calibri" w:hAnsi="Calibri" w:cs="Calibri"/>
                <w:sz w:val="22"/>
                <w:szCs w:val="22"/>
                <w:lang w:eastAsia="en-US"/>
              </w:rPr>
            </w:pPr>
            <w:r>
              <w:rPr>
                <w:lang w:eastAsia="en-US"/>
              </w:rPr>
              <w:t>15B</w:t>
            </w:r>
          </w:p>
        </w:tc>
        <w:tc>
          <w:tcPr>
            <w:tcW w:w="1253" w:type="pct"/>
            <w:tcBorders>
              <w:top w:val="single" w:sz="4" w:space="0" w:color="auto"/>
              <w:left w:val="single" w:sz="4" w:space="0" w:color="auto"/>
              <w:bottom w:val="single" w:sz="4" w:space="0" w:color="auto"/>
              <w:right w:val="single" w:sz="4" w:space="0" w:color="auto"/>
            </w:tcBorders>
            <w:hideMark/>
          </w:tcPr>
          <w:p w14:paraId="46E710A7" w14:textId="77777777" w:rsidR="00135CF7" w:rsidRPr="0049172A" w:rsidRDefault="00135CF7" w:rsidP="009A477A">
            <w:pPr>
              <w:pStyle w:val="Tabletext"/>
              <w:jc w:val="center"/>
              <w:rPr>
                <w:lang w:eastAsia="en-US"/>
              </w:rPr>
            </w:pPr>
            <w:r w:rsidRPr="0049172A">
              <w:rPr>
                <w:lang w:eastAsia="en-US"/>
              </w:rPr>
              <w:t>Y (20v)</w:t>
            </w:r>
          </w:p>
        </w:tc>
        <w:tc>
          <w:tcPr>
            <w:tcW w:w="1250" w:type="pct"/>
            <w:vMerge/>
            <w:tcBorders>
              <w:left w:val="single" w:sz="4" w:space="0" w:color="auto"/>
              <w:right w:val="single" w:sz="4" w:space="0" w:color="auto"/>
            </w:tcBorders>
          </w:tcPr>
          <w:p w14:paraId="2976A904" w14:textId="77777777" w:rsidR="00135CF7" w:rsidRPr="0049172A" w:rsidRDefault="00135CF7" w:rsidP="009A477A">
            <w:pPr>
              <w:pStyle w:val="Tabletext"/>
              <w:jc w:val="center"/>
              <w:rPr>
                <w:lang w:eastAsia="en-US"/>
              </w:rPr>
            </w:pPr>
          </w:p>
        </w:tc>
        <w:tc>
          <w:tcPr>
            <w:tcW w:w="1252" w:type="pct"/>
            <w:vMerge/>
            <w:tcBorders>
              <w:bottom w:val="single" w:sz="4" w:space="0" w:color="auto"/>
            </w:tcBorders>
          </w:tcPr>
          <w:p w14:paraId="483EC9D5" w14:textId="77777777" w:rsidR="00135CF7" w:rsidRPr="0049172A" w:rsidRDefault="00135CF7" w:rsidP="009A477A">
            <w:pPr>
              <w:pStyle w:val="Tabletext"/>
              <w:jc w:val="center"/>
              <w:rPr>
                <w:lang w:eastAsia="en-US"/>
              </w:rPr>
            </w:pPr>
          </w:p>
        </w:tc>
      </w:tr>
      <w:tr w:rsidR="00135CF7" w14:paraId="220539C3"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28BAE9DD" w14:textId="77777777" w:rsidR="00135CF7" w:rsidRDefault="00135CF7" w:rsidP="009A477A">
            <w:pPr>
              <w:pStyle w:val="Tabletext"/>
              <w:rPr>
                <w:rFonts w:ascii="Calibri" w:hAnsi="Calibri" w:cs="Calibri"/>
                <w:sz w:val="22"/>
                <w:szCs w:val="22"/>
                <w:lang w:eastAsia="en-US"/>
              </w:rPr>
            </w:pPr>
            <w:r>
              <w:rPr>
                <w:lang w:eastAsia="en-US"/>
              </w:rPr>
              <w:t>22F</w:t>
            </w:r>
          </w:p>
        </w:tc>
        <w:tc>
          <w:tcPr>
            <w:tcW w:w="1253" w:type="pct"/>
            <w:tcBorders>
              <w:top w:val="single" w:sz="4" w:space="0" w:color="auto"/>
              <w:left w:val="single" w:sz="4" w:space="0" w:color="auto"/>
              <w:bottom w:val="single" w:sz="4" w:space="0" w:color="auto"/>
              <w:right w:val="single" w:sz="4" w:space="0" w:color="auto"/>
            </w:tcBorders>
            <w:hideMark/>
          </w:tcPr>
          <w:p w14:paraId="25AA95EF" w14:textId="77777777" w:rsidR="00135CF7" w:rsidRPr="0049172A" w:rsidRDefault="00135CF7" w:rsidP="009A477A">
            <w:pPr>
              <w:pStyle w:val="Tabletext"/>
              <w:jc w:val="center"/>
              <w:rPr>
                <w:lang w:eastAsia="en-US"/>
              </w:rPr>
            </w:pPr>
            <w:r w:rsidRPr="0049172A">
              <w:rPr>
                <w:lang w:eastAsia="en-US"/>
              </w:rPr>
              <w:t>Y (20v)</w:t>
            </w:r>
          </w:p>
        </w:tc>
        <w:tc>
          <w:tcPr>
            <w:tcW w:w="1250" w:type="pct"/>
            <w:vMerge/>
            <w:tcBorders>
              <w:left w:val="single" w:sz="4" w:space="0" w:color="auto"/>
              <w:right w:val="single" w:sz="4" w:space="0" w:color="auto"/>
            </w:tcBorders>
          </w:tcPr>
          <w:p w14:paraId="1C46B2B7" w14:textId="77777777" w:rsidR="00135CF7" w:rsidRPr="0049172A" w:rsidRDefault="00135CF7" w:rsidP="009A477A">
            <w:pPr>
              <w:pStyle w:val="Tabletext"/>
              <w:jc w:val="center"/>
              <w:rPr>
                <w:lang w:eastAsia="en-US"/>
              </w:rPr>
            </w:pPr>
          </w:p>
        </w:tc>
        <w:tc>
          <w:tcPr>
            <w:tcW w:w="1252" w:type="pct"/>
            <w:tcBorders>
              <w:top w:val="single" w:sz="4" w:space="0" w:color="auto"/>
              <w:left w:val="single" w:sz="4" w:space="0" w:color="auto"/>
              <w:bottom w:val="single" w:sz="4" w:space="0" w:color="auto"/>
              <w:right w:val="single" w:sz="4" w:space="0" w:color="auto"/>
            </w:tcBorders>
          </w:tcPr>
          <w:p w14:paraId="5F42D57E" w14:textId="77777777" w:rsidR="00135CF7" w:rsidRPr="0049172A" w:rsidRDefault="00135CF7" w:rsidP="009A477A">
            <w:pPr>
              <w:pStyle w:val="Tabletext"/>
              <w:jc w:val="center"/>
              <w:rPr>
                <w:lang w:eastAsia="en-US"/>
              </w:rPr>
            </w:pPr>
            <w:r w:rsidRPr="0049172A">
              <w:t>Y (20v)</w:t>
            </w:r>
          </w:p>
        </w:tc>
      </w:tr>
      <w:tr w:rsidR="00135CF7" w14:paraId="703468F5" w14:textId="77777777" w:rsidTr="009A477A">
        <w:tc>
          <w:tcPr>
            <w:tcW w:w="1245" w:type="pct"/>
            <w:tcBorders>
              <w:top w:val="single" w:sz="4" w:space="0" w:color="auto"/>
              <w:left w:val="single" w:sz="4" w:space="0" w:color="auto"/>
              <w:bottom w:val="single" w:sz="4" w:space="0" w:color="auto"/>
              <w:right w:val="single" w:sz="4" w:space="0" w:color="auto"/>
            </w:tcBorders>
            <w:hideMark/>
          </w:tcPr>
          <w:p w14:paraId="3D85B266" w14:textId="77777777" w:rsidR="00135CF7" w:rsidRDefault="00135CF7" w:rsidP="009A477A">
            <w:pPr>
              <w:pStyle w:val="Tabletext"/>
              <w:rPr>
                <w:rFonts w:ascii="Calibri" w:hAnsi="Calibri" w:cs="Calibri"/>
                <w:sz w:val="22"/>
                <w:szCs w:val="22"/>
                <w:lang w:eastAsia="en-US"/>
              </w:rPr>
            </w:pPr>
            <w:r>
              <w:rPr>
                <w:lang w:eastAsia="en-US"/>
              </w:rPr>
              <w:t>33F</w:t>
            </w:r>
          </w:p>
        </w:tc>
        <w:tc>
          <w:tcPr>
            <w:tcW w:w="1253" w:type="pct"/>
            <w:tcBorders>
              <w:top w:val="single" w:sz="4" w:space="0" w:color="auto"/>
              <w:left w:val="single" w:sz="4" w:space="0" w:color="auto"/>
              <w:bottom w:val="single" w:sz="4" w:space="0" w:color="auto"/>
              <w:right w:val="single" w:sz="4" w:space="0" w:color="auto"/>
            </w:tcBorders>
            <w:hideMark/>
          </w:tcPr>
          <w:p w14:paraId="4D19D49C" w14:textId="77777777" w:rsidR="00135CF7" w:rsidRPr="0049172A" w:rsidRDefault="00135CF7" w:rsidP="009A477A">
            <w:pPr>
              <w:pStyle w:val="Tabletext"/>
              <w:jc w:val="center"/>
              <w:rPr>
                <w:lang w:eastAsia="en-US"/>
              </w:rPr>
            </w:pPr>
            <w:r w:rsidRPr="0049172A">
              <w:rPr>
                <w:lang w:eastAsia="en-US"/>
              </w:rPr>
              <w:t>Y (20v)</w:t>
            </w:r>
          </w:p>
        </w:tc>
        <w:tc>
          <w:tcPr>
            <w:tcW w:w="1250" w:type="pct"/>
            <w:vMerge/>
            <w:tcBorders>
              <w:left w:val="single" w:sz="4" w:space="0" w:color="auto"/>
              <w:bottom w:val="single" w:sz="4" w:space="0" w:color="auto"/>
              <w:right w:val="single" w:sz="4" w:space="0" w:color="auto"/>
            </w:tcBorders>
          </w:tcPr>
          <w:p w14:paraId="72FE518A" w14:textId="77777777" w:rsidR="00135CF7" w:rsidRPr="0049172A" w:rsidRDefault="00135CF7" w:rsidP="009A477A">
            <w:pPr>
              <w:pStyle w:val="Tabletext"/>
              <w:jc w:val="center"/>
              <w:rPr>
                <w:lang w:eastAsia="en-US"/>
              </w:rPr>
            </w:pPr>
          </w:p>
        </w:tc>
        <w:tc>
          <w:tcPr>
            <w:tcW w:w="1252" w:type="pct"/>
            <w:tcBorders>
              <w:top w:val="single" w:sz="4" w:space="0" w:color="auto"/>
              <w:left w:val="single" w:sz="4" w:space="0" w:color="auto"/>
              <w:bottom w:val="single" w:sz="4" w:space="0" w:color="auto"/>
              <w:right w:val="single" w:sz="4" w:space="0" w:color="auto"/>
            </w:tcBorders>
          </w:tcPr>
          <w:p w14:paraId="218B186A" w14:textId="77777777" w:rsidR="00135CF7" w:rsidRPr="0049172A" w:rsidRDefault="00135CF7" w:rsidP="009A477A">
            <w:pPr>
              <w:pStyle w:val="Tabletext"/>
              <w:jc w:val="center"/>
              <w:rPr>
                <w:lang w:eastAsia="en-US"/>
              </w:rPr>
            </w:pPr>
            <w:r w:rsidRPr="0049172A">
              <w:t>Y (20v)</w:t>
            </w:r>
          </w:p>
        </w:tc>
      </w:tr>
    </w:tbl>
    <w:p w14:paraId="25AB5FAA" w14:textId="77777777" w:rsidR="00135CF7" w:rsidRPr="004E375B" w:rsidRDefault="00135CF7" w:rsidP="0077625E">
      <w:pPr>
        <w:pStyle w:val="FooterTableFigure"/>
        <w:rPr>
          <w:iCs/>
        </w:rPr>
      </w:pPr>
      <w:r w:rsidRPr="0077625E">
        <w:t xml:space="preserve">Source: </w:t>
      </w:r>
      <w:r w:rsidRPr="004E375B">
        <w:rPr>
          <w:iCs/>
        </w:rPr>
        <w:t>Compiled during the evaluation from Section 2 of the submission</w:t>
      </w:r>
    </w:p>
    <w:p w14:paraId="3A81BC86" w14:textId="77777777" w:rsidR="00135CF7" w:rsidRDefault="00135CF7" w:rsidP="0077625E">
      <w:pPr>
        <w:pStyle w:val="FooterTableFigure"/>
        <w:rPr>
          <w:rFonts w:eastAsia="TimesNewRoman"/>
        </w:rPr>
      </w:pPr>
      <w:r w:rsidRPr="009802BA">
        <w:rPr>
          <w:rFonts w:eastAsia="Calibri"/>
        </w:rPr>
        <w:t xml:space="preserve">Abbreviations: </w:t>
      </w:r>
      <w:r w:rsidRPr="006C73AD">
        <w:rPr>
          <w:rFonts w:eastAsia="TimesNewRoman"/>
        </w:rPr>
        <w:t>13vPCV, 13-valent pneumococcal conjugate vaccine; 20vPCV, 20-valent pneumococcal conjugate vaccine</w:t>
      </w:r>
    </w:p>
    <w:p w14:paraId="1E2A2A43" w14:textId="77777777" w:rsidR="00135CF7" w:rsidRDefault="00135CF7" w:rsidP="0077625E">
      <w:pPr>
        <w:pStyle w:val="FooterTableFigure"/>
      </w:pPr>
      <w:r w:rsidRPr="009802BA">
        <w:rPr>
          <w:rFonts w:eastAsia="TimesNewRoman"/>
        </w:rPr>
        <w:t xml:space="preserve">(13v) or (15v) </w:t>
      </w:r>
      <w:r w:rsidRPr="007514A0">
        <w:t>Favours 13vPCV</w:t>
      </w:r>
      <w:r>
        <w:t xml:space="preserve"> or 15vPCV</w:t>
      </w:r>
      <w:r w:rsidRPr="007514A0">
        <w:t xml:space="preserve"> as the upper bound of the 95% CI were &lt;1</w:t>
      </w:r>
    </w:p>
    <w:p w14:paraId="52A40E0D" w14:textId="77777777" w:rsidR="00135CF7" w:rsidRDefault="00135CF7" w:rsidP="0077625E">
      <w:pPr>
        <w:pStyle w:val="FooterTableFigure"/>
      </w:pPr>
      <w:r>
        <w:t xml:space="preserve">(20v) Favours 20vPCV as lower </w:t>
      </w:r>
      <w:r w:rsidRPr="007514A0">
        <w:t xml:space="preserve">bound of the 95% CI were </w:t>
      </w:r>
      <w:r>
        <w:t>&gt;</w:t>
      </w:r>
      <w:r w:rsidRPr="007514A0">
        <w:t>1</w:t>
      </w:r>
    </w:p>
    <w:p w14:paraId="7ABBEE06" w14:textId="77777777" w:rsidR="00135CF7" w:rsidRPr="007514A0" w:rsidRDefault="00135CF7" w:rsidP="0077625E">
      <w:pPr>
        <w:pStyle w:val="FooterTableFigure"/>
      </w:pPr>
      <w:r w:rsidRPr="0077625E">
        <w:rPr>
          <w:highlight w:val="lightGray"/>
        </w:rPr>
        <w:t>Shaded cells</w:t>
      </w:r>
      <w:r>
        <w:t xml:space="preserve"> indicate that non-inferiority was not met</w:t>
      </w:r>
    </w:p>
    <w:p w14:paraId="3CF2A712" w14:textId="77777777" w:rsidR="007D4D11" w:rsidRPr="00C9624D" w:rsidRDefault="007D4D11" w:rsidP="007D4D11">
      <w:pPr>
        <w:pStyle w:val="4-SubsectionHeading"/>
      </w:pPr>
      <w:bookmarkStart w:id="34" w:name="_Toc114061399"/>
      <w:r w:rsidRPr="00C9624D">
        <w:t>Comparative harms</w:t>
      </w:r>
      <w:bookmarkEnd w:id="33"/>
      <w:bookmarkEnd w:id="34"/>
    </w:p>
    <w:p w14:paraId="44003907" w14:textId="1AA0BAFE" w:rsidR="007D4D11" w:rsidRDefault="00711703" w:rsidP="00036C51">
      <w:pPr>
        <w:pStyle w:val="3-BodyText"/>
      </w:pPr>
      <w:r w:rsidRPr="00711703">
        <w:fldChar w:fldCharType="begin"/>
      </w:r>
      <w:r w:rsidRPr="00711703">
        <w:instrText xml:space="preserve"> REF _Ref113694717 \h </w:instrText>
      </w:r>
      <w:r>
        <w:instrText xml:space="preserve"> \* MERGEFORMAT </w:instrText>
      </w:r>
      <w:r w:rsidRPr="00711703">
        <w:fldChar w:fldCharType="separate"/>
      </w:r>
      <w:r w:rsidR="00137984" w:rsidRPr="00137984">
        <w:t xml:space="preserve">Table </w:t>
      </w:r>
      <w:r w:rsidR="00137984">
        <w:t>8</w:t>
      </w:r>
      <w:r w:rsidRPr="00711703">
        <w:fldChar w:fldCharType="end"/>
      </w:r>
      <w:r w:rsidR="007D4D11">
        <w:t xml:space="preserve"> provides a summary </w:t>
      </w:r>
      <w:r w:rsidR="001B3811">
        <w:t xml:space="preserve">of </w:t>
      </w:r>
      <w:r w:rsidR="007D4D11">
        <w:t>20vPCV safety data from B7471007. Results were presented for each of the three cohorts separately.</w:t>
      </w:r>
    </w:p>
    <w:p w14:paraId="57989310" w14:textId="65A2414D" w:rsidR="007D4D11" w:rsidRDefault="007D4D11" w:rsidP="00711703">
      <w:pPr>
        <w:pStyle w:val="Caption"/>
        <w:rPr>
          <w:rStyle w:val="CommentReference"/>
          <w:b/>
        </w:rPr>
      </w:pPr>
      <w:bookmarkStart w:id="35" w:name="_Ref113694717"/>
      <w:r>
        <w:rPr>
          <w:rStyle w:val="CommentReference"/>
          <w:b/>
        </w:rPr>
        <w:lastRenderedPageBreak/>
        <w:t xml:space="preserve">Table </w:t>
      </w:r>
      <w:r>
        <w:rPr>
          <w:rStyle w:val="CommentReference"/>
          <w:b/>
        </w:rPr>
        <w:fldChar w:fldCharType="begin"/>
      </w:r>
      <w:r>
        <w:instrText>SEQ Table \* ARABIC</w:instrText>
      </w:r>
      <w:r>
        <w:rPr>
          <w:rStyle w:val="CommentReference"/>
          <w:b/>
        </w:rPr>
        <w:fldChar w:fldCharType="separate"/>
      </w:r>
      <w:r w:rsidR="00137984">
        <w:rPr>
          <w:noProof/>
        </w:rPr>
        <w:t>8</w:t>
      </w:r>
      <w:r>
        <w:rPr>
          <w:rStyle w:val="CommentReference"/>
          <w:b/>
        </w:rPr>
        <w:fldChar w:fldCharType="end"/>
      </w:r>
      <w:bookmarkEnd w:id="35"/>
      <w:r>
        <w:rPr>
          <w:rStyle w:val="CommentReference"/>
          <w:b/>
        </w:rPr>
        <w:t xml:space="preserve">: </w:t>
      </w:r>
      <w:r w:rsidRPr="003B0F7D">
        <w:rPr>
          <w:rStyle w:val="CommentReference"/>
          <w:b/>
          <w:bCs/>
        </w:rPr>
        <w:t>Summary of key adverse events reported in B7471007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997"/>
        <w:gridCol w:w="1997"/>
        <w:gridCol w:w="1951"/>
      </w:tblGrid>
      <w:tr w:rsidR="007D4D11" w14:paraId="5F8BA68D" w14:textId="77777777" w:rsidTr="009A477A">
        <w:trPr>
          <w:tblHeader/>
        </w:trPr>
        <w:tc>
          <w:tcPr>
            <w:tcW w:w="1703" w:type="pct"/>
            <w:tcBorders>
              <w:top w:val="single" w:sz="4" w:space="0" w:color="auto"/>
              <w:left w:val="single" w:sz="4" w:space="0" w:color="auto"/>
              <w:bottom w:val="single" w:sz="4" w:space="0" w:color="auto"/>
              <w:right w:val="single" w:sz="4" w:space="0" w:color="auto"/>
            </w:tcBorders>
            <w:vAlign w:val="center"/>
          </w:tcPr>
          <w:p w14:paraId="134EBEA2" w14:textId="77777777" w:rsidR="007D4D11" w:rsidRDefault="007D4D11" w:rsidP="009A477A">
            <w:pPr>
              <w:pStyle w:val="In-tableHeading"/>
              <w:keepNext w:val="0"/>
              <w:widowControl w:val="0"/>
            </w:pPr>
          </w:p>
        </w:tc>
        <w:tc>
          <w:tcPr>
            <w:tcW w:w="1107" w:type="pct"/>
            <w:tcBorders>
              <w:top w:val="single" w:sz="4" w:space="0" w:color="auto"/>
              <w:left w:val="single" w:sz="4" w:space="0" w:color="auto"/>
              <w:bottom w:val="single" w:sz="4" w:space="0" w:color="auto"/>
              <w:right w:val="single" w:sz="4" w:space="0" w:color="auto"/>
            </w:tcBorders>
            <w:vAlign w:val="center"/>
            <w:hideMark/>
          </w:tcPr>
          <w:p w14:paraId="4EF3FCF4" w14:textId="77777777" w:rsidR="007D4D11" w:rsidRDefault="007D4D11" w:rsidP="009A477A">
            <w:pPr>
              <w:pStyle w:val="In-tableHeading"/>
              <w:keepNext w:val="0"/>
              <w:widowControl w:val="0"/>
              <w:jc w:val="center"/>
            </w:pPr>
            <w:r>
              <w:t>20vPCV</w:t>
            </w:r>
          </w:p>
          <w:p w14:paraId="013C0E03" w14:textId="77777777" w:rsidR="007D4D11" w:rsidRDefault="007D4D11" w:rsidP="009A477A">
            <w:pPr>
              <w:pStyle w:val="In-tableHeading"/>
              <w:keepNext w:val="0"/>
              <w:widowControl w:val="0"/>
              <w:jc w:val="center"/>
            </w:pPr>
            <w:r>
              <w:t>n with event/N (%)</w:t>
            </w:r>
          </w:p>
        </w:tc>
        <w:tc>
          <w:tcPr>
            <w:tcW w:w="1107" w:type="pct"/>
            <w:tcBorders>
              <w:top w:val="single" w:sz="4" w:space="0" w:color="auto"/>
              <w:left w:val="single" w:sz="4" w:space="0" w:color="auto"/>
              <w:bottom w:val="single" w:sz="4" w:space="0" w:color="auto"/>
              <w:right w:val="single" w:sz="4" w:space="0" w:color="auto"/>
            </w:tcBorders>
            <w:vAlign w:val="center"/>
            <w:hideMark/>
          </w:tcPr>
          <w:p w14:paraId="77F235BE" w14:textId="77777777" w:rsidR="007D4D11" w:rsidRDefault="007D4D11" w:rsidP="009A477A">
            <w:pPr>
              <w:pStyle w:val="In-tableHeading"/>
              <w:keepNext w:val="0"/>
              <w:widowControl w:val="0"/>
              <w:jc w:val="center"/>
            </w:pPr>
            <w:r>
              <w:t>13vPCV</w:t>
            </w:r>
          </w:p>
          <w:p w14:paraId="2204C41F" w14:textId="77777777" w:rsidR="007D4D11" w:rsidRDefault="007D4D11" w:rsidP="009A477A">
            <w:pPr>
              <w:pStyle w:val="In-tableHeading"/>
              <w:keepNext w:val="0"/>
              <w:widowControl w:val="0"/>
              <w:jc w:val="center"/>
            </w:pPr>
            <w:r>
              <w:t>n with event/N (%)</w:t>
            </w:r>
          </w:p>
        </w:tc>
        <w:tc>
          <w:tcPr>
            <w:tcW w:w="1082" w:type="pct"/>
            <w:tcBorders>
              <w:top w:val="single" w:sz="4" w:space="0" w:color="auto"/>
              <w:left w:val="single" w:sz="4" w:space="0" w:color="auto"/>
              <w:bottom w:val="single" w:sz="4" w:space="0" w:color="auto"/>
              <w:right w:val="single" w:sz="4" w:space="0" w:color="auto"/>
            </w:tcBorders>
            <w:vAlign w:val="center"/>
            <w:hideMark/>
          </w:tcPr>
          <w:p w14:paraId="2BE48F49" w14:textId="77777777" w:rsidR="007D4D11" w:rsidRDefault="007D4D11" w:rsidP="009A477A">
            <w:pPr>
              <w:pStyle w:val="Tabletext"/>
              <w:widowControl w:val="0"/>
              <w:jc w:val="center"/>
              <w:rPr>
                <w:b/>
                <w:bCs/>
              </w:rPr>
            </w:pPr>
            <w:r>
              <w:rPr>
                <w:b/>
                <w:bCs/>
              </w:rPr>
              <w:t>Difference in %</w:t>
            </w:r>
          </w:p>
          <w:p w14:paraId="7A59BBEF" w14:textId="77777777" w:rsidR="007D4D11" w:rsidRDefault="007D4D11" w:rsidP="009A477A">
            <w:pPr>
              <w:pStyle w:val="Tabletext"/>
              <w:widowControl w:val="0"/>
              <w:jc w:val="center"/>
            </w:pPr>
            <w:r>
              <w:rPr>
                <w:b/>
                <w:bCs/>
              </w:rPr>
              <w:t>Estimate (95% CI)</w:t>
            </w:r>
          </w:p>
        </w:tc>
      </w:tr>
      <w:tr w:rsidR="007D4D11" w14:paraId="1D56BA8A"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0B814A44" w14:textId="1F403860" w:rsidR="007D4D11" w:rsidRDefault="007D4D11" w:rsidP="009A477A">
            <w:pPr>
              <w:pStyle w:val="TableText0"/>
              <w:rPr>
                <w:b/>
                <w:bCs w:val="0"/>
              </w:rPr>
            </w:pPr>
            <w:r>
              <w:rPr>
                <w:b/>
                <w:bCs w:val="0"/>
              </w:rPr>
              <w:t>Cohort 1</w:t>
            </w:r>
            <w:r w:rsidR="0050179F">
              <w:rPr>
                <w:b/>
                <w:bCs w:val="0"/>
              </w:rPr>
              <w:t xml:space="preserve"> – age ≥</w:t>
            </w:r>
            <w:r w:rsidR="001B3811">
              <w:rPr>
                <w:b/>
                <w:bCs w:val="0"/>
              </w:rPr>
              <w:t xml:space="preserve"> </w:t>
            </w:r>
            <w:r w:rsidR="0050179F">
              <w:rPr>
                <w:b/>
                <w:bCs w:val="0"/>
              </w:rPr>
              <w:t>60 years</w:t>
            </w:r>
          </w:p>
        </w:tc>
        <w:tc>
          <w:tcPr>
            <w:tcW w:w="1107" w:type="pct"/>
            <w:tcBorders>
              <w:top w:val="single" w:sz="4" w:space="0" w:color="auto"/>
              <w:left w:val="single" w:sz="4" w:space="0" w:color="auto"/>
              <w:bottom w:val="single" w:sz="4" w:space="0" w:color="auto"/>
              <w:right w:val="single" w:sz="4" w:space="0" w:color="auto"/>
            </w:tcBorders>
            <w:vAlign w:val="center"/>
            <w:hideMark/>
          </w:tcPr>
          <w:p w14:paraId="7A0ABA69" w14:textId="77777777" w:rsidR="007D4D11" w:rsidRDefault="007D4D11" w:rsidP="009A477A">
            <w:pPr>
              <w:pStyle w:val="TableText0"/>
              <w:jc w:val="center"/>
              <w:rPr>
                <w:b/>
                <w:bCs w:val="0"/>
              </w:rPr>
            </w:pPr>
            <w:r>
              <w:rPr>
                <w:b/>
                <w:bCs w:val="0"/>
              </w:rPr>
              <w:t>N=1507</w:t>
            </w:r>
          </w:p>
        </w:tc>
        <w:tc>
          <w:tcPr>
            <w:tcW w:w="1107" w:type="pct"/>
            <w:tcBorders>
              <w:top w:val="single" w:sz="4" w:space="0" w:color="auto"/>
              <w:left w:val="single" w:sz="4" w:space="0" w:color="auto"/>
              <w:bottom w:val="single" w:sz="4" w:space="0" w:color="auto"/>
              <w:right w:val="single" w:sz="4" w:space="0" w:color="auto"/>
            </w:tcBorders>
            <w:vAlign w:val="center"/>
            <w:hideMark/>
          </w:tcPr>
          <w:p w14:paraId="089E58B1" w14:textId="77777777" w:rsidR="007D4D11" w:rsidRDefault="007D4D11" w:rsidP="009A477A">
            <w:pPr>
              <w:pStyle w:val="TableText0"/>
              <w:jc w:val="center"/>
              <w:rPr>
                <w:b/>
                <w:bCs w:val="0"/>
              </w:rPr>
            </w:pPr>
            <w:r>
              <w:rPr>
                <w:b/>
                <w:bCs w:val="0"/>
              </w:rPr>
              <w:t>N=1490</w:t>
            </w:r>
          </w:p>
        </w:tc>
        <w:tc>
          <w:tcPr>
            <w:tcW w:w="1082" w:type="pct"/>
            <w:tcBorders>
              <w:top w:val="single" w:sz="4" w:space="0" w:color="auto"/>
              <w:left w:val="single" w:sz="4" w:space="0" w:color="auto"/>
              <w:bottom w:val="single" w:sz="4" w:space="0" w:color="auto"/>
              <w:right w:val="single" w:sz="4" w:space="0" w:color="auto"/>
            </w:tcBorders>
            <w:vAlign w:val="center"/>
          </w:tcPr>
          <w:p w14:paraId="3DBD2C3B" w14:textId="77777777" w:rsidR="007D4D11" w:rsidRDefault="007D4D11" w:rsidP="009A477A">
            <w:pPr>
              <w:pStyle w:val="TableText0"/>
              <w:jc w:val="center"/>
              <w:rPr>
                <w:b/>
                <w:bCs w:val="0"/>
              </w:rPr>
            </w:pPr>
          </w:p>
        </w:tc>
      </w:tr>
      <w:tr w:rsidR="007D4D11" w14:paraId="48220940"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233EF137" w14:textId="4000951B" w:rsidR="007D4D11" w:rsidRDefault="007D4D11" w:rsidP="009A477A">
            <w:pPr>
              <w:pStyle w:val="TableText0"/>
            </w:pPr>
            <w:r>
              <w:t xml:space="preserve">Any local </w:t>
            </w:r>
            <w:proofErr w:type="spellStart"/>
            <w:r>
              <w:t>reactions</w:t>
            </w:r>
            <w:r>
              <w:rPr>
                <w:vertAlign w:val="superscript"/>
              </w:rPr>
              <w:t>a</w:t>
            </w:r>
            <w:proofErr w:type="spellEnd"/>
          </w:p>
        </w:tc>
        <w:tc>
          <w:tcPr>
            <w:tcW w:w="1107" w:type="pct"/>
            <w:tcBorders>
              <w:top w:val="single" w:sz="4" w:space="0" w:color="auto"/>
              <w:left w:val="single" w:sz="4" w:space="0" w:color="auto"/>
              <w:bottom w:val="single" w:sz="4" w:space="0" w:color="auto"/>
              <w:right w:val="single" w:sz="4" w:space="0" w:color="auto"/>
            </w:tcBorders>
            <w:vAlign w:val="bottom"/>
            <w:hideMark/>
          </w:tcPr>
          <w:p w14:paraId="40B87D7C" w14:textId="77777777" w:rsidR="007D4D11" w:rsidRDefault="007D4D11" w:rsidP="009A477A">
            <w:pPr>
              <w:pStyle w:val="TableText0"/>
              <w:jc w:val="center"/>
            </w:pPr>
            <w:r>
              <w:t>864 (57.4)</w:t>
            </w:r>
          </w:p>
        </w:tc>
        <w:tc>
          <w:tcPr>
            <w:tcW w:w="1107" w:type="pct"/>
            <w:tcBorders>
              <w:top w:val="single" w:sz="4" w:space="0" w:color="auto"/>
              <w:left w:val="single" w:sz="4" w:space="0" w:color="auto"/>
              <w:bottom w:val="single" w:sz="4" w:space="0" w:color="auto"/>
              <w:right w:val="single" w:sz="4" w:space="0" w:color="auto"/>
            </w:tcBorders>
            <w:vAlign w:val="bottom"/>
            <w:hideMark/>
          </w:tcPr>
          <w:p w14:paraId="00B2C1DC" w14:textId="77777777" w:rsidR="007D4D11" w:rsidRDefault="007D4D11" w:rsidP="009A477A">
            <w:pPr>
              <w:pStyle w:val="TableText0"/>
              <w:jc w:val="center"/>
            </w:pPr>
            <w:r>
              <w:t>830 (56.0)</w:t>
            </w:r>
          </w:p>
        </w:tc>
        <w:tc>
          <w:tcPr>
            <w:tcW w:w="1082" w:type="pct"/>
            <w:tcBorders>
              <w:top w:val="single" w:sz="4" w:space="0" w:color="auto"/>
              <w:left w:val="single" w:sz="4" w:space="0" w:color="auto"/>
              <w:bottom w:val="single" w:sz="4" w:space="0" w:color="auto"/>
              <w:right w:val="single" w:sz="4" w:space="0" w:color="auto"/>
            </w:tcBorders>
            <w:vAlign w:val="bottom"/>
            <w:hideMark/>
          </w:tcPr>
          <w:p w14:paraId="64C3D728" w14:textId="77777777" w:rsidR="007D4D11" w:rsidRDefault="007D4D11" w:rsidP="009A477A">
            <w:pPr>
              <w:pStyle w:val="TableText0"/>
              <w:jc w:val="center"/>
            </w:pPr>
            <w:r>
              <w:t>1.4 (-2.1, 5.0)</w:t>
            </w:r>
          </w:p>
        </w:tc>
      </w:tr>
      <w:tr w:rsidR="007D4D11" w14:paraId="27DB1018"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5CC9BAE2" w14:textId="7164FEB4" w:rsidR="007D4D11" w:rsidRDefault="007D4D11" w:rsidP="009A477A">
            <w:pPr>
              <w:pStyle w:val="TableText0"/>
              <w:rPr>
                <w:vertAlign w:val="superscript"/>
              </w:rPr>
            </w:pPr>
            <w:r>
              <w:t xml:space="preserve">Any systemic </w:t>
            </w:r>
            <w:proofErr w:type="spellStart"/>
            <w:r>
              <w:t>event</w:t>
            </w:r>
            <w:r>
              <w:rPr>
                <w:vertAlign w:val="superscript"/>
              </w:rPr>
              <w:t>b</w:t>
            </w:r>
            <w:proofErr w:type="spellEnd"/>
          </w:p>
        </w:tc>
        <w:tc>
          <w:tcPr>
            <w:tcW w:w="1107" w:type="pct"/>
            <w:tcBorders>
              <w:top w:val="single" w:sz="4" w:space="0" w:color="auto"/>
              <w:left w:val="single" w:sz="4" w:space="0" w:color="auto"/>
              <w:bottom w:val="single" w:sz="4" w:space="0" w:color="auto"/>
              <w:right w:val="single" w:sz="4" w:space="0" w:color="auto"/>
            </w:tcBorders>
            <w:hideMark/>
          </w:tcPr>
          <w:p w14:paraId="421359C0" w14:textId="77777777" w:rsidR="007D4D11" w:rsidRDefault="007D4D11" w:rsidP="009A477A">
            <w:pPr>
              <w:pStyle w:val="TableText0"/>
              <w:jc w:val="center"/>
            </w:pPr>
            <w:r>
              <w:t>831 (55.2)</w:t>
            </w:r>
          </w:p>
        </w:tc>
        <w:tc>
          <w:tcPr>
            <w:tcW w:w="1107" w:type="pct"/>
            <w:tcBorders>
              <w:top w:val="single" w:sz="4" w:space="0" w:color="auto"/>
              <w:left w:val="single" w:sz="4" w:space="0" w:color="auto"/>
              <w:bottom w:val="single" w:sz="4" w:space="0" w:color="auto"/>
              <w:right w:val="single" w:sz="4" w:space="0" w:color="auto"/>
            </w:tcBorders>
            <w:hideMark/>
          </w:tcPr>
          <w:p w14:paraId="7B66F8EE" w14:textId="77777777" w:rsidR="007D4D11" w:rsidRDefault="007D4D11" w:rsidP="009A477A">
            <w:pPr>
              <w:pStyle w:val="TableText0"/>
              <w:jc w:val="center"/>
            </w:pPr>
            <w:r>
              <w:t>822 (55.4)</w:t>
            </w:r>
          </w:p>
        </w:tc>
        <w:tc>
          <w:tcPr>
            <w:tcW w:w="1082" w:type="pct"/>
            <w:tcBorders>
              <w:top w:val="single" w:sz="4" w:space="0" w:color="auto"/>
              <w:left w:val="single" w:sz="4" w:space="0" w:color="auto"/>
              <w:bottom w:val="single" w:sz="4" w:space="0" w:color="auto"/>
              <w:right w:val="single" w:sz="4" w:space="0" w:color="auto"/>
            </w:tcBorders>
            <w:hideMark/>
          </w:tcPr>
          <w:p w14:paraId="3868CF07" w14:textId="77777777" w:rsidR="007D4D11" w:rsidRDefault="007D4D11" w:rsidP="009A477A">
            <w:pPr>
              <w:pStyle w:val="TableText0"/>
              <w:jc w:val="center"/>
            </w:pPr>
            <w:r>
              <w:t>-0.2 (-3.8, 3.4)</w:t>
            </w:r>
          </w:p>
        </w:tc>
      </w:tr>
      <w:tr w:rsidR="007D4D11" w14:paraId="3AEA0455"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1A052650" w14:textId="4A8C2DAF" w:rsidR="007D4D11" w:rsidRDefault="007D4D11" w:rsidP="009A477A">
            <w:pPr>
              <w:pStyle w:val="TableText0"/>
              <w:rPr>
                <w:vertAlign w:val="superscript"/>
              </w:rPr>
            </w:pPr>
            <w:r>
              <w:t xml:space="preserve">Adverse </w:t>
            </w:r>
            <w:proofErr w:type="spellStart"/>
            <w:r>
              <w:t>event</w:t>
            </w:r>
            <w:r>
              <w:rPr>
                <w:vertAlign w:val="superscript"/>
              </w:rPr>
              <w:t>c</w:t>
            </w:r>
            <w:proofErr w:type="spellEnd"/>
          </w:p>
        </w:tc>
        <w:tc>
          <w:tcPr>
            <w:tcW w:w="1107" w:type="pct"/>
            <w:tcBorders>
              <w:top w:val="single" w:sz="4" w:space="0" w:color="auto"/>
              <w:left w:val="single" w:sz="4" w:space="0" w:color="auto"/>
              <w:bottom w:val="single" w:sz="4" w:space="0" w:color="auto"/>
              <w:right w:val="single" w:sz="4" w:space="0" w:color="auto"/>
            </w:tcBorders>
            <w:vAlign w:val="center"/>
          </w:tcPr>
          <w:p w14:paraId="529B8A60" w14:textId="77777777" w:rsidR="007D4D11" w:rsidRDefault="007D4D11" w:rsidP="009A477A">
            <w:pPr>
              <w:pStyle w:val="TableText0"/>
              <w:jc w:val="center"/>
            </w:pPr>
          </w:p>
        </w:tc>
        <w:tc>
          <w:tcPr>
            <w:tcW w:w="1107" w:type="pct"/>
            <w:tcBorders>
              <w:top w:val="single" w:sz="4" w:space="0" w:color="auto"/>
              <w:left w:val="single" w:sz="4" w:space="0" w:color="auto"/>
              <w:bottom w:val="single" w:sz="4" w:space="0" w:color="auto"/>
              <w:right w:val="single" w:sz="4" w:space="0" w:color="auto"/>
            </w:tcBorders>
            <w:vAlign w:val="center"/>
          </w:tcPr>
          <w:p w14:paraId="3418715F" w14:textId="77777777" w:rsidR="007D4D11" w:rsidRDefault="007D4D11" w:rsidP="009A477A">
            <w:pPr>
              <w:pStyle w:val="TableText0"/>
              <w:jc w:val="center"/>
            </w:pPr>
          </w:p>
        </w:tc>
        <w:tc>
          <w:tcPr>
            <w:tcW w:w="1082" w:type="pct"/>
            <w:tcBorders>
              <w:top w:val="single" w:sz="4" w:space="0" w:color="auto"/>
              <w:left w:val="single" w:sz="4" w:space="0" w:color="auto"/>
              <w:bottom w:val="single" w:sz="4" w:space="0" w:color="auto"/>
              <w:right w:val="single" w:sz="4" w:space="0" w:color="auto"/>
            </w:tcBorders>
            <w:vAlign w:val="center"/>
          </w:tcPr>
          <w:p w14:paraId="28C223F4" w14:textId="77777777" w:rsidR="007D4D11" w:rsidRDefault="007D4D11" w:rsidP="009A477A">
            <w:pPr>
              <w:pStyle w:val="TableText0"/>
              <w:jc w:val="center"/>
            </w:pPr>
          </w:p>
        </w:tc>
      </w:tr>
      <w:tr w:rsidR="007D4D11" w14:paraId="51E99D45"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3EB50FAA" w14:textId="77777777" w:rsidR="007D4D11" w:rsidRDefault="007D4D11" w:rsidP="009A477A">
            <w:pPr>
              <w:pStyle w:val="TableText0"/>
            </w:pPr>
            <w:r>
              <w:t xml:space="preserve">  Upper respiratory tract infection</w:t>
            </w:r>
          </w:p>
        </w:tc>
        <w:tc>
          <w:tcPr>
            <w:tcW w:w="1107" w:type="pct"/>
            <w:tcBorders>
              <w:top w:val="single" w:sz="4" w:space="0" w:color="auto"/>
              <w:left w:val="single" w:sz="4" w:space="0" w:color="auto"/>
              <w:bottom w:val="single" w:sz="4" w:space="0" w:color="auto"/>
              <w:right w:val="single" w:sz="4" w:space="0" w:color="auto"/>
            </w:tcBorders>
            <w:vAlign w:val="center"/>
            <w:hideMark/>
          </w:tcPr>
          <w:p w14:paraId="4326BDFB" w14:textId="77777777" w:rsidR="007D4D11" w:rsidRDefault="007D4D11" w:rsidP="009A477A">
            <w:pPr>
              <w:pStyle w:val="TableText0"/>
              <w:jc w:val="center"/>
            </w:pPr>
            <w:r>
              <w:t>12 (0.8)</w:t>
            </w:r>
          </w:p>
        </w:tc>
        <w:tc>
          <w:tcPr>
            <w:tcW w:w="1107" w:type="pct"/>
            <w:tcBorders>
              <w:top w:val="single" w:sz="4" w:space="0" w:color="auto"/>
              <w:left w:val="single" w:sz="4" w:space="0" w:color="auto"/>
              <w:bottom w:val="single" w:sz="4" w:space="0" w:color="auto"/>
              <w:right w:val="single" w:sz="4" w:space="0" w:color="auto"/>
            </w:tcBorders>
            <w:vAlign w:val="center"/>
            <w:hideMark/>
          </w:tcPr>
          <w:p w14:paraId="40531C20" w14:textId="77777777" w:rsidR="007D4D11" w:rsidRDefault="007D4D11" w:rsidP="009A477A">
            <w:pPr>
              <w:pStyle w:val="TableText0"/>
              <w:jc w:val="center"/>
            </w:pPr>
            <w:r>
              <w:t>8 (0.5)</w:t>
            </w:r>
          </w:p>
        </w:tc>
        <w:tc>
          <w:tcPr>
            <w:tcW w:w="1082" w:type="pct"/>
            <w:tcBorders>
              <w:top w:val="single" w:sz="4" w:space="0" w:color="auto"/>
              <w:left w:val="single" w:sz="4" w:space="0" w:color="auto"/>
              <w:bottom w:val="single" w:sz="4" w:space="0" w:color="auto"/>
              <w:right w:val="single" w:sz="4" w:space="0" w:color="auto"/>
            </w:tcBorders>
            <w:vAlign w:val="center"/>
            <w:hideMark/>
          </w:tcPr>
          <w:p w14:paraId="4F6ADE93" w14:textId="77777777" w:rsidR="007D4D11" w:rsidRDefault="007D4D11" w:rsidP="009A477A">
            <w:pPr>
              <w:pStyle w:val="TableText0"/>
              <w:jc w:val="center"/>
            </w:pPr>
            <w:r>
              <w:t>0.3 (-0.4, 0.9)</w:t>
            </w:r>
          </w:p>
        </w:tc>
      </w:tr>
      <w:tr w:rsidR="007D4D11" w14:paraId="017487E7"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0A43412D" w14:textId="77777777" w:rsidR="007D4D11" w:rsidRDefault="007D4D11" w:rsidP="009A477A">
            <w:pPr>
              <w:pStyle w:val="TableText0"/>
            </w:pPr>
            <w:r>
              <w:t xml:space="preserve">  Arthralgia</w:t>
            </w:r>
          </w:p>
        </w:tc>
        <w:tc>
          <w:tcPr>
            <w:tcW w:w="1107" w:type="pct"/>
            <w:tcBorders>
              <w:top w:val="single" w:sz="4" w:space="0" w:color="auto"/>
              <w:left w:val="single" w:sz="4" w:space="0" w:color="auto"/>
              <w:bottom w:val="single" w:sz="4" w:space="0" w:color="auto"/>
              <w:right w:val="single" w:sz="4" w:space="0" w:color="auto"/>
            </w:tcBorders>
            <w:vAlign w:val="center"/>
            <w:hideMark/>
          </w:tcPr>
          <w:p w14:paraId="51281E68" w14:textId="77777777" w:rsidR="007D4D11" w:rsidRDefault="007D4D11" w:rsidP="009A477A">
            <w:pPr>
              <w:pStyle w:val="TableText0"/>
              <w:jc w:val="center"/>
            </w:pPr>
            <w:r>
              <w:t>6 (0.4)</w:t>
            </w:r>
          </w:p>
        </w:tc>
        <w:tc>
          <w:tcPr>
            <w:tcW w:w="1107" w:type="pct"/>
            <w:tcBorders>
              <w:top w:val="single" w:sz="4" w:space="0" w:color="auto"/>
              <w:left w:val="single" w:sz="4" w:space="0" w:color="auto"/>
              <w:bottom w:val="single" w:sz="4" w:space="0" w:color="auto"/>
              <w:right w:val="single" w:sz="4" w:space="0" w:color="auto"/>
            </w:tcBorders>
            <w:vAlign w:val="center"/>
            <w:hideMark/>
          </w:tcPr>
          <w:p w14:paraId="0B236B6E" w14:textId="77777777" w:rsidR="007D4D11" w:rsidRDefault="007D4D11" w:rsidP="009A477A">
            <w:pPr>
              <w:pStyle w:val="TableText0"/>
              <w:jc w:val="center"/>
            </w:pPr>
            <w:r>
              <w:t>1 (0.1)</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8DD00CC" w14:textId="77777777" w:rsidR="007D4D11" w:rsidRDefault="007D4D11" w:rsidP="009A477A">
            <w:pPr>
              <w:pStyle w:val="TableText0"/>
              <w:jc w:val="center"/>
            </w:pPr>
            <w:r>
              <w:t>0.3 (-0.0, 0.8)</w:t>
            </w:r>
          </w:p>
        </w:tc>
      </w:tr>
      <w:tr w:rsidR="007D4D11" w14:paraId="1AEF8863"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6E8E4AB5" w14:textId="77777777" w:rsidR="007D4D11" w:rsidRDefault="007D4D11" w:rsidP="009A477A">
            <w:pPr>
              <w:pStyle w:val="TableText0"/>
            </w:pPr>
            <w:r>
              <w:t xml:space="preserve">  Viral infection</w:t>
            </w:r>
          </w:p>
        </w:tc>
        <w:tc>
          <w:tcPr>
            <w:tcW w:w="1107" w:type="pct"/>
            <w:tcBorders>
              <w:top w:val="single" w:sz="4" w:space="0" w:color="auto"/>
              <w:left w:val="single" w:sz="4" w:space="0" w:color="auto"/>
              <w:bottom w:val="single" w:sz="4" w:space="0" w:color="auto"/>
              <w:right w:val="single" w:sz="4" w:space="0" w:color="auto"/>
            </w:tcBorders>
            <w:vAlign w:val="center"/>
            <w:hideMark/>
          </w:tcPr>
          <w:p w14:paraId="63D4FEE2" w14:textId="77777777" w:rsidR="007D4D11" w:rsidRDefault="007D4D11" w:rsidP="009A477A">
            <w:pPr>
              <w:pStyle w:val="TableText0"/>
              <w:jc w:val="center"/>
            </w:pPr>
            <w:r>
              <w:t>5 (0.3)</w:t>
            </w:r>
          </w:p>
        </w:tc>
        <w:tc>
          <w:tcPr>
            <w:tcW w:w="1107" w:type="pct"/>
            <w:tcBorders>
              <w:top w:val="single" w:sz="4" w:space="0" w:color="auto"/>
              <w:left w:val="single" w:sz="4" w:space="0" w:color="auto"/>
              <w:bottom w:val="single" w:sz="4" w:space="0" w:color="auto"/>
              <w:right w:val="single" w:sz="4" w:space="0" w:color="auto"/>
            </w:tcBorders>
            <w:vAlign w:val="center"/>
            <w:hideMark/>
          </w:tcPr>
          <w:p w14:paraId="7D431683" w14:textId="77777777" w:rsidR="007D4D11" w:rsidRDefault="007D4D11" w:rsidP="009A477A">
            <w:pPr>
              <w:pStyle w:val="TableText0"/>
              <w:jc w:val="center"/>
            </w:pPr>
            <w:r>
              <w:t>0 (0)</w:t>
            </w:r>
          </w:p>
        </w:tc>
        <w:tc>
          <w:tcPr>
            <w:tcW w:w="1082" w:type="pct"/>
            <w:tcBorders>
              <w:top w:val="single" w:sz="4" w:space="0" w:color="auto"/>
              <w:left w:val="single" w:sz="4" w:space="0" w:color="auto"/>
              <w:bottom w:val="single" w:sz="4" w:space="0" w:color="auto"/>
              <w:right w:val="single" w:sz="4" w:space="0" w:color="auto"/>
            </w:tcBorders>
            <w:vAlign w:val="center"/>
            <w:hideMark/>
          </w:tcPr>
          <w:p w14:paraId="11C3ADCF" w14:textId="77777777" w:rsidR="007D4D11" w:rsidRDefault="007D4D11" w:rsidP="009A477A">
            <w:pPr>
              <w:pStyle w:val="TableText0"/>
              <w:jc w:val="center"/>
              <w:rPr>
                <w:b/>
                <w:bCs w:val="0"/>
              </w:rPr>
            </w:pPr>
            <w:r>
              <w:rPr>
                <w:b/>
                <w:bCs w:val="0"/>
              </w:rPr>
              <w:t>0.3 (0.1, 0.8)</w:t>
            </w:r>
          </w:p>
        </w:tc>
      </w:tr>
      <w:tr w:rsidR="007D4D11" w14:paraId="0974EB29"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724FFB8E" w14:textId="77777777" w:rsidR="007D4D11" w:rsidRDefault="007D4D11" w:rsidP="009A477A">
            <w:pPr>
              <w:pStyle w:val="TableText0"/>
            </w:pPr>
            <w:r>
              <w:t xml:space="preserve">  Fall </w:t>
            </w:r>
          </w:p>
        </w:tc>
        <w:tc>
          <w:tcPr>
            <w:tcW w:w="1107" w:type="pct"/>
            <w:tcBorders>
              <w:top w:val="single" w:sz="4" w:space="0" w:color="auto"/>
              <w:left w:val="single" w:sz="4" w:space="0" w:color="auto"/>
              <w:bottom w:val="single" w:sz="4" w:space="0" w:color="auto"/>
              <w:right w:val="single" w:sz="4" w:space="0" w:color="auto"/>
            </w:tcBorders>
            <w:vAlign w:val="center"/>
            <w:hideMark/>
          </w:tcPr>
          <w:p w14:paraId="01725C45" w14:textId="77777777" w:rsidR="007D4D11" w:rsidRDefault="007D4D11" w:rsidP="009A477A">
            <w:pPr>
              <w:pStyle w:val="TableText0"/>
              <w:jc w:val="center"/>
            </w:pPr>
            <w:r>
              <w:t>5 (0.3)</w:t>
            </w:r>
          </w:p>
        </w:tc>
        <w:tc>
          <w:tcPr>
            <w:tcW w:w="1107" w:type="pct"/>
            <w:tcBorders>
              <w:top w:val="single" w:sz="4" w:space="0" w:color="auto"/>
              <w:left w:val="single" w:sz="4" w:space="0" w:color="auto"/>
              <w:bottom w:val="single" w:sz="4" w:space="0" w:color="auto"/>
              <w:right w:val="single" w:sz="4" w:space="0" w:color="auto"/>
            </w:tcBorders>
            <w:vAlign w:val="center"/>
            <w:hideMark/>
          </w:tcPr>
          <w:p w14:paraId="1B4A62EA" w14:textId="77777777" w:rsidR="007D4D11" w:rsidRDefault="007D4D11" w:rsidP="009A477A">
            <w:pPr>
              <w:pStyle w:val="TableText0"/>
              <w:jc w:val="center"/>
            </w:pPr>
            <w:r>
              <w:t>7 (0.5)</w:t>
            </w:r>
          </w:p>
        </w:tc>
        <w:tc>
          <w:tcPr>
            <w:tcW w:w="1082" w:type="pct"/>
            <w:tcBorders>
              <w:top w:val="single" w:sz="4" w:space="0" w:color="auto"/>
              <w:left w:val="single" w:sz="4" w:space="0" w:color="auto"/>
              <w:bottom w:val="single" w:sz="4" w:space="0" w:color="auto"/>
              <w:right w:val="single" w:sz="4" w:space="0" w:color="auto"/>
            </w:tcBorders>
            <w:vAlign w:val="center"/>
            <w:hideMark/>
          </w:tcPr>
          <w:p w14:paraId="0FC1660E" w14:textId="77777777" w:rsidR="007D4D11" w:rsidRDefault="007D4D11" w:rsidP="009A477A">
            <w:pPr>
              <w:pStyle w:val="TableText0"/>
              <w:jc w:val="center"/>
            </w:pPr>
            <w:r>
              <w:t>-0.1 (-0.7, 0.4)</w:t>
            </w:r>
          </w:p>
        </w:tc>
      </w:tr>
      <w:tr w:rsidR="007D4D11" w14:paraId="688A2509"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656E4B56" w14:textId="77986DC4" w:rsidR="007D4D11" w:rsidRDefault="007D4D11" w:rsidP="009A477A">
            <w:pPr>
              <w:pStyle w:val="TableText0"/>
              <w:rPr>
                <w:b/>
                <w:bCs w:val="0"/>
              </w:rPr>
            </w:pPr>
            <w:r>
              <w:rPr>
                <w:b/>
                <w:bCs w:val="0"/>
              </w:rPr>
              <w:t>Cohort 2</w:t>
            </w:r>
            <w:r w:rsidR="0050179F">
              <w:rPr>
                <w:b/>
                <w:bCs w:val="0"/>
              </w:rPr>
              <w:t xml:space="preserve"> – age 50-59 years</w:t>
            </w:r>
          </w:p>
        </w:tc>
        <w:tc>
          <w:tcPr>
            <w:tcW w:w="1107" w:type="pct"/>
            <w:tcBorders>
              <w:top w:val="single" w:sz="4" w:space="0" w:color="auto"/>
              <w:left w:val="single" w:sz="4" w:space="0" w:color="auto"/>
              <w:bottom w:val="single" w:sz="4" w:space="0" w:color="auto"/>
              <w:right w:val="single" w:sz="4" w:space="0" w:color="auto"/>
            </w:tcBorders>
            <w:vAlign w:val="center"/>
            <w:hideMark/>
          </w:tcPr>
          <w:p w14:paraId="534D16B8" w14:textId="77777777" w:rsidR="007D4D11" w:rsidRDefault="007D4D11" w:rsidP="009A477A">
            <w:pPr>
              <w:pStyle w:val="TableText0"/>
              <w:jc w:val="center"/>
              <w:rPr>
                <w:b/>
                <w:bCs w:val="0"/>
              </w:rPr>
            </w:pPr>
            <w:r>
              <w:rPr>
                <w:b/>
                <w:bCs w:val="0"/>
              </w:rPr>
              <w:t>N=334</w:t>
            </w:r>
          </w:p>
        </w:tc>
        <w:tc>
          <w:tcPr>
            <w:tcW w:w="1107" w:type="pct"/>
            <w:tcBorders>
              <w:top w:val="single" w:sz="4" w:space="0" w:color="auto"/>
              <w:left w:val="single" w:sz="4" w:space="0" w:color="auto"/>
              <w:bottom w:val="single" w:sz="4" w:space="0" w:color="auto"/>
              <w:right w:val="single" w:sz="4" w:space="0" w:color="auto"/>
            </w:tcBorders>
            <w:vAlign w:val="center"/>
            <w:hideMark/>
          </w:tcPr>
          <w:p w14:paraId="4F6D655D" w14:textId="77777777" w:rsidR="007D4D11" w:rsidRDefault="007D4D11" w:rsidP="009A477A">
            <w:pPr>
              <w:pStyle w:val="TableText0"/>
              <w:jc w:val="center"/>
              <w:rPr>
                <w:b/>
                <w:bCs w:val="0"/>
              </w:rPr>
            </w:pPr>
            <w:r>
              <w:rPr>
                <w:b/>
                <w:bCs w:val="0"/>
              </w:rPr>
              <w:t>N=111</w:t>
            </w:r>
          </w:p>
        </w:tc>
        <w:tc>
          <w:tcPr>
            <w:tcW w:w="1082" w:type="pct"/>
            <w:tcBorders>
              <w:top w:val="single" w:sz="4" w:space="0" w:color="auto"/>
              <w:left w:val="single" w:sz="4" w:space="0" w:color="auto"/>
              <w:bottom w:val="single" w:sz="4" w:space="0" w:color="auto"/>
              <w:right w:val="single" w:sz="4" w:space="0" w:color="auto"/>
            </w:tcBorders>
            <w:vAlign w:val="center"/>
          </w:tcPr>
          <w:p w14:paraId="32D6766E" w14:textId="77777777" w:rsidR="007D4D11" w:rsidRDefault="007D4D11" w:rsidP="009A477A">
            <w:pPr>
              <w:pStyle w:val="TableText0"/>
              <w:jc w:val="center"/>
              <w:rPr>
                <w:b/>
                <w:bCs w:val="0"/>
              </w:rPr>
            </w:pPr>
          </w:p>
        </w:tc>
      </w:tr>
      <w:tr w:rsidR="007D4D11" w14:paraId="2EFCF939"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16BBCAA0" w14:textId="7EC17ACC" w:rsidR="007D4D11" w:rsidRDefault="007D4D11" w:rsidP="009A477A">
            <w:pPr>
              <w:pStyle w:val="TableText0"/>
            </w:pPr>
            <w:r>
              <w:t xml:space="preserve">Any local </w:t>
            </w:r>
            <w:proofErr w:type="spellStart"/>
            <w:r>
              <w:t>reactions</w:t>
            </w:r>
            <w:r>
              <w:rPr>
                <w:vertAlign w:val="superscript"/>
              </w:rPr>
              <w:t>a</w:t>
            </w:r>
            <w:proofErr w:type="spellEnd"/>
          </w:p>
        </w:tc>
        <w:tc>
          <w:tcPr>
            <w:tcW w:w="1107" w:type="pct"/>
            <w:tcBorders>
              <w:top w:val="single" w:sz="4" w:space="0" w:color="auto"/>
              <w:left w:val="single" w:sz="4" w:space="0" w:color="auto"/>
              <w:bottom w:val="single" w:sz="4" w:space="0" w:color="auto"/>
              <w:right w:val="single" w:sz="4" w:space="0" w:color="auto"/>
            </w:tcBorders>
            <w:hideMark/>
          </w:tcPr>
          <w:p w14:paraId="3D59155F" w14:textId="77777777" w:rsidR="007D4D11" w:rsidRDefault="007D4D11" w:rsidP="009A477A">
            <w:pPr>
              <w:pStyle w:val="TableText0"/>
              <w:jc w:val="center"/>
            </w:pPr>
            <w:r>
              <w:t>241 (72.8)</w:t>
            </w:r>
          </w:p>
        </w:tc>
        <w:tc>
          <w:tcPr>
            <w:tcW w:w="1107" w:type="pct"/>
            <w:tcBorders>
              <w:top w:val="single" w:sz="4" w:space="0" w:color="auto"/>
              <w:left w:val="single" w:sz="4" w:space="0" w:color="auto"/>
              <w:bottom w:val="single" w:sz="4" w:space="0" w:color="auto"/>
              <w:right w:val="single" w:sz="4" w:space="0" w:color="auto"/>
            </w:tcBorders>
            <w:hideMark/>
          </w:tcPr>
          <w:p w14:paraId="1D95AEA9" w14:textId="77777777" w:rsidR="007D4D11" w:rsidRDefault="007D4D11" w:rsidP="009A477A">
            <w:pPr>
              <w:pStyle w:val="TableText0"/>
              <w:jc w:val="center"/>
            </w:pPr>
            <w:r>
              <w:t>78 (70.3)</w:t>
            </w:r>
          </w:p>
        </w:tc>
        <w:tc>
          <w:tcPr>
            <w:tcW w:w="1082" w:type="pct"/>
            <w:tcBorders>
              <w:top w:val="single" w:sz="4" w:space="0" w:color="auto"/>
              <w:left w:val="single" w:sz="4" w:space="0" w:color="auto"/>
              <w:bottom w:val="single" w:sz="4" w:space="0" w:color="auto"/>
              <w:right w:val="single" w:sz="4" w:space="0" w:color="auto"/>
            </w:tcBorders>
            <w:hideMark/>
          </w:tcPr>
          <w:p w14:paraId="125A585F" w14:textId="77777777" w:rsidR="007D4D11" w:rsidRDefault="007D4D11" w:rsidP="009A477A">
            <w:pPr>
              <w:pStyle w:val="TableText0"/>
              <w:jc w:val="center"/>
            </w:pPr>
            <w:r>
              <w:t>2.5 (-6.7, 12.7)</w:t>
            </w:r>
          </w:p>
        </w:tc>
      </w:tr>
      <w:tr w:rsidR="007D4D11" w14:paraId="0EB2A2B6"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39F1C8D6" w14:textId="5F90D759" w:rsidR="007D4D11" w:rsidRDefault="007D4D11" w:rsidP="009A477A">
            <w:pPr>
              <w:pStyle w:val="TableText0"/>
            </w:pPr>
            <w:r>
              <w:t xml:space="preserve">Any systemic </w:t>
            </w:r>
            <w:proofErr w:type="spellStart"/>
            <w:r>
              <w:t>event</w:t>
            </w:r>
            <w:r>
              <w:rPr>
                <w:vertAlign w:val="superscript"/>
              </w:rPr>
              <w:t>b</w:t>
            </w:r>
            <w:proofErr w:type="spellEnd"/>
          </w:p>
        </w:tc>
        <w:tc>
          <w:tcPr>
            <w:tcW w:w="1107" w:type="pct"/>
            <w:tcBorders>
              <w:top w:val="single" w:sz="4" w:space="0" w:color="auto"/>
              <w:left w:val="single" w:sz="4" w:space="0" w:color="auto"/>
              <w:bottom w:val="single" w:sz="4" w:space="0" w:color="auto"/>
              <w:right w:val="single" w:sz="4" w:space="0" w:color="auto"/>
            </w:tcBorders>
            <w:hideMark/>
          </w:tcPr>
          <w:p w14:paraId="0BB29E60" w14:textId="77777777" w:rsidR="007D4D11" w:rsidRDefault="007D4D11" w:rsidP="009A477A">
            <w:pPr>
              <w:pStyle w:val="TableText0"/>
              <w:jc w:val="center"/>
            </w:pPr>
            <w:r>
              <w:t>230 (69.5)</w:t>
            </w:r>
          </w:p>
        </w:tc>
        <w:tc>
          <w:tcPr>
            <w:tcW w:w="1107" w:type="pct"/>
            <w:tcBorders>
              <w:top w:val="single" w:sz="4" w:space="0" w:color="auto"/>
              <w:left w:val="single" w:sz="4" w:space="0" w:color="auto"/>
              <w:bottom w:val="single" w:sz="4" w:space="0" w:color="auto"/>
              <w:right w:val="single" w:sz="4" w:space="0" w:color="auto"/>
            </w:tcBorders>
            <w:hideMark/>
          </w:tcPr>
          <w:p w14:paraId="5E727A2D" w14:textId="77777777" w:rsidR="007D4D11" w:rsidRDefault="007D4D11" w:rsidP="009A477A">
            <w:pPr>
              <w:pStyle w:val="TableText0"/>
              <w:jc w:val="center"/>
            </w:pPr>
            <w:r>
              <w:t>75 (67.6)</w:t>
            </w:r>
          </w:p>
        </w:tc>
        <w:tc>
          <w:tcPr>
            <w:tcW w:w="1082" w:type="pct"/>
            <w:tcBorders>
              <w:top w:val="single" w:sz="4" w:space="0" w:color="auto"/>
              <w:left w:val="single" w:sz="4" w:space="0" w:color="auto"/>
              <w:bottom w:val="single" w:sz="4" w:space="0" w:color="auto"/>
              <w:right w:val="single" w:sz="4" w:space="0" w:color="auto"/>
            </w:tcBorders>
            <w:hideMark/>
          </w:tcPr>
          <w:p w14:paraId="68C5FE1E" w14:textId="77777777" w:rsidR="007D4D11" w:rsidRDefault="007D4D11" w:rsidP="009A477A">
            <w:pPr>
              <w:pStyle w:val="TableText0"/>
              <w:jc w:val="center"/>
            </w:pPr>
            <w:r>
              <w:t>1.9 (-7.7, 12.3)</w:t>
            </w:r>
          </w:p>
        </w:tc>
      </w:tr>
      <w:tr w:rsidR="007D4D11" w14:paraId="607A63CC"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7618E37A" w14:textId="52A25942" w:rsidR="007D4D11" w:rsidRDefault="007D4D11" w:rsidP="009A477A">
            <w:pPr>
              <w:pStyle w:val="TableText0"/>
            </w:pPr>
            <w:r>
              <w:t xml:space="preserve">Adverse </w:t>
            </w:r>
            <w:proofErr w:type="spellStart"/>
            <w:r>
              <w:t>event</w:t>
            </w:r>
            <w:r>
              <w:rPr>
                <w:vertAlign w:val="superscript"/>
              </w:rPr>
              <w:t>c</w:t>
            </w:r>
            <w:proofErr w:type="spellEnd"/>
          </w:p>
        </w:tc>
        <w:tc>
          <w:tcPr>
            <w:tcW w:w="1107" w:type="pct"/>
            <w:tcBorders>
              <w:top w:val="single" w:sz="4" w:space="0" w:color="auto"/>
              <w:left w:val="single" w:sz="4" w:space="0" w:color="auto"/>
              <w:bottom w:val="single" w:sz="4" w:space="0" w:color="auto"/>
              <w:right w:val="single" w:sz="4" w:space="0" w:color="auto"/>
            </w:tcBorders>
            <w:vAlign w:val="center"/>
          </w:tcPr>
          <w:p w14:paraId="33DBA479" w14:textId="77777777" w:rsidR="007D4D11" w:rsidRDefault="007D4D11" w:rsidP="009A477A">
            <w:pPr>
              <w:pStyle w:val="TableText0"/>
              <w:jc w:val="center"/>
            </w:pPr>
          </w:p>
        </w:tc>
        <w:tc>
          <w:tcPr>
            <w:tcW w:w="1107" w:type="pct"/>
            <w:tcBorders>
              <w:top w:val="single" w:sz="4" w:space="0" w:color="auto"/>
              <w:left w:val="single" w:sz="4" w:space="0" w:color="auto"/>
              <w:bottom w:val="single" w:sz="4" w:space="0" w:color="auto"/>
              <w:right w:val="single" w:sz="4" w:space="0" w:color="auto"/>
            </w:tcBorders>
            <w:vAlign w:val="center"/>
          </w:tcPr>
          <w:p w14:paraId="0C419831" w14:textId="77777777" w:rsidR="007D4D11" w:rsidRDefault="007D4D11" w:rsidP="009A477A">
            <w:pPr>
              <w:pStyle w:val="TableText0"/>
              <w:jc w:val="center"/>
            </w:pPr>
          </w:p>
        </w:tc>
        <w:tc>
          <w:tcPr>
            <w:tcW w:w="1082" w:type="pct"/>
            <w:tcBorders>
              <w:top w:val="single" w:sz="4" w:space="0" w:color="auto"/>
              <w:left w:val="single" w:sz="4" w:space="0" w:color="auto"/>
              <w:bottom w:val="single" w:sz="4" w:space="0" w:color="auto"/>
              <w:right w:val="single" w:sz="4" w:space="0" w:color="auto"/>
            </w:tcBorders>
            <w:vAlign w:val="center"/>
          </w:tcPr>
          <w:p w14:paraId="4B78484C" w14:textId="77777777" w:rsidR="007D4D11" w:rsidRDefault="007D4D11" w:rsidP="009A477A">
            <w:pPr>
              <w:pStyle w:val="TableText0"/>
              <w:jc w:val="center"/>
            </w:pPr>
          </w:p>
        </w:tc>
      </w:tr>
      <w:tr w:rsidR="007D4D11" w14:paraId="7F8C9486" w14:textId="77777777" w:rsidTr="009A477A">
        <w:tc>
          <w:tcPr>
            <w:tcW w:w="1703" w:type="pct"/>
            <w:tcBorders>
              <w:top w:val="single" w:sz="4" w:space="0" w:color="auto"/>
              <w:left w:val="single" w:sz="4" w:space="0" w:color="auto"/>
              <w:bottom w:val="single" w:sz="4" w:space="0" w:color="auto"/>
              <w:right w:val="single" w:sz="4" w:space="0" w:color="auto"/>
            </w:tcBorders>
            <w:hideMark/>
          </w:tcPr>
          <w:p w14:paraId="5253814B" w14:textId="77777777" w:rsidR="007D4D11" w:rsidRDefault="007D4D11" w:rsidP="009A477A">
            <w:pPr>
              <w:pStyle w:val="TableText0"/>
            </w:pPr>
            <w:r>
              <w:t xml:space="preserve">  Upper respiratory tract infection</w:t>
            </w:r>
          </w:p>
        </w:tc>
        <w:tc>
          <w:tcPr>
            <w:tcW w:w="1107" w:type="pct"/>
            <w:tcBorders>
              <w:top w:val="single" w:sz="4" w:space="0" w:color="auto"/>
              <w:left w:val="single" w:sz="4" w:space="0" w:color="auto"/>
              <w:bottom w:val="single" w:sz="4" w:space="0" w:color="auto"/>
              <w:right w:val="single" w:sz="4" w:space="0" w:color="auto"/>
            </w:tcBorders>
            <w:hideMark/>
          </w:tcPr>
          <w:p w14:paraId="68940192" w14:textId="77777777" w:rsidR="007D4D11" w:rsidRDefault="007D4D11" w:rsidP="009A477A">
            <w:pPr>
              <w:pStyle w:val="TableText0"/>
              <w:jc w:val="center"/>
            </w:pPr>
            <w:r>
              <w:t>4 (1.2)</w:t>
            </w:r>
          </w:p>
        </w:tc>
        <w:tc>
          <w:tcPr>
            <w:tcW w:w="1107" w:type="pct"/>
            <w:tcBorders>
              <w:top w:val="single" w:sz="4" w:space="0" w:color="auto"/>
              <w:left w:val="single" w:sz="4" w:space="0" w:color="auto"/>
              <w:bottom w:val="single" w:sz="4" w:space="0" w:color="auto"/>
              <w:right w:val="single" w:sz="4" w:space="0" w:color="auto"/>
            </w:tcBorders>
            <w:hideMark/>
          </w:tcPr>
          <w:p w14:paraId="110D2A63" w14:textId="77777777" w:rsidR="007D4D11" w:rsidRDefault="007D4D11" w:rsidP="009A477A">
            <w:pPr>
              <w:pStyle w:val="TableText0"/>
              <w:jc w:val="center"/>
            </w:pPr>
            <w:r>
              <w:t>2 (2.7)</w:t>
            </w:r>
          </w:p>
        </w:tc>
        <w:tc>
          <w:tcPr>
            <w:tcW w:w="1082" w:type="pct"/>
            <w:tcBorders>
              <w:top w:val="single" w:sz="4" w:space="0" w:color="auto"/>
              <w:left w:val="single" w:sz="4" w:space="0" w:color="auto"/>
              <w:bottom w:val="single" w:sz="4" w:space="0" w:color="auto"/>
              <w:right w:val="single" w:sz="4" w:space="0" w:color="auto"/>
            </w:tcBorders>
            <w:hideMark/>
          </w:tcPr>
          <w:p w14:paraId="411FE478" w14:textId="77777777" w:rsidR="007D4D11" w:rsidRDefault="007D4D11" w:rsidP="009A477A">
            <w:pPr>
              <w:pStyle w:val="TableText0"/>
              <w:jc w:val="center"/>
            </w:pPr>
            <w:r>
              <w:t>-1.5 (-6.5, 1.0)</w:t>
            </w:r>
          </w:p>
        </w:tc>
      </w:tr>
      <w:tr w:rsidR="007D4D11" w14:paraId="334DBA26" w14:textId="77777777" w:rsidTr="009A477A">
        <w:trPr>
          <w:trHeight w:val="85"/>
        </w:trPr>
        <w:tc>
          <w:tcPr>
            <w:tcW w:w="1703" w:type="pct"/>
            <w:tcBorders>
              <w:top w:val="single" w:sz="4" w:space="0" w:color="auto"/>
              <w:left w:val="single" w:sz="4" w:space="0" w:color="auto"/>
              <w:bottom w:val="single" w:sz="4" w:space="0" w:color="auto"/>
              <w:right w:val="single" w:sz="4" w:space="0" w:color="auto"/>
            </w:tcBorders>
            <w:hideMark/>
          </w:tcPr>
          <w:p w14:paraId="4F2ADD14" w14:textId="77777777" w:rsidR="007D4D11" w:rsidRDefault="007D4D11" w:rsidP="009A477A">
            <w:pPr>
              <w:pStyle w:val="TableText0"/>
            </w:pPr>
            <w:r>
              <w:t xml:space="preserve">  Fall</w:t>
            </w:r>
          </w:p>
        </w:tc>
        <w:tc>
          <w:tcPr>
            <w:tcW w:w="1107" w:type="pct"/>
            <w:tcBorders>
              <w:top w:val="single" w:sz="4" w:space="0" w:color="auto"/>
              <w:left w:val="single" w:sz="4" w:space="0" w:color="auto"/>
              <w:bottom w:val="single" w:sz="4" w:space="0" w:color="auto"/>
              <w:right w:val="single" w:sz="4" w:space="0" w:color="auto"/>
            </w:tcBorders>
            <w:hideMark/>
          </w:tcPr>
          <w:p w14:paraId="3A70209B" w14:textId="77777777" w:rsidR="007D4D11" w:rsidRDefault="007D4D11" w:rsidP="009A477A">
            <w:pPr>
              <w:pStyle w:val="TableText0"/>
              <w:jc w:val="center"/>
            </w:pPr>
            <w:r>
              <w:t>4 (1.2)</w:t>
            </w:r>
          </w:p>
        </w:tc>
        <w:tc>
          <w:tcPr>
            <w:tcW w:w="1107" w:type="pct"/>
            <w:tcBorders>
              <w:top w:val="single" w:sz="4" w:space="0" w:color="auto"/>
              <w:left w:val="single" w:sz="4" w:space="0" w:color="auto"/>
              <w:bottom w:val="single" w:sz="4" w:space="0" w:color="auto"/>
              <w:right w:val="single" w:sz="4" w:space="0" w:color="auto"/>
            </w:tcBorders>
            <w:hideMark/>
          </w:tcPr>
          <w:p w14:paraId="7A9FBA10" w14:textId="77777777" w:rsidR="007D4D11" w:rsidRDefault="007D4D11" w:rsidP="009A477A">
            <w:pPr>
              <w:pStyle w:val="TableText0"/>
              <w:jc w:val="center"/>
            </w:pPr>
            <w:r>
              <w:t>0</w:t>
            </w:r>
          </w:p>
        </w:tc>
        <w:tc>
          <w:tcPr>
            <w:tcW w:w="1082" w:type="pct"/>
            <w:tcBorders>
              <w:top w:val="single" w:sz="4" w:space="0" w:color="auto"/>
              <w:left w:val="single" w:sz="4" w:space="0" w:color="auto"/>
              <w:bottom w:val="single" w:sz="4" w:space="0" w:color="auto"/>
              <w:right w:val="single" w:sz="4" w:space="0" w:color="auto"/>
            </w:tcBorders>
            <w:hideMark/>
          </w:tcPr>
          <w:p w14:paraId="5CB1FD42" w14:textId="77777777" w:rsidR="007D4D11" w:rsidRDefault="007D4D11" w:rsidP="009A477A">
            <w:pPr>
              <w:pStyle w:val="TableText0"/>
              <w:jc w:val="center"/>
            </w:pPr>
            <w:r>
              <w:t>1.2 (-2.2, 3.0)</w:t>
            </w:r>
          </w:p>
        </w:tc>
      </w:tr>
      <w:tr w:rsidR="007D4D11" w14:paraId="4CDE4E5B"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47EB103B" w14:textId="35BA6C8A" w:rsidR="007D4D11" w:rsidRDefault="007D4D11" w:rsidP="009A477A">
            <w:pPr>
              <w:pStyle w:val="TableText0"/>
              <w:rPr>
                <w:b/>
                <w:bCs w:val="0"/>
              </w:rPr>
            </w:pPr>
            <w:r>
              <w:rPr>
                <w:b/>
                <w:bCs w:val="0"/>
              </w:rPr>
              <w:t>Cohort 3</w:t>
            </w:r>
            <w:r w:rsidR="0050179F">
              <w:rPr>
                <w:b/>
                <w:bCs w:val="0"/>
              </w:rPr>
              <w:t xml:space="preserve"> – age 18-49 years</w:t>
            </w:r>
          </w:p>
        </w:tc>
        <w:tc>
          <w:tcPr>
            <w:tcW w:w="1107" w:type="pct"/>
            <w:tcBorders>
              <w:top w:val="single" w:sz="4" w:space="0" w:color="auto"/>
              <w:left w:val="single" w:sz="4" w:space="0" w:color="auto"/>
              <w:bottom w:val="single" w:sz="4" w:space="0" w:color="auto"/>
              <w:right w:val="single" w:sz="4" w:space="0" w:color="auto"/>
            </w:tcBorders>
            <w:vAlign w:val="center"/>
            <w:hideMark/>
          </w:tcPr>
          <w:p w14:paraId="1FDA8BC4" w14:textId="77777777" w:rsidR="007D4D11" w:rsidRDefault="007D4D11" w:rsidP="009A477A">
            <w:pPr>
              <w:pStyle w:val="TableText0"/>
              <w:jc w:val="center"/>
              <w:rPr>
                <w:b/>
                <w:bCs w:val="0"/>
              </w:rPr>
            </w:pPr>
            <w:r>
              <w:rPr>
                <w:b/>
                <w:bCs w:val="0"/>
              </w:rPr>
              <w:t>N=335</w:t>
            </w:r>
          </w:p>
        </w:tc>
        <w:tc>
          <w:tcPr>
            <w:tcW w:w="1107" w:type="pct"/>
            <w:tcBorders>
              <w:top w:val="single" w:sz="4" w:space="0" w:color="auto"/>
              <w:left w:val="single" w:sz="4" w:space="0" w:color="auto"/>
              <w:bottom w:val="single" w:sz="4" w:space="0" w:color="auto"/>
              <w:right w:val="single" w:sz="4" w:space="0" w:color="auto"/>
            </w:tcBorders>
            <w:vAlign w:val="center"/>
            <w:hideMark/>
          </w:tcPr>
          <w:p w14:paraId="1E309A00" w14:textId="77777777" w:rsidR="007D4D11" w:rsidRDefault="007D4D11" w:rsidP="009A477A">
            <w:pPr>
              <w:pStyle w:val="TableText0"/>
              <w:jc w:val="center"/>
              <w:rPr>
                <w:b/>
                <w:bCs w:val="0"/>
              </w:rPr>
            </w:pPr>
            <w:r>
              <w:rPr>
                <w:b/>
                <w:bCs w:val="0"/>
              </w:rPr>
              <w:t>N=112</w:t>
            </w:r>
          </w:p>
        </w:tc>
        <w:tc>
          <w:tcPr>
            <w:tcW w:w="1082" w:type="pct"/>
            <w:tcBorders>
              <w:top w:val="single" w:sz="4" w:space="0" w:color="auto"/>
              <w:left w:val="single" w:sz="4" w:space="0" w:color="auto"/>
              <w:bottom w:val="single" w:sz="4" w:space="0" w:color="auto"/>
              <w:right w:val="single" w:sz="4" w:space="0" w:color="auto"/>
            </w:tcBorders>
            <w:vAlign w:val="center"/>
          </w:tcPr>
          <w:p w14:paraId="4990A387" w14:textId="77777777" w:rsidR="007D4D11" w:rsidRDefault="007D4D11" w:rsidP="009A477A">
            <w:pPr>
              <w:pStyle w:val="TableText0"/>
              <w:jc w:val="center"/>
              <w:rPr>
                <w:b/>
                <w:bCs w:val="0"/>
              </w:rPr>
            </w:pPr>
          </w:p>
        </w:tc>
      </w:tr>
      <w:tr w:rsidR="007D4D11" w14:paraId="11ACCD26"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0770CA82" w14:textId="39471058" w:rsidR="007D4D11" w:rsidRDefault="007D4D11" w:rsidP="009A477A">
            <w:pPr>
              <w:pStyle w:val="TableText0"/>
            </w:pPr>
            <w:r>
              <w:t xml:space="preserve">Any local </w:t>
            </w:r>
            <w:proofErr w:type="spellStart"/>
            <w:r>
              <w:t>reactions</w:t>
            </w:r>
            <w:r>
              <w:rPr>
                <w:vertAlign w:val="superscript"/>
              </w:rPr>
              <w:t>a</w:t>
            </w:r>
            <w:proofErr w:type="spellEnd"/>
          </w:p>
        </w:tc>
        <w:tc>
          <w:tcPr>
            <w:tcW w:w="1107" w:type="pct"/>
            <w:tcBorders>
              <w:top w:val="single" w:sz="4" w:space="0" w:color="auto"/>
              <w:left w:val="single" w:sz="4" w:space="0" w:color="auto"/>
              <w:bottom w:val="single" w:sz="4" w:space="0" w:color="auto"/>
              <w:right w:val="single" w:sz="4" w:space="0" w:color="auto"/>
            </w:tcBorders>
            <w:hideMark/>
          </w:tcPr>
          <w:p w14:paraId="0D15A1B7" w14:textId="77777777" w:rsidR="007D4D11" w:rsidRDefault="007D4D11" w:rsidP="009A477A">
            <w:pPr>
              <w:pStyle w:val="TableText0"/>
              <w:jc w:val="center"/>
            </w:pPr>
            <w:r>
              <w:t>272 (81.2)</w:t>
            </w:r>
          </w:p>
        </w:tc>
        <w:tc>
          <w:tcPr>
            <w:tcW w:w="1107" w:type="pct"/>
            <w:tcBorders>
              <w:top w:val="single" w:sz="4" w:space="0" w:color="auto"/>
              <w:left w:val="single" w:sz="4" w:space="0" w:color="auto"/>
              <w:bottom w:val="single" w:sz="4" w:space="0" w:color="auto"/>
              <w:right w:val="single" w:sz="4" w:space="0" w:color="auto"/>
            </w:tcBorders>
            <w:hideMark/>
          </w:tcPr>
          <w:p w14:paraId="11E99DB5" w14:textId="77777777" w:rsidR="007D4D11" w:rsidRDefault="007D4D11" w:rsidP="009A477A">
            <w:pPr>
              <w:pStyle w:val="TableText0"/>
              <w:jc w:val="center"/>
            </w:pPr>
            <w:r>
              <w:t>92 (82.1)</w:t>
            </w:r>
          </w:p>
        </w:tc>
        <w:tc>
          <w:tcPr>
            <w:tcW w:w="1082" w:type="pct"/>
            <w:tcBorders>
              <w:top w:val="single" w:sz="4" w:space="0" w:color="auto"/>
              <w:left w:val="single" w:sz="4" w:space="0" w:color="auto"/>
              <w:bottom w:val="single" w:sz="4" w:space="0" w:color="auto"/>
              <w:right w:val="single" w:sz="4" w:space="0" w:color="auto"/>
            </w:tcBorders>
            <w:hideMark/>
          </w:tcPr>
          <w:p w14:paraId="4A53F362" w14:textId="77777777" w:rsidR="007D4D11" w:rsidRDefault="007D4D11" w:rsidP="009A477A">
            <w:pPr>
              <w:pStyle w:val="TableText0"/>
              <w:jc w:val="center"/>
            </w:pPr>
            <w:r>
              <w:t>-0.9 (-8.5, 8.0)</w:t>
            </w:r>
          </w:p>
        </w:tc>
      </w:tr>
      <w:tr w:rsidR="007D4D11" w14:paraId="0FA669BD"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2D46D66A" w14:textId="764AD1DD" w:rsidR="007D4D11" w:rsidRDefault="007D4D11" w:rsidP="009A477A">
            <w:pPr>
              <w:pStyle w:val="TableText0"/>
            </w:pPr>
            <w:r>
              <w:t xml:space="preserve">Any systemic </w:t>
            </w:r>
            <w:proofErr w:type="spellStart"/>
            <w:r>
              <w:t>event</w:t>
            </w:r>
            <w:r>
              <w:rPr>
                <w:vertAlign w:val="superscript"/>
              </w:rPr>
              <w:t>b</w:t>
            </w:r>
            <w:proofErr w:type="spellEnd"/>
          </w:p>
        </w:tc>
        <w:tc>
          <w:tcPr>
            <w:tcW w:w="1107" w:type="pct"/>
            <w:tcBorders>
              <w:top w:val="single" w:sz="4" w:space="0" w:color="auto"/>
              <w:left w:val="single" w:sz="4" w:space="0" w:color="auto"/>
              <w:bottom w:val="single" w:sz="4" w:space="0" w:color="auto"/>
              <w:right w:val="single" w:sz="4" w:space="0" w:color="auto"/>
            </w:tcBorders>
            <w:hideMark/>
          </w:tcPr>
          <w:p w14:paraId="119C6F69" w14:textId="77777777" w:rsidR="007D4D11" w:rsidRDefault="007D4D11" w:rsidP="009A477A">
            <w:pPr>
              <w:pStyle w:val="TableText0"/>
              <w:jc w:val="center"/>
            </w:pPr>
            <w:r>
              <w:t>266 (79.4)</w:t>
            </w:r>
          </w:p>
        </w:tc>
        <w:tc>
          <w:tcPr>
            <w:tcW w:w="1107" w:type="pct"/>
            <w:tcBorders>
              <w:top w:val="single" w:sz="4" w:space="0" w:color="auto"/>
              <w:left w:val="single" w:sz="4" w:space="0" w:color="auto"/>
              <w:bottom w:val="single" w:sz="4" w:space="0" w:color="auto"/>
              <w:right w:val="single" w:sz="4" w:space="0" w:color="auto"/>
            </w:tcBorders>
            <w:hideMark/>
          </w:tcPr>
          <w:p w14:paraId="396ACCE3" w14:textId="77777777" w:rsidR="007D4D11" w:rsidRDefault="007D4D11" w:rsidP="009A477A">
            <w:pPr>
              <w:pStyle w:val="TableText0"/>
              <w:jc w:val="center"/>
            </w:pPr>
            <w:r>
              <w:t>93 (83.0)</w:t>
            </w:r>
          </w:p>
        </w:tc>
        <w:tc>
          <w:tcPr>
            <w:tcW w:w="1082" w:type="pct"/>
            <w:tcBorders>
              <w:top w:val="single" w:sz="4" w:space="0" w:color="auto"/>
              <w:left w:val="single" w:sz="4" w:space="0" w:color="auto"/>
              <w:bottom w:val="single" w:sz="4" w:space="0" w:color="auto"/>
              <w:right w:val="single" w:sz="4" w:space="0" w:color="auto"/>
            </w:tcBorders>
            <w:hideMark/>
          </w:tcPr>
          <w:p w14:paraId="5142EDB7" w14:textId="77777777" w:rsidR="007D4D11" w:rsidRDefault="007D4D11" w:rsidP="009A477A">
            <w:pPr>
              <w:pStyle w:val="TableText0"/>
              <w:jc w:val="center"/>
            </w:pPr>
            <w:r>
              <w:t>-3.6 (-11.2, 5.3)</w:t>
            </w:r>
          </w:p>
        </w:tc>
      </w:tr>
      <w:tr w:rsidR="007D4D11" w14:paraId="73A4BFE9" w14:textId="77777777" w:rsidTr="009A477A">
        <w:tc>
          <w:tcPr>
            <w:tcW w:w="1703" w:type="pct"/>
            <w:tcBorders>
              <w:top w:val="single" w:sz="4" w:space="0" w:color="auto"/>
              <w:left w:val="single" w:sz="4" w:space="0" w:color="auto"/>
              <w:bottom w:val="single" w:sz="4" w:space="0" w:color="auto"/>
              <w:right w:val="single" w:sz="4" w:space="0" w:color="auto"/>
            </w:tcBorders>
            <w:vAlign w:val="center"/>
            <w:hideMark/>
          </w:tcPr>
          <w:p w14:paraId="7E332C7B" w14:textId="2F61F995" w:rsidR="007D4D11" w:rsidRDefault="007D4D11" w:rsidP="009A477A">
            <w:pPr>
              <w:pStyle w:val="TableText0"/>
            </w:pPr>
            <w:r>
              <w:t xml:space="preserve">Adverse </w:t>
            </w:r>
            <w:proofErr w:type="spellStart"/>
            <w:r>
              <w:t>event</w:t>
            </w:r>
            <w:r>
              <w:rPr>
                <w:vertAlign w:val="superscript"/>
              </w:rPr>
              <w:t>c</w:t>
            </w:r>
            <w:proofErr w:type="spellEnd"/>
          </w:p>
        </w:tc>
        <w:tc>
          <w:tcPr>
            <w:tcW w:w="1107" w:type="pct"/>
            <w:tcBorders>
              <w:top w:val="single" w:sz="4" w:space="0" w:color="auto"/>
              <w:left w:val="single" w:sz="4" w:space="0" w:color="auto"/>
              <w:bottom w:val="single" w:sz="4" w:space="0" w:color="auto"/>
              <w:right w:val="single" w:sz="4" w:space="0" w:color="auto"/>
            </w:tcBorders>
            <w:vAlign w:val="center"/>
          </w:tcPr>
          <w:p w14:paraId="0C3E6D10" w14:textId="77777777" w:rsidR="007D4D11" w:rsidRDefault="007D4D11" w:rsidP="009A477A">
            <w:pPr>
              <w:pStyle w:val="TableText0"/>
              <w:jc w:val="center"/>
            </w:pPr>
          </w:p>
        </w:tc>
        <w:tc>
          <w:tcPr>
            <w:tcW w:w="1107" w:type="pct"/>
            <w:tcBorders>
              <w:top w:val="single" w:sz="4" w:space="0" w:color="auto"/>
              <w:left w:val="single" w:sz="4" w:space="0" w:color="auto"/>
              <w:bottom w:val="single" w:sz="4" w:space="0" w:color="auto"/>
              <w:right w:val="single" w:sz="4" w:space="0" w:color="auto"/>
            </w:tcBorders>
            <w:vAlign w:val="center"/>
          </w:tcPr>
          <w:p w14:paraId="51EAB463" w14:textId="77777777" w:rsidR="007D4D11" w:rsidRDefault="007D4D11" w:rsidP="009A477A">
            <w:pPr>
              <w:pStyle w:val="TableText0"/>
              <w:jc w:val="center"/>
            </w:pPr>
          </w:p>
        </w:tc>
        <w:tc>
          <w:tcPr>
            <w:tcW w:w="1082" w:type="pct"/>
            <w:tcBorders>
              <w:top w:val="single" w:sz="4" w:space="0" w:color="auto"/>
              <w:left w:val="single" w:sz="4" w:space="0" w:color="auto"/>
              <w:bottom w:val="single" w:sz="4" w:space="0" w:color="auto"/>
              <w:right w:val="single" w:sz="4" w:space="0" w:color="auto"/>
            </w:tcBorders>
            <w:vAlign w:val="center"/>
          </w:tcPr>
          <w:p w14:paraId="34170EEF" w14:textId="77777777" w:rsidR="007D4D11" w:rsidRDefault="007D4D11" w:rsidP="009A477A">
            <w:pPr>
              <w:pStyle w:val="TableText0"/>
              <w:jc w:val="center"/>
            </w:pPr>
          </w:p>
        </w:tc>
      </w:tr>
      <w:tr w:rsidR="007D4D11" w14:paraId="33EC8D66" w14:textId="77777777" w:rsidTr="009A477A">
        <w:tc>
          <w:tcPr>
            <w:tcW w:w="1703" w:type="pct"/>
            <w:tcBorders>
              <w:top w:val="single" w:sz="4" w:space="0" w:color="auto"/>
              <w:left w:val="single" w:sz="4" w:space="0" w:color="auto"/>
              <w:bottom w:val="single" w:sz="4" w:space="0" w:color="auto"/>
              <w:right w:val="single" w:sz="4" w:space="0" w:color="auto"/>
            </w:tcBorders>
            <w:hideMark/>
          </w:tcPr>
          <w:p w14:paraId="12634CBA" w14:textId="77777777" w:rsidR="007D4D11" w:rsidRDefault="007D4D11" w:rsidP="009A477A">
            <w:pPr>
              <w:pStyle w:val="TableText0"/>
            </w:pPr>
            <w:r>
              <w:t xml:space="preserve">  Influenza</w:t>
            </w:r>
          </w:p>
        </w:tc>
        <w:tc>
          <w:tcPr>
            <w:tcW w:w="1107" w:type="pct"/>
            <w:tcBorders>
              <w:top w:val="single" w:sz="4" w:space="0" w:color="auto"/>
              <w:left w:val="single" w:sz="4" w:space="0" w:color="auto"/>
              <w:bottom w:val="single" w:sz="4" w:space="0" w:color="auto"/>
              <w:right w:val="single" w:sz="4" w:space="0" w:color="auto"/>
            </w:tcBorders>
            <w:hideMark/>
          </w:tcPr>
          <w:p w14:paraId="06833173" w14:textId="77777777" w:rsidR="007D4D11" w:rsidRDefault="007D4D11" w:rsidP="009A477A">
            <w:pPr>
              <w:pStyle w:val="TableText0"/>
              <w:jc w:val="center"/>
            </w:pPr>
            <w:r>
              <w:t>7 (2.1)</w:t>
            </w:r>
          </w:p>
        </w:tc>
        <w:tc>
          <w:tcPr>
            <w:tcW w:w="1107" w:type="pct"/>
            <w:tcBorders>
              <w:top w:val="single" w:sz="4" w:space="0" w:color="auto"/>
              <w:left w:val="single" w:sz="4" w:space="0" w:color="auto"/>
              <w:bottom w:val="single" w:sz="4" w:space="0" w:color="auto"/>
              <w:right w:val="single" w:sz="4" w:space="0" w:color="auto"/>
            </w:tcBorders>
            <w:hideMark/>
          </w:tcPr>
          <w:p w14:paraId="720CACE4" w14:textId="77777777" w:rsidR="007D4D11" w:rsidRDefault="007D4D11" w:rsidP="009A477A">
            <w:pPr>
              <w:pStyle w:val="TableText0"/>
              <w:jc w:val="center"/>
            </w:pPr>
            <w:r>
              <w:t>1 (0.9)</w:t>
            </w:r>
          </w:p>
        </w:tc>
        <w:tc>
          <w:tcPr>
            <w:tcW w:w="1082" w:type="pct"/>
            <w:tcBorders>
              <w:top w:val="single" w:sz="4" w:space="0" w:color="auto"/>
              <w:left w:val="single" w:sz="4" w:space="0" w:color="auto"/>
              <w:bottom w:val="single" w:sz="4" w:space="0" w:color="auto"/>
              <w:right w:val="single" w:sz="4" w:space="0" w:color="auto"/>
            </w:tcBorders>
            <w:hideMark/>
          </w:tcPr>
          <w:p w14:paraId="6B5195CB" w14:textId="77777777" w:rsidR="007D4D11" w:rsidRDefault="007D4D11" w:rsidP="009A477A">
            <w:pPr>
              <w:pStyle w:val="TableText0"/>
              <w:jc w:val="center"/>
            </w:pPr>
            <w:r>
              <w:t>1.2 (-2.9, 3.6)</w:t>
            </w:r>
          </w:p>
        </w:tc>
      </w:tr>
      <w:tr w:rsidR="007D4D11" w14:paraId="600D4EC7" w14:textId="77777777" w:rsidTr="009A477A">
        <w:tc>
          <w:tcPr>
            <w:tcW w:w="1703" w:type="pct"/>
            <w:tcBorders>
              <w:top w:val="single" w:sz="4" w:space="0" w:color="auto"/>
              <w:left w:val="single" w:sz="4" w:space="0" w:color="auto"/>
              <w:bottom w:val="single" w:sz="4" w:space="0" w:color="auto"/>
              <w:right w:val="single" w:sz="4" w:space="0" w:color="auto"/>
            </w:tcBorders>
            <w:hideMark/>
          </w:tcPr>
          <w:p w14:paraId="14F95740" w14:textId="77777777" w:rsidR="007D4D11" w:rsidRDefault="007D4D11" w:rsidP="009A477A">
            <w:pPr>
              <w:pStyle w:val="TableText0"/>
            </w:pPr>
            <w:r>
              <w:t xml:space="preserve">  Nasopharyngitis </w:t>
            </w:r>
          </w:p>
        </w:tc>
        <w:tc>
          <w:tcPr>
            <w:tcW w:w="1107" w:type="pct"/>
            <w:tcBorders>
              <w:top w:val="single" w:sz="4" w:space="0" w:color="auto"/>
              <w:left w:val="single" w:sz="4" w:space="0" w:color="auto"/>
              <w:bottom w:val="single" w:sz="4" w:space="0" w:color="auto"/>
              <w:right w:val="single" w:sz="4" w:space="0" w:color="auto"/>
            </w:tcBorders>
            <w:hideMark/>
          </w:tcPr>
          <w:p w14:paraId="3C94F9E2" w14:textId="77777777" w:rsidR="007D4D11" w:rsidRDefault="007D4D11" w:rsidP="009A477A">
            <w:pPr>
              <w:pStyle w:val="TableText0"/>
              <w:jc w:val="center"/>
            </w:pPr>
            <w:r>
              <w:t>6 (1.8)</w:t>
            </w:r>
          </w:p>
        </w:tc>
        <w:tc>
          <w:tcPr>
            <w:tcW w:w="1107" w:type="pct"/>
            <w:tcBorders>
              <w:top w:val="single" w:sz="4" w:space="0" w:color="auto"/>
              <w:left w:val="single" w:sz="4" w:space="0" w:color="auto"/>
              <w:bottom w:val="single" w:sz="4" w:space="0" w:color="auto"/>
              <w:right w:val="single" w:sz="4" w:space="0" w:color="auto"/>
            </w:tcBorders>
            <w:hideMark/>
          </w:tcPr>
          <w:p w14:paraId="3A431F74" w14:textId="77777777" w:rsidR="007D4D11" w:rsidRDefault="007D4D11" w:rsidP="009A477A">
            <w:pPr>
              <w:pStyle w:val="TableText0"/>
              <w:jc w:val="center"/>
            </w:pPr>
            <w:r>
              <w:t>2 (1.8)</w:t>
            </w:r>
          </w:p>
        </w:tc>
        <w:tc>
          <w:tcPr>
            <w:tcW w:w="1082" w:type="pct"/>
            <w:tcBorders>
              <w:top w:val="single" w:sz="4" w:space="0" w:color="auto"/>
              <w:left w:val="single" w:sz="4" w:space="0" w:color="auto"/>
              <w:bottom w:val="single" w:sz="4" w:space="0" w:color="auto"/>
              <w:right w:val="single" w:sz="4" w:space="0" w:color="auto"/>
            </w:tcBorders>
            <w:hideMark/>
          </w:tcPr>
          <w:p w14:paraId="3C1A8280" w14:textId="77777777" w:rsidR="007D4D11" w:rsidRDefault="007D4D11" w:rsidP="009A477A">
            <w:pPr>
              <w:pStyle w:val="TableText0"/>
              <w:jc w:val="center"/>
            </w:pPr>
            <w:r>
              <w:t>0.0 (-4.6, 2.5)</w:t>
            </w:r>
          </w:p>
        </w:tc>
      </w:tr>
      <w:tr w:rsidR="007D4D11" w14:paraId="1512100F" w14:textId="77777777" w:rsidTr="009A477A">
        <w:tc>
          <w:tcPr>
            <w:tcW w:w="1703" w:type="pct"/>
            <w:tcBorders>
              <w:top w:val="single" w:sz="4" w:space="0" w:color="auto"/>
              <w:left w:val="single" w:sz="4" w:space="0" w:color="auto"/>
              <w:bottom w:val="single" w:sz="4" w:space="0" w:color="auto"/>
              <w:right w:val="single" w:sz="4" w:space="0" w:color="auto"/>
            </w:tcBorders>
            <w:hideMark/>
          </w:tcPr>
          <w:p w14:paraId="7993FFCE" w14:textId="77777777" w:rsidR="007D4D11" w:rsidRDefault="007D4D11" w:rsidP="009A477A">
            <w:pPr>
              <w:pStyle w:val="TableText0"/>
            </w:pPr>
            <w:r>
              <w:t xml:space="preserve">  Upper respiratory tract infection</w:t>
            </w:r>
          </w:p>
        </w:tc>
        <w:tc>
          <w:tcPr>
            <w:tcW w:w="1107" w:type="pct"/>
            <w:tcBorders>
              <w:top w:val="single" w:sz="4" w:space="0" w:color="auto"/>
              <w:left w:val="single" w:sz="4" w:space="0" w:color="auto"/>
              <w:bottom w:val="single" w:sz="4" w:space="0" w:color="auto"/>
              <w:right w:val="single" w:sz="4" w:space="0" w:color="auto"/>
            </w:tcBorders>
            <w:hideMark/>
          </w:tcPr>
          <w:p w14:paraId="3DC98808" w14:textId="77777777" w:rsidR="007D4D11" w:rsidRDefault="007D4D11" w:rsidP="009A477A">
            <w:pPr>
              <w:pStyle w:val="TableText0"/>
              <w:jc w:val="center"/>
            </w:pPr>
            <w:r>
              <w:t>7 (2.1)</w:t>
            </w:r>
          </w:p>
        </w:tc>
        <w:tc>
          <w:tcPr>
            <w:tcW w:w="1107" w:type="pct"/>
            <w:tcBorders>
              <w:top w:val="single" w:sz="4" w:space="0" w:color="auto"/>
              <w:left w:val="single" w:sz="4" w:space="0" w:color="auto"/>
              <w:bottom w:val="single" w:sz="4" w:space="0" w:color="auto"/>
              <w:right w:val="single" w:sz="4" w:space="0" w:color="auto"/>
            </w:tcBorders>
            <w:hideMark/>
          </w:tcPr>
          <w:p w14:paraId="77748108" w14:textId="77777777" w:rsidR="007D4D11" w:rsidRDefault="007D4D11" w:rsidP="009A477A">
            <w:pPr>
              <w:pStyle w:val="TableText0"/>
              <w:jc w:val="center"/>
            </w:pPr>
            <w:r>
              <w:t>1 (0.9)</w:t>
            </w:r>
          </w:p>
        </w:tc>
        <w:tc>
          <w:tcPr>
            <w:tcW w:w="1082" w:type="pct"/>
            <w:tcBorders>
              <w:top w:val="single" w:sz="4" w:space="0" w:color="auto"/>
              <w:left w:val="single" w:sz="4" w:space="0" w:color="auto"/>
              <w:bottom w:val="single" w:sz="4" w:space="0" w:color="auto"/>
              <w:right w:val="single" w:sz="4" w:space="0" w:color="auto"/>
            </w:tcBorders>
            <w:hideMark/>
          </w:tcPr>
          <w:p w14:paraId="4B86FFD9" w14:textId="77777777" w:rsidR="007D4D11" w:rsidRDefault="007D4D11" w:rsidP="009A477A">
            <w:pPr>
              <w:pStyle w:val="TableText0"/>
              <w:jc w:val="center"/>
            </w:pPr>
            <w:r>
              <w:t>1.2 (-2.9, 3.6)</w:t>
            </w:r>
          </w:p>
        </w:tc>
      </w:tr>
    </w:tbl>
    <w:p w14:paraId="70FEDC53" w14:textId="77777777" w:rsidR="007D4D11" w:rsidRDefault="007D4D11" w:rsidP="007D4D11">
      <w:pPr>
        <w:pStyle w:val="FooterTableFigure"/>
      </w:pPr>
      <w:r>
        <w:t>Source: Compiled from data extracted from Section 2.5 of the submission and from B7471007 CSR</w:t>
      </w:r>
    </w:p>
    <w:p w14:paraId="7C5743ED" w14:textId="3302039A" w:rsidR="007D4D11" w:rsidRDefault="007D4D11" w:rsidP="007D4D11">
      <w:pPr>
        <w:pStyle w:val="FooterTableFigure"/>
        <w:rPr>
          <w:rFonts w:eastAsia="Calibri"/>
        </w:rPr>
      </w:pPr>
      <w:r>
        <w:rPr>
          <w:rFonts w:eastAsia="Calibri"/>
        </w:rPr>
        <w:t xml:space="preserve">Abbreviations: </w:t>
      </w:r>
      <w:r>
        <w:rPr>
          <w:rFonts w:eastAsia="TimesNewRoman"/>
        </w:rPr>
        <w:t>13vPCV, 13-valent pneumococcal conjugate vaccine; 20vPCV, 20-valent pneumococcal conjugate vaccine; CI, confidence interval</w:t>
      </w:r>
      <w:r>
        <w:rPr>
          <w:rFonts w:eastAsia="Calibri"/>
        </w:rPr>
        <w:t>; n = number of participants reporting data; N = total participants in group; RD = risk difference; RR = relative risk</w:t>
      </w:r>
    </w:p>
    <w:p w14:paraId="3AD5CAF7" w14:textId="77777777" w:rsidR="007D4D11" w:rsidRDefault="007D4D11" w:rsidP="007D4D11">
      <w:pPr>
        <w:pStyle w:val="FooterTableFigure"/>
        <w:rPr>
          <w:rFonts w:eastAsia="Calibri"/>
        </w:rPr>
      </w:pPr>
      <w:r>
        <w:rPr>
          <w:rFonts w:eastAsia="Calibri"/>
        </w:rPr>
        <w:t xml:space="preserve">Bold text indicates statistically significant differences. </w:t>
      </w:r>
    </w:p>
    <w:p w14:paraId="36D846EA" w14:textId="5CB08AFD" w:rsidR="007D4D11" w:rsidRDefault="001B3811" w:rsidP="007D4D11">
      <w:pPr>
        <w:pStyle w:val="FooterTableFigure"/>
        <w:rPr>
          <w:rFonts w:eastAsia="Calibri"/>
        </w:rPr>
      </w:pPr>
      <w:proofErr w:type="spellStart"/>
      <w:r>
        <w:rPr>
          <w:rFonts w:eastAsia="Calibri"/>
        </w:rPr>
        <w:t>a</w:t>
      </w:r>
      <w:proofErr w:type="spellEnd"/>
      <w:r w:rsidR="007D4D11">
        <w:rPr>
          <w:rFonts w:eastAsia="Calibri"/>
        </w:rPr>
        <w:t xml:space="preserve"> </w:t>
      </w:r>
      <w:r w:rsidR="007D4D11">
        <w:t>Any local reaction = any pain at injection site, any swelling &gt;</w:t>
      </w:r>
      <w:r>
        <w:t xml:space="preserve"> </w:t>
      </w:r>
      <w:r w:rsidR="007D4D11">
        <w:t>2.0 cm, or any redness &gt;</w:t>
      </w:r>
      <w:r>
        <w:t xml:space="preserve"> </w:t>
      </w:r>
      <w:r w:rsidR="007D4D11">
        <w:t>2.0 cm during Day 1 to Day 10 after vaccination</w:t>
      </w:r>
    </w:p>
    <w:p w14:paraId="2225490A" w14:textId="4C91707F" w:rsidR="007D4D11" w:rsidRDefault="007D4D11" w:rsidP="007D4D11">
      <w:pPr>
        <w:pStyle w:val="FooterTableFigure"/>
      </w:pPr>
      <w:r>
        <w:rPr>
          <w:rFonts w:eastAsia="Calibri"/>
        </w:rPr>
        <w:t xml:space="preserve">b </w:t>
      </w:r>
      <w:r>
        <w:t>Any systemic event = any fever ≥</w:t>
      </w:r>
      <w:r w:rsidR="001B3811">
        <w:t xml:space="preserve"> </w:t>
      </w:r>
      <w:r>
        <w:t>38.0°C, any fatigue, any headache, any joint pain, or any muscle pain during Day 1 to Day 7 after Vaccination 1.</w:t>
      </w:r>
    </w:p>
    <w:p w14:paraId="0B6FC9CC" w14:textId="7BD0FF26" w:rsidR="007D4D11" w:rsidRDefault="001B3811" w:rsidP="007D4D11">
      <w:pPr>
        <w:pStyle w:val="FooterTableFigure"/>
      </w:pPr>
      <w:r>
        <w:t>c</w:t>
      </w:r>
      <w:r w:rsidR="007D4D11">
        <w:t xml:space="preserve"> Selected (amongst most frequently reported) tier 2 adverse events reported during Day 1 to Day 10 after vaccination </w:t>
      </w:r>
    </w:p>
    <w:p w14:paraId="5A9D3D52" w14:textId="77777777" w:rsidR="007D4D11" w:rsidRDefault="007D4D11" w:rsidP="007D4D11">
      <w:pPr>
        <w:pStyle w:val="FooterTableFigure"/>
      </w:pPr>
      <w:r>
        <w:t>d Related adverse events considered by investigator to be related to study vaccine at 1 month follow up</w:t>
      </w:r>
    </w:p>
    <w:p w14:paraId="5C50C719" w14:textId="7D9B81B1" w:rsidR="00135CF7" w:rsidRDefault="00135CF7" w:rsidP="00036C51">
      <w:pPr>
        <w:pStyle w:val="3-BodyText"/>
      </w:pPr>
      <w:r>
        <w:t>Across the 3 cohorts, the proportions of participants reporting any local reactions (redness, swelling, pain at injection site) or systemic events (fever, fatigue, headache, muscle pain, joint pain) were similar in both 20vPCV and 13vPCV groups.</w:t>
      </w:r>
    </w:p>
    <w:p w14:paraId="21F2E1E6" w14:textId="51CB4D79" w:rsidR="00135CF7" w:rsidRDefault="00135CF7" w:rsidP="00036C51">
      <w:pPr>
        <w:pStyle w:val="3-BodyText"/>
      </w:pPr>
      <w:r>
        <w:t>The most frequent local reaction reported was pain at injection site (Cohort 1: 55.4%, Cohort 2: 72.5%, Cohort 3: 81.2%) which was mostly mild or moderate in severity. The most frequent systemic event reported was muscle pain (Cohort 1: 39.1%, Cohort 2: 49.8%, Cohort 3: 66.6%) which was mostly mild or moderate in severity.</w:t>
      </w:r>
    </w:p>
    <w:p w14:paraId="7DD109E5" w14:textId="1559D701" w:rsidR="00135CF7" w:rsidRPr="004E375B" w:rsidRDefault="00135CF7" w:rsidP="00036C51">
      <w:pPr>
        <w:pStyle w:val="3-BodyText"/>
      </w:pPr>
      <w:proofErr w:type="gramStart"/>
      <w:r w:rsidRPr="004E375B">
        <w:t>With the exception of</w:t>
      </w:r>
      <w:proofErr w:type="gramEnd"/>
      <w:r w:rsidRPr="004E375B">
        <w:t xml:space="preserve"> increased viral infections observed in participants in Cohort 1 (0.3% vs. 0%; RD 0.3% </w:t>
      </w:r>
      <w:r w:rsidR="0050179F" w:rsidRPr="004E375B">
        <w:t>[</w:t>
      </w:r>
      <w:r w:rsidRPr="004E375B">
        <w:t>95%CI, 0.1, 0.8</w:t>
      </w:r>
      <w:r w:rsidR="0050179F" w:rsidRPr="004E375B">
        <w:t>]</w:t>
      </w:r>
      <w:r w:rsidRPr="004E375B">
        <w:t>) and increased influenza and upper respiratory infection in Cohort 3 there were no notable differences in adverse events reported between 20vPCV and 13vPCV.</w:t>
      </w:r>
    </w:p>
    <w:p w14:paraId="7C4BA4EB" w14:textId="54AADB40" w:rsidR="007D4D11" w:rsidRPr="004E375B" w:rsidRDefault="00135CF7" w:rsidP="00036C51">
      <w:pPr>
        <w:pStyle w:val="3-BodyText"/>
      </w:pPr>
      <w:r w:rsidRPr="004E375B">
        <w:t>Safety outcomes in the supplementary trials (B7471008 and B7471006 where either 13vPCV or 23vPPV served as a safety control) were descriptive. The proportions of participants who reported any local reactions o</w:t>
      </w:r>
      <w:r w:rsidR="003818B4">
        <w:t>r</w:t>
      </w:r>
      <w:r w:rsidRPr="004E375B">
        <w:t xml:space="preserve"> systemic events were similar across 20vPCV and safety control groups. Most local reactions and systemic events were mild or moderate in severity.  </w:t>
      </w:r>
      <w:r w:rsidR="007D4D11" w:rsidRPr="004E375B">
        <w:t xml:space="preserve"> </w:t>
      </w:r>
    </w:p>
    <w:p w14:paraId="7D02C74D" w14:textId="77777777" w:rsidR="007D4D11" w:rsidRPr="00C9624D" w:rsidRDefault="007D4D11" w:rsidP="007D4D11">
      <w:pPr>
        <w:pStyle w:val="4-SubsectionHeading"/>
      </w:pPr>
      <w:bookmarkStart w:id="36" w:name="_Toc22897643"/>
      <w:bookmarkStart w:id="37" w:name="_Toc114061400"/>
      <w:r w:rsidRPr="00C9624D">
        <w:lastRenderedPageBreak/>
        <w:t>Benefits/harms</w:t>
      </w:r>
      <w:bookmarkEnd w:id="36"/>
      <w:bookmarkEnd w:id="37"/>
    </w:p>
    <w:p w14:paraId="3D80310D" w14:textId="5C72A8C7" w:rsidR="00135CF7" w:rsidRPr="00683533" w:rsidRDefault="005E1FB5" w:rsidP="005E1FB5">
      <w:pPr>
        <w:pStyle w:val="3-BodyText"/>
        <w:rPr>
          <w:iCs/>
        </w:rPr>
      </w:pPr>
      <w:bookmarkStart w:id="38" w:name="_Toc22897644"/>
      <w:r w:rsidRPr="00683533">
        <w:rPr>
          <w:iCs/>
        </w:rPr>
        <w:t xml:space="preserve">Given the non-inferiority claims for the shared serotypes, and the superiority claims for the additional serotypes were based on immunogenicity data, </w:t>
      </w:r>
      <w:r w:rsidR="00135CF7" w:rsidRPr="00683533">
        <w:rPr>
          <w:iCs/>
          <w:snapToGrid/>
          <w:lang w:val="en-US"/>
        </w:rPr>
        <w:t>a benefits/harms table has not been presented.</w:t>
      </w:r>
      <w:r w:rsidR="00135CF7">
        <w:t xml:space="preserve"> </w:t>
      </w:r>
    </w:p>
    <w:p w14:paraId="4E769CD8" w14:textId="457652E1" w:rsidR="007D4D11" w:rsidRDefault="007D4D11" w:rsidP="007D4D11">
      <w:pPr>
        <w:pStyle w:val="4-SubsectionHeading"/>
      </w:pPr>
      <w:bookmarkStart w:id="39" w:name="_Toc114061401"/>
      <w:r w:rsidRPr="00C9624D">
        <w:t>Clinical claim</w:t>
      </w:r>
      <w:bookmarkEnd w:id="38"/>
      <w:bookmarkEnd w:id="39"/>
    </w:p>
    <w:p w14:paraId="0D222502" w14:textId="5B1450D0" w:rsidR="002C1F8B" w:rsidRPr="00683533" w:rsidRDefault="00135CF7" w:rsidP="002C1F8B">
      <w:pPr>
        <w:pStyle w:val="3-BodyText"/>
        <w:rPr>
          <w:iCs/>
        </w:rPr>
      </w:pPr>
      <w:r w:rsidRPr="00683533">
        <w:rPr>
          <w:iCs/>
        </w:rPr>
        <w:t xml:space="preserve">For </w:t>
      </w:r>
      <w:r w:rsidR="0006128E" w:rsidRPr="00683533">
        <w:rPr>
          <w:iCs/>
        </w:rPr>
        <w:t xml:space="preserve">the existing NIP </w:t>
      </w:r>
      <w:proofErr w:type="gramStart"/>
      <w:r w:rsidR="0006128E" w:rsidRPr="00683533">
        <w:rPr>
          <w:iCs/>
        </w:rPr>
        <w:t>populations</w:t>
      </w:r>
      <w:proofErr w:type="gramEnd"/>
      <w:r w:rsidR="00C1734D" w:rsidRPr="00683533">
        <w:rPr>
          <w:iCs/>
        </w:rPr>
        <w:t xml:space="preserve"> the efficacy claims were</w:t>
      </w:r>
      <w:r w:rsidR="002C1F8B" w:rsidRPr="00683533">
        <w:rPr>
          <w:iCs/>
        </w:rPr>
        <w:t>:</w:t>
      </w:r>
    </w:p>
    <w:p w14:paraId="05DC3CFE" w14:textId="77777777" w:rsidR="002C1F8B" w:rsidRPr="00683533" w:rsidRDefault="002C1F8B" w:rsidP="00227608">
      <w:pPr>
        <w:pStyle w:val="3-BodyText"/>
        <w:numPr>
          <w:ilvl w:val="0"/>
          <w:numId w:val="29"/>
        </w:numPr>
        <w:ind w:left="1134"/>
        <w:rPr>
          <w:iCs/>
        </w:rPr>
      </w:pPr>
      <w:r w:rsidRPr="00683533">
        <w:rPr>
          <w:iCs/>
        </w:rPr>
        <w:t>20vPCV has equivalent efficacy against IPD and PP to 13vPCV for the shared serotypes and superior efficacy against IPD and PP for the additional 7 serotypes.</w:t>
      </w:r>
    </w:p>
    <w:p w14:paraId="5EC24B95" w14:textId="6765CC18" w:rsidR="002C1F8B" w:rsidRPr="00683533" w:rsidRDefault="002C1F8B" w:rsidP="00227608">
      <w:pPr>
        <w:pStyle w:val="3-BodyText"/>
        <w:numPr>
          <w:ilvl w:val="0"/>
          <w:numId w:val="29"/>
        </w:numPr>
        <w:ind w:left="1134"/>
        <w:rPr>
          <w:iCs/>
        </w:rPr>
      </w:pPr>
      <w:r w:rsidRPr="00683533">
        <w:rPr>
          <w:iCs/>
        </w:rPr>
        <w:t>20vPCV has equivalent efficacy against IPD and PP to 15vPCV for the shared serotypes and superior efficacy against IPD and PP for the additional 5 serotypes.</w:t>
      </w:r>
    </w:p>
    <w:p w14:paraId="2D696443" w14:textId="61E7F583" w:rsidR="005D24A3" w:rsidRPr="00683533" w:rsidRDefault="00C1734D" w:rsidP="00482BF0">
      <w:pPr>
        <w:pStyle w:val="3-BodyText"/>
        <w:rPr>
          <w:iCs/>
        </w:rPr>
      </w:pPr>
      <w:r w:rsidRPr="00683533">
        <w:rPr>
          <w:iCs/>
        </w:rPr>
        <w:t>The efficacy claims</w:t>
      </w:r>
      <w:r w:rsidR="00E36AD9" w:rsidRPr="00683533">
        <w:rPr>
          <w:iCs/>
        </w:rPr>
        <w:t xml:space="preserve"> made in the submission</w:t>
      </w:r>
      <w:r w:rsidRPr="00683533">
        <w:rPr>
          <w:iCs/>
        </w:rPr>
        <w:t xml:space="preserve"> were based</w:t>
      </w:r>
      <w:r w:rsidR="00426FB4" w:rsidRPr="00683533">
        <w:rPr>
          <w:iCs/>
        </w:rPr>
        <w:t xml:space="preserve"> on a</w:t>
      </w:r>
      <w:r w:rsidRPr="00683533">
        <w:rPr>
          <w:iCs/>
        </w:rPr>
        <w:t xml:space="preserve"> </w:t>
      </w:r>
      <w:r w:rsidR="00426FB4" w:rsidRPr="00683533">
        <w:rPr>
          <w:iCs/>
        </w:rPr>
        <w:t xml:space="preserve">non-inferiority trial comparing immunogenicity between 20vPCV and 13vPCV for the </w:t>
      </w:r>
      <w:r w:rsidR="002D3E58">
        <w:rPr>
          <w:iCs/>
        </w:rPr>
        <w:t>‘</w:t>
      </w:r>
      <w:r w:rsidR="00426FB4" w:rsidRPr="00683533">
        <w:rPr>
          <w:iCs/>
        </w:rPr>
        <w:t>13 matched’ serotypes and 23vPPV for the 7 additional serotypes</w:t>
      </w:r>
      <w:r w:rsidRPr="00683533">
        <w:rPr>
          <w:iCs/>
        </w:rPr>
        <w:t xml:space="preserve"> </w:t>
      </w:r>
      <w:r w:rsidR="00426FB4" w:rsidRPr="00683533">
        <w:rPr>
          <w:iCs/>
        </w:rPr>
        <w:t xml:space="preserve">(the </w:t>
      </w:r>
      <w:r w:rsidRPr="00683533">
        <w:rPr>
          <w:iCs/>
        </w:rPr>
        <w:t xml:space="preserve">B7471007 </w:t>
      </w:r>
      <w:r w:rsidR="00E36AD9" w:rsidRPr="00683533">
        <w:rPr>
          <w:iCs/>
        </w:rPr>
        <w:t>c</w:t>
      </w:r>
      <w:r w:rsidRPr="00683533">
        <w:rPr>
          <w:iCs/>
        </w:rPr>
        <w:t xml:space="preserve">linical </w:t>
      </w:r>
      <w:r w:rsidR="00E36AD9" w:rsidRPr="00683533">
        <w:rPr>
          <w:iCs/>
        </w:rPr>
        <w:t>t</w:t>
      </w:r>
      <w:r w:rsidRPr="00683533">
        <w:rPr>
          <w:iCs/>
        </w:rPr>
        <w:t>rial</w:t>
      </w:r>
      <w:r w:rsidR="00426FB4" w:rsidRPr="00683533">
        <w:rPr>
          <w:iCs/>
        </w:rPr>
        <w:t>)</w:t>
      </w:r>
      <w:r w:rsidRPr="00683533">
        <w:rPr>
          <w:iCs/>
        </w:rPr>
        <w:t xml:space="preserve">. </w:t>
      </w:r>
    </w:p>
    <w:p w14:paraId="6ACE33B9" w14:textId="342642DF" w:rsidR="00482BF0" w:rsidRPr="00683533" w:rsidRDefault="00C1734D" w:rsidP="00482BF0">
      <w:pPr>
        <w:pStyle w:val="3-BodyText"/>
        <w:rPr>
          <w:iCs/>
        </w:rPr>
      </w:pPr>
      <w:r w:rsidRPr="00683533">
        <w:rPr>
          <w:iCs/>
        </w:rPr>
        <w:t xml:space="preserve">The ESC noted that while correlation of immunogenicity with clinical protection has not been </w:t>
      </w:r>
      <w:r w:rsidR="009B1926" w:rsidRPr="00683533">
        <w:rPr>
          <w:iCs/>
        </w:rPr>
        <w:t>established</w:t>
      </w:r>
      <w:r w:rsidRPr="00683533">
        <w:rPr>
          <w:iCs/>
        </w:rPr>
        <w:t xml:space="preserve"> for adults, </w:t>
      </w:r>
      <w:r w:rsidR="00200A3A" w:rsidRPr="00683533">
        <w:rPr>
          <w:iCs/>
        </w:rPr>
        <w:t>the PBAC has previously considered the use of immunogenic response as a surrogate for disease prevention (</w:t>
      </w:r>
      <w:proofErr w:type="spellStart"/>
      <w:r w:rsidR="00200A3A" w:rsidRPr="00683533">
        <w:rPr>
          <w:iCs/>
        </w:rPr>
        <w:t>Vaxneuvance</w:t>
      </w:r>
      <w:proofErr w:type="spellEnd"/>
      <w:r w:rsidR="00200A3A" w:rsidRPr="00683533">
        <w:rPr>
          <w:iCs/>
        </w:rPr>
        <w:t xml:space="preserve"> PSD, November 2021 PBAC meeting) and </w:t>
      </w:r>
      <w:r w:rsidRPr="00683533">
        <w:rPr>
          <w:iCs/>
        </w:rPr>
        <w:t xml:space="preserve">this approach has been used previously for 13vPCV in Australia. The ESC </w:t>
      </w:r>
      <w:r w:rsidR="003318D5" w:rsidRPr="00683533">
        <w:rPr>
          <w:iCs/>
        </w:rPr>
        <w:t xml:space="preserve">also noted that </w:t>
      </w:r>
      <w:r w:rsidR="00E36AD9" w:rsidRPr="00683533">
        <w:rPr>
          <w:iCs/>
        </w:rPr>
        <w:t xml:space="preserve">ATAGI considered the bridge to efficacy reasonable, </w:t>
      </w:r>
      <w:r w:rsidR="00444E98" w:rsidRPr="00683533">
        <w:rPr>
          <w:iCs/>
        </w:rPr>
        <w:t>although noted there may be uncertainty as to whether the relationship to clinical outcomes will necessarily hold for the 7 unmatched serotypes</w:t>
      </w:r>
      <w:r w:rsidR="009B1926" w:rsidRPr="00683533">
        <w:rPr>
          <w:iCs/>
        </w:rPr>
        <w:t xml:space="preserve"> (p30, </w:t>
      </w:r>
      <w:r w:rsidR="000C165F" w:rsidRPr="00683533">
        <w:rPr>
          <w:iCs/>
        </w:rPr>
        <w:t>Prevenar 20,</w:t>
      </w:r>
      <w:r w:rsidR="000C165F" w:rsidRPr="004E375B">
        <w:t xml:space="preserve"> </w:t>
      </w:r>
      <w:r w:rsidR="009B1926" w:rsidRPr="00683533">
        <w:rPr>
          <w:iCs/>
        </w:rPr>
        <w:t>ATAGI pre-submission advice</w:t>
      </w:r>
      <w:r w:rsidR="00F137BC" w:rsidRPr="00683533">
        <w:rPr>
          <w:iCs/>
        </w:rPr>
        <w:t xml:space="preserve"> to PBAC</w:t>
      </w:r>
      <w:r w:rsidR="009B1926" w:rsidRPr="00683533">
        <w:rPr>
          <w:iCs/>
        </w:rPr>
        <w:t>, April 2022).</w:t>
      </w:r>
      <w:r w:rsidR="003318D5" w:rsidRPr="00683533">
        <w:rPr>
          <w:iCs/>
        </w:rPr>
        <w:t xml:space="preserve"> The WHO has also cautioned on using immunogenicity to predict efficacy stating that</w:t>
      </w:r>
      <w:r w:rsidR="003318D5">
        <w:t xml:space="preserve"> </w:t>
      </w:r>
      <w:r w:rsidR="003318D5" w:rsidRPr="00683533">
        <w:rPr>
          <w:iCs/>
        </w:rPr>
        <w:t>the interpretation of the immune responses to added or new subtypes in a vaccine is not straightforward as serotype specific correlates of protection may vary</w:t>
      </w:r>
      <w:r w:rsidR="003318D5" w:rsidRPr="00683533">
        <w:rPr>
          <w:rStyle w:val="FootnoteReference"/>
          <w:iCs/>
        </w:rPr>
        <w:footnoteReference w:id="2"/>
      </w:r>
      <w:r w:rsidR="003318D5" w:rsidRPr="00683533">
        <w:rPr>
          <w:iCs/>
        </w:rPr>
        <w:t>.</w:t>
      </w:r>
    </w:p>
    <w:p w14:paraId="5F4E88E7" w14:textId="59388399" w:rsidR="00135CF7" w:rsidRPr="00683533" w:rsidRDefault="00135CF7" w:rsidP="00482BF0">
      <w:pPr>
        <w:pStyle w:val="3-BodyText"/>
      </w:pPr>
      <w:r w:rsidRPr="00683533">
        <w:t>The key</w:t>
      </w:r>
      <w:r w:rsidR="008B2F43" w:rsidRPr="00683533">
        <w:t xml:space="preserve"> potential</w:t>
      </w:r>
      <w:r w:rsidRPr="00683533">
        <w:t xml:space="preserve"> issues</w:t>
      </w:r>
      <w:r w:rsidR="003818B4">
        <w:t xml:space="preserve"> regarding the efficacy claims</w:t>
      </w:r>
      <w:r w:rsidRPr="00683533">
        <w:t xml:space="preserve"> were:</w:t>
      </w:r>
    </w:p>
    <w:p w14:paraId="13822A60" w14:textId="423F33E8" w:rsidR="008B2F43" w:rsidRPr="00683533" w:rsidRDefault="0006128E" w:rsidP="00227608">
      <w:pPr>
        <w:pStyle w:val="ListBulletlvl2"/>
        <w:numPr>
          <w:ilvl w:val="1"/>
          <w:numId w:val="22"/>
        </w:numPr>
        <w:spacing w:line="240" w:lineRule="auto"/>
        <w:jc w:val="both"/>
      </w:pPr>
      <w:r w:rsidRPr="00683533">
        <w:t>In study B7471007 the OPA GMRs for 11 of the 13 matched serotypes had the upper bound of the 95% CI &lt; 1, thus favouring 13vPCV</w:t>
      </w:r>
      <w:r w:rsidR="00A134C6" w:rsidRPr="00683533">
        <w:t>.</w:t>
      </w:r>
      <w:r w:rsidR="008B2F43" w:rsidRPr="00683533">
        <w:t xml:space="preserve"> ATAGI considered the observed differences had a low likelihood of resulting in a loss in protection of clinical significance</w:t>
      </w:r>
      <w:r w:rsidR="00715F46" w:rsidRPr="00683533">
        <w:t xml:space="preserve"> </w:t>
      </w:r>
      <w:r w:rsidR="00715F46" w:rsidRPr="00683533">
        <w:rPr>
          <w:iCs/>
        </w:rPr>
        <w:t xml:space="preserve">(p2, </w:t>
      </w:r>
      <w:r w:rsidR="000C165F" w:rsidRPr="00683533">
        <w:rPr>
          <w:iCs/>
        </w:rPr>
        <w:t>Prevenar 20,</w:t>
      </w:r>
      <w:r w:rsidR="000C165F" w:rsidRPr="004E375B">
        <w:t xml:space="preserve"> </w:t>
      </w:r>
      <w:r w:rsidR="00715F46" w:rsidRPr="00683533">
        <w:rPr>
          <w:iCs/>
        </w:rPr>
        <w:t>ATAGI pre-submission advice</w:t>
      </w:r>
      <w:r w:rsidR="00F137BC" w:rsidRPr="00683533">
        <w:rPr>
          <w:iCs/>
        </w:rPr>
        <w:t xml:space="preserve"> to PBAC</w:t>
      </w:r>
      <w:r w:rsidR="00715F46" w:rsidRPr="00683533">
        <w:rPr>
          <w:iCs/>
        </w:rPr>
        <w:t>, April 2022)</w:t>
      </w:r>
      <w:r w:rsidR="008B2F43" w:rsidRPr="00683533">
        <w:t xml:space="preserve">. </w:t>
      </w:r>
    </w:p>
    <w:p w14:paraId="64E5F7CA" w14:textId="2CF1EED0" w:rsidR="008B2F43" w:rsidRPr="00683533" w:rsidRDefault="008B2F43" w:rsidP="00227608">
      <w:pPr>
        <w:pStyle w:val="ListBulletlvl2"/>
        <w:numPr>
          <w:ilvl w:val="1"/>
          <w:numId w:val="22"/>
        </w:numPr>
        <w:spacing w:line="240" w:lineRule="auto"/>
        <w:jc w:val="both"/>
        <w:rPr>
          <w:rFonts w:eastAsia="TimesNewRoman"/>
        </w:rPr>
      </w:pPr>
      <w:r w:rsidRPr="00683533">
        <w:t>In study B7471007 serotype 8 did not meet the non-inferiority criteria (noting this was against 23vP</w:t>
      </w:r>
      <w:r w:rsidR="0043076B">
        <w:t>P</w:t>
      </w:r>
      <w:r w:rsidRPr="00683533">
        <w:t>V).</w:t>
      </w:r>
    </w:p>
    <w:p w14:paraId="7546B216" w14:textId="35F52ED6" w:rsidR="005D24A3" w:rsidRPr="00683533" w:rsidRDefault="00CF6968" w:rsidP="00227608">
      <w:pPr>
        <w:pStyle w:val="ListBulletlvl2"/>
        <w:numPr>
          <w:ilvl w:val="1"/>
          <w:numId w:val="22"/>
        </w:numPr>
        <w:spacing w:line="240" w:lineRule="auto"/>
        <w:jc w:val="both"/>
        <w:rPr>
          <w:rFonts w:eastAsia="TimesNewRoman"/>
        </w:rPr>
      </w:pPr>
      <w:r w:rsidRPr="00683533">
        <w:t xml:space="preserve">In Study B7471007 6 of the 7 additional serotypes in 20vPCV were nominally superior to 23vPPV, however </w:t>
      </w:r>
      <w:r w:rsidRPr="00683533">
        <w:rPr>
          <w:iCs/>
        </w:rPr>
        <w:t>superiority for the 7 additional serotypes could not be formally tested as non-inferiority was not achieved for all 7 serotypes</w:t>
      </w:r>
      <w:r w:rsidR="005D24A3" w:rsidRPr="00683533">
        <w:t>.</w:t>
      </w:r>
      <w:r w:rsidRPr="00683533">
        <w:t xml:space="preserve"> ATAGI </w:t>
      </w:r>
      <w:r w:rsidR="00715F46" w:rsidRPr="00683533">
        <w:lastRenderedPageBreak/>
        <w:t>noted the degree of difference in immunogenicity that translates into differences in protection against clinical disease is unknown (</w:t>
      </w:r>
      <w:r w:rsidR="00715F46" w:rsidRPr="00683533">
        <w:rPr>
          <w:iCs/>
        </w:rPr>
        <w:t xml:space="preserve">p4, </w:t>
      </w:r>
      <w:r w:rsidR="000C165F" w:rsidRPr="00683533">
        <w:rPr>
          <w:iCs/>
        </w:rPr>
        <w:t>Prevenar 20,</w:t>
      </w:r>
      <w:r w:rsidR="000C165F" w:rsidRPr="004E375B">
        <w:t xml:space="preserve"> </w:t>
      </w:r>
      <w:r w:rsidR="00715F46" w:rsidRPr="00683533">
        <w:rPr>
          <w:iCs/>
        </w:rPr>
        <w:t>ATAGI pre-submission advice</w:t>
      </w:r>
      <w:r w:rsidR="00F137BC" w:rsidRPr="00683533">
        <w:rPr>
          <w:iCs/>
        </w:rPr>
        <w:t xml:space="preserve"> to PBAC</w:t>
      </w:r>
      <w:r w:rsidR="00715F46" w:rsidRPr="00683533">
        <w:rPr>
          <w:iCs/>
        </w:rPr>
        <w:t>, April 2022).</w:t>
      </w:r>
      <w:r w:rsidR="00715F46" w:rsidRPr="00683533">
        <w:t xml:space="preserve"> </w:t>
      </w:r>
    </w:p>
    <w:p w14:paraId="1F6C17FB" w14:textId="20F9D582" w:rsidR="000575CF" w:rsidRPr="0046081B" w:rsidRDefault="0046081B" w:rsidP="0046081B">
      <w:pPr>
        <w:pStyle w:val="3-BodyText"/>
        <w:rPr>
          <w:snapToGrid/>
        </w:rPr>
      </w:pPr>
      <w:r w:rsidRPr="00683533">
        <w:rPr>
          <w:iCs/>
          <w:snapToGrid/>
        </w:rPr>
        <w:t xml:space="preserve">For the indirect comparisons of 20vPCV and 15vPCV, the ESC noted the key </w:t>
      </w:r>
      <w:r w:rsidR="00715F46" w:rsidRPr="00683533">
        <w:rPr>
          <w:iCs/>
          <w:snapToGrid/>
        </w:rPr>
        <w:t xml:space="preserve">potential </w:t>
      </w:r>
      <w:r w:rsidRPr="00683533">
        <w:rPr>
          <w:iCs/>
          <w:snapToGrid/>
        </w:rPr>
        <w:t>issues were:</w:t>
      </w:r>
    </w:p>
    <w:p w14:paraId="225D1100" w14:textId="196F1E60" w:rsidR="0046081B" w:rsidRPr="00683533" w:rsidRDefault="0046081B" w:rsidP="00227608">
      <w:pPr>
        <w:pStyle w:val="3-BodyText"/>
        <w:numPr>
          <w:ilvl w:val="0"/>
          <w:numId w:val="31"/>
        </w:numPr>
        <w:ind w:left="1134"/>
        <w:rPr>
          <w:iCs/>
          <w:snapToGrid/>
        </w:rPr>
      </w:pPr>
      <w:r w:rsidRPr="00683533">
        <w:rPr>
          <w:iCs/>
          <w:snapToGrid/>
        </w:rPr>
        <w:t>In people aged ≥ 50 years, three serotypes (3, 6B, 23F) did not meet the non-inferiority criteria and 6 of 10 favoured 15vPCV.</w:t>
      </w:r>
    </w:p>
    <w:p w14:paraId="6761E592" w14:textId="544F5E53" w:rsidR="0046081B" w:rsidRPr="00683533" w:rsidRDefault="0046081B" w:rsidP="00227608">
      <w:pPr>
        <w:pStyle w:val="3-BodyText"/>
        <w:numPr>
          <w:ilvl w:val="0"/>
          <w:numId w:val="31"/>
        </w:numPr>
        <w:ind w:left="1134"/>
        <w:rPr>
          <w:iCs/>
          <w:snapToGrid/>
        </w:rPr>
      </w:pPr>
      <w:r w:rsidRPr="00683533">
        <w:rPr>
          <w:iCs/>
          <w:snapToGrid/>
        </w:rPr>
        <w:t>In people aged 18-49 years, three serotypes (6B, 18C, 23F) did not meet non-inferiority criteria and 6 of 10 favoured 15vPCV.</w:t>
      </w:r>
    </w:p>
    <w:p w14:paraId="31B0FCB3" w14:textId="701AAC0C" w:rsidR="0046081B" w:rsidRPr="00683533" w:rsidRDefault="0046081B" w:rsidP="00227608">
      <w:pPr>
        <w:pStyle w:val="3-BodyText"/>
        <w:numPr>
          <w:ilvl w:val="0"/>
          <w:numId w:val="31"/>
        </w:numPr>
        <w:ind w:left="1134"/>
        <w:rPr>
          <w:iCs/>
          <w:snapToGrid/>
        </w:rPr>
      </w:pPr>
      <w:r w:rsidRPr="00683533">
        <w:rPr>
          <w:iCs/>
          <w:snapToGrid/>
        </w:rPr>
        <w:t>There was no evidence presented to support the superiority claims for the additional 5 serotypes.</w:t>
      </w:r>
    </w:p>
    <w:p w14:paraId="4A472C2A" w14:textId="54359A0D" w:rsidR="006C3BDF" w:rsidRPr="00683533" w:rsidRDefault="006C3BDF" w:rsidP="006C3BDF">
      <w:pPr>
        <w:pStyle w:val="3-BodyText"/>
        <w:numPr>
          <w:ilvl w:val="0"/>
          <w:numId w:val="0"/>
        </w:numPr>
        <w:ind w:left="720" w:hanging="720"/>
        <w:rPr>
          <w:iCs/>
          <w:snapToGrid/>
        </w:rPr>
      </w:pPr>
      <w:r w:rsidRPr="00683533">
        <w:rPr>
          <w:iCs/>
        </w:rPr>
        <w:tab/>
        <w:t>The PSCR considered that the differences in immunogenicity reflected in the indirect comparisons would not necessarily translate into a difference in vaccine effectiveness.</w:t>
      </w:r>
    </w:p>
    <w:p w14:paraId="49DF8EA7" w14:textId="2E616B76" w:rsidR="00715F46" w:rsidRPr="00683533" w:rsidRDefault="00715F46" w:rsidP="00715F46">
      <w:pPr>
        <w:pStyle w:val="3-BodyText"/>
        <w:rPr>
          <w:iCs/>
          <w:lang w:val="en-GB"/>
        </w:rPr>
      </w:pPr>
      <w:r w:rsidRPr="00683533">
        <w:rPr>
          <w:iCs/>
        </w:rPr>
        <w:t>For the additional NIP population (</w:t>
      </w:r>
      <w:r w:rsidRPr="00683533">
        <w:rPr>
          <w:iCs/>
          <w:lang w:val="en-GB"/>
        </w:rPr>
        <w:t xml:space="preserve">Aboriginal and Torres Strait Islander adults aged 25-49 years) the efficacy claims </w:t>
      </w:r>
      <w:proofErr w:type="gramStart"/>
      <w:r w:rsidR="00D11860">
        <w:rPr>
          <w:iCs/>
          <w:lang w:val="en-GB"/>
        </w:rPr>
        <w:t>was</w:t>
      </w:r>
      <w:proofErr w:type="gramEnd"/>
      <w:r w:rsidRPr="00683533">
        <w:rPr>
          <w:iCs/>
          <w:lang w:val="en-GB"/>
        </w:rPr>
        <w:t>:</w:t>
      </w:r>
    </w:p>
    <w:p w14:paraId="20706EA4" w14:textId="77777777" w:rsidR="00715F46" w:rsidRPr="00683533" w:rsidRDefault="00715F46" w:rsidP="00227608">
      <w:pPr>
        <w:pStyle w:val="3-BodyText"/>
        <w:numPr>
          <w:ilvl w:val="0"/>
          <w:numId w:val="30"/>
        </w:numPr>
        <w:tabs>
          <w:tab w:val="clear" w:pos="1440"/>
        </w:tabs>
        <w:ind w:left="1134"/>
        <w:rPr>
          <w:iCs/>
        </w:rPr>
      </w:pPr>
      <w:r w:rsidRPr="00683533">
        <w:rPr>
          <w:iCs/>
        </w:rPr>
        <w:t>20vPCV has superior efficacy against IPD and PP to no vaccine.</w:t>
      </w:r>
    </w:p>
    <w:p w14:paraId="5C6F857F" w14:textId="29DE2FA0" w:rsidR="0046081B" w:rsidRPr="00683533" w:rsidRDefault="0046081B" w:rsidP="0046081B">
      <w:pPr>
        <w:pStyle w:val="3-BodyText"/>
        <w:rPr>
          <w:iCs/>
          <w:snapToGrid/>
        </w:rPr>
      </w:pPr>
      <w:r w:rsidRPr="00683533">
        <w:rPr>
          <w:iCs/>
          <w:snapToGrid/>
        </w:rPr>
        <w:t>The ESC considered the efficacy claim for superiority of 20</w:t>
      </w:r>
      <w:r w:rsidR="00821F56" w:rsidRPr="00683533">
        <w:rPr>
          <w:iCs/>
          <w:snapToGrid/>
        </w:rPr>
        <w:t>v</w:t>
      </w:r>
      <w:r w:rsidRPr="00683533">
        <w:rPr>
          <w:iCs/>
          <w:snapToGrid/>
        </w:rPr>
        <w:t>PCV against no</w:t>
      </w:r>
      <w:r w:rsidR="00821F56" w:rsidRPr="00683533">
        <w:rPr>
          <w:iCs/>
          <w:snapToGrid/>
        </w:rPr>
        <w:t xml:space="preserve"> </w:t>
      </w:r>
      <w:r w:rsidRPr="00683533">
        <w:rPr>
          <w:iCs/>
          <w:snapToGrid/>
        </w:rPr>
        <w:t>vaccine for the expanded NIP population supported but considered</w:t>
      </w:r>
      <w:r w:rsidR="00821F56" w:rsidRPr="00683533">
        <w:rPr>
          <w:iCs/>
          <w:snapToGrid/>
        </w:rPr>
        <w:t xml:space="preserve"> </w:t>
      </w:r>
      <w:r w:rsidR="00F97750" w:rsidRPr="00683533">
        <w:rPr>
          <w:iCs/>
          <w:snapToGrid/>
        </w:rPr>
        <w:t xml:space="preserve">the </w:t>
      </w:r>
      <w:r w:rsidR="00821F56" w:rsidRPr="00683533">
        <w:rPr>
          <w:iCs/>
          <w:snapToGrid/>
        </w:rPr>
        <w:t>correlation between immunogenicity outcomes and efficacy in disease prevention</w:t>
      </w:r>
      <w:r w:rsidR="00F97750" w:rsidRPr="00683533">
        <w:rPr>
          <w:iCs/>
          <w:snapToGrid/>
        </w:rPr>
        <w:t xml:space="preserve"> uncertain</w:t>
      </w:r>
      <w:r w:rsidR="00821F56" w:rsidRPr="00683533">
        <w:rPr>
          <w:iCs/>
          <w:snapToGrid/>
        </w:rPr>
        <w:t>.</w:t>
      </w:r>
    </w:p>
    <w:p w14:paraId="5663EA02" w14:textId="651B0716" w:rsidR="006C3BDF" w:rsidRPr="00683533" w:rsidRDefault="00715F46" w:rsidP="006C3BDF">
      <w:pPr>
        <w:pStyle w:val="3-BodyText"/>
        <w:rPr>
          <w:iCs/>
        </w:rPr>
      </w:pPr>
      <w:r w:rsidRPr="00683533">
        <w:rPr>
          <w:iCs/>
        </w:rPr>
        <w:t xml:space="preserve">For the existing NIP </w:t>
      </w:r>
      <w:proofErr w:type="gramStart"/>
      <w:r w:rsidRPr="00683533">
        <w:rPr>
          <w:iCs/>
        </w:rPr>
        <w:t>populations</w:t>
      </w:r>
      <w:proofErr w:type="gramEnd"/>
      <w:r w:rsidR="006C3BDF" w:rsidRPr="00683533">
        <w:rPr>
          <w:iCs/>
        </w:rPr>
        <w:t xml:space="preserve"> the s</w:t>
      </w:r>
      <w:r w:rsidR="001328EF" w:rsidRPr="00683533">
        <w:rPr>
          <w:iCs/>
        </w:rPr>
        <w:t xml:space="preserve">ubmission </w:t>
      </w:r>
      <w:r w:rsidR="006C3BDF" w:rsidRPr="00683533">
        <w:rPr>
          <w:iCs/>
        </w:rPr>
        <w:t>claim</w:t>
      </w:r>
      <w:r w:rsidR="001328EF" w:rsidRPr="00683533">
        <w:rPr>
          <w:iCs/>
        </w:rPr>
        <w:t>ed that</w:t>
      </w:r>
      <w:r w:rsidR="006C3BDF" w:rsidRPr="00683533">
        <w:rPr>
          <w:iCs/>
        </w:rPr>
        <w:t xml:space="preserve"> 20vPCV has equivalent safety to 13vPCV and 15vPCV. For Aboriginal and Torres Strait Islander adults aged 25-49 the </w:t>
      </w:r>
      <w:r w:rsidR="001328EF" w:rsidRPr="00683533">
        <w:rPr>
          <w:iCs/>
        </w:rPr>
        <w:t>submission</w:t>
      </w:r>
      <w:r w:rsidR="006C3BDF" w:rsidRPr="00683533">
        <w:rPr>
          <w:iCs/>
        </w:rPr>
        <w:t xml:space="preserve"> claim</w:t>
      </w:r>
      <w:r w:rsidR="001328EF" w:rsidRPr="00683533">
        <w:rPr>
          <w:iCs/>
        </w:rPr>
        <w:t>ed that</w:t>
      </w:r>
      <w:r w:rsidR="006C3BDF" w:rsidRPr="00683533">
        <w:rPr>
          <w:iCs/>
        </w:rPr>
        <w:t xml:space="preserve"> 20vPCV has inferior safety to no vaccine.</w:t>
      </w:r>
    </w:p>
    <w:p w14:paraId="01D5FA01" w14:textId="5E9E0527" w:rsidR="006C3BDF" w:rsidRDefault="00A31955" w:rsidP="006C3BDF">
      <w:pPr>
        <w:pStyle w:val="3-BodyText"/>
      </w:pPr>
      <w:r w:rsidRPr="00E64E40">
        <w:t xml:space="preserve">The </w:t>
      </w:r>
      <w:r w:rsidR="006C3BDF" w:rsidRPr="00683533">
        <w:rPr>
          <w:iCs/>
        </w:rPr>
        <w:t>ESC considered the</w:t>
      </w:r>
      <w:r w:rsidR="006C3BDF">
        <w:t xml:space="preserve"> </w:t>
      </w:r>
      <w:r w:rsidRPr="00E64E40">
        <w:t>submission’s safety claim against 13vPCV appear</w:t>
      </w:r>
      <w:r w:rsidR="006C3BDF">
        <w:t>ed</w:t>
      </w:r>
      <w:r w:rsidRPr="00E64E40">
        <w:t xml:space="preserve"> adequately supported</w:t>
      </w:r>
      <w:r w:rsidR="00F97750">
        <w:t xml:space="preserve">, </w:t>
      </w:r>
      <w:r w:rsidR="00F97750" w:rsidRPr="00683533">
        <w:rPr>
          <w:iCs/>
        </w:rPr>
        <w:t xml:space="preserve">noting </w:t>
      </w:r>
      <w:r w:rsidR="00F97750">
        <w:t>t</w:t>
      </w:r>
      <w:r w:rsidRPr="00BD1102">
        <w:t>here was a lack of safety data on Indigenous populations and in those with current NIP-funded risk conditions.</w:t>
      </w:r>
      <w:r w:rsidR="001328EF">
        <w:t xml:space="preserve"> </w:t>
      </w:r>
      <w:r w:rsidR="001328EF" w:rsidRPr="00683533">
        <w:t>For Aboriginal and Torres Strait Islander people (with no</w:t>
      </w:r>
      <w:r w:rsidR="001328EF" w:rsidRPr="00705495">
        <w:rPr>
          <w:iCs/>
        </w:rPr>
        <w:t xml:space="preserve"> </w:t>
      </w:r>
      <w:r w:rsidR="001328EF" w:rsidRPr="00683533">
        <w:t>risk factors)</w:t>
      </w:r>
      <w:r w:rsidR="001328EF" w:rsidRPr="00705495">
        <w:rPr>
          <w:iCs/>
        </w:rPr>
        <w:t xml:space="preserve"> </w:t>
      </w:r>
      <w:r w:rsidR="001328EF" w:rsidRPr="00683533">
        <w:t>aged 25-49 years,</w:t>
      </w:r>
      <w:r w:rsidR="001328EF" w:rsidRPr="00705495">
        <w:rPr>
          <w:iCs/>
        </w:rPr>
        <w:t xml:space="preserve"> </w:t>
      </w:r>
      <w:r w:rsidR="001328EF" w:rsidRPr="00683533">
        <w:t>the ESC considered the claim that 20vPCV has inferior safety to no vaccine was supported.</w:t>
      </w:r>
    </w:p>
    <w:p w14:paraId="638117A6" w14:textId="662A53D2" w:rsidR="00F97750" w:rsidRPr="001B41C4" w:rsidRDefault="00135CF7" w:rsidP="00F97750">
      <w:pPr>
        <w:pStyle w:val="3-BodyText"/>
      </w:pPr>
      <w:r w:rsidRPr="00E64E40">
        <w:t xml:space="preserve">The </w:t>
      </w:r>
      <w:r w:rsidR="00F97750" w:rsidRPr="00683533">
        <w:rPr>
          <w:iCs/>
        </w:rPr>
        <w:t>ESC considered the</w:t>
      </w:r>
      <w:r w:rsidR="00F97750">
        <w:t xml:space="preserve"> </w:t>
      </w:r>
      <w:r w:rsidRPr="00E64E40">
        <w:t xml:space="preserve">submission’s safety claim against 15vPCV not adequately supported because the submission did not conduct indirect comparisons on the safety outcomes between 20vPCV and 15vPCV. </w:t>
      </w:r>
      <w:r w:rsidR="00F97750" w:rsidRPr="00683533">
        <w:t>It was noted by</w:t>
      </w:r>
      <w:r w:rsidR="001328EF" w:rsidRPr="00683533">
        <w:t xml:space="preserve"> the</w:t>
      </w:r>
      <w:r w:rsidR="00F97750" w:rsidRPr="00683533">
        <w:t xml:space="preserve"> ESC that the</w:t>
      </w:r>
      <w:r w:rsidR="00F97750" w:rsidRPr="006C3BDF">
        <w:rPr>
          <w:iCs/>
        </w:rPr>
        <w:t xml:space="preserve"> </w:t>
      </w:r>
      <w:r w:rsidRPr="006C3BDF">
        <w:rPr>
          <w:iCs/>
        </w:rPr>
        <w:t xml:space="preserve">PBAC has previously supported the claim of non-inferior safety of 15vPCV compared to 13vPCV but noted that ATAGI considered tolerability of 15vPCV may be considered inferior to 13vPCV (paragraph 7.8, </w:t>
      </w:r>
      <w:proofErr w:type="spellStart"/>
      <w:r w:rsidRPr="006C3BDF">
        <w:rPr>
          <w:iCs/>
        </w:rPr>
        <w:t>Vaxneuvance</w:t>
      </w:r>
      <w:proofErr w:type="spellEnd"/>
      <w:r w:rsidRPr="006C3BDF">
        <w:rPr>
          <w:iCs/>
        </w:rPr>
        <w:t xml:space="preserve">, </w:t>
      </w:r>
      <w:r w:rsidR="00C10350">
        <w:rPr>
          <w:iCs/>
        </w:rPr>
        <w:t>PSD</w:t>
      </w:r>
      <w:r w:rsidRPr="006C3BDF">
        <w:rPr>
          <w:iCs/>
        </w:rPr>
        <w:t>, November 2021 PBAC meeting).</w:t>
      </w:r>
      <w:r w:rsidR="001328EF">
        <w:rPr>
          <w:iCs/>
        </w:rPr>
        <w:t xml:space="preserve"> </w:t>
      </w:r>
    </w:p>
    <w:p w14:paraId="69BC6068" w14:textId="4A997CF3" w:rsidR="008301DC" w:rsidRDefault="00DD6232" w:rsidP="005500C9">
      <w:pPr>
        <w:pStyle w:val="3-BodyText"/>
        <w:snapToGrid w:val="0"/>
      </w:pPr>
      <w:bookmarkStart w:id="40" w:name="_Hlk76376200"/>
      <w:r>
        <w:t xml:space="preserve">The PBAC considered the </w:t>
      </w:r>
      <w:r w:rsidR="006C0884">
        <w:t xml:space="preserve">submission’s </w:t>
      </w:r>
      <w:r>
        <w:t>claim of non-inferior</w:t>
      </w:r>
      <w:r w:rsidR="005500C9">
        <w:t xml:space="preserve"> effectiveness for</w:t>
      </w:r>
      <w:r>
        <w:t xml:space="preserve"> 20vPCV </w:t>
      </w:r>
      <w:r w:rsidR="005500C9">
        <w:t>versus</w:t>
      </w:r>
      <w:r>
        <w:t xml:space="preserve"> 13vPCV (and 15vPCV) </w:t>
      </w:r>
      <w:r w:rsidR="005500C9">
        <w:t xml:space="preserve">for the shared serotypes </w:t>
      </w:r>
      <w:r>
        <w:t>is not well supported</w:t>
      </w:r>
      <w:r w:rsidR="005500C9">
        <w:t>.</w:t>
      </w:r>
      <w:r>
        <w:t xml:space="preserve"> </w:t>
      </w:r>
      <w:r w:rsidR="0000339C">
        <w:t xml:space="preserve">The PBAC considered that the </w:t>
      </w:r>
      <w:r w:rsidR="006C0884">
        <w:t xml:space="preserve">submission’s </w:t>
      </w:r>
      <w:r w:rsidR="0000339C">
        <w:t xml:space="preserve">claim of superior comparative effectiveness </w:t>
      </w:r>
      <w:r w:rsidR="00A603DD">
        <w:t>for the additional 7 (5) serotypes</w:t>
      </w:r>
      <w:r w:rsidR="00884337">
        <w:t xml:space="preserve"> in 20vPCV versus 13vPCV (15vPCV)</w:t>
      </w:r>
      <w:r w:rsidR="00A603DD">
        <w:t xml:space="preserve"> </w:t>
      </w:r>
      <w:r w:rsidR="00884337">
        <w:t xml:space="preserve">to be </w:t>
      </w:r>
      <w:r w:rsidR="005500C9">
        <w:t xml:space="preserve">supported although the </w:t>
      </w:r>
      <w:r w:rsidR="003818B4">
        <w:t>magnitude of benefit</w:t>
      </w:r>
      <w:r w:rsidR="003818B4" w:rsidRPr="00D32574">
        <w:t xml:space="preserve"> </w:t>
      </w:r>
      <w:r w:rsidR="00884337" w:rsidRPr="00D32574">
        <w:t xml:space="preserve">in </w:t>
      </w:r>
      <w:r w:rsidR="005500C9">
        <w:t xml:space="preserve">terms of </w:t>
      </w:r>
      <w:r w:rsidR="00884337" w:rsidRPr="00D32574">
        <w:t xml:space="preserve">disease prevention </w:t>
      </w:r>
      <w:r w:rsidR="005500C9">
        <w:t xml:space="preserve">is </w:t>
      </w:r>
      <w:r w:rsidR="00884337" w:rsidRPr="00D32574">
        <w:t>uncertain</w:t>
      </w:r>
      <w:r w:rsidR="0000339C">
        <w:t>.</w:t>
      </w:r>
      <w:r w:rsidR="00CD5159">
        <w:t xml:space="preserve"> </w:t>
      </w:r>
      <w:r w:rsidR="005D3F94">
        <w:t xml:space="preserve">Overall, </w:t>
      </w:r>
      <w:r w:rsidR="005D3F94">
        <w:lastRenderedPageBreak/>
        <w:t>t</w:t>
      </w:r>
      <w:r w:rsidR="00CD5159">
        <w:t xml:space="preserve">he PBAC considered </w:t>
      </w:r>
      <w:r w:rsidR="005500C9">
        <w:t>a claim of</w:t>
      </w:r>
      <w:r w:rsidR="00CD5159">
        <w:t xml:space="preserve"> non-inferior comparative effectiveness</w:t>
      </w:r>
      <w:r w:rsidR="005500C9">
        <w:t xml:space="preserve"> of 20vPCV</w:t>
      </w:r>
      <w:r w:rsidR="00CD5159">
        <w:t xml:space="preserve"> compared with 13vPCV (and 15vPCV)</w:t>
      </w:r>
      <w:r w:rsidR="005500C9">
        <w:t xml:space="preserve"> to be appropriate</w:t>
      </w:r>
      <w:r w:rsidR="00CD5159">
        <w:t>.</w:t>
      </w:r>
      <w:r w:rsidR="008301DC">
        <w:t xml:space="preserve"> </w:t>
      </w:r>
    </w:p>
    <w:p w14:paraId="20A74600" w14:textId="3EC369BD" w:rsidR="00A80208" w:rsidRDefault="00A80208" w:rsidP="00B52593">
      <w:pPr>
        <w:pStyle w:val="3-BodyText"/>
        <w:snapToGrid w:val="0"/>
      </w:pPr>
      <w:r w:rsidRPr="00D32574">
        <w:t xml:space="preserve">The </w:t>
      </w:r>
      <w:r>
        <w:t xml:space="preserve">PBAC </w:t>
      </w:r>
      <w:r w:rsidRPr="00D32574">
        <w:t xml:space="preserve">considered the efficacy claim for superiority of 20vPCV against no vaccine for the expanded NIP population </w:t>
      </w:r>
      <w:r w:rsidR="00CD5159">
        <w:t xml:space="preserve">was reasonable, however </w:t>
      </w:r>
      <w:r w:rsidRPr="00D32574">
        <w:t>considered the correlation between immunogenicity outcomes and efficacy in disease prevention uncertain.</w:t>
      </w:r>
    </w:p>
    <w:p w14:paraId="553D0E5A" w14:textId="7D5B4540" w:rsidR="0000339C" w:rsidRDefault="0000339C" w:rsidP="0000339C">
      <w:pPr>
        <w:pStyle w:val="3-BodyText"/>
      </w:pPr>
      <w:r>
        <w:t>The PBAC considered that the claim of non-inferior comparative safety</w:t>
      </w:r>
      <w:r w:rsidR="00180ACE">
        <w:t xml:space="preserve"> </w:t>
      </w:r>
      <w:r w:rsidR="008301DC">
        <w:t>versus</w:t>
      </w:r>
      <w:r w:rsidR="00180ACE">
        <w:t xml:space="preserve"> 13vPCV </w:t>
      </w:r>
      <w:r w:rsidR="005C4F9B">
        <w:t>was supported by the dat</w:t>
      </w:r>
      <w:r w:rsidR="00BA532C">
        <w:t>a</w:t>
      </w:r>
      <w:r w:rsidR="003818B4">
        <w:t>. The PBAC</w:t>
      </w:r>
      <w:r w:rsidR="00BA532C">
        <w:t xml:space="preserve"> </w:t>
      </w:r>
      <w:bookmarkEnd w:id="40"/>
      <w:r w:rsidR="005C4F9B">
        <w:t>considered the submission’s safety claim</w:t>
      </w:r>
      <w:r w:rsidR="008301DC">
        <w:t xml:space="preserve"> of non-inferior safety</w:t>
      </w:r>
      <w:r w:rsidR="005C4F9B">
        <w:t xml:space="preserve"> against 15vPCV </w:t>
      </w:r>
      <w:r w:rsidR="00BA532C">
        <w:t xml:space="preserve">reasonable, noting the submission did not provide a </w:t>
      </w:r>
      <w:r w:rsidR="005C4F9B">
        <w:t>comparison on the safety outcomes between 20vPCV and 15vPCV.</w:t>
      </w:r>
    </w:p>
    <w:p w14:paraId="2DB78E29" w14:textId="0F72077B" w:rsidR="009A63D5" w:rsidRPr="00683533" w:rsidRDefault="009A63D5" w:rsidP="0000339C">
      <w:pPr>
        <w:pStyle w:val="3-BodyText"/>
      </w:pPr>
      <w:r>
        <w:t xml:space="preserve">The PBAC considered that the claim of inferior comparative safety </w:t>
      </w:r>
      <w:r w:rsidR="008301DC">
        <w:t>versus</w:t>
      </w:r>
      <w:r>
        <w:t xml:space="preserve"> no vaccine was reasonable.</w:t>
      </w:r>
    </w:p>
    <w:p w14:paraId="6EADD892" w14:textId="23BED1B2" w:rsidR="007D4D11" w:rsidRPr="00786993" w:rsidRDefault="007D4D11" w:rsidP="00180ACE">
      <w:pPr>
        <w:pStyle w:val="3-BodyText"/>
        <w:keepNext/>
        <w:numPr>
          <w:ilvl w:val="0"/>
          <w:numId w:val="0"/>
        </w:numPr>
        <w:outlineLvl w:val="1"/>
        <w:rPr>
          <w:i/>
          <w:iCs/>
          <w:sz w:val="32"/>
          <w:szCs w:val="32"/>
        </w:rPr>
      </w:pPr>
      <w:r w:rsidRPr="00786993">
        <w:rPr>
          <w:b/>
          <w:i/>
          <w:iCs/>
          <w:sz w:val="32"/>
          <w:szCs w:val="32"/>
        </w:rPr>
        <w:t xml:space="preserve">Economic analysis </w:t>
      </w:r>
    </w:p>
    <w:p w14:paraId="4D761B34" w14:textId="56543F09" w:rsidR="00BA0245" w:rsidRDefault="00135CF7" w:rsidP="00036C51">
      <w:pPr>
        <w:pStyle w:val="3-BodyText"/>
      </w:pPr>
      <w:r w:rsidRPr="003E05E3">
        <w:t>The type of economic evaluation presented was a cost-utility analysis and a cost-effectiveness analysis.</w:t>
      </w:r>
      <w:r w:rsidR="00163176">
        <w:t xml:space="preserve"> </w:t>
      </w:r>
      <w:r w:rsidR="00BA0245" w:rsidRPr="00683533">
        <w:rPr>
          <w:iCs/>
        </w:rPr>
        <w:t>The ESC noted 15vPCV was listed on a cost</w:t>
      </w:r>
      <w:r w:rsidR="00F863BA" w:rsidRPr="00683533">
        <w:rPr>
          <w:iCs/>
        </w:rPr>
        <w:t xml:space="preserve"> </w:t>
      </w:r>
      <w:r w:rsidR="00BA0245" w:rsidRPr="00683533">
        <w:rPr>
          <w:iCs/>
        </w:rPr>
        <w:t xml:space="preserve">minimisation basis versus 13vPCV and </w:t>
      </w:r>
      <w:r w:rsidR="004E2BDA" w:rsidRPr="00683533">
        <w:rPr>
          <w:iCs/>
        </w:rPr>
        <w:t xml:space="preserve">considered </w:t>
      </w:r>
      <w:r w:rsidR="00F863BA" w:rsidRPr="00683533">
        <w:rPr>
          <w:iCs/>
        </w:rPr>
        <w:t xml:space="preserve">a </w:t>
      </w:r>
      <w:r w:rsidR="004E2BDA" w:rsidRPr="00683533">
        <w:rPr>
          <w:iCs/>
        </w:rPr>
        <w:t xml:space="preserve">similar </w:t>
      </w:r>
      <w:r w:rsidR="00F863BA" w:rsidRPr="00683533">
        <w:rPr>
          <w:iCs/>
        </w:rPr>
        <w:t>approach</w:t>
      </w:r>
      <w:r w:rsidR="004E2BDA" w:rsidRPr="00683533">
        <w:rPr>
          <w:iCs/>
        </w:rPr>
        <w:t xml:space="preserve"> would be appropriate</w:t>
      </w:r>
      <w:r w:rsidR="00F863BA" w:rsidRPr="00683533">
        <w:rPr>
          <w:iCs/>
        </w:rPr>
        <w:t xml:space="preserve"> for the current NIP populations if the available evidence does not adequately support superiority of 20vPCV over 13vPCV or 15vPCV.</w:t>
      </w:r>
      <w:r w:rsidR="00686529">
        <w:rPr>
          <w:iCs/>
        </w:rPr>
        <w:t xml:space="preserve"> The pre-PBAC response </w:t>
      </w:r>
      <w:r w:rsidR="008365D5">
        <w:rPr>
          <w:iCs/>
        </w:rPr>
        <w:t xml:space="preserve">acknowledged the potential for the PBAC to make a recommendation for listing 20vPCV </w:t>
      </w:r>
      <w:proofErr w:type="gramStart"/>
      <w:r w:rsidR="008365D5">
        <w:rPr>
          <w:iCs/>
        </w:rPr>
        <w:t>on the basis of</w:t>
      </w:r>
      <w:proofErr w:type="gramEnd"/>
      <w:r w:rsidR="008365D5">
        <w:rPr>
          <w:iCs/>
        </w:rPr>
        <w:t xml:space="preserve"> a cost minimisation approach to 13vPCV or 15vPCV, whilst claiming clinical and economic benefits had been demonstrated</w:t>
      </w:r>
      <w:r w:rsidR="00686529">
        <w:rPr>
          <w:iCs/>
        </w:rPr>
        <w:t>.</w:t>
      </w:r>
    </w:p>
    <w:p w14:paraId="386FEB65" w14:textId="11C629DA" w:rsidR="00D22D2A" w:rsidRDefault="00163176" w:rsidP="00036C51">
      <w:pPr>
        <w:pStyle w:val="3-BodyText"/>
      </w:pPr>
      <w:r>
        <w:t xml:space="preserve">The key components of the economic evaluation comparing 20vPCV with 15vPCV and 13vPCV is presented in </w:t>
      </w:r>
      <w:r>
        <w:fldChar w:fldCharType="begin"/>
      </w:r>
      <w:r>
        <w:instrText xml:space="preserve"> REF _Ref113883587 \h  \* MERGEFORMAT </w:instrText>
      </w:r>
      <w:r>
        <w:fldChar w:fldCharType="separate"/>
      </w:r>
      <w:r w:rsidR="00137984" w:rsidRPr="00137984">
        <w:t>Table 9</w:t>
      </w:r>
      <w:r>
        <w:fldChar w:fldCharType="end"/>
      </w:r>
      <w:r w:rsidRPr="002D0FE3">
        <w:t>.</w:t>
      </w:r>
      <w:r w:rsidR="00135CF7">
        <w:t xml:space="preserve"> </w:t>
      </w:r>
      <w:r w:rsidRPr="00683533">
        <w:rPr>
          <w:iCs/>
        </w:rPr>
        <w:t>Separate Markov models were developed for each of the four target populations.</w:t>
      </w:r>
      <w:r w:rsidR="006E7985" w:rsidRPr="00683533">
        <w:rPr>
          <w:iCs/>
        </w:rPr>
        <w:t xml:space="preserve"> The ESC considered the model structure appropriate</w:t>
      </w:r>
      <w:r w:rsidR="00F863BA" w:rsidRPr="00683533">
        <w:rPr>
          <w:iCs/>
        </w:rPr>
        <w:t xml:space="preserve">, although noted not all sensitivity analyses requested by ATAGI were able to </w:t>
      </w:r>
      <w:r w:rsidR="002E7AE6" w:rsidRPr="00683533">
        <w:rPr>
          <w:iCs/>
        </w:rPr>
        <w:t>be</w:t>
      </w:r>
      <w:r w:rsidR="00F863BA" w:rsidRPr="00683533">
        <w:rPr>
          <w:iCs/>
        </w:rPr>
        <w:t xml:space="preserve"> </w:t>
      </w:r>
      <w:r w:rsidR="004E2BDA" w:rsidRPr="00683533">
        <w:rPr>
          <w:iCs/>
        </w:rPr>
        <w:t>implemented</w:t>
      </w:r>
      <w:r w:rsidR="0017148F" w:rsidRPr="00683533">
        <w:rPr>
          <w:iCs/>
        </w:rPr>
        <w:t xml:space="preserve"> (see paragraph </w:t>
      </w:r>
      <w:r w:rsidR="0017148F" w:rsidRPr="00683533">
        <w:rPr>
          <w:iCs/>
        </w:rPr>
        <w:fldChar w:fldCharType="begin"/>
      </w:r>
      <w:r w:rsidR="0017148F" w:rsidRPr="00683533">
        <w:rPr>
          <w:iCs/>
        </w:rPr>
        <w:instrText xml:space="preserve"> REF _Ref116655786 \r \h </w:instrText>
      </w:r>
      <w:r w:rsidR="0017148F" w:rsidRPr="00683533">
        <w:rPr>
          <w:iCs/>
        </w:rPr>
      </w:r>
      <w:r w:rsidR="0017148F" w:rsidRPr="00683533">
        <w:rPr>
          <w:iCs/>
        </w:rPr>
        <w:fldChar w:fldCharType="separate"/>
      </w:r>
      <w:r w:rsidR="00137984">
        <w:rPr>
          <w:iCs/>
        </w:rPr>
        <w:t>6.75</w:t>
      </w:r>
      <w:r w:rsidR="0017148F" w:rsidRPr="00683533">
        <w:rPr>
          <w:iCs/>
        </w:rPr>
        <w:fldChar w:fldCharType="end"/>
      </w:r>
      <w:r w:rsidR="0017148F" w:rsidRPr="00683533">
        <w:rPr>
          <w:iCs/>
        </w:rPr>
        <w:t>)</w:t>
      </w:r>
      <w:r w:rsidR="006E7985" w:rsidRPr="00683533">
        <w:rPr>
          <w:iCs/>
        </w:rPr>
        <w:t xml:space="preserve">. </w:t>
      </w:r>
    </w:p>
    <w:p w14:paraId="3D3DE50B" w14:textId="72D0FD4A" w:rsidR="00CC3C41" w:rsidRPr="004E375B" w:rsidRDefault="00303E6B" w:rsidP="00036C51">
      <w:pPr>
        <w:pStyle w:val="3-BodyText"/>
        <w:rPr>
          <w:iCs/>
        </w:rPr>
      </w:pPr>
      <w:r w:rsidRPr="003104EE">
        <w:t xml:space="preserve">The </w:t>
      </w:r>
      <w:r w:rsidR="003F3FFF" w:rsidRPr="003104EE">
        <w:t xml:space="preserve">submission stated that the </w:t>
      </w:r>
      <w:r w:rsidRPr="003104EE">
        <w:t xml:space="preserve">economic model </w:t>
      </w:r>
      <w:r w:rsidR="00D82376">
        <w:t>was</w:t>
      </w:r>
      <w:r w:rsidR="003F3FFF" w:rsidRPr="003104EE">
        <w:t xml:space="preserve"> </w:t>
      </w:r>
      <w:r w:rsidR="00D82376" w:rsidRPr="003104EE">
        <w:t>identical</w:t>
      </w:r>
      <w:r w:rsidR="003F3FFF" w:rsidRPr="003104EE">
        <w:t xml:space="preserve"> </w:t>
      </w:r>
      <w:r w:rsidR="00D82376">
        <w:t>to the model presented in the</w:t>
      </w:r>
      <w:r w:rsidR="003F3FFF" w:rsidRPr="003104EE">
        <w:t xml:space="preserve"> 13vPCV submission </w:t>
      </w:r>
      <w:r w:rsidR="00D82376">
        <w:t xml:space="preserve">and </w:t>
      </w:r>
      <w:r w:rsidR="003F3FFF" w:rsidRPr="003104EE">
        <w:t xml:space="preserve">reviewed by </w:t>
      </w:r>
      <w:r w:rsidR="00E26AB3">
        <w:t xml:space="preserve">the </w:t>
      </w:r>
      <w:r w:rsidR="003F3FFF" w:rsidRPr="003104EE">
        <w:t xml:space="preserve">ATAGI and the PBAC for </w:t>
      </w:r>
      <w:r w:rsidR="00D82376">
        <w:t xml:space="preserve">individuals aged </w:t>
      </w:r>
      <w:r w:rsidR="003F3FFF" w:rsidRPr="003104EE">
        <w:t>≥</w:t>
      </w:r>
      <w:r w:rsidR="00D82376">
        <w:t xml:space="preserve"> </w:t>
      </w:r>
      <w:r w:rsidR="003F3FFF" w:rsidRPr="003104EE">
        <w:t>15 years with at-risk conditions</w:t>
      </w:r>
      <w:r w:rsidR="00F8099B">
        <w:t xml:space="preserve"> </w:t>
      </w:r>
      <w:r w:rsidR="00F8099B" w:rsidRPr="00A13560">
        <w:t>(</w:t>
      </w:r>
      <w:r w:rsidR="00F8099B">
        <w:t>13vPCV</w:t>
      </w:r>
      <w:r w:rsidR="00F8099B" w:rsidRPr="00A13560">
        <w:t xml:space="preserve"> </w:t>
      </w:r>
      <w:r w:rsidR="00F8099B">
        <w:t>PSD,</w:t>
      </w:r>
      <w:r w:rsidR="00F8099B" w:rsidRPr="00A13560">
        <w:t xml:space="preserve"> November 2018 PBAC meeting)</w:t>
      </w:r>
      <w:r w:rsidR="003F3FFF">
        <w:t xml:space="preserve">. </w:t>
      </w:r>
    </w:p>
    <w:p w14:paraId="105864C3" w14:textId="2B2EBD9C" w:rsidR="00D82376" w:rsidRPr="00F2769B" w:rsidRDefault="00053A5B" w:rsidP="00F2769B">
      <w:pPr>
        <w:pStyle w:val="3-BodyText"/>
      </w:pPr>
      <w:r w:rsidRPr="00683533">
        <w:rPr>
          <w:iCs/>
        </w:rPr>
        <w:t xml:space="preserve">The submission stated there </w:t>
      </w:r>
      <w:r w:rsidR="003F7E32">
        <w:rPr>
          <w:iCs/>
        </w:rPr>
        <w:t>wa</w:t>
      </w:r>
      <w:r w:rsidRPr="00683533">
        <w:rPr>
          <w:iCs/>
        </w:rPr>
        <w:t xml:space="preserve">s no epidemiological data available </w:t>
      </w:r>
      <w:r w:rsidR="005B5731" w:rsidRPr="00683533">
        <w:rPr>
          <w:iCs/>
        </w:rPr>
        <w:t>that reflect</w:t>
      </w:r>
      <w:r w:rsidR="003F7E32">
        <w:rPr>
          <w:iCs/>
        </w:rPr>
        <w:t>ed</w:t>
      </w:r>
      <w:r w:rsidR="005B5731" w:rsidRPr="00683533">
        <w:rPr>
          <w:iCs/>
        </w:rPr>
        <w:t xml:space="preserve"> vaccination with</w:t>
      </w:r>
      <w:r w:rsidRPr="00683533">
        <w:rPr>
          <w:iCs/>
        </w:rPr>
        <w:t xml:space="preserve"> </w:t>
      </w:r>
      <w:r w:rsidR="005B5731" w:rsidRPr="00683533">
        <w:rPr>
          <w:iCs/>
        </w:rPr>
        <w:t>13</w:t>
      </w:r>
      <w:r w:rsidR="003F7E32">
        <w:rPr>
          <w:iCs/>
        </w:rPr>
        <w:t>v</w:t>
      </w:r>
      <w:r w:rsidR="005B5731" w:rsidRPr="00683533">
        <w:rPr>
          <w:iCs/>
        </w:rPr>
        <w:t xml:space="preserve">PCV and 15vPCV and </w:t>
      </w:r>
      <w:r w:rsidRPr="00683533">
        <w:rPr>
          <w:iCs/>
        </w:rPr>
        <w:t xml:space="preserve">the most recent </w:t>
      </w:r>
      <w:r w:rsidR="005B5731" w:rsidRPr="00683533">
        <w:rPr>
          <w:iCs/>
        </w:rPr>
        <w:t xml:space="preserve">data </w:t>
      </w:r>
      <w:r w:rsidRPr="00683533">
        <w:rPr>
          <w:iCs/>
        </w:rPr>
        <w:t xml:space="preserve">available </w:t>
      </w:r>
      <w:r w:rsidR="003F7E32">
        <w:rPr>
          <w:iCs/>
        </w:rPr>
        <w:t>wa</w:t>
      </w:r>
      <w:r w:rsidR="005B5731" w:rsidRPr="00683533">
        <w:rPr>
          <w:iCs/>
        </w:rPr>
        <w:t xml:space="preserve">s from </w:t>
      </w:r>
      <w:r w:rsidRPr="00683533">
        <w:rPr>
          <w:iCs/>
        </w:rPr>
        <w:t>2019</w:t>
      </w:r>
      <w:r w:rsidR="005B5731" w:rsidRPr="00683533">
        <w:rPr>
          <w:iCs/>
        </w:rPr>
        <w:t xml:space="preserve"> (or earlier) </w:t>
      </w:r>
      <w:r w:rsidRPr="00683533">
        <w:t>when only 23vPPV was available</w:t>
      </w:r>
      <w:r w:rsidRPr="00683533">
        <w:rPr>
          <w:iCs/>
        </w:rPr>
        <w:t xml:space="preserve">. </w:t>
      </w:r>
      <w:r w:rsidR="006D1E70" w:rsidRPr="00683533">
        <w:rPr>
          <w:iCs/>
        </w:rPr>
        <w:t>The</w:t>
      </w:r>
      <w:r w:rsidR="005B5731" w:rsidRPr="00683533">
        <w:rPr>
          <w:iCs/>
        </w:rPr>
        <w:t>refore, the</w:t>
      </w:r>
      <w:r w:rsidR="006D1E70" w:rsidRPr="00BE32C4">
        <w:t xml:space="preserve"> economic model used 23vPPV as </w:t>
      </w:r>
      <w:r w:rsidR="008365D5">
        <w:t>a</w:t>
      </w:r>
      <w:r w:rsidR="008365D5" w:rsidRPr="00BE32C4">
        <w:t xml:space="preserve"> </w:t>
      </w:r>
      <w:r w:rsidR="006D1E70" w:rsidRPr="00BE32C4">
        <w:t xml:space="preserve">common comparator between 20vPCV and 13vPCV or 15vPCV for the </w:t>
      </w:r>
      <w:r w:rsidR="004E2BDA">
        <w:t>existing NIP populations</w:t>
      </w:r>
      <w:r w:rsidR="006D1E70" w:rsidRPr="00BE32C4">
        <w:t>.</w:t>
      </w:r>
      <w:r w:rsidR="006D1E70" w:rsidRPr="004E375B">
        <w:rPr>
          <w:iCs/>
        </w:rPr>
        <w:t xml:space="preserve"> </w:t>
      </w:r>
      <w:r w:rsidRPr="00683533">
        <w:t xml:space="preserve"> </w:t>
      </w:r>
    </w:p>
    <w:p w14:paraId="6B78681E" w14:textId="5F253643" w:rsidR="007D4D11" w:rsidRPr="00E26AB3" w:rsidRDefault="007D4D11" w:rsidP="007C081D">
      <w:pPr>
        <w:pStyle w:val="Caption"/>
        <w:rPr>
          <w:rStyle w:val="CommentReference"/>
          <w:b/>
        </w:rPr>
      </w:pPr>
      <w:bookmarkStart w:id="41" w:name="_Ref112350158"/>
      <w:bookmarkStart w:id="42" w:name="_Ref113883587"/>
      <w:r w:rsidRPr="00E26AB3">
        <w:rPr>
          <w:rStyle w:val="CommentReference"/>
          <w:b/>
        </w:rPr>
        <w:lastRenderedPageBreak/>
        <w:t xml:space="preserve">Table </w:t>
      </w:r>
      <w:r w:rsidRPr="00E26AB3">
        <w:rPr>
          <w:rStyle w:val="CommentReference"/>
          <w:b/>
        </w:rPr>
        <w:fldChar w:fldCharType="begin"/>
      </w:r>
      <w:r w:rsidRPr="00E26AB3">
        <w:rPr>
          <w:rStyle w:val="CommentReference"/>
          <w:b/>
        </w:rPr>
        <w:instrText>SEQ Table \* ARABIC</w:instrText>
      </w:r>
      <w:r w:rsidRPr="00E26AB3">
        <w:rPr>
          <w:rStyle w:val="CommentReference"/>
          <w:b/>
        </w:rPr>
        <w:fldChar w:fldCharType="separate"/>
      </w:r>
      <w:r w:rsidR="00137984">
        <w:rPr>
          <w:rStyle w:val="CommentReference"/>
          <w:b/>
          <w:noProof/>
        </w:rPr>
        <w:t>9</w:t>
      </w:r>
      <w:r w:rsidRPr="00E26AB3">
        <w:rPr>
          <w:rStyle w:val="CommentReference"/>
          <w:b/>
        </w:rPr>
        <w:fldChar w:fldCharType="end"/>
      </w:r>
      <w:bookmarkEnd w:id="41"/>
      <w:bookmarkEnd w:id="42"/>
      <w:r w:rsidRPr="00E26AB3">
        <w:rPr>
          <w:rStyle w:val="CommentReference"/>
          <w:b/>
        </w:rPr>
        <w:t xml:space="preserve">: Summary of model structure, key </w:t>
      </w:r>
      <w:proofErr w:type="gramStart"/>
      <w:r w:rsidRPr="00E26AB3">
        <w:rPr>
          <w:rStyle w:val="CommentReference"/>
          <w:b/>
        </w:rPr>
        <w:t>inputs</w:t>
      </w:r>
      <w:proofErr w:type="gramEnd"/>
      <w:r w:rsidRPr="00E26AB3">
        <w:rPr>
          <w:rStyle w:val="CommentReference"/>
          <w:b/>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7D4D11" w:rsidRPr="003D1DE4" w14:paraId="640EBEFF" w14:textId="77777777" w:rsidTr="009A477A">
        <w:trPr>
          <w:tblHeader/>
        </w:trPr>
        <w:tc>
          <w:tcPr>
            <w:tcW w:w="1396" w:type="pct"/>
            <w:shd w:val="clear" w:color="auto" w:fill="auto"/>
            <w:vAlign w:val="center"/>
          </w:tcPr>
          <w:p w14:paraId="053F3B91" w14:textId="77777777" w:rsidR="007D4D11" w:rsidRPr="00641FB3" w:rsidRDefault="007D4D11" w:rsidP="007C081D">
            <w:pPr>
              <w:pStyle w:val="In-tableHeading"/>
              <w:widowControl w:val="0"/>
            </w:pPr>
            <w:r w:rsidRPr="00641FB3">
              <w:t>Component</w:t>
            </w:r>
          </w:p>
        </w:tc>
        <w:tc>
          <w:tcPr>
            <w:tcW w:w="3604" w:type="pct"/>
            <w:shd w:val="clear" w:color="auto" w:fill="auto"/>
            <w:vAlign w:val="center"/>
          </w:tcPr>
          <w:p w14:paraId="65DCD61B" w14:textId="77777777" w:rsidR="007D4D11" w:rsidRPr="00641FB3" w:rsidRDefault="007D4D11" w:rsidP="007C081D">
            <w:pPr>
              <w:pStyle w:val="In-tableHeading"/>
              <w:widowControl w:val="0"/>
            </w:pPr>
            <w:r w:rsidRPr="00641FB3">
              <w:t>Summary</w:t>
            </w:r>
          </w:p>
        </w:tc>
      </w:tr>
      <w:tr w:rsidR="00B07840" w:rsidRPr="00E2771E" w14:paraId="17F077DB" w14:textId="77777777" w:rsidTr="009A477A">
        <w:tc>
          <w:tcPr>
            <w:tcW w:w="1396" w:type="pct"/>
            <w:shd w:val="clear" w:color="auto" w:fill="auto"/>
            <w:vAlign w:val="center"/>
          </w:tcPr>
          <w:p w14:paraId="24C219C6" w14:textId="77777777" w:rsidR="00B07840" w:rsidRPr="00E2771E" w:rsidRDefault="00B07840" w:rsidP="007C081D">
            <w:pPr>
              <w:pStyle w:val="TableText0"/>
              <w:widowControl w:val="0"/>
            </w:pPr>
            <w:r>
              <w:t>Treatments</w:t>
            </w:r>
          </w:p>
        </w:tc>
        <w:tc>
          <w:tcPr>
            <w:tcW w:w="3604" w:type="pct"/>
            <w:shd w:val="clear" w:color="auto" w:fill="auto"/>
            <w:vAlign w:val="center"/>
          </w:tcPr>
          <w:p w14:paraId="4563924D" w14:textId="71FEED19" w:rsidR="00B07840" w:rsidRPr="00E2771E" w:rsidRDefault="00B07840" w:rsidP="007C081D">
            <w:pPr>
              <w:pStyle w:val="TableText0"/>
              <w:widowControl w:val="0"/>
            </w:pPr>
            <w:r>
              <w:t>20vPCV vs 15vPCV vs 13vPCV via 23vPPV as the common comparator</w:t>
            </w:r>
          </w:p>
        </w:tc>
      </w:tr>
      <w:tr w:rsidR="00B07840" w:rsidRPr="00E2771E" w14:paraId="18BFA677" w14:textId="77777777" w:rsidTr="009A477A">
        <w:tc>
          <w:tcPr>
            <w:tcW w:w="1396" w:type="pct"/>
            <w:shd w:val="clear" w:color="auto" w:fill="auto"/>
            <w:vAlign w:val="center"/>
          </w:tcPr>
          <w:p w14:paraId="7F32C4E7" w14:textId="77777777" w:rsidR="00B07840" w:rsidRPr="00E2771E" w:rsidRDefault="00B07840" w:rsidP="007C081D">
            <w:pPr>
              <w:pStyle w:val="TableText0"/>
              <w:widowControl w:val="0"/>
            </w:pPr>
            <w:r w:rsidRPr="00E2771E">
              <w:t>Time horizon</w:t>
            </w:r>
          </w:p>
        </w:tc>
        <w:tc>
          <w:tcPr>
            <w:tcW w:w="3604" w:type="pct"/>
            <w:shd w:val="clear" w:color="auto" w:fill="auto"/>
            <w:vAlign w:val="center"/>
          </w:tcPr>
          <w:p w14:paraId="71C5A703" w14:textId="207997A3" w:rsidR="00B07840" w:rsidRDefault="00E26AB3" w:rsidP="007C081D">
            <w:pPr>
              <w:pStyle w:val="TableText0"/>
              <w:widowControl w:val="0"/>
            </w:pPr>
            <w:proofErr w:type="spellStart"/>
            <w:r>
              <w:t>i</w:t>
            </w:r>
            <w:proofErr w:type="spellEnd"/>
            <w:r>
              <w:t xml:space="preserve">) </w:t>
            </w:r>
            <w:r w:rsidR="00B07840">
              <w:t>Non-Indigenous adults aged ≥</w:t>
            </w:r>
            <w:r w:rsidR="003F7E32">
              <w:t xml:space="preserve"> </w:t>
            </w:r>
            <w:r w:rsidR="00B07840">
              <w:t xml:space="preserve">70 years: lifetime </w:t>
            </w:r>
            <w:r w:rsidR="00163176" w:rsidRPr="00683533">
              <w:rPr>
                <w:iCs/>
              </w:rPr>
              <w:t>(100 years)</w:t>
            </w:r>
          </w:p>
          <w:p w14:paraId="46A504E4" w14:textId="17D6A4B6" w:rsidR="00B07840" w:rsidRDefault="00B07840" w:rsidP="007C081D">
            <w:pPr>
              <w:pStyle w:val="TableText0"/>
              <w:widowControl w:val="0"/>
            </w:pPr>
            <w:r>
              <w:t>ii) At-risk adults aged 18-69 y</w:t>
            </w:r>
            <w:r w:rsidR="003F7E32">
              <w:t xml:space="preserve"> </w:t>
            </w:r>
            <w:r>
              <w:t>ears: until age 70 years</w:t>
            </w:r>
          </w:p>
          <w:p w14:paraId="43B980C2" w14:textId="73BB008F" w:rsidR="00B07840" w:rsidRDefault="00B07840" w:rsidP="007C081D">
            <w:pPr>
              <w:pStyle w:val="TableText0"/>
              <w:widowControl w:val="0"/>
            </w:pPr>
            <w:r>
              <w:t>iii) Indigenous adults aged ≥</w:t>
            </w:r>
            <w:r w:rsidR="003F7E32">
              <w:t xml:space="preserve"> </w:t>
            </w:r>
            <w:r>
              <w:t xml:space="preserve">50 years: lifetime </w:t>
            </w:r>
            <w:r w:rsidR="00163176" w:rsidRPr="00683533">
              <w:rPr>
                <w:iCs/>
              </w:rPr>
              <w:t>(100 years)</w:t>
            </w:r>
          </w:p>
          <w:p w14:paraId="5EC3CDEB" w14:textId="3E8D7BD3" w:rsidR="00B07840" w:rsidRPr="004A3150" w:rsidRDefault="00B07840" w:rsidP="007C081D">
            <w:pPr>
              <w:pStyle w:val="TableText0"/>
              <w:widowControl w:val="0"/>
            </w:pPr>
            <w:r>
              <w:t>iv) Indigenous adults aged 25-49 years: until age 50 years</w:t>
            </w:r>
          </w:p>
        </w:tc>
      </w:tr>
      <w:tr w:rsidR="00B07840" w:rsidRPr="00E2771E" w14:paraId="0E713726" w14:textId="77777777" w:rsidTr="009A477A">
        <w:tc>
          <w:tcPr>
            <w:tcW w:w="1396" w:type="pct"/>
            <w:shd w:val="clear" w:color="auto" w:fill="auto"/>
            <w:vAlign w:val="center"/>
          </w:tcPr>
          <w:p w14:paraId="0B61D18A" w14:textId="77777777" w:rsidR="00B07840" w:rsidRPr="00E2771E" w:rsidRDefault="00B07840" w:rsidP="007C081D">
            <w:pPr>
              <w:pStyle w:val="TableText0"/>
              <w:widowControl w:val="0"/>
            </w:pPr>
            <w:r w:rsidRPr="00E2771E">
              <w:t>Outcomes</w:t>
            </w:r>
          </w:p>
        </w:tc>
        <w:tc>
          <w:tcPr>
            <w:tcW w:w="3604" w:type="pct"/>
            <w:shd w:val="clear" w:color="auto" w:fill="auto"/>
            <w:vAlign w:val="center"/>
          </w:tcPr>
          <w:p w14:paraId="6C3504D6" w14:textId="2A53E9FE" w:rsidR="00B07840" w:rsidRDefault="00B07840" w:rsidP="007C081D">
            <w:pPr>
              <w:pStyle w:val="TableText0"/>
              <w:widowControl w:val="0"/>
            </w:pPr>
            <w:r w:rsidRPr="00095DBA">
              <w:t xml:space="preserve">Years of life </w:t>
            </w:r>
            <w:r w:rsidR="00950FA1">
              <w:t>lived</w:t>
            </w:r>
          </w:p>
          <w:p w14:paraId="023A3789" w14:textId="72DF5887" w:rsidR="00B07840" w:rsidRPr="00E2771E" w:rsidRDefault="00B07840" w:rsidP="007C081D">
            <w:pPr>
              <w:pStyle w:val="TableText0"/>
              <w:widowControl w:val="0"/>
            </w:pPr>
            <w:r w:rsidRPr="00095DBA">
              <w:t>Quality-adjusted life years</w:t>
            </w:r>
            <w:r>
              <w:t xml:space="preserve"> (QALYs)</w:t>
            </w:r>
          </w:p>
        </w:tc>
      </w:tr>
      <w:tr w:rsidR="00B07840" w:rsidRPr="00E2771E" w14:paraId="1722C275" w14:textId="77777777" w:rsidTr="009A477A">
        <w:tc>
          <w:tcPr>
            <w:tcW w:w="1396" w:type="pct"/>
            <w:shd w:val="clear" w:color="auto" w:fill="auto"/>
            <w:vAlign w:val="center"/>
          </w:tcPr>
          <w:p w14:paraId="285D5F03" w14:textId="77777777" w:rsidR="00B07840" w:rsidRPr="00E2771E" w:rsidRDefault="00B07840" w:rsidP="007C081D">
            <w:pPr>
              <w:pStyle w:val="TableText0"/>
              <w:widowControl w:val="0"/>
            </w:pPr>
            <w:r w:rsidRPr="00E2771E">
              <w:t>Methods used to generate results</w:t>
            </w:r>
          </w:p>
        </w:tc>
        <w:tc>
          <w:tcPr>
            <w:tcW w:w="3604" w:type="pct"/>
            <w:shd w:val="clear" w:color="auto" w:fill="auto"/>
            <w:vAlign w:val="center"/>
          </w:tcPr>
          <w:p w14:paraId="5C95B17F" w14:textId="77777777" w:rsidR="00B07840" w:rsidRDefault="00B07840" w:rsidP="007C081D">
            <w:pPr>
              <w:pStyle w:val="TableText0"/>
              <w:widowControl w:val="0"/>
            </w:pPr>
            <w:r>
              <w:t>Decision analysis</w:t>
            </w:r>
          </w:p>
          <w:p w14:paraId="75C73604" w14:textId="77777777" w:rsidR="00B07840" w:rsidRDefault="00B07840" w:rsidP="007C081D">
            <w:pPr>
              <w:pStyle w:val="TableText0"/>
              <w:widowControl w:val="0"/>
            </w:pPr>
            <w:r>
              <w:t>Markov state-transition modelling</w:t>
            </w:r>
          </w:p>
          <w:p w14:paraId="54F005FE" w14:textId="76703255" w:rsidR="00B07840" w:rsidRPr="00E2771E" w:rsidRDefault="00B07840" w:rsidP="007C081D">
            <w:pPr>
              <w:pStyle w:val="TableText0"/>
              <w:widowControl w:val="0"/>
            </w:pPr>
            <w:r>
              <w:t>Cohort expected value analysis</w:t>
            </w:r>
          </w:p>
        </w:tc>
      </w:tr>
      <w:tr w:rsidR="00B07840" w:rsidRPr="00E2771E" w14:paraId="0BC817B0" w14:textId="77777777" w:rsidTr="009A477A">
        <w:tc>
          <w:tcPr>
            <w:tcW w:w="1396" w:type="pct"/>
            <w:shd w:val="clear" w:color="auto" w:fill="auto"/>
            <w:vAlign w:val="center"/>
          </w:tcPr>
          <w:p w14:paraId="2B8ACC89" w14:textId="77777777" w:rsidR="00B07840" w:rsidRPr="00E2771E" w:rsidRDefault="00B07840" w:rsidP="007C081D">
            <w:pPr>
              <w:pStyle w:val="TableText0"/>
              <w:widowControl w:val="0"/>
            </w:pPr>
            <w:r w:rsidRPr="00E2771E">
              <w:t>Health states</w:t>
            </w:r>
          </w:p>
        </w:tc>
        <w:tc>
          <w:tcPr>
            <w:tcW w:w="3604" w:type="pct"/>
            <w:shd w:val="clear" w:color="auto" w:fill="auto"/>
            <w:vAlign w:val="center"/>
          </w:tcPr>
          <w:p w14:paraId="65D7E99E" w14:textId="77777777" w:rsidR="00B07840" w:rsidRDefault="00B07840" w:rsidP="007C081D">
            <w:pPr>
              <w:pStyle w:val="TableText0"/>
              <w:widowControl w:val="0"/>
            </w:pPr>
            <w:r>
              <w:t>1. Alive, no (long-term) meningitis complications</w:t>
            </w:r>
          </w:p>
          <w:p w14:paraId="272A335C" w14:textId="77777777" w:rsidR="00B07840" w:rsidRDefault="00B07840" w:rsidP="007C081D">
            <w:pPr>
              <w:pStyle w:val="TableText0"/>
              <w:widowControl w:val="0"/>
            </w:pPr>
            <w:r>
              <w:t>2. Alive, (long-term) meningitis complications</w:t>
            </w:r>
          </w:p>
          <w:p w14:paraId="30AA2E89" w14:textId="1901058C" w:rsidR="00B07840" w:rsidRPr="00E2771E" w:rsidRDefault="00B07840" w:rsidP="007C081D">
            <w:pPr>
              <w:pStyle w:val="TableText0"/>
              <w:widowControl w:val="0"/>
            </w:pPr>
            <w:r>
              <w:t>3. Dead</w:t>
            </w:r>
          </w:p>
        </w:tc>
      </w:tr>
      <w:tr w:rsidR="00B07840" w:rsidRPr="00E2771E" w14:paraId="2C67E1DA" w14:textId="77777777" w:rsidTr="009A477A">
        <w:tc>
          <w:tcPr>
            <w:tcW w:w="1396" w:type="pct"/>
            <w:shd w:val="clear" w:color="auto" w:fill="auto"/>
            <w:vAlign w:val="center"/>
          </w:tcPr>
          <w:p w14:paraId="16416D38" w14:textId="77777777" w:rsidR="00B07840" w:rsidRPr="00E2771E" w:rsidRDefault="00B07840" w:rsidP="007C081D">
            <w:pPr>
              <w:pStyle w:val="TableText0"/>
              <w:widowControl w:val="0"/>
            </w:pPr>
            <w:r w:rsidRPr="00E2771E">
              <w:t>Cycle length</w:t>
            </w:r>
          </w:p>
        </w:tc>
        <w:tc>
          <w:tcPr>
            <w:tcW w:w="3604" w:type="pct"/>
            <w:shd w:val="clear" w:color="auto" w:fill="auto"/>
            <w:vAlign w:val="center"/>
          </w:tcPr>
          <w:p w14:paraId="6707AC3F" w14:textId="1828840F" w:rsidR="00B07840" w:rsidRPr="00E2771E" w:rsidRDefault="00B07840" w:rsidP="007C081D">
            <w:pPr>
              <w:pStyle w:val="TableText0"/>
              <w:widowControl w:val="0"/>
            </w:pPr>
            <w:r>
              <w:t>1 year</w:t>
            </w:r>
          </w:p>
        </w:tc>
      </w:tr>
      <w:tr w:rsidR="00B07840" w:rsidRPr="00E2771E" w14:paraId="55692831" w14:textId="77777777" w:rsidTr="009A477A">
        <w:tc>
          <w:tcPr>
            <w:tcW w:w="1396" w:type="pct"/>
            <w:shd w:val="clear" w:color="auto" w:fill="auto"/>
            <w:vAlign w:val="center"/>
          </w:tcPr>
          <w:p w14:paraId="275EA356" w14:textId="004E2441" w:rsidR="00B07840" w:rsidRPr="00E2771E" w:rsidRDefault="00B07840" w:rsidP="007C081D">
            <w:pPr>
              <w:pStyle w:val="TableText0"/>
              <w:widowControl w:val="0"/>
            </w:pPr>
            <w:r w:rsidRPr="00E2771E">
              <w:t>Transition probabilities</w:t>
            </w:r>
            <w:r>
              <w:t xml:space="preserve"> </w:t>
            </w:r>
          </w:p>
        </w:tc>
        <w:tc>
          <w:tcPr>
            <w:tcW w:w="3604" w:type="pct"/>
            <w:shd w:val="clear" w:color="auto" w:fill="auto"/>
            <w:vAlign w:val="center"/>
          </w:tcPr>
          <w:p w14:paraId="044C8998" w14:textId="7A8C174A" w:rsidR="00B07840" w:rsidRDefault="00B07840" w:rsidP="007C081D">
            <w:pPr>
              <w:pStyle w:val="TableText0"/>
              <w:widowControl w:val="0"/>
            </w:pPr>
            <w:r>
              <w:t xml:space="preserve">Incidence of IPD: </w:t>
            </w:r>
            <w:r w:rsidRPr="00377401">
              <w:t>2019 IPD incidence data</w:t>
            </w:r>
            <w:r w:rsidR="002B5F76">
              <w:t xml:space="preserve"> </w:t>
            </w:r>
            <w:r w:rsidR="002C3665">
              <w:t>(</w:t>
            </w:r>
            <w:r w:rsidR="00391ED7" w:rsidRPr="00391ED7">
              <w:t>National Notifiable Diseases Surveillance System</w:t>
            </w:r>
            <w:r w:rsidR="002C3665">
              <w:t xml:space="preserve">) </w:t>
            </w:r>
            <w:r w:rsidRPr="00377401">
              <w:t>and</w:t>
            </w:r>
            <w:r w:rsidR="002B5F76">
              <w:t xml:space="preserve"> </w:t>
            </w:r>
            <w:r w:rsidRPr="00377401">
              <w:t xml:space="preserve">population data </w:t>
            </w:r>
            <w:r w:rsidR="002B5F76">
              <w:t>published by</w:t>
            </w:r>
            <w:r w:rsidR="004E5353">
              <w:t xml:space="preserve"> the</w:t>
            </w:r>
            <w:r w:rsidR="002B5F76">
              <w:t xml:space="preserve"> ABS (</w:t>
            </w:r>
            <w:r w:rsidR="00391ED7">
              <w:t>2019</w:t>
            </w:r>
            <w:r w:rsidR="002B5F76">
              <w:t>)</w:t>
            </w:r>
            <w:r w:rsidR="00553208">
              <w:t>.</w:t>
            </w:r>
          </w:p>
          <w:p w14:paraId="074738E1" w14:textId="73F9BF81" w:rsidR="00B07840" w:rsidRDefault="00B07840" w:rsidP="007C081D">
            <w:pPr>
              <w:pStyle w:val="TableText0"/>
              <w:widowControl w:val="0"/>
            </w:pPr>
            <w:r w:rsidRPr="00493488">
              <w:t>Case fatality rates for incident bacte</w:t>
            </w:r>
            <w:r w:rsidR="002B5F76">
              <w:t>r</w:t>
            </w:r>
            <w:r w:rsidRPr="00493488">
              <w:t>aemia, meningitis, and PNE hospitalisation</w:t>
            </w:r>
            <w:r>
              <w:t xml:space="preserve">: </w:t>
            </w:r>
            <w:proofErr w:type="spellStart"/>
            <w:r>
              <w:t>Dirmesropian</w:t>
            </w:r>
            <w:proofErr w:type="spellEnd"/>
            <w:r>
              <w:t xml:space="preserve"> et al. </w:t>
            </w:r>
            <w:r w:rsidR="00E03DF0">
              <w:t>(</w:t>
            </w:r>
            <w:r>
              <w:t>201</w:t>
            </w:r>
            <w:r w:rsidR="00553208">
              <w:t>8</w:t>
            </w:r>
            <w:r w:rsidR="00E03DF0">
              <w:t>)</w:t>
            </w:r>
            <w:r w:rsidR="004E5353">
              <w:t>.</w:t>
            </w:r>
          </w:p>
          <w:p w14:paraId="5C662368" w14:textId="779294E8" w:rsidR="00B07840" w:rsidRPr="00E2771E" w:rsidRDefault="00B07840" w:rsidP="007C081D">
            <w:pPr>
              <w:pStyle w:val="TableText0"/>
              <w:widowControl w:val="0"/>
            </w:pPr>
            <w:r w:rsidRPr="00C444B1">
              <w:t>Incidence of hospitalisations</w:t>
            </w:r>
            <w:r>
              <w:t xml:space="preserve"> and GP visits</w:t>
            </w:r>
            <w:r w:rsidRPr="00C444B1">
              <w:t xml:space="preserve"> for pneumococcal pneumonia</w:t>
            </w:r>
            <w:r>
              <w:t xml:space="preserve">: </w:t>
            </w:r>
            <w:r w:rsidR="004E5353">
              <w:t>h</w:t>
            </w:r>
            <w:r w:rsidRPr="004414D7">
              <w:t xml:space="preserve">ospitalisation data </w:t>
            </w:r>
            <w:r w:rsidR="002B5F76">
              <w:t xml:space="preserve">for </w:t>
            </w:r>
            <w:r w:rsidR="00E03DF0">
              <w:t xml:space="preserve">years </w:t>
            </w:r>
            <w:r w:rsidRPr="004414D7">
              <w:t>2018-2019</w:t>
            </w:r>
            <w:r>
              <w:t xml:space="preserve"> </w:t>
            </w:r>
            <w:r w:rsidR="002B5F76">
              <w:t>published by</w:t>
            </w:r>
            <w:r w:rsidR="004E5353">
              <w:t xml:space="preserve"> the</w:t>
            </w:r>
            <w:r w:rsidR="002B5F76">
              <w:t xml:space="preserve"> AIHW</w:t>
            </w:r>
            <w:r w:rsidR="00B30396">
              <w:t>.</w:t>
            </w:r>
          </w:p>
        </w:tc>
      </w:tr>
      <w:tr w:rsidR="00B07840" w:rsidRPr="00E2771E" w14:paraId="3789D71C" w14:textId="77777777" w:rsidTr="009A477A">
        <w:tc>
          <w:tcPr>
            <w:tcW w:w="1396" w:type="pct"/>
            <w:shd w:val="clear" w:color="auto" w:fill="auto"/>
            <w:vAlign w:val="center"/>
          </w:tcPr>
          <w:p w14:paraId="3E37D0B8" w14:textId="77777777" w:rsidR="00B07840" w:rsidRPr="00E2771E" w:rsidRDefault="00B07840" w:rsidP="007C081D">
            <w:pPr>
              <w:pStyle w:val="TableText0"/>
              <w:widowControl w:val="0"/>
            </w:pPr>
            <w:r>
              <w:t>Extrapolation method</w:t>
            </w:r>
          </w:p>
        </w:tc>
        <w:tc>
          <w:tcPr>
            <w:tcW w:w="3604" w:type="pct"/>
            <w:shd w:val="clear" w:color="auto" w:fill="auto"/>
            <w:vAlign w:val="center"/>
          </w:tcPr>
          <w:p w14:paraId="4FEA07A0" w14:textId="0AEB5E4A" w:rsidR="00B07840" w:rsidRDefault="000B20EC" w:rsidP="007C081D">
            <w:pPr>
              <w:pStyle w:val="TableText0"/>
              <w:widowControl w:val="0"/>
            </w:pPr>
            <w:r>
              <w:t>T</w:t>
            </w:r>
            <w:r w:rsidR="00B07840">
              <w:t>he extrapolation of transition probabilities and other input variables across individual ages or age-groups, including how the marginal benefits of the PCVs over 23vPPV and placebo were estimated</w:t>
            </w:r>
            <w:r w:rsidR="00553208">
              <w:t>, were</w:t>
            </w:r>
            <w:r w:rsidR="00B07840">
              <w:t xml:space="preserve"> based on V</w:t>
            </w:r>
            <w:r w:rsidR="00553208">
              <w:t>E</w:t>
            </w:r>
            <w:r w:rsidR="00B07840">
              <w:t xml:space="preserve"> and waning effectiveness. </w:t>
            </w:r>
          </w:p>
          <w:p w14:paraId="40487A55" w14:textId="16E91A70" w:rsidR="00B07840" w:rsidRPr="00553208" w:rsidRDefault="00B07840" w:rsidP="007C081D">
            <w:pPr>
              <w:pStyle w:val="TableText0"/>
              <w:widowControl w:val="0"/>
              <w:rPr>
                <w:i/>
                <w:iCs/>
              </w:rPr>
            </w:pPr>
            <w:r>
              <w:t xml:space="preserve">To estimate CFRs for PNE hospitalisations </w:t>
            </w:r>
            <w:r w:rsidR="00072DFD">
              <w:t>(</w:t>
            </w:r>
            <w:r w:rsidR="00072DFD" w:rsidRPr="00F27E8C">
              <w:rPr>
                <w:bCs w:val="0"/>
              </w:rPr>
              <w:t>hospitalisations caused by pneumo</w:t>
            </w:r>
            <w:r w:rsidR="00E52253" w:rsidRPr="00F27E8C">
              <w:t>co</w:t>
            </w:r>
            <w:r w:rsidR="00072DFD" w:rsidRPr="00F27E8C">
              <w:rPr>
                <w:bCs w:val="0"/>
              </w:rPr>
              <w:t xml:space="preserve">ccal </w:t>
            </w:r>
            <w:r w:rsidR="00E52253" w:rsidRPr="00F27E8C">
              <w:rPr>
                <w:bCs w:val="0"/>
              </w:rPr>
              <w:t>pneumonia</w:t>
            </w:r>
            <w:r w:rsidR="00E52253">
              <w:t xml:space="preserve">) </w:t>
            </w:r>
            <w:r>
              <w:t xml:space="preserve">for </w:t>
            </w:r>
            <w:r w:rsidR="004E5353">
              <w:t xml:space="preserve">individuals </w:t>
            </w:r>
            <w:r>
              <w:t xml:space="preserve">aged </w:t>
            </w:r>
            <w:r w:rsidR="004E5353">
              <w:t>&lt;</w:t>
            </w:r>
            <w:r>
              <w:t xml:space="preserve"> 45 years in the models for at-risk adults aged 18-69 years and Indigenous adults aged 25-49 years, extrapolation using exponential functions was applied to plots of age versus CFR values reported by </w:t>
            </w:r>
            <w:proofErr w:type="spellStart"/>
            <w:r>
              <w:t>Dirmesropian</w:t>
            </w:r>
            <w:proofErr w:type="spellEnd"/>
            <w:r w:rsidR="001D5187">
              <w:t xml:space="preserve"> et al. (201</w:t>
            </w:r>
            <w:r w:rsidR="00EA72AB">
              <w:t>8</w:t>
            </w:r>
            <w:r w:rsidR="001D5187">
              <w:t>)</w:t>
            </w:r>
            <w:r>
              <w:t xml:space="preserve">. </w:t>
            </w:r>
            <w:r w:rsidR="00BC06A3" w:rsidRPr="004E375B">
              <w:rPr>
                <w:bCs w:val="0"/>
                <w:iCs/>
              </w:rPr>
              <w:t xml:space="preserve">This was </w:t>
            </w:r>
            <w:r w:rsidR="00194A64" w:rsidRPr="004E375B">
              <w:rPr>
                <w:bCs w:val="0"/>
                <w:iCs/>
              </w:rPr>
              <w:t xml:space="preserve">likely reasonable; however, the submission did not </w:t>
            </w:r>
            <w:r w:rsidR="00F27E8C" w:rsidRPr="004E375B">
              <w:rPr>
                <w:bCs w:val="0"/>
                <w:iCs/>
              </w:rPr>
              <w:t>apply</w:t>
            </w:r>
            <w:r w:rsidR="00194A64" w:rsidRPr="004E375B">
              <w:rPr>
                <w:bCs w:val="0"/>
                <w:iCs/>
              </w:rPr>
              <w:t xml:space="preserve"> other extrapolation functions</w:t>
            </w:r>
            <w:r w:rsidR="006D1563" w:rsidRPr="004E375B">
              <w:rPr>
                <w:iCs/>
              </w:rPr>
              <w:t xml:space="preserve"> </w:t>
            </w:r>
            <w:r w:rsidR="00F27E8C" w:rsidRPr="004E375B">
              <w:rPr>
                <w:iCs/>
              </w:rPr>
              <w:t xml:space="preserve">in sensitivity analysis </w:t>
            </w:r>
            <w:r w:rsidR="006D1563" w:rsidRPr="004E375B">
              <w:rPr>
                <w:iCs/>
              </w:rPr>
              <w:t>and did not provide any validation or model traces to justify their approach.</w:t>
            </w:r>
          </w:p>
        </w:tc>
      </w:tr>
      <w:tr w:rsidR="00B07840" w:rsidRPr="00E2771E" w14:paraId="11E7A135" w14:textId="77777777" w:rsidTr="009A477A">
        <w:tc>
          <w:tcPr>
            <w:tcW w:w="1396" w:type="pct"/>
            <w:shd w:val="clear" w:color="auto" w:fill="auto"/>
            <w:vAlign w:val="center"/>
          </w:tcPr>
          <w:p w14:paraId="3E0E2AE8" w14:textId="77777777" w:rsidR="00B07840" w:rsidRPr="001F4081" w:rsidRDefault="00B07840" w:rsidP="007C081D">
            <w:pPr>
              <w:pStyle w:val="TableText0"/>
              <w:widowControl w:val="0"/>
            </w:pPr>
            <w:r>
              <w:t>Health related quality of life</w:t>
            </w:r>
          </w:p>
        </w:tc>
        <w:tc>
          <w:tcPr>
            <w:tcW w:w="3604" w:type="pct"/>
            <w:shd w:val="clear" w:color="auto" w:fill="auto"/>
            <w:vAlign w:val="center"/>
          </w:tcPr>
          <w:p w14:paraId="1F2A2D36" w14:textId="12820F98" w:rsidR="00B07840" w:rsidRDefault="00B07840" w:rsidP="007C081D">
            <w:pPr>
              <w:pStyle w:val="TableText0"/>
              <w:widowControl w:val="0"/>
            </w:pPr>
            <w:r>
              <w:t>Alive</w:t>
            </w:r>
            <w:r w:rsidR="006D1E70">
              <w:t xml:space="preserve"> (</w:t>
            </w:r>
            <w:r>
              <w:t>no meningitis complications</w:t>
            </w:r>
            <w:r w:rsidR="006D1E70">
              <w:t>)</w:t>
            </w:r>
            <w:r w:rsidR="00F27E8C">
              <w:t xml:space="preserve"> was associated with</w:t>
            </w:r>
            <w:r>
              <w:t xml:space="preserve"> </w:t>
            </w:r>
            <w:r w:rsidR="00561F5A">
              <w:t>age-</w:t>
            </w:r>
            <w:r w:rsidR="00F27E8C">
              <w:t>specific</w:t>
            </w:r>
            <w:r w:rsidR="00561F5A">
              <w:t xml:space="preserve"> utilities </w:t>
            </w:r>
            <w:r w:rsidR="00F27E8C">
              <w:t>and</w:t>
            </w:r>
            <w:r>
              <w:t xml:space="preserve"> </w:t>
            </w:r>
            <w:r w:rsidR="00810B2F">
              <w:t>based on a</w:t>
            </w:r>
            <w:r>
              <w:t xml:space="preserve"> study using Assessment of Quality of Life, 4 Dimensions (A</w:t>
            </w:r>
            <w:r w:rsidR="003E5619">
              <w:t>q</w:t>
            </w:r>
            <w:r>
              <w:t>oL-4D) data from the 2007 National Survey of Mental Health and Wellbeing conducted by the ABS (Hawthorne</w:t>
            </w:r>
            <w:r w:rsidR="00F27E8C">
              <w:t>,</w:t>
            </w:r>
            <w:r>
              <w:t xml:space="preserve"> 2013).</w:t>
            </w:r>
          </w:p>
          <w:p w14:paraId="1248E78C" w14:textId="3F3C4978" w:rsidR="00B07840" w:rsidRPr="00E2771E" w:rsidRDefault="00B07840" w:rsidP="007C081D">
            <w:pPr>
              <w:pStyle w:val="TableText0"/>
              <w:widowControl w:val="0"/>
            </w:pPr>
            <w:r>
              <w:t>Alive</w:t>
            </w:r>
            <w:r w:rsidR="006D1E70">
              <w:t xml:space="preserve"> (</w:t>
            </w:r>
            <w:r>
              <w:t>with meningitis complications</w:t>
            </w:r>
            <w:r w:rsidR="006D1E70">
              <w:t>)</w:t>
            </w:r>
            <w:r>
              <w:t xml:space="preserve"> </w:t>
            </w:r>
            <w:r w:rsidR="006D1E70">
              <w:t>was</w:t>
            </w:r>
            <w:r>
              <w:t xml:space="preserve"> assigned an additional disutility of 0.261, which was the value used in the 2018 13vPCV submission considered by the PBAC</w:t>
            </w:r>
            <w:r w:rsidR="00E937B6">
              <w:t xml:space="preserve"> </w:t>
            </w:r>
            <w:r w:rsidR="00FF180C" w:rsidRPr="00FF180C">
              <w:t xml:space="preserve">(Prevenar 13, </w:t>
            </w:r>
            <w:r w:rsidR="00C10350">
              <w:t>PSD,</w:t>
            </w:r>
            <w:r w:rsidR="00FF180C" w:rsidRPr="00FF180C">
              <w:t xml:space="preserve"> November 2018 PBAC meeting)</w:t>
            </w:r>
            <w:r>
              <w:t>.</w:t>
            </w:r>
          </w:p>
        </w:tc>
      </w:tr>
    </w:tbl>
    <w:p w14:paraId="61DF8A18" w14:textId="77777777" w:rsidR="007D4D11" w:rsidRPr="00404935" w:rsidRDefault="007D4D11" w:rsidP="00B07840">
      <w:pPr>
        <w:pStyle w:val="FooterTableFigure"/>
      </w:pPr>
      <w:r w:rsidRPr="00404935">
        <w:t xml:space="preserve">Source: Adapted from Table 3.1.2, p455 of the submission and </w:t>
      </w:r>
      <w:r w:rsidRPr="004E375B">
        <w:rPr>
          <w:iCs/>
        </w:rPr>
        <w:t>compiled during the evaluation from Section 3.4 of the submission</w:t>
      </w:r>
    </w:p>
    <w:p w14:paraId="57C1A1E5" w14:textId="503DF556" w:rsidR="007D4D11" w:rsidRDefault="007D4D11" w:rsidP="00B07840">
      <w:pPr>
        <w:pStyle w:val="FooterTableFigure"/>
      </w:pPr>
      <w:r w:rsidRPr="00404935">
        <w:t>Abbreviations: 13vPCV</w:t>
      </w:r>
      <w:r w:rsidR="7954C465">
        <w:t>,</w:t>
      </w:r>
      <w:r w:rsidRPr="00404935">
        <w:t>13 valent pneumococcal conjugate vaccine; 15vPCV</w:t>
      </w:r>
      <w:r w:rsidR="266D4FB7">
        <w:t>,</w:t>
      </w:r>
      <w:r w:rsidRPr="00404935">
        <w:t>15 valent pneumococcal conjugate vaccine; 20vPCV</w:t>
      </w:r>
      <w:r w:rsidR="11EABDC1">
        <w:t>,</w:t>
      </w:r>
      <w:r w:rsidRPr="00404935">
        <w:t>20 valent pneumococcal conjugate vaccine; 23vPPV</w:t>
      </w:r>
      <w:r w:rsidR="58522FFA">
        <w:t>,</w:t>
      </w:r>
      <w:r w:rsidRPr="00404935">
        <w:t>23 valent pneumococcal polysaccharide vaccine; ABS</w:t>
      </w:r>
      <w:r w:rsidR="7E4642B3">
        <w:t>,</w:t>
      </w:r>
      <w:r w:rsidR="00F27E8C">
        <w:t xml:space="preserve"> </w:t>
      </w:r>
      <w:r w:rsidRPr="00404935">
        <w:t>Australian Bureau of Statistics; ATAGI</w:t>
      </w:r>
      <w:r w:rsidR="5CC7C35D">
        <w:t>,</w:t>
      </w:r>
      <w:r w:rsidRPr="00404935">
        <w:t xml:space="preserve"> Australian Technical Advisory Group on Immunisation; CFR</w:t>
      </w:r>
      <w:r w:rsidR="3C1EB995">
        <w:t xml:space="preserve">, </w:t>
      </w:r>
      <w:r w:rsidRPr="00404935">
        <w:t xml:space="preserve">case fatality rate; </w:t>
      </w:r>
      <w:r w:rsidR="004E5353">
        <w:t xml:space="preserve">GP, general practitioner; </w:t>
      </w:r>
      <w:r w:rsidR="003F7E32">
        <w:t xml:space="preserve">IPD, </w:t>
      </w:r>
      <w:r w:rsidR="003F7E32" w:rsidRPr="00635341">
        <w:rPr>
          <w:rStyle w:val="normaltextrun"/>
          <w:rFonts w:eastAsia="Arial Narrow" w:cs="Arial Narrow"/>
          <w:color w:val="000000" w:themeColor="text1"/>
          <w:szCs w:val="20"/>
        </w:rPr>
        <w:t>invasive pneumococcal disease</w:t>
      </w:r>
      <w:r w:rsidR="003F7E32">
        <w:rPr>
          <w:rStyle w:val="normaltextrun"/>
          <w:rFonts w:eastAsia="Arial Narrow" w:cs="Arial Narrow"/>
          <w:color w:val="000000" w:themeColor="text1"/>
          <w:szCs w:val="20"/>
        </w:rPr>
        <w:t>;</w:t>
      </w:r>
      <w:r w:rsidR="003F7E32" w:rsidRPr="00635341">
        <w:rPr>
          <w:rStyle w:val="normaltextrun"/>
          <w:rFonts w:eastAsia="Arial Narrow" w:cs="Arial Narrow"/>
          <w:color w:val="000000" w:themeColor="text1"/>
          <w:szCs w:val="20"/>
        </w:rPr>
        <w:t xml:space="preserve"> </w:t>
      </w:r>
      <w:r w:rsidRPr="00404935">
        <w:t>PBAC</w:t>
      </w:r>
      <w:r w:rsidR="5B9F004F">
        <w:t xml:space="preserve">, </w:t>
      </w:r>
      <w:r w:rsidRPr="00404935">
        <w:t xml:space="preserve">Pharmaceutical Benefit Advisory Committee; </w:t>
      </w:r>
      <w:r w:rsidR="004E5353">
        <w:t xml:space="preserve">PCV, </w:t>
      </w:r>
      <w:r w:rsidR="004E5353" w:rsidRPr="00404935">
        <w:t>pneumococcal conjugate vaccine</w:t>
      </w:r>
      <w:r w:rsidR="004E5353">
        <w:t>;</w:t>
      </w:r>
      <w:r w:rsidR="004E5353" w:rsidRPr="00493488">
        <w:t xml:space="preserve"> PNE</w:t>
      </w:r>
      <w:r w:rsidR="004E5353">
        <w:t>, p</w:t>
      </w:r>
      <w:r w:rsidR="004E5353" w:rsidRPr="008F4B68">
        <w:t>neumococcal pneumonia</w:t>
      </w:r>
      <w:r w:rsidR="004E5353">
        <w:t>;</w:t>
      </w:r>
      <w:r w:rsidR="004E5353" w:rsidRPr="00493488">
        <w:t xml:space="preserve"> </w:t>
      </w:r>
      <w:r w:rsidRPr="00404935">
        <w:t>VE</w:t>
      </w:r>
      <w:r w:rsidR="38A28097">
        <w:t>, v</w:t>
      </w:r>
      <w:r w:rsidRPr="00404935">
        <w:t>accine effectiveness</w:t>
      </w:r>
    </w:p>
    <w:p w14:paraId="2FE0A00A" w14:textId="7DC7C5CB" w:rsidR="00D44C5C" w:rsidRPr="00683533" w:rsidRDefault="00D44C5C" w:rsidP="006E7985">
      <w:pPr>
        <w:pStyle w:val="3-BodyText"/>
        <w:rPr>
          <w:iCs/>
        </w:rPr>
      </w:pPr>
      <w:r w:rsidRPr="00683533">
        <w:rPr>
          <w:iCs/>
        </w:rPr>
        <w:t xml:space="preserve">The </w:t>
      </w:r>
      <w:r w:rsidR="00695D6F" w:rsidRPr="00683533">
        <w:rPr>
          <w:iCs/>
        </w:rPr>
        <w:t xml:space="preserve">assumptions made for </w:t>
      </w:r>
      <w:r w:rsidRPr="00683533">
        <w:rPr>
          <w:iCs/>
        </w:rPr>
        <w:t xml:space="preserve">vaccine coverage in the economic model are detailed in </w:t>
      </w:r>
      <w:r w:rsidRPr="00683533">
        <w:rPr>
          <w:iCs/>
        </w:rPr>
        <w:fldChar w:fldCharType="begin"/>
      </w:r>
      <w:r w:rsidRPr="00683533">
        <w:rPr>
          <w:iCs/>
        </w:rPr>
        <w:instrText xml:space="preserve"> REF _Ref116561383 \h  \* MERGEFORMAT </w:instrText>
      </w:r>
      <w:r w:rsidRPr="00683533">
        <w:rPr>
          <w:iCs/>
        </w:rPr>
      </w:r>
      <w:r w:rsidRPr="00683533">
        <w:rPr>
          <w:iCs/>
        </w:rPr>
        <w:fldChar w:fldCharType="separate"/>
      </w:r>
      <w:r w:rsidR="00137984" w:rsidRPr="00137984">
        <w:t>Table 10</w:t>
      </w:r>
      <w:r w:rsidRPr="00683533">
        <w:rPr>
          <w:iCs/>
        </w:rPr>
        <w:fldChar w:fldCharType="end"/>
      </w:r>
      <w:r w:rsidR="00DA1A93" w:rsidRPr="00683533">
        <w:rPr>
          <w:iCs/>
        </w:rPr>
        <w:t xml:space="preserve"> (also see </w:t>
      </w:r>
      <w:r w:rsidR="00DA1A93" w:rsidRPr="00683533">
        <w:rPr>
          <w:iCs/>
        </w:rPr>
        <w:fldChar w:fldCharType="begin"/>
      </w:r>
      <w:r w:rsidR="00DA1A93" w:rsidRPr="00683533">
        <w:rPr>
          <w:iCs/>
        </w:rPr>
        <w:instrText xml:space="preserve"> REF _Ref116588005 \h  \* MERGEFORMAT </w:instrText>
      </w:r>
      <w:r w:rsidR="00DA1A93" w:rsidRPr="00683533">
        <w:rPr>
          <w:iCs/>
        </w:rPr>
      </w:r>
      <w:r w:rsidR="00DA1A93" w:rsidRPr="00683533">
        <w:rPr>
          <w:iCs/>
        </w:rPr>
        <w:fldChar w:fldCharType="separate"/>
      </w:r>
      <w:r w:rsidR="00137984" w:rsidRPr="00137984">
        <w:t>Table 3</w:t>
      </w:r>
      <w:r w:rsidR="00DA1A93" w:rsidRPr="00683533">
        <w:rPr>
          <w:iCs/>
        </w:rPr>
        <w:fldChar w:fldCharType="end"/>
      </w:r>
      <w:r w:rsidR="00DA1A93" w:rsidRPr="00683533">
        <w:rPr>
          <w:iCs/>
        </w:rPr>
        <w:t>)</w:t>
      </w:r>
      <w:r w:rsidRPr="00683533">
        <w:rPr>
          <w:iCs/>
        </w:rPr>
        <w:t>.</w:t>
      </w:r>
      <w:r w:rsidR="005F4778" w:rsidRPr="00683533">
        <w:rPr>
          <w:iCs/>
        </w:rPr>
        <w:t xml:space="preserve"> The ESC </w:t>
      </w:r>
      <w:r w:rsidR="008365D5">
        <w:rPr>
          <w:iCs/>
        </w:rPr>
        <w:t xml:space="preserve">and PBAC </w:t>
      </w:r>
      <w:r w:rsidR="005F4778" w:rsidRPr="00683533">
        <w:rPr>
          <w:iCs/>
        </w:rPr>
        <w:t>noted the vaccine coverage varied widely across the different populations</w:t>
      </w:r>
      <w:r w:rsidR="00B71651">
        <w:rPr>
          <w:iCs/>
        </w:rPr>
        <w:t xml:space="preserve"> and were based on</w:t>
      </w:r>
      <w:r w:rsidR="00B544B8">
        <w:rPr>
          <w:iCs/>
        </w:rPr>
        <w:t xml:space="preserve"> relatively</w:t>
      </w:r>
      <w:r w:rsidR="00B71651">
        <w:rPr>
          <w:iCs/>
        </w:rPr>
        <w:t xml:space="preserve"> small number</w:t>
      </w:r>
      <w:r w:rsidR="00B544B8">
        <w:rPr>
          <w:iCs/>
        </w:rPr>
        <w:t>s</w:t>
      </w:r>
      <w:r w:rsidR="00B71651">
        <w:rPr>
          <w:iCs/>
        </w:rPr>
        <w:t xml:space="preserve"> of patients</w:t>
      </w:r>
      <w:r w:rsidR="005F4778" w:rsidRPr="00683533">
        <w:rPr>
          <w:iCs/>
        </w:rPr>
        <w:t xml:space="preserve">. </w:t>
      </w:r>
    </w:p>
    <w:p w14:paraId="4C22CE6F" w14:textId="3FBE7D1D" w:rsidR="002D0FE3" w:rsidRPr="00683533" w:rsidRDefault="002D0FE3" w:rsidP="006651D2">
      <w:pPr>
        <w:pStyle w:val="3-BodyText"/>
        <w:keepNext/>
        <w:numPr>
          <w:ilvl w:val="0"/>
          <w:numId w:val="0"/>
        </w:numPr>
        <w:spacing w:after="0"/>
        <w:rPr>
          <w:rStyle w:val="CommentReference"/>
          <w:iCs/>
        </w:rPr>
      </w:pPr>
      <w:bookmarkStart w:id="43" w:name="_Ref116561383"/>
      <w:r w:rsidRPr="005A3C0E">
        <w:rPr>
          <w:rStyle w:val="CommentReference"/>
          <w:iCs/>
        </w:rPr>
        <w:lastRenderedPageBreak/>
        <w:t>Tab</w:t>
      </w:r>
      <w:r w:rsidRPr="00683533">
        <w:rPr>
          <w:rStyle w:val="CommentReference"/>
          <w:iCs/>
        </w:rPr>
        <w:t xml:space="preserve">le </w:t>
      </w:r>
      <w:r w:rsidRPr="00683533">
        <w:rPr>
          <w:rStyle w:val="CommentReference"/>
          <w:b w:val="0"/>
          <w:iCs/>
        </w:rPr>
        <w:fldChar w:fldCharType="begin"/>
      </w:r>
      <w:r w:rsidRPr="00683533">
        <w:rPr>
          <w:rStyle w:val="CommentReference"/>
          <w:iCs/>
        </w:rPr>
        <w:instrText>SEQ Table \* ARABIC</w:instrText>
      </w:r>
      <w:r w:rsidRPr="00683533">
        <w:rPr>
          <w:rStyle w:val="CommentReference"/>
          <w:b w:val="0"/>
          <w:iCs/>
        </w:rPr>
        <w:fldChar w:fldCharType="separate"/>
      </w:r>
      <w:r w:rsidR="00137984">
        <w:rPr>
          <w:rStyle w:val="CommentReference"/>
          <w:iCs/>
          <w:noProof/>
        </w:rPr>
        <w:t>10</w:t>
      </w:r>
      <w:r w:rsidRPr="00683533">
        <w:rPr>
          <w:rStyle w:val="CommentReference"/>
          <w:b w:val="0"/>
          <w:iCs/>
        </w:rPr>
        <w:fldChar w:fldCharType="end"/>
      </w:r>
      <w:bookmarkEnd w:id="43"/>
      <w:r w:rsidRPr="00683533">
        <w:rPr>
          <w:rStyle w:val="CommentReference"/>
          <w:iCs/>
        </w:rPr>
        <w:t xml:space="preserve">: </w:t>
      </w:r>
      <w:r w:rsidR="00DC0704" w:rsidRPr="00683533">
        <w:rPr>
          <w:rStyle w:val="CommentReference"/>
          <w:iCs/>
        </w:rPr>
        <w:t xml:space="preserve">Serotype coverage </w:t>
      </w:r>
      <w:r w:rsidR="00EB70A1" w:rsidRPr="00683533">
        <w:rPr>
          <w:rStyle w:val="CommentReference"/>
          <w:iCs/>
        </w:rPr>
        <w:t xml:space="preserve">of the four pneumococcal vaccines </w:t>
      </w:r>
      <w:r w:rsidR="00DC0704" w:rsidRPr="00683533">
        <w:rPr>
          <w:rStyle w:val="CommentReference"/>
          <w:iCs/>
        </w:rPr>
        <w:t>assumed</w:t>
      </w:r>
      <w:r w:rsidRPr="00683533">
        <w:rPr>
          <w:rStyle w:val="CommentReference"/>
          <w:iCs/>
        </w:rPr>
        <w:t xml:space="preserve"> in the economic model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2003"/>
        <w:gridCol w:w="2004"/>
        <w:gridCol w:w="2004"/>
        <w:gridCol w:w="1643"/>
      </w:tblGrid>
      <w:tr w:rsidR="00DC0704" w:rsidRPr="00683533" w14:paraId="683B6907" w14:textId="77777777" w:rsidTr="00CA0D9F">
        <w:trPr>
          <w:trHeight w:val="20"/>
        </w:trPr>
        <w:tc>
          <w:tcPr>
            <w:tcW w:w="1413" w:type="dxa"/>
            <w:shd w:val="clear" w:color="auto" w:fill="auto"/>
            <w:tcMar>
              <w:top w:w="15" w:type="dxa"/>
              <w:left w:w="108" w:type="dxa"/>
              <w:bottom w:w="0" w:type="dxa"/>
              <w:right w:w="108" w:type="dxa"/>
            </w:tcMar>
            <w:vAlign w:val="bottom"/>
            <w:hideMark/>
          </w:tcPr>
          <w:p w14:paraId="11BAE106" w14:textId="77777777" w:rsidR="00DC0704" w:rsidRPr="00683533" w:rsidRDefault="00DC0704" w:rsidP="006651D2">
            <w:pPr>
              <w:keepNext/>
              <w:jc w:val="left"/>
              <w:rPr>
                <w:rFonts w:ascii="Arial Narrow" w:hAnsi="Arial Narrow"/>
                <w:b/>
                <w:bCs/>
                <w:iCs/>
                <w:sz w:val="20"/>
                <w:szCs w:val="20"/>
              </w:rPr>
            </w:pPr>
            <w:r w:rsidRPr="00683533">
              <w:rPr>
                <w:rFonts w:ascii="Arial Narrow" w:hAnsi="Arial Narrow"/>
                <w:b/>
                <w:bCs/>
                <w:iCs/>
                <w:sz w:val="20"/>
                <w:szCs w:val="20"/>
              </w:rPr>
              <w:t>Vaccine</w:t>
            </w:r>
          </w:p>
        </w:tc>
        <w:tc>
          <w:tcPr>
            <w:tcW w:w="2003" w:type="dxa"/>
            <w:shd w:val="clear" w:color="auto" w:fill="auto"/>
            <w:tcMar>
              <w:top w:w="15" w:type="dxa"/>
              <w:left w:w="108" w:type="dxa"/>
              <w:bottom w:w="0" w:type="dxa"/>
              <w:right w:w="108" w:type="dxa"/>
            </w:tcMar>
            <w:vAlign w:val="bottom"/>
            <w:hideMark/>
          </w:tcPr>
          <w:p w14:paraId="49575921" w14:textId="223F8485" w:rsidR="00DC0704" w:rsidRPr="00683533" w:rsidRDefault="00DC0704" w:rsidP="006651D2">
            <w:pPr>
              <w:keepNext/>
              <w:jc w:val="left"/>
              <w:rPr>
                <w:rFonts w:ascii="Arial Narrow" w:hAnsi="Arial Narrow"/>
                <w:b/>
                <w:bCs/>
                <w:iCs/>
                <w:sz w:val="20"/>
                <w:szCs w:val="20"/>
              </w:rPr>
            </w:pPr>
            <w:r w:rsidRPr="00683533">
              <w:rPr>
                <w:rFonts w:ascii="Arial Narrow" w:hAnsi="Arial Narrow"/>
                <w:b/>
                <w:bCs/>
                <w:iCs/>
                <w:sz w:val="20"/>
                <w:szCs w:val="20"/>
              </w:rPr>
              <w:t>Non-Indigenous aged ≥</w:t>
            </w:r>
            <w:r w:rsidR="00D02658" w:rsidRPr="00683533">
              <w:rPr>
                <w:rFonts w:ascii="Arial Narrow" w:hAnsi="Arial Narrow"/>
                <w:b/>
                <w:bCs/>
                <w:iCs/>
                <w:sz w:val="20"/>
                <w:szCs w:val="20"/>
              </w:rPr>
              <w:t xml:space="preserve"> </w:t>
            </w:r>
            <w:r w:rsidRPr="00683533">
              <w:rPr>
                <w:rFonts w:ascii="Arial Narrow" w:hAnsi="Arial Narrow"/>
                <w:b/>
                <w:bCs/>
                <w:iCs/>
                <w:sz w:val="20"/>
                <w:szCs w:val="20"/>
              </w:rPr>
              <w:t>70 years</w:t>
            </w:r>
          </w:p>
        </w:tc>
        <w:tc>
          <w:tcPr>
            <w:tcW w:w="2004" w:type="dxa"/>
            <w:shd w:val="clear" w:color="auto" w:fill="auto"/>
            <w:tcMar>
              <w:top w:w="15" w:type="dxa"/>
              <w:left w:w="108" w:type="dxa"/>
              <w:bottom w:w="0" w:type="dxa"/>
              <w:right w:w="108" w:type="dxa"/>
            </w:tcMar>
            <w:vAlign w:val="bottom"/>
            <w:hideMark/>
          </w:tcPr>
          <w:p w14:paraId="37031870" w14:textId="4B5F03DD" w:rsidR="00DC0704" w:rsidRPr="00683533" w:rsidRDefault="00DC0704" w:rsidP="006651D2">
            <w:pPr>
              <w:keepNext/>
              <w:jc w:val="left"/>
              <w:rPr>
                <w:rFonts w:ascii="Arial Narrow" w:hAnsi="Arial Narrow"/>
                <w:b/>
                <w:bCs/>
                <w:iCs/>
                <w:sz w:val="20"/>
                <w:szCs w:val="20"/>
              </w:rPr>
            </w:pPr>
            <w:r w:rsidRPr="00683533">
              <w:rPr>
                <w:rFonts w:ascii="Arial Narrow" w:hAnsi="Arial Narrow"/>
                <w:b/>
                <w:bCs/>
                <w:iCs/>
                <w:sz w:val="20"/>
                <w:szCs w:val="20"/>
              </w:rPr>
              <w:t>Indigenous aged ≥</w:t>
            </w:r>
            <w:r w:rsidR="00D02658" w:rsidRPr="00683533">
              <w:rPr>
                <w:rFonts w:ascii="Arial Narrow" w:hAnsi="Arial Narrow"/>
                <w:b/>
                <w:bCs/>
                <w:iCs/>
                <w:sz w:val="20"/>
                <w:szCs w:val="20"/>
              </w:rPr>
              <w:t xml:space="preserve"> </w:t>
            </w:r>
            <w:r w:rsidRPr="00683533">
              <w:rPr>
                <w:rFonts w:ascii="Arial Narrow" w:hAnsi="Arial Narrow"/>
                <w:b/>
                <w:bCs/>
                <w:iCs/>
                <w:sz w:val="20"/>
                <w:szCs w:val="20"/>
              </w:rPr>
              <w:t>50 years</w:t>
            </w:r>
          </w:p>
        </w:tc>
        <w:tc>
          <w:tcPr>
            <w:tcW w:w="2004" w:type="dxa"/>
            <w:shd w:val="clear" w:color="auto" w:fill="auto"/>
            <w:tcMar>
              <w:top w:w="15" w:type="dxa"/>
              <w:left w:w="108" w:type="dxa"/>
              <w:bottom w:w="0" w:type="dxa"/>
              <w:right w:w="108" w:type="dxa"/>
            </w:tcMar>
            <w:vAlign w:val="bottom"/>
            <w:hideMark/>
          </w:tcPr>
          <w:p w14:paraId="0CCD452D" w14:textId="77777777" w:rsidR="00DC0704" w:rsidRPr="00683533" w:rsidRDefault="00DC0704" w:rsidP="006651D2">
            <w:pPr>
              <w:keepNext/>
              <w:jc w:val="left"/>
              <w:rPr>
                <w:rFonts w:ascii="Arial Narrow" w:hAnsi="Arial Narrow"/>
                <w:b/>
                <w:bCs/>
                <w:iCs/>
                <w:sz w:val="20"/>
                <w:szCs w:val="20"/>
              </w:rPr>
            </w:pPr>
            <w:r w:rsidRPr="00683533">
              <w:rPr>
                <w:rFonts w:ascii="Arial Narrow" w:hAnsi="Arial Narrow"/>
                <w:b/>
                <w:bCs/>
                <w:iCs/>
                <w:sz w:val="20"/>
                <w:szCs w:val="20"/>
              </w:rPr>
              <w:t>At-risk aged 18-69 years</w:t>
            </w:r>
          </w:p>
        </w:tc>
        <w:tc>
          <w:tcPr>
            <w:tcW w:w="1643" w:type="dxa"/>
            <w:shd w:val="clear" w:color="auto" w:fill="auto"/>
            <w:tcMar>
              <w:top w:w="15" w:type="dxa"/>
              <w:left w:w="108" w:type="dxa"/>
              <w:bottom w:w="0" w:type="dxa"/>
              <w:right w:w="108" w:type="dxa"/>
            </w:tcMar>
            <w:vAlign w:val="bottom"/>
            <w:hideMark/>
          </w:tcPr>
          <w:p w14:paraId="39E38393" w14:textId="77777777" w:rsidR="00DC0704" w:rsidRPr="00683533" w:rsidRDefault="00DC0704" w:rsidP="006651D2">
            <w:pPr>
              <w:keepNext/>
              <w:jc w:val="left"/>
              <w:rPr>
                <w:rFonts w:ascii="Arial Narrow" w:hAnsi="Arial Narrow"/>
                <w:b/>
                <w:bCs/>
                <w:iCs/>
                <w:sz w:val="20"/>
                <w:szCs w:val="20"/>
              </w:rPr>
            </w:pPr>
            <w:r w:rsidRPr="00683533">
              <w:rPr>
                <w:rFonts w:ascii="Arial Narrow" w:hAnsi="Arial Narrow"/>
                <w:b/>
                <w:bCs/>
                <w:iCs/>
                <w:sz w:val="20"/>
                <w:szCs w:val="20"/>
              </w:rPr>
              <w:t>Indigenous aged 25-49 years</w:t>
            </w:r>
          </w:p>
        </w:tc>
      </w:tr>
      <w:tr w:rsidR="00DC0704" w:rsidRPr="00683533" w14:paraId="7215C6F1" w14:textId="77777777" w:rsidTr="00CA0D9F">
        <w:trPr>
          <w:trHeight w:val="20"/>
        </w:trPr>
        <w:tc>
          <w:tcPr>
            <w:tcW w:w="1413" w:type="dxa"/>
            <w:shd w:val="clear" w:color="auto" w:fill="auto"/>
            <w:tcMar>
              <w:top w:w="15" w:type="dxa"/>
              <w:left w:w="108" w:type="dxa"/>
              <w:bottom w:w="0" w:type="dxa"/>
              <w:right w:w="108" w:type="dxa"/>
            </w:tcMar>
            <w:hideMark/>
          </w:tcPr>
          <w:p w14:paraId="4A392E73" w14:textId="77777777" w:rsidR="00DC0704" w:rsidRPr="00683533" w:rsidRDefault="00DC0704" w:rsidP="006651D2">
            <w:pPr>
              <w:keepNext/>
              <w:jc w:val="left"/>
              <w:rPr>
                <w:rFonts w:ascii="Arial Narrow" w:hAnsi="Arial Narrow"/>
                <w:iCs/>
                <w:sz w:val="20"/>
                <w:szCs w:val="20"/>
              </w:rPr>
            </w:pPr>
            <w:r w:rsidRPr="00683533">
              <w:rPr>
                <w:rFonts w:ascii="Arial Narrow" w:eastAsia="Yu Gothic Light" w:hAnsi="Arial Narrow" w:cs="Times New Roman"/>
                <w:iCs/>
                <w:color w:val="000000"/>
                <w:kern w:val="24"/>
                <w:sz w:val="20"/>
                <w:szCs w:val="20"/>
              </w:rPr>
              <w:t>23vPPV</w:t>
            </w:r>
          </w:p>
        </w:tc>
        <w:tc>
          <w:tcPr>
            <w:tcW w:w="2003" w:type="dxa"/>
            <w:shd w:val="clear" w:color="auto" w:fill="auto"/>
            <w:tcMar>
              <w:top w:w="15" w:type="dxa"/>
              <w:left w:w="108" w:type="dxa"/>
              <w:bottom w:w="0" w:type="dxa"/>
              <w:right w:w="108" w:type="dxa"/>
            </w:tcMar>
            <w:hideMark/>
          </w:tcPr>
          <w:p w14:paraId="0EB7C3C1"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59%</w:t>
            </w:r>
          </w:p>
        </w:tc>
        <w:tc>
          <w:tcPr>
            <w:tcW w:w="2004" w:type="dxa"/>
            <w:shd w:val="clear" w:color="auto" w:fill="auto"/>
            <w:tcMar>
              <w:top w:w="15" w:type="dxa"/>
              <w:left w:w="108" w:type="dxa"/>
              <w:bottom w:w="0" w:type="dxa"/>
              <w:right w:w="108" w:type="dxa"/>
            </w:tcMar>
            <w:hideMark/>
          </w:tcPr>
          <w:p w14:paraId="3ADD6BA6"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70%</w:t>
            </w:r>
          </w:p>
        </w:tc>
        <w:tc>
          <w:tcPr>
            <w:tcW w:w="2004" w:type="dxa"/>
            <w:shd w:val="clear" w:color="auto" w:fill="auto"/>
            <w:tcMar>
              <w:top w:w="15" w:type="dxa"/>
              <w:left w:w="108" w:type="dxa"/>
              <w:bottom w:w="0" w:type="dxa"/>
              <w:right w:w="108" w:type="dxa"/>
            </w:tcMar>
            <w:hideMark/>
          </w:tcPr>
          <w:p w14:paraId="5B77A368"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76%</w:t>
            </w:r>
          </w:p>
        </w:tc>
        <w:tc>
          <w:tcPr>
            <w:tcW w:w="1643" w:type="dxa"/>
            <w:shd w:val="clear" w:color="auto" w:fill="auto"/>
            <w:tcMar>
              <w:top w:w="15" w:type="dxa"/>
              <w:left w:w="108" w:type="dxa"/>
              <w:bottom w:w="0" w:type="dxa"/>
              <w:right w:w="108" w:type="dxa"/>
            </w:tcMar>
            <w:hideMark/>
          </w:tcPr>
          <w:p w14:paraId="17C4C066"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80%</w:t>
            </w:r>
          </w:p>
        </w:tc>
      </w:tr>
      <w:tr w:rsidR="00DC0704" w:rsidRPr="00683533" w14:paraId="26AE1E5E" w14:textId="77777777" w:rsidTr="00CA0D9F">
        <w:trPr>
          <w:trHeight w:val="20"/>
        </w:trPr>
        <w:tc>
          <w:tcPr>
            <w:tcW w:w="1413" w:type="dxa"/>
            <w:shd w:val="clear" w:color="auto" w:fill="auto"/>
            <w:tcMar>
              <w:top w:w="15" w:type="dxa"/>
              <w:left w:w="108" w:type="dxa"/>
              <w:bottom w:w="0" w:type="dxa"/>
              <w:right w:w="108" w:type="dxa"/>
            </w:tcMar>
            <w:hideMark/>
          </w:tcPr>
          <w:p w14:paraId="487E0D1A" w14:textId="77777777" w:rsidR="00DC0704" w:rsidRPr="00683533" w:rsidRDefault="00DC0704" w:rsidP="006651D2">
            <w:pPr>
              <w:keepNext/>
              <w:jc w:val="left"/>
              <w:rPr>
                <w:rFonts w:ascii="Arial Narrow" w:hAnsi="Arial Narrow"/>
                <w:iCs/>
                <w:sz w:val="20"/>
                <w:szCs w:val="20"/>
              </w:rPr>
            </w:pPr>
            <w:r w:rsidRPr="00683533">
              <w:rPr>
                <w:rFonts w:ascii="Arial Narrow" w:eastAsia="Yu Gothic Light" w:hAnsi="Arial Narrow" w:cs="Times New Roman"/>
                <w:iCs/>
                <w:color w:val="000000"/>
                <w:kern w:val="24"/>
                <w:sz w:val="20"/>
                <w:szCs w:val="20"/>
              </w:rPr>
              <w:t>20vPCV</w:t>
            </w:r>
          </w:p>
        </w:tc>
        <w:tc>
          <w:tcPr>
            <w:tcW w:w="2003" w:type="dxa"/>
            <w:shd w:val="clear" w:color="auto" w:fill="auto"/>
            <w:tcMar>
              <w:top w:w="15" w:type="dxa"/>
              <w:left w:w="108" w:type="dxa"/>
              <w:bottom w:w="0" w:type="dxa"/>
              <w:right w:w="108" w:type="dxa"/>
            </w:tcMar>
            <w:hideMark/>
          </w:tcPr>
          <w:p w14:paraId="26C97A89"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53%</w:t>
            </w:r>
          </w:p>
        </w:tc>
        <w:tc>
          <w:tcPr>
            <w:tcW w:w="2004" w:type="dxa"/>
            <w:shd w:val="clear" w:color="auto" w:fill="auto"/>
            <w:tcMar>
              <w:top w:w="15" w:type="dxa"/>
              <w:left w:w="108" w:type="dxa"/>
              <w:bottom w:w="0" w:type="dxa"/>
              <w:right w:w="108" w:type="dxa"/>
            </w:tcMar>
            <w:hideMark/>
          </w:tcPr>
          <w:p w14:paraId="1A6E9650"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64%</w:t>
            </w:r>
          </w:p>
        </w:tc>
        <w:tc>
          <w:tcPr>
            <w:tcW w:w="2004" w:type="dxa"/>
            <w:shd w:val="clear" w:color="auto" w:fill="auto"/>
            <w:tcMar>
              <w:top w:w="15" w:type="dxa"/>
              <w:left w:w="108" w:type="dxa"/>
              <w:bottom w:w="0" w:type="dxa"/>
              <w:right w:w="108" w:type="dxa"/>
            </w:tcMar>
            <w:hideMark/>
          </w:tcPr>
          <w:p w14:paraId="1F894BEA"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66%</w:t>
            </w:r>
          </w:p>
        </w:tc>
        <w:tc>
          <w:tcPr>
            <w:tcW w:w="1643" w:type="dxa"/>
            <w:shd w:val="clear" w:color="auto" w:fill="auto"/>
            <w:tcMar>
              <w:top w:w="15" w:type="dxa"/>
              <w:left w:w="108" w:type="dxa"/>
              <w:bottom w:w="0" w:type="dxa"/>
              <w:right w:w="108" w:type="dxa"/>
            </w:tcMar>
            <w:hideMark/>
          </w:tcPr>
          <w:p w14:paraId="7132031B"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72%</w:t>
            </w:r>
          </w:p>
        </w:tc>
      </w:tr>
      <w:tr w:rsidR="00DC0704" w:rsidRPr="00683533" w14:paraId="654AE623" w14:textId="77777777" w:rsidTr="00CA0D9F">
        <w:trPr>
          <w:trHeight w:val="20"/>
        </w:trPr>
        <w:tc>
          <w:tcPr>
            <w:tcW w:w="1413" w:type="dxa"/>
            <w:shd w:val="clear" w:color="auto" w:fill="auto"/>
            <w:tcMar>
              <w:top w:w="15" w:type="dxa"/>
              <w:left w:w="108" w:type="dxa"/>
              <w:bottom w:w="0" w:type="dxa"/>
              <w:right w:w="108" w:type="dxa"/>
            </w:tcMar>
            <w:hideMark/>
          </w:tcPr>
          <w:p w14:paraId="00CFC3DC" w14:textId="77777777" w:rsidR="00DC0704" w:rsidRPr="00683533" w:rsidRDefault="00DC0704" w:rsidP="006651D2">
            <w:pPr>
              <w:keepNext/>
              <w:jc w:val="left"/>
              <w:rPr>
                <w:rFonts w:ascii="Arial Narrow" w:hAnsi="Arial Narrow"/>
                <w:iCs/>
                <w:sz w:val="20"/>
                <w:szCs w:val="20"/>
              </w:rPr>
            </w:pPr>
            <w:r w:rsidRPr="00683533">
              <w:rPr>
                <w:rFonts w:ascii="Arial Narrow" w:eastAsia="Yu Gothic Light" w:hAnsi="Arial Narrow" w:cs="Times New Roman"/>
                <w:iCs/>
                <w:color w:val="000000"/>
                <w:kern w:val="24"/>
                <w:sz w:val="20"/>
                <w:szCs w:val="20"/>
              </w:rPr>
              <w:t>15vPCV</w:t>
            </w:r>
          </w:p>
        </w:tc>
        <w:tc>
          <w:tcPr>
            <w:tcW w:w="2003" w:type="dxa"/>
            <w:shd w:val="clear" w:color="auto" w:fill="auto"/>
            <w:tcMar>
              <w:top w:w="15" w:type="dxa"/>
              <w:left w:w="108" w:type="dxa"/>
              <w:bottom w:w="0" w:type="dxa"/>
              <w:right w:w="108" w:type="dxa"/>
            </w:tcMar>
            <w:hideMark/>
          </w:tcPr>
          <w:p w14:paraId="3D997BE1"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44%</w:t>
            </w:r>
          </w:p>
        </w:tc>
        <w:tc>
          <w:tcPr>
            <w:tcW w:w="2004" w:type="dxa"/>
            <w:shd w:val="clear" w:color="auto" w:fill="auto"/>
            <w:tcMar>
              <w:top w:w="15" w:type="dxa"/>
              <w:left w:w="108" w:type="dxa"/>
              <w:bottom w:w="0" w:type="dxa"/>
              <w:right w:w="108" w:type="dxa"/>
            </w:tcMar>
            <w:hideMark/>
          </w:tcPr>
          <w:p w14:paraId="44323FFB"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45%</w:t>
            </w:r>
          </w:p>
        </w:tc>
        <w:tc>
          <w:tcPr>
            <w:tcW w:w="2004" w:type="dxa"/>
            <w:shd w:val="clear" w:color="auto" w:fill="auto"/>
            <w:tcMar>
              <w:top w:w="15" w:type="dxa"/>
              <w:left w:w="108" w:type="dxa"/>
              <w:bottom w:w="0" w:type="dxa"/>
              <w:right w:w="108" w:type="dxa"/>
            </w:tcMar>
            <w:hideMark/>
          </w:tcPr>
          <w:p w14:paraId="56CD4BEF"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51%</w:t>
            </w:r>
          </w:p>
        </w:tc>
        <w:tc>
          <w:tcPr>
            <w:tcW w:w="1643" w:type="dxa"/>
            <w:shd w:val="clear" w:color="auto" w:fill="auto"/>
            <w:tcMar>
              <w:top w:w="15" w:type="dxa"/>
              <w:left w:w="108" w:type="dxa"/>
              <w:bottom w:w="0" w:type="dxa"/>
              <w:right w:w="108" w:type="dxa"/>
            </w:tcMar>
            <w:hideMark/>
          </w:tcPr>
          <w:p w14:paraId="1CE7022B"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38%</w:t>
            </w:r>
          </w:p>
        </w:tc>
      </w:tr>
      <w:tr w:rsidR="00DC0704" w:rsidRPr="00683533" w14:paraId="6B02B034" w14:textId="77777777" w:rsidTr="00CA0D9F">
        <w:trPr>
          <w:trHeight w:val="20"/>
        </w:trPr>
        <w:tc>
          <w:tcPr>
            <w:tcW w:w="1413" w:type="dxa"/>
            <w:shd w:val="clear" w:color="auto" w:fill="auto"/>
            <w:tcMar>
              <w:top w:w="15" w:type="dxa"/>
              <w:left w:w="108" w:type="dxa"/>
              <w:bottom w:w="0" w:type="dxa"/>
              <w:right w:w="108" w:type="dxa"/>
            </w:tcMar>
            <w:hideMark/>
          </w:tcPr>
          <w:p w14:paraId="056BC79A" w14:textId="77777777" w:rsidR="00DC0704" w:rsidRPr="00683533" w:rsidRDefault="00DC0704" w:rsidP="006651D2">
            <w:pPr>
              <w:keepNext/>
              <w:jc w:val="left"/>
              <w:rPr>
                <w:rFonts w:ascii="Arial Narrow" w:hAnsi="Arial Narrow"/>
                <w:iCs/>
                <w:sz w:val="20"/>
                <w:szCs w:val="20"/>
              </w:rPr>
            </w:pPr>
            <w:r w:rsidRPr="00683533">
              <w:rPr>
                <w:rFonts w:ascii="Arial Narrow" w:eastAsia="Yu Gothic Light" w:hAnsi="Arial Narrow" w:cs="Times New Roman"/>
                <w:iCs/>
                <w:color w:val="000000"/>
                <w:kern w:val="24"/>
                <w:sz w:val="20"/>
                <w:szCs w:val="20"/>
              </w:rPr>
              <w:t>13vPCV</w:t>
            </w:r>
          </w:p>
        </w:tc>
        <w:tc>
          <w:tcPr>
            <w:tcW w:w="2003" w:type="dxa"/>
            <w:shd w:val="clear" w:color="auto" w:fill="auto"/>
            <w:tcMar>
              <w:top w:w="15" w:type="dxa"/>
              <w:left w:w="108" w:type="dxa"/>
              <w:bottom w:w="0" w:type="dxa"/>
              <w:right w:w="108" w:type="dxa"/>
            </w:tcMar>
            <w:hideMark/>
          </w:tcPr>
          <w:p w14:paraId="12D50E3A"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32%</w:t>
            </w:r>
          </w:p>
        </w:tc>
        <w:tc>
          <w:tcPr>
            <w:tcW w:w="2004" w:type="dxa"/>
            <w:shd w:val="clear" w:color="auto" w:fill="auto"/>
            <w:tcMar>
              <w:top w:w="15" w:type="dxa"/>
              <w:left w:w="108" w:type="dxa"/>
              <w:bottom w:w="0" w:type="dxa"/>
              <w:right w:w="108" w:type="dxa"/>
            </w:tcMar>
            <w:hideMark/>
          </w:tcPr>
          <w:p w14:paraId="128F9227"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34%</w:t>
            </w:r>
          </w:p>
        </w:tc>
        <w:tc>
          <w:tcPr>
            <w:tcW w:w="2004" w:type="dxa"/>
            <w:shd w:val="clear" w:color="auto" w:fill="auto"/>
            <w:tcMar>
              <w:top w:w="15" w:type="dxa"/>
              <w:left w:w="108" w:type="dxa"/>
              <w:bottom w:w="0" w:type="dxa"/>
              <w:right w:w="108" w:type="dxa"/>
            </w:tcMar>
            <w:hideMark/>
          </w:tcPr>
          <w:p w14:paraId="28E695CC"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38%</w:t>
            </w:r>
          </w:p>
        </w:tc>
        <w:tc>
          <w:tcPr>
            <w:tcW w:w="1643" w:type="dxa"/>
            <w:shd w:val="clear" w:color="auto" w:fill="auto"/>
            <w:tcMar>
              <w:top w:w="15" w:type="dxa"/>
              <w:left w:w="108" w:type="dxa"/>
              <w:bottom w:w="0" w:type="dxa"/>
              <w:right w:w="108" w:type="dxa"/>
            </w:tcMar>
            <w:hideMark/>
          </w:tcPr>
          <w:p w14:paraId="310D6C5B" w14:textId="77777777" w:rsidR="00DC0704" w:rsidRPr="00683533" w:rsidRDefault="00DC0704" w:rsidP="006651D2">
            <w:pPr>
              <w:keepNext/>
              <w:jc w:val="center"/>
              <w:rPr>
                <w:rFonts w:ascii="Arial Narrow" w:hAnsi="Arial Narrow"/>
                <w:iCs/>
                <w:sz w:val="20"/>
                <w:szCs w:val="20"/>
              </w:rPr>
            </w:pPr>
            <w:r w:rsidRPr="00683533">
              <w:rPr>
                <w:rFonts w:ascii="Arial Narrow" w:eastAsia="Yu Gothic Light" w:hAnsi="Arial Narrow" w:cs="Times New Roman"/>
                <w:iCs/>
                <w:color w:val="000000"/>
                <w:kern w:val="24"/>
                <w:sz w:val="20"/>
                <w:szCs w:val="20"/>
              </w:rPr>
              <w:t>32%</w:t>
            </w:r>
          </w:p>
        </w:tc>
      </w:tr>
    </w:tbl>
    <w:p w14:paraId="02506081" w14:textId="3693B443" w:rsidR="00D44C5C" w:rsidRPr="00683533" w:rsidRDefault="00D44C5C" w:rsidP="006651D2">
      <w:pPr>
        <w:pStyle w:val="FooterTableFigure"/>
        <w:keepNext/>
        <w:rPr>
          <w:rStyle w:val="CommentReference"/>
          <w:rFonts w:eastAsia="Times New Roman"/>
          <w:b w:val="0"/>
          <w:bCs w:val="0"/>
          <w:iCs/>
          <w:sz w:val="18"/>
          <w:szCs w:val="22"/>
        </w:rPr>
      </w:pPr>
      <w:r w:rsidRPr="00683533">
        <w:rPr>
          <w:iCs/>
        </w:rPr>
        <w:t>Source: Table 3.4.5 of the submission</w:t>
      </w:r>
      <w:r w:rsidR="00D02658" w:rsidRPr="00683533">
        <w:rPr>
          <w:iCs/>
        </w:rPr>
        <w:t>, based on NNDSS (2019)</w:t>
      </w:r>
      <w:r w:rsidR="00560D37">
        <w:rPr>
          <w:iCs/>
        </w:rPr>
        <w:t>. C</w:t>
      </w:r>
      <w:r w:rsidR="00683533" w:rsidRPr="00683533">
        <w:rPr>
          <w:iCs/>
        </w:rPr>
        <w:t xml:space="preserve">ompiled </w:t>
      </w:r>
      <w:r w:rsidR="00683533">
        <w:rPr>
          <w:iCs/>
        </w:rPr>
        <w:t>during ESC evaluation.</w:t>
      </w:r>
    </w:p>
    <w:p w14:paraId="02E82C6C" w14:textId="61AA5E79" w:rsidR="002D0FE3" w:rsidRPr="00EB70A1" w:rsidRDefault="005F4778" w:rsidP="00CC71B0">
      <w:pPr>
        <w:pStyle w:val="3-BodyText"/>
      </w:pPr>
      <w:r w:rsidRPr="00683533">
        <w:rPr>
          <w:iCs/>
        </w:rPr>
        <w:t xml:space="preserve">The assumptions made for vaccine effectiveness in the economic model are detailed in </w:t>
      </w:r>
      <w:r w:rsidRPr="00683533">
        <w:rPr>
          <w:iCs/>
        </w:rPr>
        <w:fldChar w:fldCharType="begin"/>
      </w:r>
      <w:r w:rsidRPr="00683533">
        <w:rPr>
          <w:iCs/>
        </w:rPr>
        <w:instrText xml:space="preserve"> REF _Ref116569038 \h  \* MERGEFORMAT </w:instrText>
      </w:r>
      <w:r w:rsidRPr="00683533">
        <w:rPr>
          <w:iCs/>
        </w:rPr>
      </w:r>
      <w:r w:rsidRPr="00683533">
        <w:rPr>
          <w:iCs/>
        </w:rPr>
        <w:fldChar w:fldCharType="separate"/>
      </w:r>
      <w:r w:rsidR="00137984" w:rsidRPr="00137984">
        <w:t>Table 11</w:t>
      </w:r>
      <w:r w:rsidRPr="00683533">
        <w:rPr>
          <w:iCs/>
        </w:rPr>
        <w:fldChar w:fldCharType="end"/>
      </w:r>
      <w:r w:rsidRPr="00683533">
        <w:rPr>
          <w:iCs/>
        </w:rPr>
        <w:t xml:space="preserve">. </w:t>
      </w:r>
      <w:r w:rsidR="00925681" w:rsidRPr="004E375B">
        <w:t xml:space="preserve">It was unclear why the </w:t>
      </w:r>
      <w:r w:rsidR="00740640">
        <w:t>vaccine effectiveness (</w:t>
      </w:r>
      <w:r w:rsidR="00925681" w:rsidRPr="004E375B">
        <w:t>VE</w:t>
      </w:r>
      <w:r w:rsidR="00740640">
        <w:t>)</w:t>
      </w:r>
      <w:r w:rsidR="00925681" w:rsidRPr="004E375B">
        <w:t xml:space="preserve"> </w:t>
      </w:r>
      <w:r w:rsidR="00B544B8">
        <w:t xml:space="preserve">estimates </w:t>
      </w:r>
      <w:r w:rsidR="00925681" w:rsidRPr="004E375B">
        <w:t xml:space="preserve">for at-risk adults aged 18-69 </w:t>
      </w:r>
      <w:r w:rsidR="00B544B8">
        <w:t>were</w:t>
      </w:r>
      <w:r w:rsidR="00B544B8" w:rsidRPr="004E375B">
        <w:t xml:space="preserve"> </w:t>
      </w:r>
      <w:r w:rsidR="00925681" w:rsidRPr="004E375B">
        <w:t xml:space="preserve">different </w:t>
      </w:r>
      <w:r w:rsidR="00B544B8">
        <w:t>to that used for</w:t>
      </w:r>
      <w:r w:rsidR="00925681" w:rsidRPr="004E375B">
        <w:t xml:space="preserve"> the other populations, but </w:t>
      </w:r>
      <w:r w:rsidR="00925681" w:rsidRPr="008924B9">
        <w:t xml:space="preserve">the differences were </w:t>
      </w:r>
      <w:r w:rsidR="002A5787" w:rsidRPr="008924B9">
        <w:t>small,</w:t>
      </w:r>
      <w:r w:rsidR="00925681" w:rsidRPr="008924B9">
        <w:t xml:space="preserve"> and this was</w:t>
      </w:r>
      <w:r w:rsidR="00925681" w:rsidRPr="004E375B">
        <w:t xml:space="preserve"> in line with ATAGI advice (p62, Prevenar 20, ATAGI pre-submission advice to PBAC</w:t>
      </w:r>
      <w:r w:rsidR="000C165F">
        <w:t>, April 2022</w:t>
      </w:r>
      <w:r w:rsidR="00925681" w:rsidRPr="004E375B">
        <w:t>).</w:t>
      </w:r>
    </w:p>
    <w:p w14:paraId="3D610807" w14:textId="06FF225A" w:rsidR="00EB70A1" w:rsidRPr="00683533" w:rsidRDefault="00EB70A1" w:rsidP="00F00FE0">
      <w:pPr>
        <w:pStyle w:val="3-BodyText"/>
        <w:keepNext/>
        <w:numPr>
          <w:ilvl w:val="0"/>
          <w:numId w:val="0"/>
        </w:numPr>
        <w:spacing w:after="0"/>
        <w:rPr>
          <w:rStyle w:val="CommentReference"/>
          <w:iCs/>
        </w:rPr>
      </w:pPr>
      <w:bookmarkStart w:id="44" w:name="_Ref116569038"/>
      <w:r w:rsidRPr="00683533">
        <w:rPr>
          <w:rStyle w:val="CommentReference"/>
          <w:iCs/>
        </w:rPr>
        <w:t xml:space="preserve">Table </w:t>
      </w:r>
      <w:r w:rsidRPr="00683533">
        <w:rPr>
          <w:rStyle w:val="CommentReference"/>
          <w:iCs/>
        </w:rPr>
        <w:fldChar w:fldCharType="begin"/>
      </w:r>
      <w:r w:rsidRPr="00683533">
        <w:rPr>
          <w:rStyle w:val="CommentReference"/>
          <w:iCs/>
        </w:rPr>
        <w:instrText>SEQ Table \* ARABIC</w:instrText>
      </w:r>
      <w:r w:rsidRPr="00683533">
        <w:rPr>
          <w:rStyle w:val="CommentReference"/>
          <w:iCs/>
        </w:rPr>
        <w:fldChar w:fldCharType="separate"/>
      </w:r>
      <w:r w:rsidR="00137984">
        <w:rPr>
          <w:rStyle w:val="CommentReference"/>
          <w:iCs/>
          <w:noProof/>
        </w:rPr>
        <w:t>11</w:t>
      </w:r>
      <w:r w:rsidRPr="00683533">
        <w:rPr>
          <w:rStyle w:val="CommentReference"/>
          <w:iCs/>
        </w:rPr>
        <w:fldChar w:fldCharType="end"/>
      </w:r>
      <w:bookmarkEnd w:id="44"/>
      <w:r w:rsidRPr="00683533">
        <w:rPr>
          <w:rStyle w:val="CommentReference"/>
          <w:iCs/>
        </w:rPr>
        <w:t>: Vaccine effectiveness of the four pneumococcal vaccines</w:t>
      </w:r>
      <w:r w:rsidR="00D02658" w:rsidRPr="00683533">
        <w:rPr>
          <w:rStyle w:val="CommentReference"/>
          <w:iCs/>
        </w:rPr>
        <w:t xml:space="preserve"> assumed in the economic model</w:t>
      </w:r>
    </w:p>
    <w:tbl>
      <w:tblPr>
        <w:tblStyle w:val="TableGrid"/>
        <w:tblW w:w="9067" w:type="dxa"/>
        <w:tblLook w:val="04A0" w:firstRow="1" w:lastRow="0" w:firstColumn="1" w:lastColumn="0" w:noHBand="0" w:noVBand="1"/>
      </w:tblPr>
      <w:tblGrid>
        <w:gridCol w:w="3256"/>
        <w:gridCol w:w="1452"/>
        <w:gridCol w:w="1453"/>
        <w:gridCol w:w="1453"/>
        <w:gridCol w:w="1453"/>
      </w:tblGrid>
      <w:tr w:rsidR="00D02658" w:rsidRPr="00683533" w14:paraId="7A8BBB53" w14:textId="77777777" w:rsidTr="006E7985">
        <w:tc>
          <w:tcPr>
            <w:tcW w:w="3256" w:type="dxa"/>
            <w:shd w:val="clear" w:color="auto" w:fill="auto"/>
            <w:vAlign w:val="bottom"/>
          </w:tcPr>
          <w:p w14:paraId="1509CB1B" w14:textId="4E31B999" w:rsidR="00D02658" w:rsidRPr="00683533" w:rsidRDefault="00D02658" w:rsidP="006E7985">
            <w:pPr>
              <w:jc w:val="left"/>
              <w:rPr>
                <w:rFonts w:ascii="Arial Narrow" w:hAnsi="Arial Narrow"/>
                <w:b/>
                <w:bCs/>
                <w:iCs/>
                <w:sz w:val="20"/>
                <w:szCs w:val="20"/>
              </w:rPr>
            </w:pPr>
            <w:bookmarkStart w:id="45" w:name="_Toc107843625"/>
            <w:r w:rsidRPr="00683533">
              <w:rPr>
                <w:rFonts w:ascii="Arial Narrow" w:hAnsi="Arial Narrow"/>
                <w:b/>
                <w:bCs/>
                <w:iCs/>
                <w:sz w:val="20"/>
                <w:szCs w:val="20"/>
              </w:rPr>
              <w:t>Vaccine</w:t>
            </w:r>
            <w:bookmarkEnd w:id="45"/>
          </w:p>
        </w:tc>
        <w:tc>
          <w:tcPr>
            <w:tcW w:w="1452" w:type="dxa"/>
            <w:shd w:val="clear" w:color="auto" w:fill="auto"/>
            <w:vAlign w:val="bottom"/>
          </w:tcPr>
          <w:p w14:paraId="33C1828E" w14:textId="1D3D0E47" w:rsidR="00D02658" w:rsidRPr="00683533" w:rsidRDefault="00D02658" w:rsidP="006E7985">
            <w:pPr>
              <w:jc w:val="left"/>
              <w:rPr>
                <w:rFonts w:ascii="Arial Narrow" w:hAnsi="Arial Narrow"/>
                <w:b/>
                <w:bCs/>
                <w:iCs/>
                <w:sz w:val="20"/>
                <w:szCs w:val="20"/>
              </w:rPr>
            </w:pPr>
            <w:bookmarkStart w:id="46" w:name="_Toc107843626"/>
            <w:r w:rsidRPr="00683533">
              <w:rPr>
                <w:rFonts w:ascii="Arial Narrow" w:hAnsi="Arial Narrow"/>
                <w:b/>
                <w:bCs/>
                <w:iCs/>
                <w:sz w:val="20"/>
                <w:szCs w:val="20"/>
              </w:rPr>
              <w:t>Non-Indigenous aged ≥ 70 years</w:t>
            </w:r>
            <w:bookmarkEnd w:id="46"/>
          </w:p>
        </w:tc>
        <w:tc>
          <w:tcPr>
            <w:tcW w:w="1453" w:type="dxa"/>
            <w:shd w:val="clear" w:color="auto" w:fill="auto"/>
            <w:vAlign w:val="bottom"/>
          </w:tcPr>
          <w:p w14:paraId="21BA60D2" w14:textId="2118A006" w:rsidR="00D02658" w:rsidRPr="00683533" w:rsidRDefault="00D02658" w:rsidP="006E7985">
            <w:pPr>
              <w:jc w:val="left"/>
              <w:rPr>
                <w:rFonts w:ascii="Arial Narrow" w:hAnsi="Arial Narrow"/>
                <w:b/>
                <w:bCs/>
                <w:iCs/>
                <w:sz w:val="20"/>
                <w:szCs w:val="20"/>
              </w:rPr>
            </w:pPr>
            <w:bookmarkStart w:id="47" w:name="_Toc107843627"/>
            <w:r w:rsidRPr="00683533">
              <w:rPr>
                <w:rFonts w:ascii="Arial Narrow" w:hAnsi="Arial Narrow"/>
                <w:b/>
                <w:bCs/>
                <w:iCs/>
                <w:sz w:val="20"/>
                <w:szCs w:val="20"/>
              </w:rPr>
              <w:t>Indigenous aged ≥ 50 years</w:t>
            </w:r>
            <w:bookmarkEnd w:id="47"/>
          </w:p>
        </w:tc>
        <w:tc>
          <w:tcPr>
            <w:tcW w:w="1453" w:type="dxa"/>
            <w:shd w:val="clear" w:color="auto" w:fill="auto"/>
            <w:vAlign w:val="bottom"/>
          </w:tcPr>
          <w:p w14:paraId="06212CF6" w14:textId="7B7E7BE7" w:rsidR="00D02658" w:rsidRPr="00683533" w:rsidRDefault="00D02658" w:rsidP="006E7985">
            <w:pPr>
              <w:jc w:val="left"/>
              <w:rPr>
                <w:rFonts w:ascii="Arial Narrow" w:hAnsi="Arial Narrow"/>
                <w:b/>
                <w:bCs/>
                <w:iCs/>
                <w:sz w:val="20"/>
                <w:szCs w:val="20"/>
              </w:rPr>
            </w:pPr>
            <w:bookmarkStart w:id="48" w:name="_Toc107843628"/>
            <w:r w:rsidRPr="00683533">
              <w:rPr>
                <w:rFonts w:ascii="Arial Narrow" w:hAnsi="Arial Narrow"/>
                <w:b/>
                <w:bCs/>
                <w:iCs/>
                <w:sz w:val="20"/>
                <w:szCs w:val="20"/>
              </w:rPr>
              <w:t>At-risk aged 18-69 years</w:t>
            </w:r>
            <w:bookmarkEnd w:id="48"/>
          </w:p>
        </w:tc>
        <w:tc>
          <w:tcPr>
            <w:tcW w:w="1453" w:type="dxa"/>
            <w:shd w:val="clear" w:color="auto" w:fill="auto"/>
            <w:vAlign w:val="bottom"/>
          </w:tcPr>
          <w:p w14:paraId="41C69695" w14:textId="1C2EB3BA" w:rsidR="00D02658" w:rsidRPr="00683533" w:rsidRDefault="00D02658" w:rsidP="006E7985">
            <w:pPr>
              <w:jc w:val="left"/>
              <w:rPr>
                <w:rFonts w:ascii="Arial Narrow" w:hAnsi="Arial Narrow"/>
                <w:b/>
                <w:bCs/>
                <w:iCs/>
                <w:sz w:val="20"/>
                <w:szCs w:val="20"/>
              </w:rPr>
            </w:pPr>
            <w:bookmarkStart w:id="49" w:name="_Toc107843629"/>
            <w:r w:rsidRPr="00683533">
              <w:rPr>
                <w:rFonts w:ascii="Arial Narrow" w:hAnsi="Arial Narrow"/>
                <w:b/>
                <w:bCs/>
                <w:iCs/>
                <w:sz w:val="20"/>
                <w:szCs w:val="20"/>
              </w:rPr>
              <w:t>Indigenous aged 25-49 years</w:t>
            </w:r>
            <w:bookmarkEnd w:id="49"/>
          </w:p>
        </w:tc>
      </w:tr>
      <w:tr w:rsidR="00D02658" w:rsidRPr="00683533" w14:paraId="2D470A80" w14:textId="77777777" w:rsidTr="00CC71B0">
        <w:tc>
          <w:tcPr>
            <w:tcW w:w="3256" w:type="dxa"/>
          </w:tcPr>
          <w:p w14:paraId="5D9E6041" w14:textId="1B0BEBB1" w:rsidR="00D02658" w:rsidRPr="00683533" w:rsidRDefault="00D02658" w:rsidP="006E7985">
            <w:pPr>
              <w:jc w:val="left"/>
              <w:rPr>
                <w:rFonts w:ascii="Arial Narrow" w:hAnsi="Arial Narrow"/>
                <w:iCs/>
                <w:sz w:val="20"/>
                <w:szCs w:val="20"/>
              </w:rPr>
            </w:pPr>
            <w:bookmarkStart w:id="50" w:name="_Toc107843630"/>
            <w:r w:rsidRPr="00683533">
              <w:rPr>
                <w:rFonts w:ascii="Arial Narrow" w:hAnsi="Arial Narrow"/>
                <w:iCs/>
                <w:sz w:val="20"/>
                <w:szCs w:val="20"/>
              </w:rPr>
              <w:t>Invasive pneumococcal disease</w:t>
            </w:r>
            <w:bookmarkEnd w:id="50"/>
          </w:p>
        </w:tc>
        <w:tc>
          <w:tcPr>
            <w:tcW w:w="1452" w:type="dxa"/>
          </w:tcPr>
          <w:p w14:paraId="1FDF7641" w14:textId="77777777" w:rsidR="00D02658" w:rsidRPr="00683533" w:rsidRDefault="00D02658" w:rsidP="006E7985">
            <w:pPr>
              <w:jc w:val="left"/>
              <w:rPr>
                <w:rFonts w:ascii="Arial Narrow" w:hAnsi="Arial Narrow"/>
                <w:iCs/>
                <w:sz w:val="20"/>
                <w:szCs w:val="20"/>
              </w:rPr>
            </w:pPr>
          </w:p>
        </w:tc>
        <w:tc>
          <w:tcPr>
            <w:tcW w:w="1453" w:type="dxa"/>
          </w:tcPr>
          <w:p w14:paraId="5AC870E1" w14:textId="77777777" w:rsidR="00D02658" w:rsidRPr="00683533" w:rsidRDefault="00D02658" w:rsidP="006E7985">
            <w:pPr>
              <w:jc w:val="left"/>
              <w:rPr>
                <w:rFonts w:ascii="Arial Narrow" w:hAnsi="Arial Narrow"/>
                <w:iCs/>
                <w:sz w:val="20"/>
                <w:szCs w:val="20"/>
              </w:rPr>
            </w:pPr>
          </w:p>
        </w:tc>
        <w:tc>
          <w:tcPr>
            <w:tcW w:w="1453" w:type="dxa"/>
          </w:tcPr>
          <w:p w14:paraId="569F5CB3" w14:textId="77777777" w:rsidR="00D02658" w:rsidRPr="00683533" w:rsidRDefault="00D02658" w:rsidP="006E7985">
            <w:pPr>
              <w:jc w:val="left"/>
              <w:rPr>
                <w:rFonts w:ascii="Arial Narrow" w:hAnsi="Arial Narrow"/>
                <w:iCs/>
                <w:sz w:val="20"/>
                <w:szCs w:val="20"/>
              </w:rPr>
            </w:pPr>
          </w:p>
        </w:tc>
        <w:tc>
          <w:tcPr>
            <w:tcW w:w="1453" w:type="dxa"/>
          </w:tcPr>
          <w:p w14:paraId="3AB42D9F" w14:textId="77777777" w:rsidR="00D02658" w:rsidRPr="00683533" w:rsidRDefault="00D02658" w:rsidP="006E7985">
            <w:pPr>
              <w:jc w:val="left"/>
              <w:rPr>
                <w:rFonts w:ascii="Arial Narrow" w:hAnsi="Arial Narrow"/>
                <w:iCs/>
                <w:sz w:val="20"/>
                <w:szCs w:val="20"/>
              </w:rPr>
            </w:pPr>
          </w:p>
        </w:tc>
      </w:tr>
      <w:tr w:rsidR="00D02658" w:rsidRPr="00683533" w14:paraId="7358D550" w14:textId="77777777" w:rsidTr="00CC71B0">
        <w:tc>
          <w:tcPr>
            <w:tcW w:w="3256" w:type="dxa"/>
          </w:tcPr>
          <w:p w14:paraId="196A8CE5" w14:textId="17AD87D9" w:rsidR="00D02658" w:rsidRPr="00683533" w:rsidRDefault="00D02658" w:rsidP="006E7985">
            <w:pPr>
              <w:jc w:val="left"/>
              <w:rPr>
                <w:rFonts w:ascii="Arial Narrow" w:hAnsi="Arial Narrow"/>
                <w:iCs/>
                <w:sz w:val="20"/>
                <w:szCs w:val="20"/>
              </w:rPr>
            </w:pPr>
            <w:r w:rsidRPr="00683533">
              <w:rPr>
                <w:rFonts w:ascii="Arial Narrow" w:hAnsi="Arial Narrow"/>
                <w:iCs/>
                <w:sz w:val="20"/>
                <w:szCs w:val="20"/>
              </w:rPr>
              <w:t xml:space="preserve">    </w:t>
            </w:r>
            <w:bookmarkStart w:id="51" w:name="_Toc107843631"/>
            <w:r w:rsidRPr="00683533">
              <w:rPr>
                <w:rFonts w:ascii="Arial Narrow" w:hAnsi="Arial Narrow"/>
                <w:iCs/>
                <w:sz w:val="20"/>
                <w:szCs w:val="20"/>
              </w:rPr>
              <w:t>23vPPV</w:t>
            </w:r>
            <w:bookmarkEnd w:id="51"/>
          </w:p>
        </w:tc>
        <w:tc>
          <w:tcPr>
            <w:tcW w:w="1452" w:type="dxa"/>
          </w:tcPr>
          <w:p w14:paraId="27ABF01B" w14:textId="6EBF8C93" w:rsidR="00D02658" w:rsidRPr="00683533" w:rsidRDefault="00D02658" w:rsidP="006E7985">
            <w:pPr>
              <w:jc w:val="left"/>
              <w:rPr>
                <w:rFonts w:ascii="Arial Narrow" w:hAnsi="Arial Narrow"/>
                <w:iCs/>
                <w:sz w:val="20"/>
                <w:szCs w:val="20"/>
              </w:rPr>
            </w:pPr>
            <w:bookmarkStart w:id="52" w:name="_Toc107843632"/>
            <w:r w:rsidRPr="00683533">
              <w:rPr>
                <w:rFonts w:ascii="Arial Narrow" w:hAnsi="Arial Narrow"/>
                <w:iCs/>
                <w:sz w:val="20"/>
                <w:szCs w:val="20"/>
              </w:rPr>
              <w:t>61.1%</w:t>
            </w:r>
            <w:bookmarkEnd w:id="52"/>
          </w:p>
        </w:tc>
        <w:tc>
          <w:tcPr>
            <w:tcW w:w="1453" w:type="dxa"/>
          </w:tcPr>
          <w:p w14:paraId="0A26F728" w14:textId="2D003CAE" w:rsidR="00D02658" w:rsidRPr="00683533" w:rsidRDefault="00D02658" w:rsidP="006E7985">
            <w:pPr>
              <w:jc w:val="left"/>
              <w:rPr>
                <w:rFonts w:ascii="Arial Narrow" w:hAnsi="Arial Narrow"/>
                <w:iCs/>
                <w:sz w:val="20"/>
                <w:szCs w:val="20"/>
              </w:rPr>
            </w:pPr>
            <w:bookmarkStart w:id="53" w:name="_Toc107843633"/>
            <w:r w:rsidRPr="00683533">
              <w:rPr>
                <w:rFonts w:ascii="Arial Narrow" w:hAnsi="Arial Narrow"/>
                <w:iCs/>
                <w:sz w:val="20"/>
                <w:szCs w:val="20"/>
              </w:rPr>
              <w:t>61.1%</w:t>
            </w:r>
            <w:bookmarkEnd w:id="53"/>
          </w:p>
        </w:tc>
        <w:tc>
          <w:tcPr>
            <w:tcW w:w="1453" w:type="dxa"/>
          </w:tcPr>
          <w:p w14:paraId="13E4679D" w14:textId="4EF6F35C" w:rsidR="00D02658" w:rsidRPr="00683533" w:rsidRDefault="00D02658" w:rsidP="006E7985">
            <w:pPr>
              <w:jc w:val="left"/>
              <w:rPr>
                <w:rFonts w:ascii="Arial Narrow" w:hAnsi="Arial Narrow"/>
                <w:iCs/>
                <w:sz w:val="20"/>
                <w:szCs w:val="20"/>
              </w:rPr>
            </w:pPr>
            <w:bookmarkStart w:id="54" w:name="_Toc107843634"/>
            <w:r w:rsidRPr="00683533">
              <w:rPr>
                <w:rFonts w:ascii="Arial Narrow" w:hAnsi="Arial Narrow"/>
                <w:iCs/>
                <w:sz w:val="20"/>
                <w:szCs w:val="20"/>
              </w:rPr>
              <w:t>61.1%</w:t>
            </w:r>
            <w:bookmarkEnd w:id="54"/>
          </w:p>
        </w:tc>
        <w:tc>
          <w:tcPr>
            <w:tcW w:w="1453" w:type="dxa"/>
          </w:tcPr>
          <w:p w14:paraId="3C67C0B6" w14:textId="3EDD17CF" w:rsidR="00D02658" w:rsidRPr="00683533" w:rsidRDefault="00D02658" w:rsidP="006E7985">
            <w:pPr>
              <w:jc w:val="left"/>
              <w:rPr>
                <w:rFonts w:ascii="Arial Narrow" w:hAnsi="Arial Narrow"/>
                <w:iCs/>
                <w:sz w:val="20"/>
                <w:szCs w:val="20"/>
              </w:rPr>
            </w:pPr>
            <w:bookmarkStart w:id="55" w:name="_Toc107843635"/>
            <w:r w:rsidRPr="00683533">
              <w:rPr>
                <w:rFonts w:ascii="Arial Narrow" w:hAnsi="Arial Narrow"/>
                <w:iCs/>
                <w:sz w:val="20"/>
                <w:szCs w:val="20"/>
              </w:rPr>
              <w:t>61.1%</w:t>
            </w:r>
            <w:bookmarkEnd w:id="55"/>
          </w:p>
        </w:tc>
      </w:tr>
      <w:tr w:rsidR="00D02658" w:rsidRPr="00683533" w14:paraId="763E613C" w14:textId="77777777" w:rsidTr="00CC71B0">
        <w:tc>
          <w:tcPr>
            <w:tcW w:w="3256" w:type="dxa"/>
          </w:tcPr>
          <w:p w14:paraId="31FC5E0B" w14:textId="7191EB61" w:rsidR="00D02658" w:rsidRPr="00683533" w:rsidRDefault="00D02658" w:rsidP="006E7985">
            <w:pPr>
              <w:jc w:val="left"/>
              <w:rPr>
                <w:rFonts w:ascii="Arial Narrow" w:hAnsi="Arial Narrow"/>
                <w:iCs/>
                <w:sz w:val="20"/>
                <w:szCs w:val="20"/>
              </w:rPr>
            </w:pPr>
            <w:r w:rsidRPr="00683533">
              <w:rPr>
                <w:rFonts w:ascii="Arial Narrow" w:hAnsi="Arial Narrow"/>
                <w:iCs/>
                <w:sz w:val="20"/>
                <w:szCs w:val="20"/>
              </w:rPr>
              <w:t xml:space="preserve">    </w:t>
            </w:r>
            <w:bookmarkStart w:id="56" w:name="_Toc107843636"/>
            <w:r w:rsidRPr="00683533">
              <w:rPr>
                <w:rFonts w:ascii="Arial Narrow" w:hAnsi="Arial Narrow"/>
                <w:iCs/>
                <w:sz w:val="20"/>
                <w:szCs w:val="20"/>
              </w:rPr>
              <w:t>20vPCV, 15vPCV and 13vPCV</w:t>
            </w:r>
            <w:bookmarkEnd w:id="56"/>
          </w:p>
        </w:tc>
        <w:tc>
          <w:tcPr>
            <w:tcW w:w="1452" w:type="dxa"/>
          </w:tcPr>
          <w:p w14:paraId="39B088C3" w14:textId="50A152DC" w:rsidR="00D02658" w:rsidRPr="00683533" w:rsidRDefault="00D02658" w:rsidP="006E7985">
            <w:pPr>
              <w:jc w:val="left"/>
              <w:rPr>
                <w:rFonts w:ascii="Arial Narrow" w:hAnsi="Arial Narrow"/>
                <w:iCs/>
                <w:sz w:val="20"/>
                <w:szCs w:val="20"/>
              </w:rPr>
            </w:pPr>
            <w:bookmarkStart w:id="57" w:name="_Toc107843637"/>
            <w:r w:rsidRPr="00683533">
              <w:rPr>
                <w:rFonts w:ascii="Arial Narrow" w:hAnsi="Arial Narrow"/>
                <w:iCs/>
                <w:sz w:val="20"/>
                <w:szCs w:val="20"/>
              </w:rPr>
              <w:t>74.5%</w:t>
            </w:r>
            <w:bookmarkEnd w:id="57"/>
          </w:p>
        </w:tc>
        <w:tc>
          <w:tcPr>
            <w:tcW w:w="1453" w:type="dxa"/>
          </w:tcPr>
          <w:p w14:paraId="447B8698" w14:textId="028D96E6" w:rsidR="00D02658" w:rsidRPr="00683533" w:rsidRDefault="00D02658" w:rsidP="006E7985">
            <w:pPr>
              <w:jc w:val="left"/>
              <w:rPr>
                <w:rFonts w:ascii="Arial Narrow" w:hAnsi="Arial Narrow"/>
                <w:iCs/>
                <w:sz w:val="20"/>
                <w:szCs w:val="20"/>
              </w:rPr>
            </w:pPr>
            <w:bookmarkStart w:id="58" w:name="_Toc107843638"/>
            <w:r w:rsidRPr="00683533">
              <w:rPr>
                <w:rFonts w:ascii="Arial Narrow" w:hAnsi="Arial Narrow"/>
                <w:iCs/>
                <w:sz w:val="20"/>
                <w:szCs w:val="20"/>
              </w:rPr>
              <w:t>74.5%</w:t>
            </w:r>
            <w:bookmarkEnd w:id="58"/>
          </w:p>
        </w:tc>
        <w:tc>
          <w:tcPr>
            <w:tcW w:w="1453" w:type="dxa"/>
          </w:tcPr>
          <w:p w14:paraId="51E74252" w14:textId="53CD3909" w:rsidR="00D02658" w:rsidRPr="00683533" w:rsidRDefault="00D02658" w:rsidP="006E7985">
            <w:pPr>
              <w:jc w:val="left"/>
              <w:rPr>
                <w:rFonts w:ascii="Arial Narrow" w:hAnsi="Arial Narrow"/>
                <w:iCs/>
                <w:sz w:val="20"/>
                <w:szCs w:val="20"/>
              </w:rPr>
            </w:pPr>
            <w:bookmarkStart w:id="59" w:name="_Toc107843639"/>
            <w:r w:rsidRPr="00683533">
              <w:rPr>
                <w:rFonts w:ascii="Arial Narrow" w:hAnsi="Arial Narrow"/>
                <w:iCs/>
                <w:sz w:val="20"/>
                <w:szCs w:val="20"/>
              </w:rPr>
              <w:t>74.4%</w:t>
            </w:r>
            <w:bookmarkEnd w:id="59"/>
          </w:p>
        </w:tc>
        <w:tc>
          <w:tcPr>
            <w:tcW w:w="1453" w:type="dxa"/>
          </w:tcPr>
          <w:p w14:paraId="2FE81A1C" w14:textId="3A83E26F" w:rsidR="00D02658" w:rsidRPr="00683533" w:rsidRDefault="00D02658" w:rsidP="006E7985">
            <w:pPr>
              <w:jc w:val="left"/>
              <w:rPr>
                <w:rFonts w:ascii="Arial Narrow" w:hAnsi="Arial Narrow"/>
                <w:iCs/>
                <w:sz w:val="20"/>
                <w:szCs w:val="20"/>
              </w:rPr>
            </w:pPr>
            <w:bookmarkStart w:id="60" w:name="_Toc107843640"/>
            <w:r w:rsidRPr="00683533">
              <w:rPr>
                <w:rFonts w:ascii="Arial Narrow" w:hAnsi="Arial Narrow"/>
                <w:iCs/>
                <w:sz w:val="20"/>
                <w:szCs w:val="20"/>
              </w:rPr>
              <w:t>74.5%</w:t>
            </w:r>
            <w:bookmarkEnd w:id="60"/>
          </w:p>
        </w:tc>
      </w:tr>
      <w:tr w:rsidR="00D02658" w:rsidRPr="00683533" w14:paraId="248D0DC0" w14:textId="77777777" w:rsidTr="00CC71B0">
        <w:tc>
          <w:tcPr>
            <w:tcW w:w="3256" w:type="dxa"/>
          </w:tcPr>
          <w:p w14:paraId="52253C6C" w14:textId="648E1253" w:rsidR="00D02658" w:rsidRPr="00683533" w:rsidRDefault="00D02658" w:rsidP="006E7985">
            <w:pPr>
              <w:jc w:val="left"/>
              <w:rPr>
                <w:rFonts w:ascii="Arial Narrow" w:hAnsi="Arial Narrow"/>
                <w:iCs/>
                <w:sz w:val="20"/>
                <w:szCs w:val="20"/>
              </w:rPr>
            </w:pPr>
            <w:bookmarkStart w:id="61" w:name="_Toc107843641"/>
            <w:r w:rsidRPr="00683533">
              <w:rPr>
                <w:rFonts w:ascii="Arial Narrow" w:hAnsi="Arial Narrow"/>
                <w:iCs/>
                <w:sz w:val="20"/>
                <w:szCs w:val="20"/>
              </w:rPr>
              <w:t>Pneumococcal pneumonia hospitalisations</w:t>
            </w:r>
            <w:bookmarkEnd w:id="61"/>
          </w:p>
        </w:tc>
        <w:tc>
          <w:tcPr>
            <w:tcW w:w="1452" w:type="dxa"/>
          </w:tcPr>
          <w:p w14:paraId="798BDE5C" w14:textId="77777777" w:rsidR="00D02658" w:rsidRPr="00683533" w:rsidRDefault="00D02658" w:rsidP="006E7985">
            <w:pPr>
              <w:jc w:val="left"/>
              <w:rPr>
                <w:rFonts w:ascii="Arial Narrow" w:hAnsi="Arial Narrow"/>
                <w:iCs/>
                <w:sz w:val="20"/>
                <w:szCs w:val="20"/>
              </w:rPr>
            </w:pPr>
          </w:p>
        </w:tc>
        <w:tc>
          <w:tcPr>
            <w:tcW w:w="1453" w:type="dxa"/>
          </w:tcPr>
          <w:p w14:paraId="05DE7B8B" w14:textId="77777777" w:rsidR="00D02658" w:rsidRPr="00683533" w:rsidRDefault="00D02658" w:rsidP="006E7985">
            <w:pPr>
              <w:jc w:val="left"/>
              <w:rPr>
                <w:rFonts w:ascii="Arial Narrow" w:hAnsi="Arial Narrow"/>
                <w:iCs/>
                <w:sz w:val="20"/>
                <w:szCs w:val="20"/>
              </w:rPr>
            </w:pPr>
          </w:p>
        </w:tc>
        <w:tc>
          <w:tcPr>
            <w:tcW w:w="1453" w:type="dxa"/>
          </w:tcPr>
          <w:p w14:paraId="43362A62" w14:textId="77777777" w:rsidR="00D02658" w:rsidRPr="00683533" w:rsidRDefault="00D02658" w:rsidP="006E7985">
            <w:pPr>
              <w:jc w:val="left"/>
              <w:rPr>
                <w:rFonts w:ascii="Arial Narrow" w:hAnsi="Arial Narrow"/>
                <w:iCs/>
                <w:sz w:val="20"/>
                <w:szCs w:val="20"/>
              </w:rPr>
            </w:pPr>
          </w:p>
        </w:tc>
        <w:tc>
          <w:tcPr>
            <w:tcW w:w="1453" w:type="dxa"/>
          </w:tcPr>
          <w:p w14:paraId="1004D5DC" w14:textId="77777777" w:rsidR="00D02658" w:rsidRPr="00683533" w:rsidRDefault="00D02658" w:rsidP="006E7985">
            <w:pPr>
              <w:jc w:val="left"/>
              <w:rPr>
                <w:rFonts w:ascii="Arial Narrow" w:hAnsi="Arial Narrow"/>
                <w:iCs/>
                <w:sz w:val="20"/>
                <w:szCs w:val="20"/>
              </w:rPr>
            </w:pPr>
          </w:p>
        </w:tc>
      </w:tr>
      <w:tr w:rsidR="00D02658" w:rsidRPr="00683533" w14:paraId="382280EF" w14:textId="77777777" w:rsidTr="00CC71B0">
        <w:tc>
          <w:tcPr>
            <w:tcW w:w="3256" w:type="dxa"/>
          </w:tcPr>
          <w:p w14:paraId="52553466" w14:textId="36A50BC1" w:rsidR="00D02658" w:rsidRPr="00683533" w:rsidRDefault="00D02658" w:rsidP="006E7985">
            <w:pPr>
              <w:jc w:val="left"/>
              <w:rPr>
                <w:rFonts w:ascii="Arial Narrow" w:hAnsi="Arial Narrow"/>
                <w:iCs/>
                <w:sz w:val="20"/>
                <w:szCs w:val="20"/>
              </w:rPr>
            </w:pPr>
            <w:r w:rsidRPr="00683533">
              <w:rPr>
                <w:rFonts w:ascii="Arial Narrow" w:hAnsi="Arial Narrow"/>
                <w:iCs/>
                <w:sz w:val="20"/>
                <w:szCs w:val="20"/>
              </w:rPr>
              <w:t xml:space="preserve">    </w:t>
            </w:r>
            <w:bookmarkStart w:id="62" w:name="_Toc107843642"/>
            <w:r w:rsidRPr="00683533">
              <w:rPr>
                <w:rFonts w:ascii="Arial Narrow" w:hAnsi="Arial Narrow"/>
                <w:iCs/>
                <w:sz w:val="20"/>
                <w:szCs w:val="20"/>
              </w:rPr>
              <w:t>23vPPV</w:t>
            </w:r>
            <w:bookmarkEnd w:id="62"/>
          </w:p>
        </w:tc>
        <w:tc>
          <w:tcPr>
            <w:tcW w:w="1452" w:type="dxa"/>
          </w:tcPr>
          <w:p w14:paraId="29C808FE" w14:textId="6BBAB0C0" w:rsidR="00D02658" w:rsidRPr="00683533" w:rsidRDefault="00D02658" w:rsidP="006E7985">
            <w:pPr>
              <w:jc w:val="left"/>
              <w:rPr>
                <w:rFonts w:ascii="Arial Narrow" w:hAnsi="Arial Narrow"/>
                <w:iCs/>
                <w:sz w:val="20"/>
                <w:szCs w:val="20"/>
              </w:rPr>
            </w:pPr>
            <w:bookmarkStart w:id="63" w:name="_Toc107843643"/>
            <w:r w:rsidRPr="00683533">
              <w:rPr>
                <w:rFonts w:ascii="Arial Narrow" w:hAnsi="Arial Narrow"/>
                <w:iCs/>
                <w:sz w:val="20"/>
                <w:szCs w:val="20"/>
              </w:rPr>
              <w:t>5.6%</w:t>
            </w:r>
            <w:bookmarkEnd w:id="63"/>
          </w:p>
        </w:tc>
        <w:tc>
          <w:tcPr>
            <w:tcW w:w="1453" w:type="dxa"/>
          </w:tcPr>
          <w:p w14:paraId="7A0DCD3D" w14:textId="4C78EA5F" w:rsidR="00D02658" w:rsidRPr="00683533" w:rsidRDefault="00D02658" w:rsidP="006E7985">
            <w:pPr>
              <w:jc w:val="left"/>
              <w:rPr>
                <w:rFonts w:ascii="Arial Narrow" w:hAnsi="Arial Narrow"/>
                <w:iCs/>
                <w:sz w:val="20"/>
                <w:szCs w:val="20"/>
              </w:rPr>
            </w:pPr>
            <w:bookmarkStart w:id="64" w:name="_Toc107843644"/>
            <w:r w:rsidRPr="00683533">
              <w:rPr>
                <w:rFonts w:ascii="Arial Narrow" w:hAnsi="Arial Narrow"/>
                <w:iCs/>
                <w:sz w:val="20"/>
                <w:szCs w:val="20"/>
              </w:rPr>
              <w:t>5.6%</w:t>
            </w:r>
            <w:bookmarkEnd w:id="64"/>
          </w:p>
        </w:tc>
        <w:tc>
          <w:tcPr>
            <w:tcW w:w="1453" w:type="dxa"/>
          </w:tcPr>
          <w:p w14:paraId="7E879C9C" w14:textId="557DBD62" w:rsidR="00D02658" w:rsidRPr="00683533" w:rsidRDefault="00D02658" w:rsidP="006E7985">
            <w:pPr>
              <w:jc w:val="left"/>
              <w:rPr>
                <w:rFonts w:ascii="Arial Narrow" w:hAnsi="Arial Narrow"/>
                <w:iCs/>
                <w:sz w:val="20"/>
                <w:szCs w:val="20"/>
              </w:rPr>
            </w:pPr>
            <w:bookmarkStart w:id="65" w:name="_Toc107843645"/>
            <w:r w:rsidRPr="00683533">
              <w:rPr>
                <w:rFonts w:ascii="Arial Narrow" w:hAnsi="Arial Narrow"/>
                <w:iCs/>
                <w:sz w:val="20"/>
                <w:szCs w:val="20"/>
              </w:rPr>
              <w:t>5.6%</w:t>
            </w:r>
            <w:bookmarkEnd w:id="65"/>
          </w:p>
        </w:tc>
        <w:tc>
          <w:tcPr>
            <w:tcW w:w="1453" w:type="dxa"/>
          </w:tcPr>
          <w:p w14:paraId="33900BD4" w14:textId="14D3BACC" w:rsidR="00D02658" w:rsidRPr="00683533" w:rsidRDefault="00D02658" w:rsidP="006E7985">
            <w:pPr>
              <w:jc w:val="left"/>
              <w:rPr>
                <w:rFonts w:ascii="Arial Narrow" w:hAnsi="Arial Narrow"/>
                <w:iCs/>
                <w:sz w:val="20"/>
                <w:szCs w:val="20"/>
              </w:rPr>
            </w:pPr>
            <w:bookmarkStart w:id="66" w:name="_Toc107843646"/>
            <w:r w:rsidRPr="00683533">
              <w:rPr>
                <w:rFonts w:ascii="Arial Narrow" w:hAnsi="Arial Narrow"/>
                <w:iCs/>
                <w:sz w:val="20"/>
                <w:szCs w:val="20"/>
              </w:rPr>
              <w:t>5.6%</w:t>
            </w:r>
            <w:bookmarkEnd w:id="66"/>
          </w:p>
        </w:tc>
      </w:tr>
      <w:tr w:rsidR="00D02658" w:rsidRPr="00683533" w14:paraId="38F3A703" w14:textId="77777777" w:rsidTr="00CC71B0">
        <w:tc>
          <w:tcPr>
            <w:tcW w:w="3256" w:type="dxa"/>
          </w:tcPr>
          <w:p w14:paraId="1EB91E27" w14:textId="3518BE67" w:rsidR="00D02658" w:rsidRPr="00683533" w:rsidRDefault="00D02658" w:rsidP="006E7985">
            <w:pPr>
              <w:jc w:val="left"/>
              <w:rPr>
                <w:rFonts w:ascii="Arial Narrow" w:hAnsi="Arial Narrow"/>
                <w:iCs/>
                <w:sz w:val="20"/>
                <w:szCs w:val="20"/>
              </w:rPr>
            </w:pPr>
            <w:r w:rsidRPr="00683533">
              <w:rPr>
                <w:rFonts w:ascii="Arial Narrow" w:hAnsi="Arial Narrow"/>
                <w:iCs/>
                <w:sz w:val="20"/>
                <w:szCs w:val="20"/>
              </w:rPr>
              <w:t xml:space="preserve">    </w:t>
            </w:r>
            <w:bookmarkStart w:id="67" w:name="_Toc107843647"/>
            <w:r w:rsidRPr="00683533">
              <w:rPr>
                <w:rFonts w:ascii="Arial Narrow" w:hAnsi="Arial Narrow"/>
                <w:iCs/>
                <w:sz w:val="20"/>
                <w:szCs w:val="20"/>
              </w:rPr>
              <w:t>20vPCV, 15vPCV and 13vPCV</w:t>
            </w:r>
            <w:bookmarkEnd w:id="67"/>
          </w:p>
        </w:tc>
        <w:tc>
          <w:tcPr>
            <w:tcW w:w="1452" w:type="dxa"/>
          </w:tcPr>
          <w:p w14:paraId="3EC68307" w14:textId="6D17D5AB" w:rsidR="00D02658" w:rsidRPr="00683533" w:rsidRDefault="00D02658" w:rsidP="006E7985">
            <w:pPr>
              <w:jc w:val="left"/>
              <w:rPr>
                <w:rFonts w:ascii="Arial Narrow" w:hAnsi="Arial Narrow"/>
                <w:iCs/>
                <w:sz w:val="20"/>
                <w:szCs w:val="20"/>
              </w:rPr>
            </w:pPr>
            <w:bookmarkStart w:id="68" w:name="_Toc107843648"/>
            <w:r w:rsidRPr="00683533">
              <w:rPr>
                <w:rFonts w:ascii="Arial Narrow" w:hAnsi="Arial Narrow"/>
                <w:iCs/>
                <w:sz w:val="20"/>
                <w:szCs w:val="20"/>
              </w:rPr>
              <w:t>45.6%</w:t>
            </w:r>
            <w:bookmarkEnd w:id="68"/>
          </w:p>
        </w:tc>
        <w:tc>
          <w:tcPr>
            <w:tcW w:w="1453" w:type="dxa"/>
          </w:tcPr>
          <w:p w14:paraId="609D7A9C" w14:textId="4633ACC6" w:rsidR="00D02658" w:rsidRPr="00683533" w:rsidRDefault="00D02658" w:rsidP="006E7985">
            <w:pPr>
              <w:jc w:val="left"/>
              <w:rPr>
                <w:rFonts w:ascii="Arial Narrow" w:hAnsi="Arial Narrow"/>
                <w:iCs/>
                <w:sz w:val="20"/>
                <w:szCs w:val="20"/>
              </w:rPr>
            </w:pPr>
            <w:bookmarkStart w:id="69" w:name="_Toc107843649"/>
            <w:r w:rsidRPr="00683533">
              <w:rPr>
                <w:rFonts w:ascii="Arial Narrow" w:hAnsi="Arial Narrow"/>
                <w:iCs/>
                <w:sz w:val="20"/>
                <w:szCs w:val="20"/>
              </w:rPr>
              <w:t>45.6%</w:t>
            </w:r>
            <w:bookmarkEnd w:id="69"/>
          </w:p>
        </w:tc>
        <w:tc>
          <w:tcPr>
            <w:tcW w:w="1453" w:type="dxa"/>
          </w:tcPr>
          <w:p w14:paraId="14758F10" w14:textId="412B2B26" w:rsidR="00D02658" w:rsidRPr="00683533" w:rsidRDefault="00D02658" w:rsidP="006E7985">
            <w:pPr>
              <w:jc w:val="left"/>
              <w:rPr>
                <w:rFonts w:ascii="Arial Narrow" w:hAnsi="Arial Narrow"/>
                <w:iCs/>
                <w:sz w:val="20"/>
                <w:szCs w:val="20"/>
              </w:rPr>
            </w:pPr>
            <w:bookmarkStart w:id="70" w:name="_Toc107843650"/>
            <w:r w:rsidRPr="00683533">
              <w:rPr>
                <w:rFonts w:ascii="Arial Narrow" w:hAnsi="Arial Narrow"/>
                <w:iCs/>
                <w:sz w:val="20"/>
                <w:szCs w:val="20"/>
              </w:rPr>
              <w:t>45.2%</w:t>
            </w:r>
            <w:bookmarkEnd w:id="70"/>
          </w:p>
        </w:tc>
        <w:tc>
          <w:tcPr>
            <w:tcW w:w="1453" w:type="dxa"/>
          </w:tcPr>
          <w:p w14:paraId="7CFE0ADC" w14:textId="3DDFAE23" w:rsidR="00D02658" w:rsidRPr="00683533" w:rsidRDefault="00D02658" w:rsidP="006E7985">
            <w:pPr>
              <w:jc w:val="left"/>
              <w:rPr>
                <w:rFonts w:ascii="Arial Narrow" w:hAnsi="Arial Narrow"/>
                <w:iCs/>
                <w:sz w:val="20"/>
                <w:szCs w:val="20"/>
              </w:rPr>
            </w:pPr>
            <w:bookmarkStart w:id="71" w:name="_Toc107843651"/>
            <w:r w:rsidRPr="00683533">
              <w:rPr>
                <w:rFonts w:ascii="Arial Narrow" w:hAnsi="Arial Narrow"/>
                <w:iCs/>
                <w:sz w:val="20"/>
                <w:szCs w:val="20"/>
              </w:rPr>
              <w:t>45.6%</w:t>
            </w:r>
            <w:bookmarkEnd w:id="71"/>
          </w:p>
        </w:tc>
      </w:tr>
      <w:tr w:rsidR="00D02658" w:rsidRPr="00683533" w14:paraId="3C6CD311" w14:textId="77777777" w:rsidTr="00CC71B0">
        <w:tc>
          <w:tcPr>
            <w:tcW w:w="3256" w:type="dxa"/>
          </w:tcPr>
          <w:p w14:paraId="765AF920" w14:textId="501E93BA" w:rsidR="00D02658" w:rsidRPr="00683533" w:rsidRDefault="00D02658" w:rsidP="006E7985">
            <w:pPr>
              <w:jc w:val="left"/>
              <w:rPr>
                <w:rFonts w:ascii="Arial Narrow" w:hAnsi="Arial Narrow"/>
                <w:iCs/>
                <w:sz w:val="20"/>
                <w:szCs w:val="20"/>
              </w:rPr>
            </w:pPr>
            <w:bookmarkStart w:id="72" w:name="_Toc107843652"/>
            <w:r w:rsidRPr="00683533">
              <w:rPr>
                <w:rFonts w:ascii="Arial Narrow" w:hAnsi="Arial Narrow"/>
                <w:iCs/>
                <w:sz w:val="20"/>
                <w:szCs w:val="20"/>
              </w:rPr>
              <w:t>Pneumococcal pneumonia GP visits</w:t>
            </w:r>
            <w:bookmarkEnd w:id="72"/>
          </w:p>
        </w:tc>
        <w:tc>
          <w:tcPr>
            <w:tcW w:w="1452" w:type="dxa"/>
          </w:tcPr>
          <w:p w14:paraId="1B143511" w14:textId="77777777" w:rsidR="00D02658" w:rsidRPr="00683533" w:rsidRDefault="00D02658" w:rsidP="006E7985">
            <w:pPr>
              <w:jc w:val="left"/>
              <w:rPr>
                <w:rFonts w:ascii="Arial Narrow" w:hAnsi="Arial Narrow"/>
                <w:iCs/>
                <w:sz w:val="20"/>
                <w:szCs w:val="20"/>
              </w:rPr>
            </w:pPr>
          </w:p>
        </w:tc>
        <w:tc>
          <w:tcPr>
            <w:tcW w:w="1453" w:type="dxa"/>
          </w:tcPr>
          <w:p w14:paraId="71448B24" w14:textId="77777777" w:rsidR="00D02658" w:rsidRPr="00683533" w:rsidRDefault="00D02658" w:rsidP="006E7985">
            <w:pPr>
              <w:jc w:val="left"/>
              <w:rPr>
                <w:rFonts w:ascii="Arial Narrow" w:hAnsi="Arial Narrow"/>
                <w:iCs/>
                <w:sz w:val="20"/>
                <w:szCs w:val="20"/>
              </w:rPr>
            </w:pPr>
          </w:p>
        </w:tc>
        <w:tc>
          <w:tcPr>
            <w:tcW w:w="1453" w:type="dxa"/>
          </w:tcPr>
          <w:p w14:paraId="6D9AC63B" w14:textId="77777777" w:rsidR="00D02658" w:rsidRPr="00683533" w:rsidRDefault="00D02658" w:rsidP="006E7985">
            <w:pPr>
              <w:jc w:val="left"/>
              <w:rPr>
                <w:rFonts w:ascii="Arial Narrow" w:hAnsi="Arial Narrow"/>
                <w:iCs/>
                <w:sz w:val="20"/>
                <w:szCs w:val="20"/>
              </w:rPr>
            </w:pPr>
          </w:p>
        </w:tc>
        <w:tc>
          <w:tcPr>
            <w:tcW w:w="1453" w:type="dxa"/>
          </w:tcPr>
          <w:p w14:paraId="65B3C3D6" w14:textId="77777777" w:rsidR="00D02658" w:rsidRPr="00683533" w:rsidRDefault="00D02658" w:rsidP="006E7985">
            <w:pPr>
              <w:jc w:val="left"/>
              <w:rPr>
                <w:rFonts w:ascii="Arial Narrow" w:hAnsi="Arial Narrow"/>
                <w:iCs/>
                <w:sz w:val="20"/>
                <w:szCs w:val="20"/>
              </w:rPr>
            </w:pPr>
          </w:p>
        </w:tc>
      </w:tr>
      <w:tr w:rsidR="00D02658" w:rsidRPr="00683533" w14:paraId="09C93AEE" w14:textId="77777777" w:rsidTr="00CC71B0">
        <w:tc>
          <w:tcPr>
            <w:tcW w:w="3256" w:type="dxa"/>
          </w:tcPr>
          <w:p w14:paraId="35EA035A" w14:textId="732F4AD8" w:rsidR="00D02658" w:rsidRPr="00683533" w:rsidRDefault="00D02658" w:rsidP="006E7985">
            <w:pPr>
              <w:jc w:val="left"/>
              <w:rPr>
                <w:rFonts w:ascii="Arial Narrow" w:hAnsi="Arial Narrow"/>
                <w:iCs/>
                <w:sz w:val="20"/>
                <w:szCs w:val="20"/>
              </w:rPr>
            </w:pPr>
            <w:r w:rsidRPr="00683533">
              <w:rPr>
                <w:rFonts w:ascii="Arial Narrow" w:hAnsi="Arial Narrow"/>
                <w:iCs/>
                <w:sz w:val="20"/>
                <w:szCs w:val="20"/>
              </w:rPr>
              <w:t xml:space="preserve">    </w:t>
            </w:r>
            <w:bookmarkStart w:id="73" w:name="_Toc107843653"/>
            <w:r w:rsidRPr="00683533">
              <w:rPr>
                <w:rFonts w:ascii="Arial Narrow" w:hAnsi="Arial Narrow"/>
                <w:iCs/>
                <w:sz w:val="20"/>
                <w:szCs w:val="20"/>
              </w:rPr>
              <w:t>23vPPV</w:t>
            </w:r>
            <w:bookmarkEnd w:id="73"/>
          </w:p>
        </w:tc>
        <w:tc>
          <w:tcPr>
            <w:tcW w:w="1452" w:type="dxa"/>
          </w:tcPr>
          <w:p w14:paraId="6D8F54CE" w14:textId="4C23C74D" w:rsidR="00D02658" w:rsidRPr="00683533" w:rsidRDefault="00D02658" w:rsidP="006E7985">
            <w:pPr>
              <w:jc w:val="left"/>
              <w:rPr>
                <w:rFonts w:ascii="Arial Narrow" w:hAnsi="Arial Narrow"/>
                <w:iCs/>
                <w:sz w:val="20"/>
                <w:szCs w:val="20"/>
              </w:rPr>
            </w:pPr>
            <w:bookmarkStart w:id="74" w:name="_Toc107843654"/>
            <w:r w:rsidRPr="00683533">
              <w:rPr>
                <w:rFonts w:ascii="Arial Narrow" w:hAnsi="Arial Narrow"/>
                <w:iCs/>
                <w:sz w:val="20"/>
                <w:szCs w:val="20"/>
              </w:rPr>
              <w:t>5.6%</w:t>
            </w:r>
            <w:bookmarkEnd w:id="74"/>
          </w:p>
        </w:tc>
        <w:tc>
          <w:tcPr>
            <w:tcW w:w="1453" w:type="dxa"/>
          </w:tcPr>
          <w:p w14:paraId="2EB55D1F" w14:textId="24CF8083" w:rsidR="00D02658" w:rsidRPr="00683533" w:rsidRDefault="00D02658" w:rsidP="006E7985">
            <w:pPr>
              <w:jc w:val="left"/>
              <w:rPr>
                <w:rFonts w:ascii="Arial Narrow" w:hAnsi="Arial Narrow"/>
                <w:iCs/>
                <w:sz w:val="20"/>
                <w:szCs w:val="20"/>
              </w:rPr>
            </w:pPr>
            <w:bookmarkStart w:id="75" w:name="_Toc107843655"/>
            <w:r w:rsidRPr="00683533">
              <w:rPr>
                <w:rFonts w:ascii="Arial Narrow" w:hAnsi="Arial Narrow"/>
                <w:iCs/>
                <w:sz w:val="20"/>
                <w:szCs w:val="20"/>
              </w:rPr>
              <w:t>5.6%</w:t>
            </w:r>
            <w:bookmarkEnd w:id="75"/>
          </w:p>
        </w:tc>
        <w:tc>
          <w:tcPr>
            <w:tcW w:w="1453" w:type="dxa"/>
          </w:tcPr>
          <w:p w14:paraId="7EC23285" w14:textId="62DA533A" w:rsidR="00D02658" w:rsidRPr="00683533" w:rsidRDefault="00D02658" w:rsidP="006E7985">
            <w:pPr>
              <w:jc w:val="left"/>
              <w:rPr>
                <w:rFonts w:ascii="Arial Narrow" w:hAnsi="Arial Narrow"/>
                <w:iCs/>
                <w:sz w:val="20"/>
                <w:szCs w:val="20"/>
              </w:rPr>
            </w:pPr>
            <w:bookmarkStart w:id="76" w:name="_Toc107843656"/>
            <w:r w:rsidRPr="00683533">
              <w:rPr>
                <w:rFonts w:ascii="Arial Narrow" w:hAnsi="Arial Narrow"/>
                <w:iCs/>
                <w:sz w:val="20"/>
                <w:szCs w:val="20"/>
              </w:rPr>
              <w:t>5.6%</w:t>
            </w:r>
            <w:bookmarkEnd w:id="76"/>
          </w:p>
        </w:tc>
        <w:tc>
          <w:tcPr>
            <w:tcW w:w="1453" w:type="dxa"/>
          </w:tcPr>
          <w:p w14:paraId="7B19045C" w14:textId="4EAA7CC5" w:rsidR="00D02658" w:rsidRPr="00683533" w:rsidRDefault="00D02658" w:rsidP="006E7985">
            <w:pPr>
              <w:jc w:val="left"/>
              <w:rPr>
                <w:rFonts w:ascii="Arial Narrow" w:hAnsi="Arial Narrow"/>
                <w:iCs/>
                <w:sz w:val="20"/>
                <w:szCs w:val="20"/>
              </w:rPr>
            </w:pPr>
            <w:bookmarkStart w:id="77" w:name="_Toc107843657"/>
            <w:r w:rsidRPr="00683533">
              <w:rPr>
                <w:rFonts w:ascii="Arial Narrow" w:hAnsi="Arial Narrow"/>
                <w:iCs/>
                <w:sz w:val="20"/>
                <w:szCs w:val="20"/>
              </w:rPr>
              <w:t>5.6%</w:t>
            </w:r>
            <w:bookmarkEnd w:id="77"/>
          </w:p>
        </w:tc>
      </w:tr>
      <w:tr w:rsidR="00D02658" w:rsidRPr="00683533" w14:paraId="20276139" w14:textId="77777777" w:rsidTr="00CC71B0">
        <w:tc>
          <w:tcPr>
            <w:tcW w:w="3256" w:type="dxa"/>
          </w:tcPr>
          <w:p w14:paraId="07E67988" w14:textId="76F821EA" w:rsidR="00D02658" w:rsidRPr="00683533" w:rsidRDefault="00D02658" w:rsidP="006E7985">
            <w:pPr>
              <w:jc w:val="left"/>
              <w:rPr>
                <w:rFonts w:ascii="Arial Narrow" w:hAnsi="Arial Narrow"/>
                <w:iCs/>
                <w:sz w:val="20"/>
                <w:szCs w:val="20"/>
              </w:rPr>
            </w:pPr>
            <w:r w:rsidRPr="00683533">
              <w:rPr>
                <w:rFonts w:ascii="Arial Narrow" w:hAnsi="Arial Narrow"/>
                <w:iCs/>
                <w:sz w:val="20"/>
                <w:szCs w:val="20"/>
              </w:rPr>
              <w:t xml:space="preserve">    </w:t>
            </w:r>
            <w:bookmarkStart w:id="78" w:name="_Toc107843658"/>
            <w:r w:rsidRPr="00683533">
              <w:rPr>
                <w:rFonts w:ascii="Arial Narrow" w:hAnsi="Arial Narrow"/>
                <w:iCs/>
                <w:sz w:val="20"/>
                <w:szCs w:val="20"/>
              </w:rPr>
              <w:t>20vPCV, 15vPCV and 13vPCV</w:t>
            </w:r>
            <w:bookmarkEnd w:id="78"/>
          </w:p>
        </w:tc>
        <w:tc>
          <w:tcPr>
            <w:tcW w:w="1452" w:type="dxa"/>
          </w:tcPr>
          <w:p w14:paraId="2FD10B4F" w14:textId="1893C22E" w:rsidR="00D02658" w:rsidRPr="00683533" w:rsidRDefault="00D02658" w:rsidP="006E7985">
            <w:pPr>
              <w:jc w:val="left"/>
              <w:rPr>
                <w:rFonts w:ascii="Arial Narrow" w:hAnsi="Arial Narrow"/>
                <w:iCs/>
                <w:sz w:val="20"/>
                <w:szCs w:val="20"/>
              </w:rPr>
            </w:pPr>
            <w:bookmarkStart w:id="79" w:name="_Toc107843659"/>
            <w:r w:rsidRPr="00683533">
              <w:rPr>
                <w:rFonts w:ascii="Arial Narrow" w:hAnsi="Arial Narrow"/>
                <w:iCs/>
                <w:sz w:val="20"/>
                <w:szCs w:val="20"/>
              </w:rPr>
              <w:t>21.8%</w:t>
            </w:r>
            <w:bookmarkEnd w:id="79"/>
          </w:p>
        </w:tc>
        <w:tc>
          <w:tcPr>
            <w:tcW w:w="1453" w:type="dxa"/>
          </w:tcPr>
          <w:p w14:paraId="01AB9252" w14:textId="5B2228FC" w:rsidR="00D02658" w:rsidRPr="00683533" w:rsidRDefault="00D02658" w:rsidP="006E7985">
            <w:pPr>
              <w:jc w:val="left"/>
              <w:rPr>
                <w:rFonts w:ascii="Arial Narrow" w:hAnsi="Arial Narrow"/>
                <w:iCs/>
                <w:sz w:val="20"/>
                <w:szCs w:val="20"/>
              </w:rPr>
            </w:pPr>
            <w:bookmarkStart w:id="80" w:name="_Toc107843660"/>
            <w:r w:rsidRPr="00683533">
              <w:rPr>
                <w:rFonts w:ascii="Arial Narrow" w:hAnsi="Arial Narrow"/>
                <w:iCs/>
                <w:sz w:val="20"/>
                <w:szCs w:val="20"/>
              </w:rPr>
              <w:t>21.8%</w:t>
            </w:r>
            <w:bookmarkEnd w:id="80"/>
          </w:p>
        </w:tc>
        <w:tc>
          <w:tcPr>
            <w:tcW w:w="1453" w:type="dxa"/>
          </w:tcPr>
          <w:p w14:paraId="2E19053E" w14:textId="48A673AF" w:rsidR="00D02658" w:rsidRPr="00683533" w:rsidRDefault="00D02658" w:rsidP="006E7985">
            <w:pPr>
              <w:jc w:val="left"/>
              <w:rPr>
                <w:rFonts w:ascii="Arial Narrow" w:hAnsi="Arial Narrow"/>
                <w:iCs/>
                <w:sz w:val="20"/>
                <w:szCs w:val="20"/>
              </w:rPr>
            </w:pPr>
            <w:bookmarkStart w:id="81" w:name="_Toc107843661"/>
            <w:r w:rsidRPr="00683533">
              <w:rPr>
                <w:rFonts w:ascii="Arial Narrow" w:hAnsi="Arial Narrow"/>
                <w:iCs/>
                <w:sz w:val="20"/>
                <w:szCs w:val="20"/>
              </w:rPr>
              <w:t>21.6%</w:t>
            </w:r>
            <w:bookmarkEnd w:id="81"/>
          </w:p>
        </w:tc>
        <w:tc>
          <w:tcPr>
            <w:tcW w:w="1453" w:type="dxa"/>
          </w:tcPr>
          <w:p w14:paraId="10EAF0DF" w14:textId="253D34D4" w:rsidR="00D02658" w:rsidRPr="00683533" w:rsidRDefault="00D02658" w:rsidP="006E7985">
            <w:pPr>
              <w:jc w:val="left"/>
              <w:rPr>
                <w:rFonts w:ascii="Arial Narrow" w:hAnsi="Arial Narrow"/>
                <w:iCs/>
                <w:sz w:val="20"/>
                <w:szCs w:val="20"/>
              </w:rPr>
            </w:pPr>
            <w:bookmarkStart w:id="82" w:name="_Toc107843662"/>
            <w:r w:rsidRPr="00683533">
              <w:rPr>
                <w:rFonts w:ascii="Arial Narrow" w:hAnsi="Arial Narrow"/>
                <w:iCs/>
                <w:sz w:val="20"/>
                <w:szCs w:val="20"/>
              </w:rPr>
              <w:t>21.8%</w:t>
            </w:r>
            <w:bookmarkEnd w:id="82"/>
          </w:p>
        </w:tc>
      </w:tr>
    </w:tbl>
    <w:p w14:paraId="69D24428" w14:textId="2AD67A44" w:rsidR="00683533" w:rsidRPr="00683533" w:rsidRDefault="00D02658" w:rsidP="00683533">
      <w:pPr>
        <w:pStyle w:val="FooterTableFigure"/>
        <w:rPr>
          <w:iCs/>
        </w:rPr>
      </w:pPr>
      <w:r w:rsidRPr="00683533">
        <w:rPr>
          <w:iCs/>
        </w:rPr>
        <w:t xml:space="preserve">Source: Table 3.4.6 </w:t>
      </w:r>
      <w:r w:rsidR="00EA363F" w:rsidRPr="00683533">
        <w:rPr>
          <w:iCs/>
        </w:rPr>
        <w:t>of</w:t>
      </w:r>
      <w:r w:rsidRPr="00683533">
        <w:rPr>
          <w:iCs/>
        </w:rPr>
        <w:t xml:space="preserve"> the submission, based on the </w:t>
      </w:r>
      <w:proofErr w:type="spellStart"/>
      <w:r w:rsidRPr="00683533">
        <w:rPr>
          <w:iCs/>
        </w:rPr>
        <w:t>CAPiTA</w:t>
      </w:r>
      <w:proofErr w:type="spellEnd"/>
      <w:r w:rsidRPr="00683533">
        <w:rPr>
          <w:iCs/>
        </w:rPr>
        <w:t xml:space="preserve"> trial (20vPCV, 15vPCV and 13vPCV) and ATAGI advice (23PPV)</w:t>
      </w:r>
      <w:r w:rsidR="00683533" w:rsidRPr="00683533">
        <w:rPr>
          <w:iCs/>
        </w:rPr>
        <w:t xml:space="preserve">, compiled </w:t>
      </w:r>
      <w:r w:rsidR="00683533">
        <w:rPr>
          <w:iCs/>
        </w:rPr>
        <w:t>during ESC evaluation</w:t>
      </w:r>
      <w:r w:rsidR="008D716B">
        <w:rPr>
          <w:iCs/>
        </w:rPr>
        <w:t>.</w:t>
      </w:r>
    </w:p>
    <w:p w14:paraId="55BBA6CD" w14:textId="7954C1E9" w:rsidR="006E7985" w:rsidRPr="00683533" w:rsidRDefault="00EA363F" w:rsidP="00EA363F">
      <w:pPr>
        <w:pStyle w:val="FooterTableFigure"/>
        <w:spacing w:after="0"/>
        <w:rPr>
          <w:rStyle w:val="CommentReference"/>
          <w:rFonts w:eastAsia="Times New Roman"/>
          <w:b w:val="0"/>
          <w:bCs w:val="0"/>
          <w:iCs/>
          <w:sz w:val="18"/>
          <w:szCs w:val="22"/>
        </w:rPr>
      </w:pPr>
      <w:r w:rsidRPr="00683533">
        <w:rPr>
          <w:iCs/>
        </w:rPr>
        <w:t>Abbreviations: GP, general practitioner</w:t>
      </w:r>
    </w:p>
    <w:p w14:paraId="16160C28" w14:textId="24B31C50" w:rsidR="005F4778" w:rsidRPr="00683533" w:rsidRDefault="005F4778" w:rsidP="00176DBD">
      <w:pPr>
        <w:pStyle w:val="3-BodyText"/>
        <w:spacing w:before="120"/>
        <w:rPr>
          <w:rStyle w:val="CommentReference"/>
          <w:rFonts w:asciiTheme="minorHAnsi" w:eastAsia="Calibri" w:hAnsiTheme="minorHAnsi"/>
          <w:b w:val="0"/>
          <w:bCs w:val="0"/>
          <w:iCs/>
          <w:sz w:val="24"/>
          <w:szCs w:val="24"/>
        </w:rPr>
      </w:pPr>
      <w:r w:rsidRPr="00683533">
        <w:rPr>
          <w:iCs/>
        </w:rPr>
        <w:t xml:space="preserve">The assumptions made for vaccine waning in the economic model are detailed in </w:t>
      </w:r>
      <w:r w:rsidRPr="00683533">
        <w:rPr>
          <w:iCs/>
        </w:rPr>
        <w:fldChar w:fldCharType="begin"/>
      </w:r>
      <w:r w:rsidRPr="00683533">
        <w:rPr>
          <w:iCs/>
        </w:rPr>
        <w:instrText xml:space="preserve"> REF _Ref116569046 \h  \* MERGEFORMAT </w:instrText>
      </w:r>
      <w:r w:rsidRPr="00683533">
        <w:rPr>
          <w:iCs/>
        </w:rPr>
      </w:r>
      <w:r w:rsidRPr="00683533">
        <w:rPr>
          <w:iCs/>
        </w:rPr>
        <w:fldChar w:fldCharType="separate"/>
      </w:r>
      <w:r w:rsidR="00137984" w:rsidRPr="00137984">
        <w:t>Table 12</w:t>
      </w:r>
      <w:r w:rsidRPr="00683533">
        <w:rPr>
          <w:iCs/>
        </w:rPr>
        <w:fldChar w:fldCharType="end"/>
      </w:r>
      <w:r w:rsidRPr="00683533">
        <w:rPr>
          <w:iCs/>
        </w:rPr>
        <w:t>.</w:t>
      </w:r>
      <w:r w:rsidR="00925681" w:rsidRPr="00683533">
        <w:rPr>
          <w:iCs/>
        </w:rPr>
        <w:t xml:space="preserve"> </w:t>
      </w:r>
      <w:r w:rsidR="00925681" w:rsidRPr="00F00FE0">
        <w:t>The ESC noted it was assumed that the w</w:t>
      </w:r>
      <w:r w:rsidR="00925681" w:rsidRPr="00683533">
        <w:rPr>
          <w:iCs/>
        </w:rPr>
        <w:t>aning of efficacy following 23vPPV was much faster than for the PCV</w:t>
      </w:r>
      <w:r w:rsidR="008D716B">
        <w:rPr>
          <w:iCs/>
        </w:rPr>
        <w:t>s</w:t>
      </w:r>
      <w:r w:rsidR="00925681" w:rsidRPr="00683533">
        <w:rPr>
          <w:iCs/>
        </w:rPr>
        <w:t>.</w:t>
      </w:r>
    </w:p>
    <w:p w14:paraId="6C44D8D5" w14:textId="1B7F69EF" w:rsidR="00D02658" w:rsidRPr="00683533" w:rsidRDefault="00EB70A1" w:rsidP="00EA363F">
      <w:pPr>
        <w:pStyle w:val="Caption"/>
        <w:rPr>
          <w:iCs/>
        </w:rPr>
      </w:pPr>
      <w:bookmarkStart w:id="83" w:name="_Ref116569046"/>
      <w:r w:rsidRPr="005A3C0E">
        <w:rPr>
          <w:rStyle w:val="CommentReference"/>
          <w:b/>
          <w:bCs/>
          <w:iCs/>
          <w:snapToGrid w:val="0"/>
        </w:rPr>
        <w:t>T</w:t>
      </w:r>
      <w:r w:rsidRPr="00683533">
        <w:rPr>
          <w:rStyle w:val="CommentReference"/>
          <w:b/>
          <w:bCs/>
          <w:iCs/>
          <w:snapToGrid w:val="0"/>
        </w:rPr>
        <w:t xml:space="preserve">able </w:t>
      </w:r>
      <w:r w:rsidRPr="00683533">
        <w:rPr>
          <w:rStyle w:val="CommentReference"/>
          <w:b/>
          <w:bCs/>
          <w:iCs/>
          <w:snapToGrid w:val="0"/>
        </w:rPr>
        <w:fldChar w:fldCharType="begin"/>
      </w:r>
      <w:r w:rsidRPr="00683533">
        <w:rPr>
          <w:rStyle w:val="CommentReference"/>
          <w:b/>
          <w:bCs/>
          <w:iCs/>
          <w:snapToGrid w:val="0"/>
        </w:rPr>
        <w:instrText>SEQ Table \* ARABIC</w:instrText>
      </w:r>
      <w:r w:rsidRPr="00683533">
        <w:rPr>
          <w:rStyle w:val="CommentReference"/>
          <w:b/>
          <w:bCs/>
          <w:iCs/>
          <w:snapToGrid w:val="0"/>
        </w:rPr>
        <w:fldChar w:fldCharType="separate"/>
      </w:r>
      <w:r w:rsidR="00137984">
        <w:rPr>
          <w:rStyle w:val="CommentReference"/>
          <w:b/>
          <w:bCs/>
          <w:iCs/>
          <w:noProof/>
          <w:snapToGrid w:val="0"/>
        </w:rPr>
        <w:t>12</w:t>
      </w:r>
      <w:r w:rsidRPr="00683533">
        <w:rPr>
          <w:rStyle w:val="CommentReference"/>
          <w:b/>
          <w:bCs/>
          <w:iCs/>
          <w:snapToGrid w:val="0"/>
        </w:rPr>
        <w:fldChar w:fldCharType="end"/>
      </w:r>
      <w:bookmarkEnd w:id="83"/>
      <w:r w:rsidRPr="00683533">
        <w:rPr>
          <w:rStyle w:val="CommentReference"/>
          <w:b/>
          <w:bCs/>
          <w:iCs/>
          <w:snapToGrid w:val="0"/>
        </w:rPr>
        <w:t>:</w:t>
      </w:r>
      <w:r w:rsidR="00D02658" w:rsidRPr="00683533">
        <w:rPr>
          <w:rStyle w:val="CommentReference"/>
          <w:iCs/>
          <w:snapToGrid w:val="0"/>
        </w:rPr>
        <w:t xml:space="preserve"> </w:t>
      </w:r>
      <w:r w:rsidR="00D02658" w:rsidRPr="00683533">
        <w:rPr>
          <w:iCs/>
        </w:rPr>
        <w:t>Waning efficacy of the four pneumococcal vaccines assumed in the economic model</w:t>
      </w:r>
    </w:p>
    <w:tbl>
      <w:tblPr>
        <w:tblStyle w:val="TableGrid"/>
        <w:tblW w:w="8926" w:type="dxa"/>
        <w:tblLook w:val="04A0" w:firstRow="1" w:lastRow="0" w:firstColumn="1" w:lastColumn="0" w:noHBand="0" w:noVBand="1"/>
      </w:tblPr>
      <w:tblGrid>
        <w:gridCol w:w="3256"/>
        <w:gridCol w:w="5670"/>
      </w:tblGrid>
      <w:tr w:rsidR="004E2BDA" w:rsidRPr="00683533" w14:paraId="39FF007E" w14:textId="77777777" w:rsidTr="004E2BDA">
        <w:trPr>
          <w:trHeight w:val="20"/>
        </w:trPr>
        <w:tc>
          <w:tcPr>
            <w:tcW w:w="3256" w:type="dxa"/>
            <w:shd w:val="clear" w:color="auto" w:fill="auto"/>
            <w:vAlign w:val="bottom"/>
          </w:tcPr>
          <w:p w14:paraId="410C0C4D" w14:textId="14B54380" w:rsidR="004E2BDA" w:rsidRPr="00683533" w:rsidRDefault="004E2BDA" w:rsidP="006E7985">
            <w:pPr>
              <w:keepNext/>
              <w:jc w:val="left"/>
              <w:rPr>
                <w:rFonts w:ascii="Arial Narrow" w:hAnsi="Arial Narrow"/>
                <w:b/>
                <w:bCs/>
                <w:iCs/>
                <w:sz w:val="20"/>
                <w:szCs w:val="20"/>
              </w:rPr>
            </w:pPr>
            <w:bookmarkStart w:id="84" w:name="_Toc107843664"/>
            <w:r w:rsidRPr="00683533">
              <w:rPr>
                <w:rFonts w:ascii="Arial Narrow" w:hAnsi="Arial Narrow"/>
                <w:b/>
                <w:bCs/>
                <w:iCs/>
                <w:sz w:val="20"/>
                <w:szCs w:val="20"/>
              </w:rPr>
              <w:t>Vaccine</w:t>
            </w:r>
            <w:bookmarkEnd w:id="84"/>
          </w:p>
        </w:tc>
        <w:tc>
          <w:tcPr>
            <w:tcW w:w="5670" w:type="dxa"/>
            <w:shd w:val="clear" w:color="auto" w:fill="auto"/>
          </w:tcPr>
          <w:p w14:paraId="0640ABBC" w14:textId="4C0298FE" w:rsidR="004E2BDA" w:rsidRPr="00683533" w:rsidRDefault="004E2BDA" w:rsidP="004E2BDA">
            <w:pPr>
              <w:keepNext/>
              <w:jc w:val="center"/>
              <w:rPr>
                <w:rFonts w:ascii="Arial Narrow" w:hAnsi="Arial Narrow"/>
                <w:b/>
                <w:bCs/>
                <w:iCs/>
                <w:sz w:val="20"/>
                <w:szCs w:val="20"/>
              </w:rPr>
            </w:pPr>
            <w:r w:rsidRPr="00683533">
              <w:rPr>
                <w:rFonts w:ascii="Arial Narrow" w:hAnsi="Arial Narrow"/>
                <w:b/>
                <w:bCs/>
                <w:iCs/>
                <w:sz w:val="20"/>
                <w:szCs w:val="20"/>
              </w:rPr>
              <w:t>All populations</w:t>
            </w:r>
          </w:p>
        </w:tc>
      </w:tr>
      <w:tr w:rsidR="004E2BDA" w:rsidRPr="00683533" w14:paraId="26596752" w14:textId="77777777" w:rsidTr="004E2BDA">
        <w:trPr>
          <w:trHeight w:val="20"/>
        </w:trPr>
        <w:tc>
          <w:tcPr>
            <w:tcW w:w="3256" w:type="dxa"/>
          </w:tcPr>
          <w:p w14:paraId="06C2A789" w14:textId="1A9EB96B" w:rsidR="004E2BDA" w:rsidRPr="00683533" w:rsidRDefault="004E2BDA" w:rsidP="00EA363F">
            <w:pPr>
              <w:pStyle w:val="Heading3"/>
              <w:keepNext/>
              <w:outlineLvl w:val="2"/>
              <w:rPr>
                <w:rFonts w:ascii="Arial Narrow" w:hAnsi="Arial Narrow"/>
                <w:b/>
                <w:color w:val="000000"/>
                <w:sz w:val="20"/>
                <w:u w:val="none"/>
              </w:rPr>
            </w:pPr>
            <w:bookmarkStart w:id="85" w:name="_Toc107843669"/>
            <w:r w:rsidRPr="00683533">
              <w:rPr>
                <w:rFonts w:ascii="Arial Narrow" w:hAnsi="Arial Narrow"/>
                <w:color w:val="000000"/>
                <w:sz w:val="20"/>
                <w:u w:val="none"/>
              </w:rPr>
              <w:t>23vPPV</w:t>
            </w:r>
            <w:bookmarkEnd w:id="85"/>
          </w:p>
        </w:tc>
        <w:tc>
          <w:tcPr>
            <w:tcW w:w="5670" w:type="dxa"/>
          </w:tcPr>
          <w:p w14:paraId="74A1EA5D" w14:textId="77777777" w:rsidR="004E2BDA" w:rsidRPr="00683533" w:rsidRDefault="004E2BDA" w:rsidP="004E2BDA">
            <w:pPr>
              <w:pStyle w:val="Heading3"/>
              <w:keepNext/>
              <w:jc w:val="center"/>
              <w:outlineLvl w:val="2"/>
              <w:rPr>
                <w:rFonts w:ascii="Arial Narrow" w:hAnsi="Arial Narrow"/>
                <w:b/>
                <w:sz w:val="20"/>
                <w:u w:val="none"/>
              </w:rPr>
            </w:pPr>
          </w:p>
        </w:tc>
      </w:tr>
      <w:tr w:rsidR="004E2BDA" w:rsidRPr="00683533" w14:paraId="3D4DBBF9" w14:textId="77777777" w:rsidTr="004E2BDA">
        <w:trPr>
          <w:trHeight w:val="20"/>
        </w:trPr>
        <w:tc>
          <w:tcPr>
            <w:tcW w:w="3256" w:type="dxa"/>
          </w:tcPr>
          <w:p w14:paraId="4EDD89AF" w14:textId="685B7B00" w:rsidR="004E2BDA" w:rsidRPr="00683533" w:rsidRDefault="004E2BDA" w:rsidP="00EA363F">
            <w:pPr>
              <w:pStyle w:val="Heading3"/>
              <w:keepNext/>
              <w:outlineLvl w:val="2"/>
              <w:rPr>
                <w:rFonts w:ascii="Arial Narrow" w:hAnsi="Arial Narrow"/>
                <w:b/>
                <w:color w:val="000000"/>
                <w:sz w:val="20"/>
                <w:u w:val="none"/>
              </w:rPr>
            </w:pPr>
            <w:r w:rsidRPr="00683533">
              <w:rPr>
                <w:rFonts w:ascii="Arial Narrow" w:hAnsi="Arial Narrow"/>
                <w:color w:val="000000"/>
                <w:sz w:val="20"/>
                <w:u w:val="none"/>
              </w:rPr>
              <w:t xml:space="preserve">    </w:t>
            </w:r>
            <w:bookmarkStart w:id="86" w:name="_Toc107843670"/>
            <w:r w:rsidRPr="00683533">
              <w:rPr>
                <w:rFonts w:ascii="Arial Narrow" w:hAnsi="Arial Narrow"/>
                <w:color w:val="000000"/>
                <w:sz w:val="20"/>
                <w:u w:val="none"/>
              </w:rPr>
              <w:t>Years 1-2</w:t>
            </w:r>
            <w:bookmarkEnd w:id="86"/>
          </w:p>
        </w:tc>
        <w:tc>
          <w:tcPr>
            <w:tcW w:w="5670" w:type="dxa"/>
          </w:tcPr>
          <w:p w14:paraId="23F7D0B3" w14:textId="19D714E1" w:rsidR="004E2BDA" w:rsidRPr="00683533" w:rsidRDefault="004E2BDA" w:rsidP="004E2BDA">
            <w:pPr>
              <w:pStyle w:val="Heading3"/>
              <w:keepNext/>
              <w:jc w:val="center"/>
              <w:outlineLvl w:val="2"/>
              <w:rPr>
                <w:rFonts w:ascii="Arial Narrow" w:hAnsi="Arial Narrow"/>
                <w:b/>
                <w:sz w:val="20"/>
                <w:u w:val="none"/>
              </w:rPr>
            </w:pPr>
            <w:bookmarkStart w:id="87" w:name="_Toc107843671"/>
            <w:r w:rsidRPr="00683533">
              <w:rPr>
                <w:rFonts w:ascii="Arial Narrow" w:hAnsi="Arial Narrow"/>
                <w:sz w:val="20"/>
                <w:u w:val="none"/>
              </w:rPr>
              <w:t>0%</w:t>
            </w:r>
            <w:bookmarkEnd w:id="87"/>
          </w:p>
        </w:tc>
      </w:tr>
      <w:tr w:rsidR="004E2BDA" w:rsidRPr="00683533" w14:paraId="5200BFC2" w14:textId="77777777" w:rsidTr="004E2BDA">
        <w:trPr>
          <w:trHeight w:val="20"/>
        </w:trPr>
        <w:tc>
          <w:tcPr>
            <w:tcW w:w="3256" w:type="dxa"/>
          </w:tcPr>
          <w:p w14:paraId="6A310F8E" w14:textId="7B0C036D" w:rsidR="004E2BDA" w:rsidRPr="00683533" w:rsidRDefault="004E2BDA" w:rsidP="00EA363F">
            <w:pPr>
              <w:pStyle w:val="Heading3"/>
              <w:keepNext/>
              <w:outlineLvl w:val="2"/>
              <w:rPr>
                <w:rFonts w:ascii="Arial Narrow" w:hAnsi="Arial Narrow"/>
                <w:b/>
                <w:color w:val="000000"/>
                <w:sz w:val="20"/>
                <w:u w:val="none"/>
              </w:rPr>
            </w:pPr>
            <w:r w:rsidRPr="00683533">
              <w:rPr>
                <w:rFonts w:ascii="Arial Narrow" w:hAnsi="Arial Narrow"/>
                <w:color w:val="000000"/>
                <w:sz w:val="20"/>
                <w:u w:val="none"/>
              </w:rPr>
              <w:t xml:space="preserve">    </w:t>
            </w:r>
            <w:bookmarkStart w:id="88" w:name="_Toc107843675"/>
            <w:r w:rsidRPr="00683533">
              <w:rPr>
                <w:rFonts w:ascii="Arial Narrow" w:hAnsi="Arial Narrow"/>
                <w:color w:val="000000"/>
                <w:sz w:val="20"/>
                <w:u w:val="none"/>
              </w:rPr>
              <w:t>Years 3-5</w:t>
            </w:r>
            <w:bookmarkEnd w:id="88"/>
          </w:p>
        </w:tc>
        <w:tc>
          <w:tcPr>
            <w:tcW w:w="5670" w:type="dxa"/>
          </w:tcPr>
          <w:p w14:paraId="7302E6F0" w14:textId="77777777" w:rsidR="004E2BDA" w:rsidRPr="00683533" w:rsidRDefault="004E2BDA" w:rsidP="004E2BDA">
            <w:pPr>
              <w:pStyle w:val="Heading3"/>
              <w:keepNext/>
              <w:jc w:val="center"/>
              <w:outlineLvl w:val="2"/>
              <w:rPr>
                <w:rFonts w:ascii="Arial Narrow" w:hAnsi="Arial Narrow"/>
                <w:b/>
                <w:sz w:val="20"/>
                <w:u w:val="none"/>
              </w:rPr>
            </w:pPr>
            <w:bookmarkStart w:id="89" w:name="_Toc107843676"/>
            <w:r w:rsidRPr="00683533">
              <w:rPr>
                <w:rFonts w:ascii="Arial Narrow" w:hAnsi="Arial Narrow"/>
                <w:sz w:val="20"/>
                <w:u w:val="none"/>
              </w:rPr>
              <w:t>Linear decline to 0% vaccine effectiveness at Year 5</w:t>
            </w:r>
          </w:p>
        </w:tc>
        <w:bookmarkEnd w:id="89"/>
      </w:tr>
      <w:tr w:rsidR="004E2BDA" w:rsidRPr="00683533" w14:paraId="4B5A5AD8" w14:textId="77777777" w:rsidTr="004E2BDA">
        <w:trPr>
          <w:trHeight w:val="20"/>
        </w:trPr>
        <w:tc>
          <w:tcPr>
            <w:tcW w:w="3256" w:type="dxa"/>
          </w:tcPr>
          <w:p w14:paraId="01C95FCE" w14:textId="398FEEFC" w:rsidR="004E2BDA" w:rsidRPr="00683533" w:rsidRDefault="004E2BDA" w:rsidP="00EA363F">
            <w:pPr>
              <w:pStyle w:val="Heading3"/>
              <w:keepNext/>
              <w:outlineLvl w:val="2"/>
              <w:rPr>
                <w:rFonts w:ascii="Arial Narrow" w:hAnsi="Arial Narrow"/>
                <w:b/>
                <w:color w:val="000000"/>
                <w:sz w:val="20"/>
                <w:u w:val="none"/>
              </w:rPr>
            </w:pPr>
            <w:bookmarkStart w:id="90" w:name="_Toc107843677"/>
            <w:r w:rsidRPr="00683533">
              <w:rPr>
                <w:rFonts w:ascii="Arial Narrow" w:hAnsi="Arial Narrow"/>
                <w:color w:val="000000"/>
                <w:sz w:val="20"/>
                <w:u w:val="none"/>
              </w:rPr>
              <w:t>20vPCV, 15vPCV and 13vPCV</w:t>
            </w:r>
            <w:bookmarkEnd w:id="90"/>
          </w:p>
        </w:tc>
        <w:tc>
          <w:tcPr>
            <w:tcW w:w="5670" w:type="dxa"/>
          </w:tcPr>
          <w:p w14:paraId="256D0BA6" w14:textId="77777777" w:rsidR="004E2BDA" w:rsidRPr="00683533" w:rsidRDefault="004E2BDA" w:rsidP="004E2BDA">
            <w:pPr>
              <w:pStyle w:val="Heading3"/>
              <w:keepNext/>
              <w:jc w:val="center"/>
              <w:outlineLvl w:val="2"/>
              <w:rPr>
                <w:rFonts w:ascii="Arial Narrow" w:hAnsi="Arial Narrow"/>
                <w:b/>
                <w:sz w:val="20"/>
                <w:u w:val="none"/>
              </w:rPr>
            </w:pPr>
          </w:p>
        </w:tc>
      </w:tr>
      <w:tr w:rsidR="004E2BDA" w:rsidRPr="00683533" w14:paraId="580FB583" w14:textId="77777777" w:rsidTr="004E2BDA">
        <w:trPr>
          <w:trHeight w:val="20"/>
        </w:trPr>
        <w:tc>
          <w:tcPr>
            <w:tcW w:w="3256" w:type="dxa"/>
          </w:tcPr>
          <w:p w14:paraId="645BE775" w14:textId="47F568D4" w:rsidR="004E2BDA" w:rsidRPr="00683533" w:rsidRDefault="004E2BDA" w:rsidP="00EA363F">
            <w:pPr>
              <w:pStyle w:val="Heading3"/>
              <w:keepNext/>
              <w:outlineLvl w:val="2"/>
              <w:rPr>
                <w:rFonts w:ascii="Arial Narrow" w:hAnsi="Arial Narrow"/>
                <w:b/>
                <w:color w:val="000000"/>
                <w:sz w:val="20"/>
                <w:u w:val="none"/>
              </w:rPr>
            </w:pPr>
            <w:r w:rsidRPr="00683533">
              <w:rPr>
                <w:rFonts w:ascii="Arial Narrow" w:hAnsi="Arial Narrow"/>
                <w:color w:val="000000"/>
                <w:sz w:val="20"/>
                <w:u w:val="none"/>
              </w:rPr>
              <w:t xml:space="preserve">    </w:t>
            </w:r>
            <w:bookmarkStart w:id="91" w:name="_Toc107843678"/>
            <w:r w:rsidRPr="00683533">
              <w:rPr>
                <w:rFonts w:ascii="Arial Narrow" w:hAnsi="Arial Narrow"/>
                <w:color w:val="000000"/>
                <w:sz w:val="20"/>
                <w:u w:val="none"/>
              </w:rPr>
              <w:t>Years 1-5</w:t>
            </w:r>
            <w:bookmarkEnd w:id="91"/>
          </w:p>
        </w:tc>
        <w:tc>
          <w:tcPr>
            <w:tcW w:w="5670" w:type="dxa"/>
          </w:tcPr>
          <w:p w14:paraId="34CB6F49" w14:textId="037EAFE3" w:rsidR="004E2BDA" w:rsidRPr="00683533" w:rsidRDefault="004E2BDA" w:rsidP="004E2BDA">
            <w:pPr>
              <w:pStyle w:val="Heading3"/>
              <w:keepNext/>
              <w:jc w:val="center"/>
              <w:outlineLvl w:val="2"/>
              <w:rPr>
                <w:rFonts w:ascii="Arial Narrow" w:hAnsi="Arial Narrow"/>
                <w:b/>
                <w:sz w:val="20"/>
                <w:u w:val="none"/>
              </w:rPr>
            </w:pPr>
            <w:bookmarkStart w:id="92" w:name="_Toc107843679"/>
            <w:r w:rsidRPr="00683533">
              <w:rPr>
                <w:rFonts w:ascii="Arial Narrow" w:hAnsi="Arial Narrow"/>
                <w:sz w:val="20"/>
                <w:u w:val="none"/>
              </w:rPr>
              <w:t>0%</w:t>
            </w:r>
            <w:bookmarkEnd w:id="92"/>
          </w:p>
        </w:tc>
      </w:tr>
      <w:tr w:rsidR="004E2BDA" w:rsidRPr="00683533" w14:paraId="450D75EA" w14:textId="77777777" w:rsidTr="004E2BDA">
        <w:trPr>
          <w:trHeight w:val="20"/>
        </w:trPr>
        <w:tc>
          <w:tcPr>
            <w:tcW w:w="3256" w:type="dxa"/>
          </w:tcPr>
          <w:p w14:paraId="6DB347BE" w14:textId="211B9FAB" w:rsidR="004E2BDA" w:rsidRPr="00683533" w:rsidRDefault="004E2BDA" w:rsidP="00EA363F">
            <w:pPr>
              <w:pStyle w:val="Heading3"/>
              <w:keepNext/>
              <w:outlineLvl w:val="2"/>
              <w:rPr>
                <w:rFonts w:ascii="Arial Narrow" w:hAnsi="Arial Narrow"/>
                <w:b/>
                <w:color w:val="000000"/>
                <w:sz w:val="20"/>
                <w:u w:val="none"/>
              </w:rPr>
            </w:pPr>
            <w:r w:rsidRPr="00683533">
              <w:rPr>
                <w:rFonts w:ascii="Arial Narrow" w:hAnsi="Arial Narrow"/>
                <w:color w:val="000000"/>
                <w:sz w:val="20"/>
                <w:u w:val="none"/>
              </w:rPr>
              <w:t xml:space="preserve">    </w:t>
            </w:r>
            <w:bookmarkStart w:id="93" w:name="_Toc107843683"/>
            <w:r w:rsidRPr="00683533">
              <w:rPr>
                <w:rFonts w:ascii="Arial Narrow" w:hAnsi="Arial Narrow"/>
                <w:color w:val="000000"/>
                <w:sz w:val="20"/>
                <w:u w:val="none"/>
              </w:rPr>
              <w:t>Years 6-10</w:t>
            </w:r>
            <w:bookmarkEnd w:id="93"/>
          </w:p>
        </w:tc>
        <w:tc>
          <w:tcPr>
            <w:tcW w:w="5670" w:type="dxa"/>
          </w:tcPr>
          <w:p w14:paraId="11D4261C" w14:textId="42122EBE" w:rsidR="004E2BDA" w:rsidRPr="00683533" w:rsidRDefault="004E2BDA" w:rsidP="004E2BDA">
            <w:pPr>
              <w:pStyle w:val="Heading3"/>
              <w:keepNext/>
              <w:jc w:val="center"/>
              <w:outlineLvl w:val="2"/>
              <w:rPr>
                <w:rFonts w:ascii="Arial Narrow" w:hAnsi="Arial Narrow"/>
                <w:b/>
                <w:sz w:val="20"/>
                <w:u w:val="none"/>
              </w:rPr>
            </w:pPr>
            <w:bookmarkStart w:id="94" w:name="_Toc107843684"/>
            <w:r w:rsidRPr="00683533">
              <w:rPr>
                <w:rFonts w:ascii="Arial Narrow" w:hAnsi="Arial Narrow"/>
                <w:sz w:val="20"/>
                <w:u w:val="none"/>
              </w:rPr>
              <w:t>5%</w:t>
            </w:r>
            <w:bookmarkEnd w:id="94"/>
          </w:p>
        </w:tc>
      </w:tr>
      <w:tr w:rsidR="004E2BDA" w:rsidRPr="00683533" w14:paraId="37205CA2" w14:textId="77777777" w:rsidTr="004E2BDA">
        <w:trPr>
          <w:trHeight w:val="20"/>
        </w:trPr>
        <w:tc>
          <w:tcPr>
            <w:tcW w:w="3256" w:type="dxa"/>
          </w:tcPr>
          <w:p w14:paraId="30717DAE" w14:textId="6AF113AA" w:rsidR="004E2BDA" w:rsidRPr="00683533" w:rsidRDefault="004E2BDA" w:rsidP="00EA363F">
            <w:pPr>
              <w:pStyle w:val="Heading3"/>
              <w:keepNext/>
              <w:outlineLvl w:val="2"/>
              <w:rPr>
                <w:rFonts w:ascii="Arial Narrow" w:hAnsi="Arial Narrow"/>
                <w:b/>
                <w:color w:val="000000"/>
                <w:sz w:val="20"/>
                <w:u w:val="none"/>
              </w:rPr>
            </w:pPr>
            <w:r w:rsidRPr="00683533">
              <w:rPr>
                <w:rFonts w:ascii="Arial Narrow" w:hAnsi="Arial Narrow"/>
                <w:color w:val="000000"/>
                <w:sz w:val="20"/>
                <w:u w:val="none"/>
              </w:rPr>
              <w:t xml:space="preserve">    </w:t>
            </w:r>
            <w:bookmarkStart w:id="95" w:name="_Toc107843688"/>
            <w:r w:rsidRPr="00683533">
              <w:rPr>
                <w:rFonts w:ascii="Arial Narrow" w:hAnsi="Arial Narrow"/>
                <w:color w:val="000000"/>
                <w:sz w:val="20"/>
                <w:u w:val="none"/>
              </w:rPr>
              <w:t>Years 11-15</w:t>
            </w:r>
            <w:bookmarkEnd w:id="95"/>
          </w:p>
        </w:tc>
        <w:tc>
          <w:tcPr>
            <w:tcW w:w="5670" w:type="dxa"/>
          </w:tcPr>
          <w:p w14:paraId="0CEF56BA" w14:textId="4E63508C" w:rsidR="004E2BDA" w:rsidRPr="00683533" w:rsidRDefault="004E2BDA" w:rsidP="004E2BDA">
            <w:pPr>
              <w:pStyle w:val="Heading3"/>
              <w:keepNext/>
              <w:jc w:val="center"/>
              <w:outlineLvl w:val="2"/>
              <w:rPr>
                <w:rFonts w:ascii="Arial Narrow" w:hAnsi="Arial Narrow"/>
                <w:b/>
                <w:sz w:val="20"/>
                <w:u w:val="none"/>
              </w:rPr>
            </w:pPr>
            <w:bookmarkStart w:id="96" w:name="_Toc107843689"/>
            <w:r w:rsidRPr="00683533">
              <w:rPr>
                <w:rFonts w:ascii="Arial Narrow" w:hAnsi="Arial Narrow"/>
                <w:sz w:val="20"/>
                <w:u w:val="none"/>
              </w:rPr>
              <w:t>10%</w:t>
            </w:r>
            <w:bookmarkEnd w:id="96"/>
          </w:p>
        </w:tc>
      </w:tr>
      <w:tr w:rsidR="004E2BDA" w:rsidRPr="00683533" w14:paraId="239AAEA2" w14:textId="77777777" w:rsidTr="004E2BDA">
        <w:trPr>
          <w:trHeight w:val="20"/>
        </w:trPr>
        <w:tc>
          <w:tcPr>
            <w:tcW w:w="3256" w:type="dxa"/>
          </w:tcPr>
          <w:p w14:paraId="6F8E8532" w14:textId="308BAFEE" w:rsidR="004E2BDA" w:rsidRPr="00683533" w:rsidRDefault="004E2BDA" w:rsidP="00EA363F">
            <w:pPr>
              <w:pStyle w:val="Heading3"/>
              <w:keepNext/>
              <w:outlineLvl w:val="2"/>
              <w:rPr>
                <w:rFonts w:ascii="Arial Narrow" w:hAnsi="Arial Narrow"/>
                <w:b/>
                <w:color w:val="000000"/>
                <w:sz w:val="20"/>
                <w:u w:val="none"/>
              </w:rPr>
            </w:pPr>
            <w:r w:rsidRPr="00683533">
              <w:rPr>
                <w:rFonts w:ascii="Arial Narrow" w:hAnsi="Arial Narrow"/>
                <w:color w:val="000000"/>
                <w:sz w:val="20"/>
                <w:u w:val="none"/>
              </w:rPr>
              <w:t xml:space="preserve">    </w:t>
            </w:r>
            <w:bookmarkStart w:id="97" w:name="_Toc107843693"/>
            <w:r w:rsidRPr="00683533">
              <w:rPr>
                <w:rFonts w:ascii="Arial Narrow" w:hAnsi="Arial Narrow"/>
                <w:color w:val="000000"/>
                <w:sz w:val="20"/>
                <w:u w:val="none"/>
              </w:rPr>
              <w:t>Years 16+</w:t>
            </w:r>
            <w:bookmarkEnd w:id="97"/>
          </w:p>
        </w:tc>
        <w:tc>
          <w:tcPr>
            <w:tcW w:w="5670" w:type="dxa"/>
          </w:tcPr>
          <w:p w14:paraId="4998C0E8" w14:textId="10DFD558" w:rsidR="004E2BDA" w:rsidRPr="00683533" w:rsidRDefault="004E2BDA" w:rsidP="004E2BDA">
            <w:pPr>
              <w:pStyle w:val="Heading3"/>
              <w:keepNext/>
              <w:jc w:val="center"/>
              <w:outlineLvl w:val="2"/>
              <w:rPr>
                <w:rFonts w:ascii="Arial Narrow" w:hAnsi="Arial Narrow"/>
                <w:b/>
                <w:sz w:val="20"/>
                <w:u w:val="none"/>
              </w:rPr>
            </w:pPr>
            <w:bookmarkStart w:id="98" w:name="_Toc107843694"/>
            <w:r w:rsidRPr="00683533">
              <w:rPr>
                <w:rFonts w:ascii="Arial Narrow" w:hAnsi="Arial Narrow"/>
                <w:sz w:val="20"/>
                <w:u w:val="none"/>
              </w:rPr>
              <w:t>15%</w:t>
            </w:r>
            <w:bookmarkEnd w:id="98"/>
          </w:p>
        </w:tc>
      </w:tr>
    </w:tbl>
    <w:p w14:paraId="67E5ABC8" w14:textId="0B2AC2CF" w:rsidR="00EB70A1" w:rsidRPr="00683533" w:rsidRDefault="00EA363F" w:rsidP="006E7985">
      <w:pPr>
        <w:pStyle w:val="FooterTableFigure"/>
        <w:rPr>
          <w:iCs/>
        </w:rPr>
      </w:pPr>
      <w:r w:rsidRPr="00683533">
        <w:rPr>
          <w:iCs/>
        </w:rPr>
        <w:t>Source: Table 3.4.7 of the submission, based on assumptions made for 13vPCV in the 2018 submission.</w:t>
      </w:r>
      <w:r w:rsidR="00683533" w:rsidRPr="00683533">
        <w:rPr>
          <w:iCs/>
        </w:rPr>
        <w:t xml:space="preserve"> Compiled </w:t>
      </w:r>
      <w:r w:rsidR="00683533">
        <w:rPr>
          <w:iCs/>
        </w:rPr>
        <w:t>during ESC evaluation.</w:t>
      </w:r>
    </w:p>
    <w:p w14:paraId="520682D0" w14:textId="2763C6E1" w:rsidR="00E26AB3" w:rsidRPr="00B01542" w:rsidRDefault="00E26AB3" w:rsidP="00E26AB3">
      <w:pPr>
        <w:pStyle w:val="3-BodyText"/>
      </w:pPr>
      <w:r w:rsidRPr="00CC3C41">
        <w:t>The baseline data on the burden of pneumococcal disease was based on IPD data drawn from 2019 when 13vPCV and 15vPCV were not yet available</w:t>
      </w:r>
      <w:r>
        <w:t>,</w:t>
      </w:r>
      <w:r w:rsidRPr="00CC3C41">
        <w:t xml:space="preserve"> therefore the baseline data reflected background vaccination with 23vPPV only. As such, the </w:t>
      </w:r>
      <w:r w:rsidRPr="00CC3C41">
        <w:lastRenderedPageBreak/>
        <w:t>modelled economic evaluation was based on</w:t>
      </w:r>
      <w:r w:rsidR="00266DB2">
        <w:t xml:space="preserve"> an</w:t>
      </w:r>
      <w:r w:rsidRPr="00CC3C41">
        <w:t xml:space="preserve"> indirect </w:t>
      </w:r>
      <w:r w:rsidR="00266DB2">
        <w:t>approach</w:t>
      </w:r>
      <w:r w:rsidRPr="00CC3C41">
        <w:t>.</w:t>
      </w:r>
      <w:r w:rsidRPr="004E375B">
        <w:rPr>
          <w:iCs/>
        </w:rPr>
        <w:t xml:space="preserve"> The indirect approach used by the submission does not reflect the comparative evidence presented in clinical effectiveness section</w:t>
      </w:r>
      <w:r w:rsidR="00AA1A26" w:rsidRPr="004E375B">
        <w:rPr>
          <w:iCs/>
        </w:rPr>
        <w:t xml:space="preserve"> of the submission</w:t>
      </w:r>
      <w:r w:rsidRPr="004E375B">
        <w:rPr>
          <w:iCs/>
        </w:rPr>
        <w:t xml:space="preserve"> which was based on direct comparisons of immunogenicity evidence for the new serotypes between 20vPCV and 13vPCV or 15vPCV. </w:t>
      </w:r>
      <w:r w:rsidR="004B0095" w:rsidRPr="00683533">
        <w:t>The PSCR stated that it was not possible for the economic model to be based on comparisons of 20vPCV and 13vPCV or 15vPCV, as there</w:t>
      </w:r>
      <w:r w:rsidR="00BF0787" w:rsidRPr="00683533">
        <w:t xml:space="preserve"> </w:t>
      </w:r>
      <w:r w:rsidR="008D716B">
        <w:t>wa</w:t>
      </w:r>
      <w:r w:rsidR="00BF0787" w:rsidRPr="00683533">
        <w:t>s</w:t>
      </w:r>
      <w:r w:rsidR="004B0095" w:rsidRPr="00683533">
        <w:t xml:space="preserve"> no epidemiological data available reflecting vaccination with 13vPCV and 15vPCV.</w:t>
      </w:r>
      <w:r w:rsidR="0065679E">
        <w:t xml:space="preserve"> The PBAC noted the incidence of IPD in the proposed expanded population (34 per year per 100,000 persons), although less than in the Indigenous population aged </w:t>
      </w:r>
      <w:r w:rsidR="0065679E">
        <w:rPr>
          <w:rFonts w:cstheme="minorHAnsi"/>
        </w:rPr>
        <w:t>≥</w:t>
      </w:r>
      <w:r w:rsidR="0065679E">
        <w:t xml:space="preserve">50 years (72 per year per 100,000 persons), was higher than in the non-Indigenous population aged </w:t>
      </w:r>
      <w:r w:rsidR="0065679E">
        <w:rPr>
          <w:rFonts w:cstheme="minorHAnsi"/>
        </w:rPr>
        <w:t>≥</w:t>
      </w:r>
      <w:r w:rsidR="0065679E">
        <w:t>70 years (22 per year per 100,000 persons).</w:t>
      </w:r>
    </w:p>
    <w:p w14:paraId="393B3E12" w14:textId="606110B1" w:rsidR="00E26AB3" w:rsidRPr="00B30959" w:rsidRDefault="00E26AB3" w:rsidP="00E26AB3">
      <w:pPr>
        <w:pStyle w:val="3-BodyText"/>
        <w:rPr>
          <w:color w:val="0066FF"/>
        </w:rPr>
      </w:pPr>
      <w:bookmarkStart w:id="99" w:name="_Ref116580605"/>
      <w:bookmarkStart w:id="100" w:name="_Hlk113889430"/>
      <w:r w:rsidRPr="004E375B">
        <w:rPr>
          <w:iCs/>
        </w:rPr>
        <w:t>While it may be appropriate to use the same overall model structure</w:t>
      </w:r>
      <w:r w:rsidR="00AA1A26" w:rsidRPr="004E375B">
        <w:rPr>
          <w:iCs/>
        </w:rPr>
        <w:t xml:space="preserve"> as used in the 13vPCV submission (Prevenar 13, </w:t>
      </w:r>
      <w:r w:rsidR="00C10350">
        <w:rPr>
          <w:iCs/>
        </w:rPr>
        <w:t>PSD,</w:t>
      </w:r>
      <w:r w:rsidR="00AA1A26" w:rsidRPr="004E375B">
        <w:rPr>
          <w:iCs/>
        </w:rPr>
        <w:t xml:space="preserve"> November 2018 PBAC meeting)</w:t>
      </w:r>
      <w:r w:rsidR="00AA1A26">
        <w:t xml:space="preserve"> </w:t>
      </w:r>
      <w:r w:rsidRPr="004E375B">
        <w:rPr>
          <w:iCs/>
        </w:rPr>
        <w:t xml:space="preserve">to reflect the progression of each of the proposed NIP populations, the </w:t>
      </w:r>
      <w:r w:rsidR="00925681">
        <w:rPr>
          <w:iCs/>
        </w:rPr>
        <w:t>following</w:t>
      </w:r>
      <w:r w:rsidRPr="004E375B">
        <w:rPr>
          <w:iCs/>
        </w:rPr>
        <w:t xml:space="preserve"> key issues identified were:</w:t>
      </w:r>
      <w:bookmarkEnd w:id="99"/>
    </w:p>
    <w:p w14:paraId="28A0D00D" w14:textId="39D17DA1" w:rsidR="00C46384" w:rsidRPr="004E375B" w:rsidRDefault="00CE2C6C" w:rsidP="00227608">
      <w:pPr>
        <w:pStyle w:val="ListParagraph"/>
        <w:numPr>
          <w:ilvl w:val="0"/>
          <w:numId w:val="24"/>
        </w:numPr>
        <w:ind w:left="1134" w:hanging="425"/>
        <w:rPr>
          <w:iCs/>
        </w:rPr>
      </w:pPr>
      <w:r w:rsidRPr="004E375B">
        <w:rPr>
          <w:iCs/>
        </w:rPr>
        <w:t xml:space="preserve">The common comparator via 23vPPV may obscure the accurate isolation of the additional serotypes in 20vPCV. </w:t>
      </w:r>
      <w:r w:rsidR="00E26AB3" w:rsidRPr="004E375B">
        <w:rPr>
          <w:iCs/>
        </w:rPr>
        <w:t xml:space="preserve">The effect size associated with 23vPPV is relatively large and </w:t>
      </w:r>
      <w:r w:rsidR="00441626">
        <w:rPr>
          <w:iCs/>
        </w:rPr>
        <w:t xml:space="preserve">may </w:t>
      </w:r>
      <w:r w:rsidR="00B368FA" w:rsidRPr="004E375B">
        <w:rPr>
          <w:iCs/>
        </w:rPr>
        <w:t xml:space="preserve">reduce the </w:t>
      </w:r>
      <w:r w:rsidR="00E26AB3" w:rsidRPr="004E375B">
        <w:rPr>
          <w:iCs/>
        </w:rPr>
        <w:t xml:space="preserve">ability to accurately differentiate smaller incremental effects for the additional serotypes. </w:t>
      </w:r>
      <w:r w:rsidRPr="004E375B">
        <w:rPr>
          <w:iCs/>
        </w:rPr>
        <w:t xml:space="preserve">Ideally, the </w:t>
      </w:r>
      <w:r w:rsidR="00E26AB3" w:rsidRPr="004E375B">
        <w:rPr>
          <w:iCs/>
        </w:rPr>
        <w:t>structure</w:t>
      </w:r>
      <w:r w:rsidRPr="004E375B">
        <w:rPr>
          <w:iCs/>
        </w:rPr>
        <w:t xml:space="preserve"> of the economic model would</w:t>
      </w:r>
      <w:r w:rsidR="00C25A0C" w:rsidRPr="004E375B">
        <w:rPr>
          <w:iCs/>
        </w:rPr>
        <w:t xml:space="preserve"> allow the</w:t>
      </w:r>
      <w:r w:rsidRPr="004E375B">
        <w:rPr>
          <w:iCs/>
        </w:rPr>
        <w:t xml:space="preserve"> </w:t>
      </w:r>
      <w:r w:rsidR="00E26AB3" w:rsidRPr="004E375B">
        <w:rPr>
          <w:iCs/>
        </w:rPr>
        <w:t xml:space="preserve">vaccine effectiveness of the additional serotypes in 20vPCV to be isolated and varied in sensitivity analysis </w:t>
      </w:r>
      <w:proofErr w:type="gramStart"/>
      <w:r w:rsidR="00E26AB3" w:rsidRPr="004E375B">
        <w:rPr>
          <w:iCs/>
        </w:rPr>
        <w:t>in order to</w:t>
      </w:r>
      <w:proofErr w:type="gramEnd"/>
      <w:r w:rsidR="00E26AB3" w:rsidRPr="004E375B">
        <w:rPr>
          <w:iCs/>
        </w:rPr>
        <w:t xml:space="preserve"> </w:t>
      </w:r>
      <w:r w:rsidRPr="004E375B">
        <w:rPr>
          <w:iCs/>
        </w:rPr>
        <w:t>assess</w:t>
      </w:r>
      <w:r w:rsidR="00E26AB3" w:rsidRPr="004E375B">
        <w:rPr>
          <w:iCs/>
        </w:rPr>
        <w:t xml:space="preserve"> their uncertainty and effect. </w:t>
      </w:r>
      <w:r w:rsidR="00A373D2" w:rsidRPr="00683533">
        <w:t xml:space="preserve">The PSCR </w:t>
      </w:r>
      <w:r w:rsidR="00645B27" w:rsidRPr="00683533">
        <w:t xml:space="preserve">disagreed with the evaluation, stating </w:t>
      </w:r>
      <w:r w:rsidR="00A373D2" w:rsidRPr="00683533">
        <w:t xml:space="preserve">that </w:t>
      </w:r>
      <w:r w:rsidR="00645B27" w:rsidRPr="00683533">
        <w:t xml:space="preserve">the </w:t>
      </w:r>
      <w:r w:rsidR="00A373D2" w:rsidRPr="00683533">
        <w:t>estimation of the incremental effects of 20vPCV, 13vPCV and 15vPCV is not dependent on the</w:t>
      </w:r>
      <w:r w:rsidR="00645B27" w:rsidRPr="00683533">
        <w:t xml:space="preserve"> effect size of 23vP</w:t>
      </w:r>
      <w:r w:rsidR="00BB700F" w:rsidRPr="00683533">
        <w:t>P</w:t>
      </w:r>
      <w:r w:rsidR="00645B27" w:rsidRPr="00683533">
        <w:t xml:space="preserve">V </w:t>
      </w:r>
      <w:r w:rsidR="00A373D2" w:rsidRPr="00683533">
        <w:t>vaccine effectiveness.</w:t>
      </w:r>
    </w:p>
    <w:p w14:paraId="1C72955E" w14:textId="13E0548E" w:rsidR="00C46384" w:rsidRPr="004E375B" w:rsidRDefault="00C46384" w:rsidP="00227608">
      <w:pPr>
        <w:pStyle w:val="ListParagraph"/>
        <w:numPr>
          <w:ilvl w:val="0"/>
          <w:numId w:val="24"/>
        </w:numPr>
        <w:ind w:left="1134" w:hanging="425"/>
      </w:pPr>
      <w:r w:rsidRPr="004E375B">
        <w:rPr>
          <w:iCs/>
        </w:rPr>
        <w:t>The</w:t>
      </w:r>
      <w:r w:rsidRPr="004E375B">
        <w:t xml:space="preserve"> economic model </w:t>
      </w:r>
      <w:r w:rsidRPr="004E375B">
        <w:rPr>
          <w:iCs/>
        </w:rPr>
        <w:t>assumed</w:t>
      </w:r>
      <w:r w:rsidRPr="004E375B">
        <w:t xml:space="preserve"> that the populations considered have a background vaccination with 23vPPV, which may not be fully representative of the proposed NIP populations. It is possible that many of those in the proposed populations are vaccine naïve.</w:t>
      </w:r>
    </w:p>
    <w:p w14:paraId="6E517E04" w14:textId="6C6F89AE" w:rsidR="00F64A55" w:rsidRPr="00683533" w:rsidRDefault="002711A4" w:rsidP="00227608">
      <w:pPr>
        <w:pStyle w:val="ListParagraph"/>
        <w:numPr>
          <w:ilvl w:val="0"/>
          <w:numId w:val="24"/>
        </w:numPr>
        <w:ind w:left="1134" w:hanging="425"/>
        <w:rPr>
          <w:iCs/>
        </w:rPr>
      </w:pPr>
      <w:r w:rsidRPr="004E375B">
        <w:t xml:space="preserve">Serotype replacement was not considered in the economic evaluation. </w:t>
      </w:r>
      <w:r w:rsidR="009E1310" w:rsidRPr="004E375B">
        <w:t xml:space="preserve">The ESC has previously considered that the exclusion of serotype replacement in the economic model could bias the results in favour of 13vPCV (compared to 23vPPV) given the uncertainty in the potential changes in patterns and distribution of pneumococci serotypes and expected waning of antibody levels over time (paragraph 6.24, Prevenar 13, </w:t>
      </w:r>
      <w:r w:rsidR="00C10350">
        <w:t>PSD,</w:t>
      </w:r>
      <w:r w:rsidR="009E1310" w:rsidRPr="004E375B">
        <w:t xml:space="preserve"> November 2018 PBAC meeting). </w:t>
      </w:r>
      <w:r w:rsidR="00441626">
        <w:t xml:space="preserve"> This issue may be relevant to </w:t>
      </w:r>
      <w:r w:rsidR="006A5B68">
        <w:t xml:space="preserve">the </w:t>
      </w:r>
      <w:r w:rsidR="00441626">
        <w:t>economic evaluation of 20vPCV</w:t>
      </w:r>
      <w:r w:rsidR="00957BA3">
        <w:t>.</w:t>
      </w:r>
      <w:r w:rsidR="00027CA9" w:rsidRPr="00683533">
        <w:t xml:space="preserve"> </w:t>
      </w:r>
      <w:r w:rsidR="00423196" w:rsidRPr="00683533">
        <w:t>While the use of 20vPCV in the proposed population</w:t>
      </w:r>
      <w:r w:rsidR="00C06884" w:rsidRPr="00683533">
        <w:t>s</w:t>
      </w:r>
      <w:r w:rsidR="00423196" w:rsidRPr="00683533">
        <w:t xml:space="preserve"> is not likely to </w:t>
      </w:r>
      <w:r w:rsidR="00C06884" w:rsidRPr="00683533">
        <w:t>drive</w:t>
      </w:r>
      <w:r w:rsidR="00423196" w:rsidRPr="00683533">
        <w:t xml:space="preserve"> serotype replacement</w:t>
      </w:r>
      <w:r w:rsidR="00C06884" w:rsidRPr="00683533">
        <w:t xml:space="preserve"> over the short-term (p6, Prevenar 20, ATAGI pre-submission advice</w:t>
      </w:r>
      <w:r w:rsidR="00F137BC" w:rsidRPr="00683533">
        <w:t xml:space="preserve"> to PBAC</w:t>
      </w:r>
      <w:r w:rsidR="00C06884" w:rsidRPr="00683533">
        <w:t>, April 2022)</w:t>
      </w:r>
      <w:r w:rsidR="00423196" w:rsidRPr="00683533">
        <w:t>, the ESC considered it remained an uncertainty in the economic model</w:t>
      </w:r>
      <w:r w:rsidR="00266DB2" w:rsidRPr="00683533">
        <w:t xml:space="preserve">, especially given the relatively </w:t>
      </w:r>
      <w:proofErr w:type="gramStart"/>
      <w:r w:rsidR="00266DB2" w:rsidRPr="00683533">
        <w:t>long time</w:t>
      </w:r>
      <w:proofErr w:type="gramEnd"/>
      <w:r w:rsidR="00266DB2" w:rsidRPr="00683533">
        <w:t xml:space="preserve"> horizon</w:t>
      </w:r>
      <w:r w:rsidR="009D6E9C" w:rsidRPr="00683533">
        <w:t>s</w:t>
      </w:r>
      <w:r w:rsidR="00423196" w:rsidRPr="00683533">
        <w:t>.</w:t>
      </w:r>
      <w:r w:rsidR="00F64A55" w:rsidRPr="00683533">
        <w:rPr>
          <w:iCs/>
        </w:rPr>
        <w:t xml:space="preserve"> </w:t>
      </w:r>
      <w:proofErr w:type="gramStart"/>
      <w:r w:rsidR="00F64A55" w:rsidRPr="00683533">
        <w:rPr>
          <w:iCs/>
        </w:rPr>
        <w:t>In order to</w:t>
      </w:r>
      <w:proofErr w:type="gramEnd"/>
      <w:r w:rsidR="00F64A55" w:rsidRPr="00683533">
        <w:rPr>
          <w:iCs/>
        </w:rPr>
        <w:t xml:space="preserve"> address uncertainty related to potential serotype replacement additional sensitivity analyses were provided in </w:t>
      </w:r>
      <w:r w:rsidR="00F64A55" w:rsidRPr="00683533">
        <w:rPr>
          <w:iCs/>
        </w:rPr>
        <w:lastRenderedPageBreak/>
        <w:t>the PSCR that reduced the overall vaccine effectiveness by up to 15%</w:t>
      </w:r>
      <w:r w:rsidR="00C06884" w:rsidRPr="00683533">
        <w:rPr>
          <w:iCs/>
        </w:rPr>
        <w:t>;</w:t>
      </w:r>
      <w:r w:rsidR="001E63E2" w:rsidRPr="00683533">
        <w:rPr>
          <w:iCs/>
        </w:rPr>
        <w:t xml:space="preserve"> these analyses are shown in </w:t>
      </w:r>
      <w:r w:rsidR="001E63E2" w:rsidRPr="00683533">
        <w:rPr>
          <w:iCs/>
        </w:rPr>
        <w:fldChar w:fldCharType="begin"/>
      </w:r>
      <w:r w:rsidR="001E63E2" w:rsidRPr="00683533">
        <w:rPr>
          <w:iCs/>
        </w:rPr>
        <w:instrText xml:space="preserve"> REF _Ref116476137 \h  \* MERGEFORMAT </w:instrText>
      </w:r>
      <w:r w:rsidR="001E63E2" w:rsidRPr="00683533">
        <w:rPr>
          <w:iCs/>
        </w:rPr>
      </w:r>
      <w:r w:rsidR="001E63E2" w:rsidRPr="00683533">
        <w:rPr>
          <w:iCs/>
        </w:rPr>
        <w:fldChar w:fldCharType="separate"/>
      </w:r>
      <w:r w:rsidR="00137984" w:rsidRPr="00560D37">
        <w:rPr>
          <w:iCs/>
        </w:rPr>
        <w:t xml:space="preserve">Table </w:t>
      </w:r>
      <w:r w:rsidR="00137984">
        <w:rPr>
          <w:iCs/>
          <w:noProof/>
        </w:rPr>
        <w:t>20</w:t>
      </w:r>
      <w:r w:rsidR="001E63E2" w:rsidRPr="00683533">
        <w:rPr>
          <w:iCs/>
        </w:rPr>
        <w:fldChar w:fldCharType="end"/>
      </w:r>
      <w:r w:rsidR="001E63E2" w:rsidRPr="00683533">
        <w:rPr>
          <w:iCs/>
        </w:rPr>
        <w:t>.</w:t>
      </w:r>
      <w:r w:rsidR="00266DB2" w:rsidRPr="00683533">
        <w:rPr>
          <w:iCs/>
        </w:rPr>
        <w:t xml:space="preserve"> </w:t>
      </w:r>
    </w:p>
    <w:bookmarkEnd w:id="100"/>
    <w:p w14:paraId="1AEC55FD" w14:textId="0385B0F6" w:rsidR="00B07840" w:rsidRPr="00B544B8" w:rsidRDefault="00B07840" w:rsidP="002A5787">
      <w:pPr>
        <w:pStyle w:val="ListParagraph"/>
        <w:numPr>
          <w:ilvl w:val="0"/>
          <w:numId w:val="24"/>
        </w:numPr>
        <w:ind w:left="1134" w:hanging="425"/>
        <w:rPr>
          <w:iCs/>
        </w:rPr>
      </w:pPr>
      <w:r w:rsidRPr="00B544B8">
        <w:rPr>
          <w:iCs/>
        </w:rPr>
        <w:t>Time horizon: ATAGI stated that there are difficulties projecting over the long-term because of the uncertainty of impacts beyond a decade of implementation of the program and it is highly uncertain of serotype distribution beyond 5-10 years</w:t>
      </w:r>
      <w:r w:rsidR="00C06884" w:rsidRPr="0037351A">
        <w:rPr>
          <w:iCs/>
        </w:rPr>
        <w:t>. ATAGI considered making extrapolations beyond 5-10 years especially tenuous</w:t>
      </w:r>
      <w:r w:rsidRPr="00616FB1">
        <w:rPr>
          <w:iCs/>
        </w:rPr>
        <w:t xml:space="preserve"> (p70, </w:t>
      </w:r>
      <w:r w:rsidR="00906813" w:rsidRPr="00616FB1">
        <w:rPr>
          <w:iCs/>
        </w:rPr>
        <w:t xml:space="preserve">Prevenar 20, </w:t>
      </w:r>
      <w:r w:rsidRPr="00616FB1">
        <w:rPr>
          <w:iCs/>
        </w:rPr>
        <w:t>ATAGI pre-submission advice to PBAC, April 2022).</w:t>
      </w:r>
      <w:r w:rsidR="00484775" w:rsidRPr="00616FB1">
        <w:rPr>
          <w:iCs/>
        </w:rPr>
        <w:t xml:space="preserve"> </w:t>
      </w:r>
      <w:r w:rsidR="00484775" w:rsidRPr="00683533">
        <w:rPr>
          <w:iCs/>
        </w:rPr>
        <w:t xml:space="preserve">The ESC agreed with ATAGI that long-term projections are </w:t>
      </w:r>
      <w:r w:rsidR="00397506" w:rsidRPr="00683533">
        <w:rPr>
          <w:iCs/>
        </w:rPr>
        <w:t xml:space="preserve">likely to be </w:t>
      </w:r>
      <w:r w:rsidR="00484775" w:rsidRPr="00683533">
        <w:rPr>
          <w:iCs/>
        </w:rPr>
        <w:t xml:space="preserve">uncertain due to potential changes in the pattern and </w:t>
      </w:r>
      <w:r w:rsidR="00397506" w:rsidRPr="00683533">
        <w:rPr>
          <w:iCs/>
        </w:rPr>
        <w:t>distribution</w:t>
      </w:r>
      <w:r w:rsidR="00484775" w:rsidRPr="00683533">
        <w:rPr>
          <w:iCs/>
        </w:rPr>
        <w:t xml:space="preserve"> of serotypes</w:t>
      </w:r>
      <w:r w:rsidR="00397506" w:rsidRPr="00683533">
        <w:rPr>
          <w:iCs/>
        </w:rPr>
        <w:t xml:space="preserve"> and the uncertain rate of decline in vaccine efficacy over time</w:t>
      </w:r>
      <w:r w:rsidR="002E7AE6" w:rsidRPr="00683533">
        <w:rPr>
          <w:iCs/>
        </w:rPr>
        <w:t>, and note</w:t>
      </w:r>
      <w:r w:rsidR="001B3B8D" w:rsidRPr="00683533">
        <w:rPr>
          <w:iCs/>
        </w:rPr>
        <w:t>d</w:t>
      </w:r>
      <w:r w:rsidR="002E7AE6" w:rsidRPr="00683533">
        <w:rPr>
          <w:iCs/>
        </w:rPr>
        <w:t xml:space="preserve"> </w:t>
      </w:r>
      <w:r w:rsidR="001B3B8D" w:rsidRPr="00683533">
        <w:rPr>
          <w:iCs/>
        </w:rPr>
        <w:t>the economic model was sensitive to changes in time horizon</w:t>
      </w:r>
      <w:r w:rsidR="002E7AE6" w:rsidRPr="00683533">
        <w:rPr>
          <w:iCs/>
        </w:rPr>
        <w:t xml:space="preserve">, as documented in </w:t>
      </w:r>
      <w:r w:rsidR="001B3B8D" w:rsidRPr="00683533">
        <w:rPr>
          <w:iCs/>
        </w:rPr>
        <w:fldChar w:fldCharType="begin"/>
      </w:r>
      <w:r w:rsidR="001B3B8D" w:rsidRPr="00683533">
        <w:rPr>
          <w:iCs/>
        </w:rPr>
        <w:instrText xml:space="preserve"> REF _Ref112658017 \h  \* MERGEFORMAT </w:instrText>
      </w:r>
      <w:r w:rsidR="001B3B8D" w:rsidRPr="00683533">
        <w:rPr>
          <w:iCs/>
        </w:rPr>
      </w:r>
      <w:r w:rsidR="001B3B8D" w:rsidRPr="00683533">
        <w:rPr>
          <w:iCs/>
        </w:rPr>
        <w:fldChar w:fldCharType="separate"/>
      </w:r>
      <w:r w:rsidR="00137984" w:rsidRPr="00137984">
        <w:rPr>
          <w:iCs/>
        </w:rPr>
        <w:t>Table 18</w:t>
      </w:r>
      <w:r w:rsidR="001B3B8D" w:rsidRPr="00683533">
        <w:rPr>
          <w:iCs/>
        </w:rPr>
        <w:fldChar w:fldCharType="end"/>
      </w:r>
      <w:r w:rsidR="001B3B8D" w:rsidRPr="00683533">
        <w:rPr>
          <w:iCs/>
        </w:rPr>
        <w:t xml:space="preserve"> </w:t>
      </w:r>
      <w:r w:rsidR="002E7AE6" w:rsidRPr="00683533">
        <w:rPr>
          <w:iCs/>
        </w:rPr>
        <w:t>and</w:t>
      </w:r>
      <w:r w:rsidR="001B3B8D" w:rsidRPr="00683533">
        <w:rPr>
          <w:iCs/>
        </w:rPr>
        <w:t xml:space="preserve"> </w:t>
      </w:r>
      <w:r w:rsidR="001B3B8D" w:rsidRPr="00683533">
        <w:rPr>
          <w:iCs/>
        </w:rPr>
        <w:fldChar w:fldCharType="begin"/>
      </w:r>
      <w:r w:rsidR="001B3B8D" w:rsidRPr="00683533">
        <w:rPr>
          <w:iCs/>
        </w:rPr>
        <w:instrText xml:space="preserve"> REF _Ref116486395 \h  \* MERGEFORMAT </w:instrText>
      </w:r>
      <w:r w:rsidR="001B3B8D" w:rsidRPr="00683533">
        <w:rPr>
          <w:iCs/>
        </w:rPr>
      </w:r>
      <w:r w:rsidR="001B3B8D" w:rsidRPr="00683533">
        <w:rPr>
          <w:iCs/>
        </w:rPr>
        <w:fldChar w:fldCharType="separate"/>
      </w:r>
      <w:r w:rsidR="00137984" w:rsidRPr="00137984">
        <w:rPr>
          <w:iCs/>
        </w:rPr>
        <w:t>Table 19</w:t>
      </w:r>
      <w:r w:rsidR="001B3B8D" w:rsidRPr="00683533">
        <w:rPr>
          <w:iCs/>
        </w:rPr>
        <w:fldChar w:fldCharType="end"/>
      </w:r>
      <w:r w:rsidR="00397506" w:rsidRPr="00683533">
        <w:rPr>
          <w:iCs/>
        </w:rPr>
        <w:t xml:space="preserve">. </w:t>
      </w:r>
    </w:p>
    <w:p w14:paraId="77AB953C" w14:textId="34CD65CD" w:rsidR="00B07840" w:rsidRPr="00B544B8" w:rsidRDefault="00B07840" w:rsidP="002A5787">
      <w:pPr>
        <w:pStyle w:val="ListParagraph"/>
        <w:numPr>
          <w:ilvl w:val="0"/>
          <w:numId w:val="24"/>
        </w:numPr>
        <w:ind w:left="1134" w:hanging="425"/>
        <w:rPr>
          <w:iCs/>
        </w:rPr>
      </w:pPr>
      <w:r w:rsidRPr="00B544B8">
        <w:rPr>
          <w:iCs/>
        </w:rPr>
        <w:t xml:space="preserve">Incidence of IPD: </w:t>
      </w:r>
      <w:r w:rsidR="00B967A4" w:rsidRPr="00B544B8">
        <w:rPr>
          <w:iCs/>
        </w:rPr>
        <w:t xml:space="preserve">The submission applied incidence data from the National Notifiable Diseases Surveillance System (NNDSS 2019). These data do not include the Australian Capital Territory (ACT). </w:t>
      </w:r>
      <w:r w:rsidR="00B544B8">
        <w:rPr>
          <w:iCs/>
        </w:rPr>
        <w:t>A</w:t>
      </w:r>
      <w:r w:rsidR="0020429D" w:rsidRPr="00B544B8">
        <w:rPr>
          <w:iCs/>
        </w:rPr>
        <w:t>s the</w:t>
      </w:r>
      <w:r w:rsidR="003A4017" w:rsidRPr="00B544B8">
        <w:rPr>
          <w:iCs/>
        </w:rPr>
        <w:t xml:space="preserve"> incidence of IPD</w:t>
      </w:r>
      <w:r w:rsidR="0020429D" w:rsidRPr="00B544B8">
        <w:rPr>
          <w:iCs/>
        </w:rPr>
        <w:t xml:space="preserve"> fluctuate</w:t>
      </w:r>
      <w:r w:rsidR="003A4017" w:rsidRPr="00B544B8">
        <w:rPr>
          <w:iCs/>
        </w:rPr>
        <w:t>s</w:t>
      </w:r>
      <w:r w:rsidR="0020429D" w:rsidRPr="00B544B8">
        <w:rPr>
          <w:iCs/>
        </w:rPr>
        <w:t xml:space="preserve"> over time</w:t>
      </w:r>
      <w:r w:rsidR="00B544B8">
        <w:rPr>
          <w:iCs/>
        </w:rPr>
        <w:t xml:space="preserve"> data over</w:t>
      </w:r>
      <w:r w:rsidR="003A4017" w:rsidRPr="00B544B8">
        <w:rPr>
          <w:iCs/>
        </w:rPr>
        <w:t xml:space="preserve"> a longer time period </w:t>
      </w:r>
      <w:r w:rsidR="0037351A">
        <w:rPr>
          <w:iCs/>
        </w:rPr>
        <w:t>(</w:t>
      </w:r>
      <w:proofErr w:type="gramStart"/>
      <w:r w:rsidR="0037351A">
        <w:rPr>
          <w:iCs/>
        </w:rPr>
        <w:t>e</w:t>
      </w:r>
      <w:r w:rsidR="002A5787">
        <w:rPr>
          <w:iCs/>
        </w:rPr>
        <w:t>.</w:t>
      </w:r>
      <w:r w:rsidR="0037351A">
        <w:rPr>
          <w:iCs/>
        </w:rPr>
        <w:t>g</w:t>
      </w:r>
      <w:r w:rsidR="002A5787">
        <w:rPr>
          <w:iCs/>
        </w:rPr>
        <w:t>.</w:t>
      </w:r>
      <w:proofErr w:type="gramEnd"/>
      <w:r w:rsidR="0037351A">
        <w:rPr>
          <w:iCs/>
        </w:rPr>
        <w:t xml:space="preserve"> 2016-2019) </w:t>
      </w:r>
      <w:r w:rsidR="004B30FD" w:rsidRPr="00B544B8">
        <w:rPr>
          <w:iCs/>
        </w:rPr>
        <w:t>would</w:t>
      </w:r>
      <w:r w:rsidR="00B544B8">
        <w:rPr>
          <w:iCs/>
        </w:rPr>
        <w:t xml:space="preserve"> have</w:t>
      </w:r>
      <w:r w:rsidR="004B30FD" w:rsidRPr="00B544B8">
        <w:rPr>
          <w:iCs/>
        </w:rPr>
        <w:t xml:space="preserve"> provide</w:t>
      </w:r>
      <w:r w:rsidR="00B544B8">
        <w:rPr>
          <w:iCs/>
        </w:rPr>
        <w:t>d</w:t>
      </w:r>
      <w:r w:rsidR="004B30FD" w:rsidRPr="00B544B8">
        <w:rPr>
          <w:iCs/>
        </w:rPr>
        <w:t xml:space="preserve"> </w:t>
      </w:r>
      <w:r w:rsidR="00B544B8">
        <w:rPr>
          <w:iCs/>
        </w:rPr>
        <w:t>more reliable es</w:t>
      </w:r>
      <w:r w:rsidR="0037351A">
        <w:rPr>
          <w:iCs/>
        </w:rPr>
        <w:t>timates of IPD incidence</w:t>
      </w:r>
      <w:r w:rsidRPr="00B544B8">
        <w:rPr>
          <w:iCs/>
        </w:rPr>
        <w:t>. The</w:t>
      </w:r>
      <w:r w:rsidR="00B967A4" w:rsidRPr="00B544B8">
        <w:rPr>
          <w:iCs/>
        </w:rPr>
        <w:t xml:space="preserve"> </w:t>
      </w:r>
      <w:r w:rsidRPr="00B544B8">
        <w:rPr>
          <w:iCs/>
        </w:rPr>
        <w:t xml:space="preserve">incidence is divided by the total population in Australia (including ACT) </w:t>
      </w:r>
      <w:r w:rsidR="00863654" w:rsidRPr="00B544B8">
        <w:rPr>
          <w:iCs/>
        </w:rPr>
        <w:t>and i</w:t>
      </w:r>
      <w:r w:rsidR="00810861" w:rsidRPr="00B544B8">
        <w:rPr>
          <w:iCs/>
        </w:rPr>
        <w:t>s therefore likely to be</w:t>
      </w:r>
      <w:r w:rsidRPr="00B544B8">
        <w:rPr>
          <w:iCs/>
        </w:rPr>
        <w:t xml:space="preserve"> </w:t>
      </w:r>
      <w:r w:rsidR="00B967A4" w:rsidRPr="00683533">
        <w:rPr>
          <w:iCs/>
        </w:rPr>
        <w:t xml:space="preserve">slightly </w:t>
      </w:r>
      <w:r w:rsidRPr="00683533">
        <w:rPr>
          <w:iCs/>
        </w:rPr>
        <w:t>underestimate</w:t>
      </w:r>
      <w:r w:rsidR="00B967A4" w:rsidRPr="00683533">
        <w:rPr>
          <w:iCs/>
        </w:rPr>
        <w:t>d</w:t>
      </w:r>
      <w:r w:rsidRPr="00683533">
        <w:rPr>
          <w:iCs/>
        </w:rPr>
        <w:t>.</w:t>
      </w:r>
      <w:r w:rsidR="00B967A4" w:rsidRPr="00683533">
        <w:rPr>
          <w:iCs/>
        </w:rPr>
        <w:t xml:space="preserve"> The PSCR argued that there </w:t>
      </w:r>
      <w:proofErr w:type="gramStart"/>
      <w:r w:rsidR="00556C78" w:rsidRPr="00683533">
        <w:rPr>
          <w:iCs/>
        </w:rPr>
        <w:t>was</w:t>
      </w:r>
      <w:proofErr w:type="gramEnd"/>
      <w:r w:rsidR="00556C78" w:rsidRPr="00683533">
        <w:rPr>
          <w:iCs/>
        </w:rPr>
        <w:t xml:space="preserve"> likely </w:t>
      </w:r>
      <w:r w:rsidR="00B967A4" w:rsidRPr="00683533">
        <w:rPr>
          <w:iCs/>
        </w:rPr>
        <w:t>very few cases of disease from the ACT and the</w:t>
      </w:r>
      <w:r w:rsidR="00556C78" w:rsidRPr="00683533">
        <w:rPr>
          <w:iCs/>
        </w:rPr>
        <w:t>refore the</w:t>
      </w:r>
      <w:r w:rsidR="00B967A4" w:rsidRPr="00683533">
        <w:rPr>
          <w:iCs/>
        </w:rPr>
        <w:t xml:space="preserve"> impact of the missing data would </w:t>
      </w:r>
      <w:r w:rsidR="00556C78" w:rsidRPr="00683533">
        <w:rPr>
          <w:iCs/>
        </w:rPr>
        <w:t xml:space="preserve">likely </w:t>
      </w:r>
      <w:r w:rsidR="00B967A4" w:rsidRPr="00683533">
        <w:rPr>
          <w:iCs/>
        </w:rPr>
        <w:t>be small.</w:t>
      </w:r>
    </w:p>
    <w:p w14:paraId="0C892632" w14:textId="1343439A" w:rsidR="00B07840" w:rsidRPr="0037351A" w:rsidRDefault="00B07840" w:rsidP="002A5787">
      <w:pPr>
        <w:pStyle w:val="ListParagraph"/>
        <w:numPr>
          <w:ilvl w:val="0"/>
          <w:numId w:val="24"/>
        </w:numPr>
        <w:ind w:left="1134" w:hanging="425"/>
        <w:rPr>
          <w:iCs/>
        </w:rPr>
      </w:pPr>
      <w:r w:rsidRPr="00B544B8">
        <w:rPr>
          <w:iCs/>
        </w:rPr>
        <w:t xml:space="preserve">Incidence of general practitioner </w:t>
      </w:r>
      <w:r w:rsidR="008B7791" w:rsidRPr="00B544B8">
        <w:rPr>
          <w:iCs/>
        </w:rPr>
        <w:t xml:space="preserve">(GP) </w:t>
      </w:r>
      <w:r w:rsidRPr="00B544B8">
        <w:rPr>
          <w:iCs/>
        </w:rPr>
        <w:t>visits for pneumococcal pneumonia: The submissi</w:t>
      </w:r>
      <w:r w:rsidRPr="0037351A">
        <w:rPr>
          <w:iCs/>
        </w:rPr>
        <w:t xml:space="preserve">on assumed that the incidence of GP visits for </w:t>
      </w:r>
      <w:r w:rsidR="008B7791" w:rsidRPr="0037351A">
        <w:rPr>
          <w:iCs/>
        </w:rPr>
        <w:t>PP</w:t>
      </w:r>
      <w:r w:rsidRPr="0037351A">
        <w:rPr>
          <w:iCs/>
        </w:rPr>
        <w:t xml:space="preserve"> was e</w:t>
      </w:r>
      <w:r w:rsidR="008B7791" w:rsidRPr="0037351A">
        <w:rPr>
          <w:iCs/>
        </w:rPr>
        <w:t>qual to the</w:t>
      </w:r>
      <w:r w:rsidRPr="0037351A">
        <w:rPr>
          <w:iCs/>
        </w:rPr>
        <w:t xml:space="preserve"> incidence of hospitalisation for subjects of the same age from 2018-2019 </w:t>
      </w:r>
      <w:r w:rsidR="0037351A">
        <w:rPr>
          <w:iCs/>
        </w:rPr>
        <w:t xml:space="preserve">data </w:t>
      </w:r>
      <w:r w:rsidRPr="0037351A">
        <w:rPr>
          <w:iCs/>
        </w:rPr>
        <w:t>published by the Australian Institute of Health and Welfare (AIHW). This differs from</w:t>
      </w:r>
      <w:r w:rsidR="0037351A">
        <w:rPr>
          <w:iCs/>
        </w:rPr>
        <w:t xml:space="preserve"> the</w:t>
      </w:r>
      <w:r w:rsidRPr="0037351A">
        <w:rPr>
          <w:iCs/>
        </w:rPr>
        <w:t xml:space="preserve"> ATAGI advice that recommend</w:t>
      </w:r>
      <w:r w:rsidR="0037351A">
        <w:rPr>
          <w:iCs/>
        </w:rPr>
        <w:t>ed</w:t>
      </w:r>
      <w:r w:rsidRPr="0037351A">
        <w:rPr>
          <w:iCs/>
        </w:rPr>
        <w:t xml:space="preserve"> estimates of incidence of pneumonia in primary care </w:t>
      </w:r>
      <w:r w:rsidR="0037351A">
        <w:rPr>
          <w:iCs/>
        </w:rPr>
        <w:t xml:space="preserve">be sourced </w:t>
      </w:r>
      <w:r w:rsidRPr="0037351A">
        <w:rPr>
          <w:iCs/>
        </w:rPr>
        <w:t xml:space="preserve">from the BEACH study (p15, </w:t>
      </w:r>
      <w:r w:rsidR="00906813" w:rsidRPr="0037351A">
        <w:rPr>
          <w:iCs/>
        </w:rPr>
        <w:t xml:space="preserve">Prevenar 20, </w:t>
      </w:r>
      <w:r w:rsidRPr="0037351A">
        <w:rPr>
          <w:iCs/>
        </w:rPr>
        <w:t>ATAGI pre-submission advice to PBAC, April 2022). Previous submissions for pneumococcal vaccines have used the BEACH study.</w:t>
      </w:r>
    </w:p>
    <w:p w14:paraId="64CB793F" w14:textId="78BB91A7" w:rsidR="00B07840" w:rsidRPr="00B544B8" w:rsidRDefault="00B07840" w:rsidP="002A5787">
      <w:pPr>
        <w:pStyle w:val="ListParagraph"/>
        <w:numPr>
          <w:ilvl w:val="0"/>
          <w:numId w:val="24"/>
        </w:numPr>
        <w:ind w:left="1134" w:hanging="425"/>
        <w:rPr>
          <w:iCs/>
        </w:rPr>
      </w:pPr>
      <w:r w:rsidRPr="0037351A">
        <w:rPr>
          <w:iCs/>
        </w:rPr>
        <w:t xml:space="preserve">Extrapolation of </w:t>
      </w:r>
      <w:r w:rsidR="001E08B7" w:rsidRPr="0037351A">
        <w:rPr>
          <w:iCs/>
        </w:rPr>
        <w:t>case fatality rates (</w:t>
      </w:r>
      <w:r w:rsidRPr="0037351A">
        <w:rPr>
          <w:iCs/>
        </w:rPr>
        <w:t>CFRs</w:t>
      </w:r>
      <w:r w:rsidR="001E08B7" w:rsidRPr="0037351A">
        <w:rPr>
          <w:iCs/>
        </w:rPr>
        <w:t>)</w:t>
      </w:r>
      <w:r w:rsidRPr="0037351A">
        <w:rPr>
          <w:iCs/>
        </w:rPr>
        <w:t xml:space="preserve"> for </w:t>
      </w:r>
      <w:r w:rsidR="001E08B7" w:rsidRPr="0037351A">
        <w:rPr>
          <w:iCs/>
        </w:rPr>
        <w:t>p</w:t>
      </w:r>
      <w:r w:rsidR="00FC0E09" w:rsidRPr="004E375B">
        <w:rPr>
          <w:iCs/>
        </w:rPr>
        <w:t>neumococcal pneumonia</w:t>
      </w:r>
      <w:r w:rsidR="00810861" w:rsidRPr="00B544B8">
        <w:rPr>
          <w:iCs/>
        </w:rPr>
        <w:t xml:space="preserve"> </w:t>
      </w:r>
      <w:r w:rsidRPr="00B544B8">
        <w:rPr>
          <w:iCs/>
        </w:rPr>
        <w:t xml:space="preserve"> hospitalisations: </w:t>
      </w:r>
      <w:r w:rsidR="00810861" w:rsidRPr="0037351A">
        <w:rPr>
          <w:iCs/>
        </w:rPr>
        <w:t>t</w:t>
      </w:r>
      <w:r w:rsidRPr="0037351A">
        <w:rPr>
          <w:iCs/>
        </w:rPr>
        <w:t xml:space="preserve">he </w:t>
      </w:r>
      <w:r w:rsidR="0054750D" w:rsidRPr="0037351A">
        <w:rPr>
          <w:iCs/>
        </w:rPr>
        <w:t xml:space="preserve">exponential </w:t>
      </w:r>
      <w:r w:rsidRPr="0037351A">
        <w:rPr>
          <w:iCs/>
        </w:rPr>
        <w:t xml:space="preserve">function </w:t>
      </w:r>
      <w:r w:rsidR="0037351A">
        <w:rPr>
          <w:iCs/>
        </w:rPr>
        <w:t xml:space="preserve">used </w:t>
      </w:r>
      <w:r w:rsidRPr="0037351A">
        <w:rPr>
          <w:iCs/>
        </w:rPr>
        <w:t>w</w:t>
      </w:r>
      <w:r w:rsidR="003E662D" w:rsidRPr="0037351A">
        <w:rPr>
          <w:iCs/>
        </w:rPr>
        <w:t>as</w:t>
      </w:r>
      <w:r w:rsidRPr="0037351A">
        <w:rPr>
          <w:iCs/>
        </w:rPr>
        <w:t xml:space="preserve"> not tested in the sensitivity analyses. When the CFRs were varied in the sensitivity analysis, the ICERs were sensitive to these</w:t>
      </w:r>
      <w:r w:rsidRPr="004E375B">
        <w:rPr>
          <w:iCs/>
        </w:rPr>
        <w:t xml:space="preserve"> values</w:t>
      </w:r>
      <w:r w:rsidRPr="00B544B8">
        <w:rPr>
          <w:iCs/>
        </w:rPr>
        <w:t>.</w:t>
      </w:r>
    </w:p>
    <w:p w14:paraId="15C86991" w14:textId="00E2D15A" w:rsidR="00397506" w:rsidRPr="00683533" w:rsidRDefault="00B07840" w:rsidP="002A5787">
      <w:pPr>
        <w:pStyle w:val="ListParagraph"/>
        <w:numPr>
          <w:ilvl w:val="0"/>
          <w:numId w:val="24"/>
        </w:numPr>
        <w:ind w:left="1134" w:hanging="425"/>
        <w:rPr>
          <w:iCs/>
        </w:rPr>
      </w:pPr>
      <w:r w:rsidRPr="0037351A">
        <w:rPr>
          <w:iCs/>
        </w:rPr>
        <w:t xml:space="preserve">Vaccine efficacy: The submission assumed that the VE of both 20vPCV and 15vPCV was equivalent to the VE of 13vPCV. ATAGI agreed that </w:t>
      </w:r>
      <w:r w:rsidR="00920C91" w:rsidRPr="0037351A">
        <w:rPr>
          <w:iCs/>
        </w:rPr>
        <w:t xml:space="preserve">it was reasonable to assume </w:t>
      </w:r>
      <w:r w:rsidRPr="0037351A">
        <w:rPr>
          <w:iCs/>
        </w:rPr>
        <w:t>VE of</w:t>
      </w:r>
      <w:r w:rsidR="00920C91" w:rsidRPr="0037351A">
        <w:rPr>
          <w:iCs/>
        </w:rPr>
        <w:t xml:space="preserve"> 20vPCV and 15vPCV </w:t>
      </w:r>
      <w:r w:rsidRPr="0037351A">
        <w:rPr>
          <w:iCs/>
        </w:rPr>
        <w:t xml:space="preserve">was equivalent </w:t>
      </w:r>
      <w:r w:rsidRPr="00754F9C">
        <w:rPr>
          <w:iCs/>
        </w:rPr>
        <w:t>to</w:t>
      </w:r>
      <w:r w:rsidRPr="0037351A">
        <w:rPr>
          <w:iCs/>
        </w:rPr>
        <w:t xml:space="preserve"> </w:t>
      </w:r>
      <w:r w:rsidR="00920C91" w:rsidRPr="0037351A">
        <w:rPr>
          <w:iCs/>
        </w:rPr>
        <w:t xml:space="preserve">13vPCV </w:t>
      </w:r>
      <w:r w:rsidRPr="00616FB1">
        <w:rPr>
          <w:iCs/>
        </w:rPr>
        <w:t>for shared serotypes but noted there may be some uncertainty as to whether the same relationship between immunogenicity and efficacy will necessarily hold</w:t>
      </w:r>
      <w:r w:rsidR="001E08B7" w:rsidRPr="00A224C7">
        <w:rPr>
          <w:iCs/>
        </w:rPr>
        <w:t xml:space="preserve"> for the 7 additional serotypes</w:t>
      </w:r>
      <w:r w:rsidRPr="00415671">
        <w:rPr>
          <w:iCs/>
        </w:rPr>
        <w:t xml:space="preserve"> (p42</w:t>
      </w:r>
      <w:r w:rsidR="00906813" w:rsidRPr="00415671">
        <w:rPr>
          <w:iCs/>
        </w:rPr>
        <w:t xml:space="preserve">, Prevenar 20, </w:t>
      </w:r>
      <w:r w:rsidRPr="00415671">
        <w:rPr>
          <w:iCs/>
        </w:rPr>
        <w:t xml:space="preserve">ATAGI pre-submission advice to PBAC, April 2022). The model </w:t>
      </w:r>
      <w:r w:rsidR="0037351A">
        <w:rPr>
          <w:iCs/>
        </w:rPr>
        <w:t>did</w:t>
      </w:r>
      <w:r w:rsidR="0037351A" w:rsidRPr="0037351A">
        <w:rPr>
          <w:iCs/>
        </w:rPr>
        <w:t xml:space="preserve"> </w:t>
      </w:r>
      <w:r w:rsidRPr="0037351A">
        <w:rPr>
          <w:iCs/>
        </w:rPr>
        <w:t xml:space="preserve">not provide </w:t>
      </w:r>
      <w:r w:rsidR="00F430DA" w:rsidRPr="0037351A">
        <w:rPr>
          <w:iCs/>
        </w:rPr>
        <w:t>an</w:t>
      </w:r>
      <w:r w:rsidRPr="0037351A">
        <w:rPr>
          <w:iCs/>
        </w:rPr>
        <w:t xml:space="preserve"> option to modify the effectiveness for the additional serotypes. </w:t>
      </w:r>
      <w:r w:rsidR="00754F9C" w:rsidRPr="00683533">
        <w:rPr>
          <w:iCs/>
        </w:rPr>
        <w:t>The ESC agreed with ATAGI</w:t>
      </w:r>
      <w:r w:rsidR="001E63E2" w:rsidRPr="00683533">
        <w:rPr>
          <w:iCs/>
        </w:rPr>
        <w:t xml:space="preserve"> </w:t>
      </w:r>
      <w:r w:rsidR="0023121F" w:rsidRPr="00683533">
        <w:rPr>
          <w:iCs/>
        </w:rPr>
        <w:t xml:space="preserve">that </w:t>
      </w:r>
      <w:r w:rsidR="00754F9C" w:rsidRPr="00683533">
        <w:rPr>
          <w:iCs/>
        </w:rPr>
        <w:t xml:space="preserve">the relationship between </w:t>
      </w:r>
      <w:r w:rsidR="0023121F" w:rsidRPr="00683533">
        <w:rPr>
          <w:iCs/>
        </w:rPr>
        <w:t xml:space="preserve">immunogenicity and efficacy for the additional serotypes was uncertain </w:t>
      </w:r>
      <w:r w:rsidR="00754F9C" w:rsidRPr="002A5787">
        <w:rPr>
          <w:iCs/>
        </w:rPr>
        <w:t xml:space="preserve">and considered it </w:t>
      </w:r>
      <w:r w:rsidR="00920C91" w:rsidRPr="002A5787">
        <w:rPr>
          <w:iCs/>
        </w:rPr>
        <w:t>would have been</w:t>
      </w:r>
      <w:r w:rsidR="00754F9C" w:rsidRPr="002A5787">
        <w:rPr>
          <w:iCs/>
        </w:rPr>
        <w:t xml:space="preserve"> appropriate </w:t>
      </w:r>
      <w:r w:rsidR="00920C91" w:rsidRPr="002A5787">
        <w:rPr>
          <w:iCs/>
        </w:rPr>
        <w:t>for</w:t>
      </w:r>
      <w:r w:rsidR="00754F9C" w:rsidRPr="002A5787">
        <w:rPr>
          <w:iCs/>
        </w:rPr>
        <w:t xml:space="preserve"> the unmatched serotypes </w:t>
      </w:r>
      <w:r w:rsidR="00920C91" w:rsidRPr="002A5787">
        <w:rPr>
          <w:iCs/>
        </w:rPr>
        <w:t>to</w:t>
      </w:r>
      <w:r w:rsidR="00754F9C" w:rsidRPr="002A5787">
        <w:rPr>
          <w:iCs/>
        </w:rPr>
        <w:t xml:space="preserve"> be </w:t>
      </w:r>
      <w:r w:rsidR="00754F9C" w:rsidRPr="002A5787">
        <w:rPr>
          <w:iCs/>
        </w:rPr>
        <w:lastRenderedPageBreak/>
        <w:t xml:space="preserve">isolated and varied separately in the model. </w:t>
      </w:r>
      <w:r w:rsidR="00754F9C" w:rsidRPr="00683533">
        <w:rPr>
          <w:iCs/>
        </w:rPr>
        <w:t>The ESC noted that</w:t>
      </w:r>
      <w:r w:rsidR="001E63E2" w:rsidRPr="00683533">
        <w:rPr>
          <w:iCs/>
        </w:rPr>
        <w:t xml:space="preserve"> additional sensitivity analyses were provided in the PSCR that reduced the overall vaccine effectiveness by up to 15% </w:t>
      </w:r>
      <w:r w:rsidR="00754F9C" w:rsidRPr="00683533">
        <w:rPr>
          <w:iCs/>
        </w:rPr>
        <w:t>(</w:t>
      </w:r>
      <w:r w:rsidR="001E63E2" w:rsidRPr="00683533">
        <w:rPr>
          <w:iCs/>
        </w:rPr>
        <w:fldChar w:fldCharType="begin"/>
      </w:r>
      <w:r w:rsidR="001E63E2" w:rsidRPr="00683533">
        <w:rPr>
          <w:iCs/>
        </w:rPr>
        <w:instrText xml:space="preserve"> REF _Ref116476137 \h  \* MERGEFORMAT </w:instrText>
      </w:r>
      <w:r w:rsidR="001E63E2" w:rsidRPr="00683533">
        <w:rPr>
          <w:iCs/>
        </w:rPr>
      </w:r>
      <w:r w:rsidR="001E63E2" w:rsidRPr="00683533">
        <w:rPr>
          <w:iCs/>
        </w:rPr>
        <w:fldChar w:fldCharType="separate"/>
      </w:r>
      <w:r w:rsidR="00137984" w:rsidRPr="00560D37">
        <w:rPr>
          <w:iCs/>
        </w:rPr>
        <w:t xml:space="preserve">Table </w:t>
      </w:r>
      <w:r w:rsidR="00137984">
        <w:rPr>
          <w:iCs/>
        </w:rPr>
        <w:t>20</w:t>
      </w:r>
      <w:r w:rsidR="001E63E2" w:rsidRPr="00683533">
        <w:rPr>
          <w:iCs/>
        </w:rPr>
        <w:fldChar w:fldCharType="end"/>
      </w:r>
      <w:r w:rsidR="00754F9C" w:rsidRPr="00683533">
        <w:rPr>
          <w:iCs/>
        </w:rPr>
        <w:t xml:space="preserve">) and considered these </w:t>
      </w:r>
      <w:r w:rsidR="004453D5" w:rsidRPr="00683533">
        <w:rPr>
          <w:iCs/>
        </w:rPr>
        <w:t>may</w:t>
      </w:r>
      <w:r w:rsidR="00754F9C" w:rsidRPr="00683533">
        <w:rPr>
          <w:iCs/>
        </w:rPr>
        <w:t xml:space="preserve"> be informative</w:t>
      </w:r>
      <w:r w:rsidR="001E63E2" w:rsidRPr="00683533">
        <w:rPr>
          <w:iCs/>
        </w:rPr>
        <w:t>.</w:t>
      </w:r>
      <w:r w:rsidR="00754F9C" w:rsidRPr="00683533">
        <w:rPr>
          <w:iCs/>
        </w:rPr>
        <w:t xml:space="preserve"> </w:t>
      </w:r>
    </w:p>
    <w:p w14:paraId="18DE3810" w14:textId="48537546" w:rsidR="00B07840" w:rsidRPr="00BD1102" w:rsidRDefault="00B07840" w:rsidP="007C081D">
      <w:pPr>
        <w:pStyle w:val="3-BodyText"/>
      </w:pPr>
      <w:r w:rsidRPr="00BD1102">
        <w:t xml:space="preserve">For </w:t>
      </w:r>
      <w:r w:rsidR="00FC3649">
        <w:t xml:space="preserve">the </w:t>
      </w:r>
      <w:r w:rsidR="00E4332F">
        <w:t xml:space="preserve">population of </w:t>
      </w:r>
      <w:r w:rsidRPr="00BD1102">
        <w:t xml:space="preserve">at-risk adults aged 18-69 years the economic model was </w:t>
      </w:r>
      <w:r w:rsidR="00437514">
        <w:t xml:space="preserve">incorrectly </w:t>
      </w:r>
      <w:r w:rsidRPr="00BD1102">
        <w:t xml:space="preserve">populated with data from the Indigenous population (incorrect cells were selected). When these values were </w:t>
      </w:r>
      <w:r w:rsidR="00E4332F">
        <w:t>corrected</w:t>
      </w:r>
      <w:r w:rsidRPr="00BD1102">
        <w:t xml:space="preserve"> the ICER </w:t>
      </w:r>
      <w:r w:rsidR="00F06F8F">
        <w:t>remained dominant</w:t>
      </w:r>
      <w:r>
        <w:t xml:space="preserve"> </w:t>
      </w:r>
      <w:r w:rsidR="00E4332F">
        <w:t>for</w:t>
      </w:r>
      <w:r>
        <w:t xml:space="preserve"> the comparison with 13vPCV</w:t>
      </w:r>
      <w:r w:rsidR="00E4332F">
        <w:t>, and</w:t>
      </w:r>
      <w:r>
        <w:t xml:space="preserve"> from </w:t>
      </w:r>
      <w:r w:rsidR="007C081D" w:rsidRPr="007C081D">
        <w:t>$0 to &lt; $5,000</w:t>
      </w:r>
      <w:r>
        <w:t xml:space="preserve"> per QALY gained to </w:t>
      </w:r>
      <w:r w:rsidR="007C081D">
        <w:t>dominant</w:t>
      </w:r>
      <w:r w:rsidR="00E4332F">
        <w:t xml:space="preserve"> for the comparison with 15vPCV</w:t>
      </w:r>
      <w:r>
        <w:t xml:space="preserve">. </w:t>
      </w:r>
    </w:p>
    <w:p w14:paraId="20196B5F" w14:textId="74A9D83E" w:rsidR="00B07840" w:rsidRPr="00BD1102" w:rsidRDefault="00373E11" w:rsidP="00036C51">
      <w:pPr>
        <w:pStyle w:val="3-BodyText"/>
      </w:pPr>
      <w:r w:rsidRPr="00683533">
        <w:rPr>
          <w:iCs/>
        </w:rPr>
        <w:t>The cos</w:t>
      </w:r>
      <w:r w:rsidR="00B70DB1" w:rsidRPr="00683533">
        <w:rPr>
          <w:iCs/>
        </w:rPr>
        <w:t>t</w:t>
      </w:r>
      <w:r w:rsidRPr="00683533">
        <w:rPr>
          <w:iCs/>
        </w:rPr>
        <w:t xml:space="preserve"> of 23vPPV </w:t>
      </w:r>
      <w:r w:rsidR="00B70DB1" w:rsidRPr="00683533">
        <w:rPr>
          <w:iCs/>
        </w:rPr>
        <w:t xml:space="preserve">administration </w:t>
      </w:r>
      <w:r w:rsidRPr="00683533">
        <w:rPr>
          <w:iCs/>
        </w:rPr>
        <w:t xml:space="preserve">in years 2 </w:t>
      </w:r>
      <w:r w:rsidR="00B70DB1" w:rsidRPr="00683533">
        <w:rPr>
          <w:iCs/>
        </w:rPr>
        <w:t>and</w:t>
      </w:r>
      <w:r w:rsidRPr="00683533">
        <w:rPr>
          <w:iCs/>
        </w:rPr>
        <w:t xml:space="preserve"> 5</w:t>
      </w:r>
      <w:r w:rsidR="00B70DB1" w:rsidRPr="00683533">
        <w:rPr>
          <w:iCs/>
        </w:rPr>
        <w:t xml:space="preserve"> of the model </w:t>
      </w:r>
      <w:r w:rsidRPr="00683533">
        <w:rPr>
          <w:iCs/>
        </w:rPr>
        <w:t>were not discounted when included in the model</w:t>
      </w:r>
      <w:r w:rsidR="00437514" w:rsidRPr="00437514">
        <w:t xml:space="preserve"> </w:t>
      </w:r>
      <w:r w:rsidR="00437514" w:rsidRPr="00BD1102">
        <w:t>for Indigenous adults</w:t>
      </w:r>
      <w:r w:rsidR="00437514">
        <w:t xml:space="preserve"> aged</w:t>
      </w:r>
      <w:r w:rsidR="00437514" w:rsidRPr="00BD1102">
        <w:t xml:space="preserve"> &gt;</w:t>
      </w:r>
      <w:r w:rsidR="00437514">
        <w:t xml:space="preserve"> </w:t>
      </w:r>
      <w:r w:rsidR="00437514" w:rsidRPr="00BD1102">
        <w:t>50 years</w:t>
      </w:r>
      <w:r w:rsidRPr="00683533">
        <w:rPr>
          <w:iCs/>
        </w:rPr>
        <w:t xml:space="preserve">. </w:t>
      </w:r>
      <w:r w:rsidR="00B70DB1" w:rsidRPr="00683533">
        <w:rPr>
          <w:iCs/>
        </w:rPr>
        <w:t>Therefore, the cost of 23vPPV administration may be slightly overestimated.</w:t>
      </w:r>
    </w:p>
    <w:p w14:paraId="42ED749D" w14:textId="3A2772E1" w:rsidR="00B07840" w:rsidRPr="0076267C" w:rsidRDefault="00711703" w:rsidP="00F6380B">
      <w:pPr>
        <w:pStyle w:val="3-BodyText"/>
      </w:pPr>
      <w:r w:rsidRPr="00F2769B">
        <w:rPr>
          <w:iCs/>
        </w:rPr>
        <w:fldChar w:fldCharType="begin"/>
      </w:r>
      <w:r w:rsidRPr="00F2769B">
        <w:rPr>
          <w:iCs/>
        </w:rPr>
        <w:instrText xml:space="preserve"> REF _Ref113694790 \h  \* MERGEFORMAT </w:instrText>
      </w:r>
      <w:r w:rsidRPr="00F2769B">
        <w:rPr>
          <w:iCs/>
        </w:rPr>
      </w:r>
      <w:r w:rsidRPr="00F2769B">
        <w:rPr>
          <w:iCs/>
        </w:rPr>
        <w:fldChar w:fldCharType="separate"/>
      </w:r>
      <w:r w:rsidR="00137984" w:rsidRPr="00137984">
        <w:rPr>
          <w:iCs/>
        </w:rPr>
        <w:t>Table 13</w:t>
      </w:r>
      <w:r w:rsidRPr="00F2769B">
        <w:rPr>
          <w:iCs/>
        </w:rPr>
        <w:fldChar w:fldCharType="end"/>
      </w:r>
      <w:r w:rsidR="00B07840" w:rsidRPr="00F2769B">
        <w:rPr>
          <w:iCs/>
        </w:rPr>
        <w:t xml:space="preserve"> and </w:t>
      </w:r>
      <w:r w:rsidRPr="00F2769B">
        <w:rPr>
          <w:iCs/>
        </w:rPr>
        <w:fldChar w:fldCharType="begin"/>
      </w:r>
      <w:r w:rsidRPr="00F2769B">
        <w:rPr>
          <w:iCs/>
        </w:rPr>
        <w:instrText xml:space="preserve"> REF _Ref113694792 \h  \* MERGEFORMAT </w:instrText>
      </w:r>
      <w:r w:rsidRPr="00F2769B">
        <w:rPr>
          <w:iCs/>
        </w:rPr>
      </w:r>
      <w:r w:rsidRPr="00F2769B">
        <w:rPr>
          <w:iCs/>
        </w:rPr>
        <w:fldChar w:fldCharType="separate"/>
      </w:r>
      <w:r w:rsidR="00137984" w:rsidRPr="00137984">
        <w:rPr>
          <w:iCs/>
        </w:rPr>
        <w:t>Table 14</w:t>
      </w:r>
      <w:r w:rsidRPr="00F2769B">
        <w:rPr>
          <w:iCs/>
        </w:rPr>
        <w:fldChar w:fldCharType="end"/>
      </w:r>
      <w:r w:rsidR="00B07840" w:rsidRPr="009A0DCB">
        <w:t xml:space="preserve"> show </w:t>
      </w:r>
      <w:r w:rsidR="00B07840" w:rsidRPr="0076267C">
        <w:t xml:space="preserve">the extent to which the costs of vaccination were offset by </w:t>
      </w:r>
      <w:r w:rsidR="00E4332F">
        <w:t xml:space="preserve">treating clinical disease. </w:t>
      </w:r>
      <w:r w:rsidR="00E4332F" w:rsidRPr="00683533">
        <w:rPr>
          <w:iCs/>
        </w:rPr>
        <w:t>The</w:t>
      </w:r>
      <w:r w:rsidR="00F22A1A" w:rsidRPr="00683533">
        <w:rPr>
          <w:iCs/>
        </w:rPr>
        <w:t xml:space="preserve"> ESC noted the</w:t>
      </w:r>
      <w:r w:rsidR="00E4332F" w:rsidRPr="00683533">
        <w:rPr>
          <w:iCs/>
        </w:rPr>
        <w:t xml:space="preserve"> key offsets were </w:t>
      </w:r>
      <w:r w:rsidR="001312CD" w:rsidRPr="00683533">
        <w:rPr>
          <w:iCs/>
        </w:rPr>
        <w:t xml:space="preserve">reduced costs associated with treating bacteraemia events and PNE </w:t>
      </w:r>
      <w:r w:rsidR="004E5353">
        <w:rPr>
          <w:iCs/>
        </w:rPr>
        <w:t>(</w:t>
      </w:r>
      <w:r w:rsidR="004E5353">
        <w:t>p</w:t>
      </w:r>
      <w:r w:rsidR="004E5353" w:rsidRPr="008F4B68">
        <w:t>neumococcal pneumonia</w:t>
      </w:r>
      <w:r w:rsidR="004E5353">
        <w:t>)</w:t>
      </w:r>
      <w:r w:rsidR="004E5353" w:rsidRPr="00683533">
        <w:rPr>
          <w:iCs/>
        </w:rPr>
        <w:t xml:space="preserve"> </w:t>
      </w:r>
      <w:r w:rsidR="00E4332F" w:rsidRPr="00683533">
        <w:rPr>
          <w:iCs/>
        </w:rPr>
        <w:t>hospitalisations</w:t>
      </w:r>
      <w:r w:rsidR="00B07840" w:rsidRPr="0076267C">
        <w:t>.</w:t>
      </w:r>
    </w:p>
    <w:p w14:paraId="01BD8198" w14:textId="3AD65233" w:rsidR="007D4D11" w:rsidRPr="00391ED7" w:rsidRDefault="007D4D11" w:rsidP="00CE1B89">
      <w:pPr>
        <w:keepNext/>
        <w:spacing w:line="259" w:lineRule="auto"/>
        <w:jc w:val="left"/>
        <w:rPr>
          <w:rStyle w:val="CommentReference"/>
          <w:bCs w:val="0"/>
        </w:rPr>
      </w:pPr>
      <w:bookmarkStart w:id="101" w:name="_Ref112657930"/>
      <w:bookmarkStart w:id="102" w:name="_Ref113694790"/>
      <w:r w:rsidRPr="00391ED7">
        <w:rPr>
          <w:rStyle w:val="CommentReference"/>
        </w:rPr>
        <w:lastRenderedPageBreak/>
        <w:t xml:space="preserve">Table </w:t>
      </w:r>
      <w:r w:rsidRPr="003C6926">
        <w:rPr>
          <w:rStyle w:val="CommentReference"/>
        </w:rPr>
        <w:fldChar w:fldCharType="begin"/>
      </w:r>
      <w:r w:rsidRPr="00BE32C4">
        <w:rPr>
          <w:rFonts w:ascii="Arial Narrow" w:eastAsiaTheme="majorEastAsia" w:hAnsi="Arial Narrow"/>
          <w:b/>
          <w:bCs/>
          <w:sz w:val="20"/>
          <w:szCs w:val="20"/>
        </w:rPr>
        <w:instrText xml:space="preserve"> SEQ Table \* ARABIC </w:instrText>
      </w:r>
      <w:r w:rsidRPr="003C6926">
        <w:rPr>
          <w:rStyle w:val="CommentReference"/>
        </w:rPr>
        <w:fldChar w:fldCharType="separate"/>
      </w:r>
      <w:r w:rsidR="00137984">
        <w:rPr>
          <w:rFonts w:ascii="Arial Narrow" w:eastAsiaTheme="majorEastAsia" w:hAnsi="Arial Narrow"/>
          <w:b/>
          <w:bCs/>
          <w:noProof/>
          <w:sz w:val="20"/>
          <w:szCs w:val="20"/>
        </w:rPr>
        <w:t>13</w:t>
      </w:r>
      <w:r w:rsidRPr="003C6926">
        <w:rPr>
          <w:rStyle w:val="CommentReference"/>
        </w:rPr>
        <w:fldChar w:fldCharType="end"/>
      </w:r>
      <w:bookmarkEnd w:id="101"/>
      <w:bookmarkEnd w:id="102"/>
      <w:r w:rsidRPr="00391ED7">
        <w:rPr>
          <w:rStyle w:val="CommentReference"/>
        </w:rPr>
        <w:t xml:space="preserve">: </w:t>
      </w:r>
      <w:r w:rsidRPr="007477C0">
        <w:rPr>
          <w:rStyle w:val="CommentReference"/>
        </w:rPr>
        <w:t>Health care resource items: disaggregated summary of cost impacts (undiscounted) for non-Indigenous adults aged ≥</w:t>
      </w:r>
      <w:r w:rsidR="00405D00">
        <w:rPr>
          <w:rStyle w:val="CommentReference"/>
        </w:rPr>
        <w:t xml:space="preserve"> </w:t>
      </w:r>
      <w:r w:rsidRPr="007477C0">
        <w:rPr>
          <w:rStyle w:val="CommentReference"/>
        </w:rPr>
        <w:t>70 years, Indigenous adults aged ≥</w:t>
      </w:r>
      <w:r w:rsidR="00405D00">
        <w:rPr>
          <w:rStyle w:val="CommentReference"/>
        </w:rPr>
        <w:t xml:space="preserve"> </w:t>
      </w:r>
      <w:r w:rsidRPr="007477C0">
        <w:rPr>
          <w:rStyle w:val="CommentReference"/>
        </w:rPr>
        <w:t>50 years, and at-risk adults aged 18-69 years</w:t>
      </w:r>
      <w:r w:rsidR="00912BC8">
        <w:rPr>
          <w:rStyle w:val="CommentReference"/>
        </w:rPr>
        <w:t>, per 1,000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901"/>
        <w:gridCol w:w="901"/>
        <w:gridCol w:w="1137"/>
        <w:gridCol w:w="1137"/>
        <w:gridCol w:w="1409"/>
        <w:gridCol w:w="1137"/>
        <w:gridCol w:w="1139"/>
      </w:tblGrid>
      <w:tr w:rsidR="007D4D11" w:rsidRPr="00D33BE9" w14:paraId="3BA1814A" w14:textId="77777777" w:rsidTr="00F22A1A">
        <w:trPr>
          <w:cantSplit/>
          <w:tblHeader/>
        </w:trPr>
        <w:tc>
          <w:tcPr>
            <w:tcW w:w="696" w:type="pct"/>
            <w:vAlign w:val="center"/>
          </w:tcPr>
          <w:p w14:paraId="5E21469C" w14:textId="77777777" w:rsidR="007D4D11" w:rsidRPr="00D33BE9" w:rsidRDefault="007D4D11" w:rsidP="00CE1B89">
            <w:pPr>
              <w:pStyle w:val="In-tableHeading"/>
              <w:widowControl w:val="0"/>
              <w:jc w:val="center"/>
            </w:pPr>
            <w:r>
              <w:t>Resource item</w:t>
            </w:r>
          </w:p>
        </w:tc>
        <w:tc>
          <w:tcPr>
            <w:tcW w:w="500" w:type="pct"/>
            <w:vAlign w:val="center"/>
          </w:tcPr>
          <w:p w14:paraId="3D9EB6D3" w14:textId="576522B9" w:rsidR="007D4D11" w:rsidRPr="00D33BE9" w:rsidRDefault="007D4D11" w:rsidP="00CE1B89">
            <w:pPr>
              <w:pStyle w:val="In-tableHeading"/>
              <w:widowControl w:val="0"/>
              <w:jc w:val="center"/>
            </w:pPr>
            <w:r>
              <w:t>20vPCV</w:t>
            </w:r>
          </w:p>
        </w:tc>
        <w:tc>
          <w:tcPr>
            <w:tcW w:w="500" w:type="pct"/>
            <w:vAlign w:val="center"/>
          </w:tcPr>
          <w:p w14:paraId="0CD89991" w14:textId="5DF1EACC" w:rsidR="007D4D11" w:rsidRPr="00D33BE9" w:rsidRDefault="007D4D11" w:rsidP="00CE1B89">
            <w:pPr>
              <w:pStyle w:val="In-tableHeading"/>
              <w:widowControl w:val="0"/>
              <w:jc w:val="center"/>
            </w:pPr>
            <w:r>
              <w:t>13vPCV</w:t>
            </w:r>
          </w:p>
        </w:tc>
        <w:tc>
          <w:tcPr>
            <w:tcW w:w="630" w:type="pct"/>
            <w:vAlign w:val="center"/>
          </w:tcPr>
          <w:p w14:paraId="6C880C24" w14:textId="77777777" w:rsidR="007D4D11" w:rsidRPr="00D33BE9" w:rsidRDefault="007D4D11" w:rsidP="00CE1B89">
            <w:pPr>
              <w:pStyle w:val="In-tableHeading"/>
              <w:widowControl w:val="0"/>
              <w:jc w:val="center"/>
            </w:pPr>
            <w:r>
              <w:t>Incremental cost</w:t>
            </w:r>
          </w:p>
        </w:tc>
        <w:tc>
          <w:tcPr>
            <w:tcW w:w="630" w:type="pct"/>
            <w:vAlign w:val="center"/>
          </w:tcPr>
          <w:p w14:paraId="3A46B152" w14:textId="77777777" w:rsidR="007D4D11" w:rsidRPr="00D33BE9" w:rsidRDefault="007D4D11" w:rsidP="00CE1B89">
            <w:pPr>
              <w:pStyle w:val="In-tableHeading"/>
              <w:widowControl w:val="0"/>
              <w:jc w:val="center"/>
            </w:pPr>
            <w:r>
              <w:t xml:space="preserve">% </w:t>
            </w:r>
            <w:proofErr w:type="gramStart"/>
            <w:r>
              <w:t>of</w:t>
            </w:r>
            <w:proofErr w:type="gramEnd"/>
            <w:r>
              <w:t xml:space="preserve"> total incremental cost</w:t>
            </w:r>
          </w:p>
        </w:tc>
        <w:tc>
          <w:tcPr>
            <w:tcW w:w="782" w:type="pct"/>
            <w:vAlign w:val="center"/>
          </w:tcPr>
          <w:p w14:paraId="450D7486" w14:textId="24C97AEA" w:rsidR="007D4D11" w:rsidRDefault="007D4D11" w:rsidP="00CE1B89">
            <w:pPr>
              <w:pStyle w:val="In-tableHeading"/>
              <w:widowControl w:val="0"/>
              <w:jc w:val="center"/>
            </w:pPr>
            <w:r>
              <w:t>15vPCV</w:t>
            </w:r>
          </w:p>
        </w:tc>
        <w:tc>
          <w:tcPr>
            <w:tcW w:w="630" w:type="pct"/>
            <w:vAlign w:val="center"/>
          </w:tcPr>
          <w:p w14:paraId="303C1B70" w14:textId="77777777" w:rsidR="007D4D11" w:rsidRDefault="007D4D11" w:rsidP="00CE1B89">
            <w:pPr>
              <w:pStyle w:val="In-tableHeading"/>
              <w:widowControl w:val="0"/>
              <w:jc w:val="center"/>
            </w:pPr>
            <w:r>
              <w:t>Incremental cost</w:t>
            </w:r>
          </w:p>
        </w:tc>
        <w:tc>
          <w:tcPr>
            <w:tcW w:w="630" w:type="pct"/>
            <w:vAlign w:val="center"/>
          </w:tcPr>
          <w:p w14:paraId="0CF55A9A" w14:textId="77777777" w:rsidR="007D4D11" w:rsidRDefault="007D4D11" w:rsidP="00CE1B89">
            <w:pPr>
              <w:pStyle w:val="In-tableHeading"/>
              <w:widowControl w:val="0"/>
              <w:jc w:val="center"/>
            </w:pPr>
            <w:r>
              <w:t xml:space="preserve">% </w:t>
            </w:r>
            <w:proofErr w:type="gramStart"/>
            <w:r>
              <w:t>of</w:t>
            </w:r>
            <w:proofErr w:type="gramEnd"/>
            <w:r>
              <w:t xml:space="preserve"> total incremental cost</w:t>
            </w:r>
          </w:p>
        </w:tc>
      </w:tr>
      <w:tr w:rsidR="007D4D11" w14:paraId="4CB70D31" w14:textId="77777777" w:rsidTr="00F22A1A">
        <w:trPr>
          <w:cantSplit/>
        </w:trPr>
        <w:tc>
          <w:tcPr>
            <w:tcW w:w="5000" w:type="pct"/>
            <w:gridSpan w:val="8"/>
            <w:vAlign w:val="center"/>
          </w:tcPr>
          <w:p w14:paraId="3DE9C854" w14:textId="1B62329C" w:rsidR="007D4D11" w:rsidRPr="00A321F9" w:rsidRDefault="007D4D11" w:rsidP="00CE1B89">
            <w:pPr>
              <w:pStyle w:val="In-tableHeading"/>
              <w:widowControl w:val="0"/>
            </w:pPr>
            <w:r w:rsidRPr="00A321F9">
              <w:t xml:space="preserve">Non-Indigenous adults </w:t>
            </w:r>
            <w:r w:rsidRPr="00E36CB4">
              <w:rPr>
                <w:u w:val="single"/>
              </w:rPr>
              <w:t>&gt;</w:t>
            </w:r>
            <w:r w:rsidR="00524F52">
              <w:rPr>
                <w:u w:val="single"/>
              </w:rPr>
              <w:t xml:space="preserve"> </w:t>
            </w:r>
            <w:r w:rsidRPr="00A321F9">
              <w:t xml:space="preserve">70 years followed until </w:t>
            </w:r>
            <w:r w:rsidR="00677CC1">
              <w:t>age</w:t>
            </w:r>
            <w:r w:rsidR="00820ABA">
              <w:t xml:space="preserve"> of</w:t>
            </w:r>
            <w:r w:rsidR="00677CC1">
              <w:t xml:space="preserve"> </w:t>
            </w:r>
            <w:r w:rsidRPr="00A321F9">
              <w:t>100 years</w:t>
            </w:r>
          </w:p>
        </w:tc>
      </w:tr>
      <w:tr w:rsidR="007D4D11" w14:paraId="011E4460" w14:textId="77777777" w:rsidTr="002E1FF8">
        <w:trPr>
          <w:cantSplit/>
        </w:trPr>
        <w:tc>
          <w:tcPr>
            <w:tcW w:w="696" w:type="pct"/>
            <w:vAlign w:val="center"/>
          </w:tcPr>
          <w:p w14:paraId="2581E000" w14:textId="77777777" w:rsidR="007D4D11" w:rsidRDefault="007D4D11" w:rsidP="00CE1B89">
            <w:pPr>
              <w:pStyle w:val="TableText0"/>
              <w:widowControl w:val="0"/>
            </w:pPr>
            <w:r>
              <w:t>Vaccination</w:t>
            </w:r>
          </w:p>
        </w:tc>
        <w:tc>
          <w:tcPr>
            <w:tcW w:w="500" w:type="pct"/>
            <w:vAlign w:val="center"/>
          </w:tcPr>
          <w:p w14:paraId="027B399E" w14:textId="36FE2D72" w:rsidR="007D4D11" w:rsidRDefault="007D4D11" w:rsidP="00CE1B89">
            <w:pPr>
              <w:pStyle w:val="TableText0"/>
              <w:widowControl w:val="0"/>
              <w:jc w:val="center"/>
            </w:pPr>
            <w:r>
              <w:t>$</w:t>
            </w:r>
            <w:r w:rsidR="006A414A" w:rsidRPr="006A414A">
              <w:rPr>
                <w:color w:val="000000"/>
                <w:spacing w:val="43"/>
                <w:shd w:val="solid" w:color="000000" w:fill="000000"/>
                <w:fitText w:val="301" w:id="-1303201018"/>
                <w14:textFill>
                  <w14:solidFill>
                    <w14:srgbClr w14:val="000000">
                      <w14:alpha w14:val="100000"/>
                    </w14:srgbClr>
                  </w14:solidFill>
                </w14:textFill>
              </w:rPr>
              <w:t>|||</w:t>
            </w:r>
            <w:r w:rsidR="006A414A" w:rsidRPr="006A414A">
              <w:rPr>
                <w:color w:val="000000"/>
                <w:shd w:val="solid" w:color="000000" w:fill="000000"/>
                <w:fitText w:val="301" w:id="-1303201018"/>
                <w14:textFill>
                  <w14:solidFill>
                    <w14:srgbClr w14:val="000000">
                      <w14:alpha w14:val="100000"/>
                    </w14:srgbClr>
                  </w14:solidFill>
                </w14:textFill>
              </w:rPr>
              <w:t>|</w:t>
            </w:r>
          </w:p>
        </w:tc>
        <w:tc>
          <w:tcPr>
            <w:tcW w:w="500" w:type="pct"/>
            <w:vAlign w:val="center"/>
          </w:tcPr>
          <w:p w14:paraId="4C5E1F2A" w14:textId="7BF024B3" w:rsidR="007D4D11" w:rsidRDefault="007D4D11" w:rsidP="00CE1B89">
            <w:pPr>
              <w:pStyle w:val="TableText0"/>
              <w:widowControl w:val="0"/>
              <w:jc w:val="center"/>
            </w:pPr>
            <w:r w:rsidRPr="00522119">
              <w:t>$</w:t>
            </w:r>
            <w:r w:rsidR="006A414A" w:rsidRPr="006A414A">
              <w:rPr>
                <w:color w:val="000000"/>
                <w:spacing w:val="214"/>
                <w:shd w:val="solid" w:color="000000" w:fill="000000"/>
                <w:fitText w:val="300" w:id="-1303201017"/>
                <w14:textFill>
                  <w14:solidFill>
                    <w14:srgbClr w14:val="000000">
                      <w14:alpha w14:val="100000"/>
                    </w14:srgbClr>
                  </w14:solidFill>
                </w14:textFill>
              </w:rPr>
              <w:t>|</w:t>
            </w:r>
            <w:r w:rsidR="006A414A" w:rsidRPr="006A414A">
              <w:rPr>
                <w:color w:val="000000"/>
                <w:shd w:val="solid" w:color="000000" w:fill="000000"/>
                <w:fitText w:val="300" w:id="-1303201017"/>
                <w14:textFill>
                  <w14:solidFill>
                    <w14:srgbClr w14:val="000000">
                      <w14:alpha w14:val="100000"/>
                    </w14:srgbClr>
                  </w14:solidFill>
                </w14:textFill>
              </w:rPr>
              <w:t>|</w:t>
            </w:r>
          </w:p>
        </w:tc>
        <w:tc>
          <w:tcPr>
            <w:tcW w:w="630" w:type="pct"/>
            <w:vAlign w:val="center"/>
          </w:tcPr>
          <w:p w14:paraId="51DE7403" w14:textId="431B91AC" w:rsidR="007D4D11" w:rsidRDefault="007D4D11" w:rsidP="00CE1B89">
            <w:pPr>
              <w:pStyle w:val="TableText0"/>
              <w:widowControl w:val="0"/>
              <w:jc w:val="center"/>
            </w:pPr>
            <w:r>
              <w:t>$</w:t>
            </w:r>
            <w:r w:rsidR="006A414A" w:rsidRPr="006A414A">
              <w:rPr>
                <w:color w:val="000000"/>
                <w:spacing w:val="112"/>
                <w:shd w:val="solid" w:color="000000" w:fill="000000"/>
                <w:fitText w:val="188" w:id="-1303201016"/>
                <w14:textFill>
                  <w14:solidFill>
                    <w14:srgbClr w14:val="000000">
                      <w14:alpha w14:val="100000"/>
                    </w14:srgbClr>
                  </w14:solidFill>
                </w14:textFill>
              </w:rPr>
              <w:t>|</w:t>
            </w:r>
            <w:r w:rsidR="006A414A" w:rsidRPr="006A414A">
              <w:rPr>
                <w:color w:val="000000"/>
                <w:shd w:val="solid" w:color="000000" w:fill="000000"/>
                <w:fitText w:val="188" w:id="-1303201016"/>
                <w14:textFill>
                  <w14:solidFill>
                    <w14:srgbClr w14:val="000000">
                      <w14:alpha w14:val="100000"/>
                    </w14:srgbClr>
                  </w14:solidFill>
                </w14:textFill>
              </w:rPr>
              <w:t>|</w:t>
            </w:r>
          </w:p>
        </w:tc>
        <w:tc>
          <w:tcPr>
            <w:tcW w:w="630" w:type="pct"/>
            <w:vAlign w:val="center"/>
          </w:tcPr>
          <w:p w14:paraId="5E157B31" w14:textId="77777777" w:rsidR="007D4D11" w:rsidRPr="00CE1B89" w:rsidRDefault="007D4D11" w:rsidP="00CE1B89">
            <w:pPr>
              <w:pStyle w:val="TableText0"/>
              <w:widowControl w:val="0"/>
              <w:jc w:val="center"/>
              <w:rPr>
                <w:highlight w:val="darkGray"/>
              </w:rPr>
            </w:pPr>
            <w:r w:rsidRPr="00522119">
              <w:t>17%</w:t>
            </w:r>
          </w:p>
        </w:tc>
        <w:tc>
          <w:tcPr>
            <w:tcW w:w="782" w:type="pct"/>
            <w:vAlign w:val="center"/>
          </w:tcPr>
          <w:p w14:paraId="7923FA69" w14:textId="7A87F444" w:rsidR="007D4D11" w:rsidRDefault="007D4D11" w:rsidP="00CE1B89">
            <w:pPr>
              <w:pStyle w:val="TableText0"/>
              <w:widowControl w:val="0"/>
              <w:jc w:val="center"/>
            </w:pPr>
            <w:r>
              <w:t>$</w:t>
            </w:r>
            <w:r w:rsidR="006A414A" w:rsidRPr="006A414A">
              <w:rPr>
                <w:rFonts w:hint="eastAsia"/>
                <w:color w:val="000000"/>
                <w:w w:val="15"/>
                <w:shd w:val="solid" w:color="000000" w:fill="000000"/>
                <w:fitText w:val="37" w:id="-1303201015"/>
                <w14:textFill>
                  <w14:solidFill>
                    <w14:srgbClr w14:val="000000">
                      <w14:alpha w14:val="100000"/>
                    </w14:srgbClr>
                  </w14:solidFill>
                </w14:textFill>
              </w:rPr>
              <w:t xml:space="preserve">　</w:t>
            </w:r>
            <w:r w:rsidR="006A414A" w:rsidRPr="006A414A">
              <w:rPr>
                <w:color w:val="000000"/>
                <w:w w:val="15"/>
                <w:shd w:val="solid" w:color="000000" w:fill="000000"/>
                <w:fitText w:val="37" w:id="-1303201015"/>
                <w14:textFill>
                  <w14:solidFill>
                    <w14:srgbClr w14:val="000000">
                      <w14:alpha w14:val="100000"/>
                    </w14:srgbClr>
                  </w14:solidFill>
                </w14:textFill>
              </w:rPr>
              <w:t>|</w:t>
            </w:r>
            <w:r w:rsidR="006A414A" w:rsidRPr="006A414A">
              <w:rPr>
                <w:rFonts w:hint="eastAsia"/>
                <w:color w:val="000000"/>
                <w:spacing w:val="-37"/>
                <w:w w:val="15"/>
                <w:shd w:val="solid" w:color="000000" w:fill="000000"/>
                <w:fitText w:val="37" w:id="-1303201015"/>
                <w14:textFill>
                  <w14:solidFill>
                    <w14:srgbClr w14:val="000000">
                      <w14:alpha w14:val="100000"/>
                    </w14:srgbClr>
                  </w14:solidFill>
                </w14:textFill>
              </w:rPr>
              <w:t xml:space="preserve">　</w:t>
            </w:r>
          </w:p>
        </w:tc>
        <w:tc>
          <w:tcPr>
            <w:tcW w:w="630" w:type="pct"/>
            <w:vAlign w:val="center"/>
          </w:tcPr>
          <w:p w14:paraId="744A98C2" w14:textId="216E03ED" w:rsidR="007D4D11" w:rsidRDefault="007D4D11" w:rsidP="00CE1B89">
            <w:pPr>
              <w:pStyle w:val="TableText0"/>
              <w:widowControl w:val="0"/>
              <w:jc w:val="center"/>
            </w:pPr>
            <w:r>
              <w:t>$</w:t>
            </w:r>
            <w:r w:rsidR="006A414A" w:rsidRPr="006A414A">
              <w:rPr>
                <w:color w:val="000000"/>
                <w:spacing w:val="101"/>
                <w:shd w:val="solid" w:color="000000" w:fill="000000"/>
                <w:fitText w:val="187" w:id="-1303201014"/>
                <w14:textFill>
                  <w14:solidFill>
                    <w14:srgbClr w14:val="000000">
                      <w14:alpha w14:val="100000"/>
                    </w14:srgbClr>
                  </w14:solidFill>
                </w14:textFill>
              </w:rPr>
              <w:t>|</w:t>
            </w:r>
            <w:r w:rsidR="006A414A" w:rsidRPr="006A414A">
              <w:rPr>
                <w:color w:val="000000"/>
                <w:shd w:val="solid" w:color="000000" w:fill="000000"/>
                <w:fitText w:val="187" w:id="-1303201014"/>
                <w14:textFill>
                  <w14:solidFill>
                    <w14:srgbClr w14:val="000000">
                      <w14:alpha w14:val="100000"/>
                    </w14:srgbClr>
                  </w14:solidFill>
                </w14:textFill>
              </w:rPr>
              <w:t>|</w:t>
            </w:r>
          </w:p>
        </w:tc>
        <w:tc>
          <w:tcPr>
            <w:tcW w:w="630" w:type="pct"/>
            <w:vAlign w:val="center"/>
          </w:tcPr>
          <w:p w14:paraId="6CD34C2D" w14:textId="77777777" w:rsidR="007D4D11" w:rsidRPr="00CE1B89" w:rsidRDefault="007D4D11" w:rsidP="00CE1B89">
            <w:pPr>
              <w:pStyle w:val="TableText0"/>
              <w:widowControl w:val="0"/>
              <w:jc w:val="center"/>
              <w:rPr>
                <w:highlight w:val="darkGray"/>
              </w:rPr>
            </w:pPr>
            <w:r w:rsidRPr="00522119">
              <w:t>51%</w:t>
            </w:r>
          </w:p>
        </w:tc>
      </w:tr>
      <w:tr w:rsidR="007D4D11" w14:paraId="3685FF4A" w14:textId="77777777" w:rsidTr="002E1FF8">
        <w:trPr>
          <w:cantSplit/>
        </w:trPr>
        <w:tc>
          <w:tcPr>
            <w:tcW w:w="696" w:type="pct"/>
            <w:vAlign w:val="center"/>
          </w:tcPr>
          <w:p w14:paraId="0131CB41" w14:textId="77777777" w:rsidR="007D4D11" w:rsidRDefault="007D4D11" w:rsidP="00CE1B89">
            <w:pPr>
              <w:pStyle w:val="TableText0"/>
              <w:widowControl w:val="0"/>
            </w:pPr>
            <w:r>
              <w:t>Bacteraemia events</w:t>
            </w:r>
          </w:p>
        </w:tc>
        <w:tc>
          <w:tcPr>
            <w:tcW w:w="500" w:type="pct"/>
            <w:vAlign w:val="center"/>
          </w:tcPr>
          <w:p w14:paraId="6E4F2ED0" w14:textId="77777777" w:rsidR="007D4D11" w:rsidRPr="00F93857" w:rsidRDefault="007D4D11" w:rsidP="00CE1B89">
            <w:pPr>
              <w:pStyle w:val="TableText0"/>
              <w:widowControl w:val="0"/>
              <w:jc w:val="center"/>
            </w:pPr>
            <w:r w:rsidRPr="00F93857">
              <w:t>$26,059</w:t>
            </w:r>
          </w:p>
        </w:tc>
        <w:tc>
          <w:tcPr>
            <w:tcW w:w="500" w:type="pct"/>
            <w:vAlign w:val="center"/>
          </w:tcPr>
          <w:p w14:paraId="6EC3E1B9" w14:textId="77777777" w:rsidR="007D4D11" w:rsidRPr="00F93857" w:rsidRDefault="007D4D11" w:rsidP="00CE1B89">
            <w:pPr>
              <w:pStyle w:val="TableText0"/>
              <w:widowControl w:val="0"/>
              <w:jc w:val="center"/>
            </w:pPr>
            <w:r w:rsidRPr="00F93857">
              <w:t>$30,235</w:t>
            </w:r>
          </w:p>
        </w:tc>
        <w:tc>
          <w:tcPr>
            <w:tcW w:w="630" w:type="pct"/>
            <w:vAlign w:val="center"/>
          </w:tcPr>
          <w:p w14:paraId="6BB766F9" w14:textId="77777777" w:rsidR="007D4D11" w:rsidRPr="00F93857" w:rsidRDefault="007D4D11" w:rsidP="00CE1B89">
            <w:pPr>
              <w:pStyle w:val="TableText0"/>
              <w:widowControl w:val="0"/>
              <w:jc w:val="center"/>
            </w:pPr>
            <w:r w:rsidRPr="00F93857">
              <w:t>-$4,176</w:t>
            </w:r>
          </w:p>
        </w:tc>
        <w:tc>
          <w:tcPr>
            <w:tcW w:w="630" w:type="pct"/>
            <w:vAlign w:val="center"/>
          </w:tcPr>
          <w:p w14:paraId="75F64688" w14:textId="77777777" w:rsidR="007D4D11" w:rsidRPr="00F93857" w:rsidRDefault="007D4D11" w:rsidP="00CE1B89">
            <w:pPr>
              <w:pStyle w:val="TableText0"/>
              <w:widowControl w:val="0"/>
              <w:jc w:val="center"/>
            </w:pPr>
            <w:r w:rsidRPr="00F93857">
              <w:t>-14.2%</w:t>
            </w:r>
          </w:p>
        </w:tc>
        <w:tc>
          <w:tcPr>
            <w:tcW w:w="782" w:type="pct"/>
            <w:vAlign w:val="center"/>
          </w:tcPr>
          <w:p w14:paraId="03FCB4CA" w14:textId="77777777" w:rsidR="007D4D11" w:rsidRPr="00F93857" w:rsidRDefault="007D4D11" w:rsidP="00CE1B89">
            <w:pPr>
              <w:pStyle w:val="TableText0"/>
              <w:widowControl w:val="0"/>
              <w:jc w:val="center"/>
            </w:pPr>
            <w:r w:rsidRPr="00F93857">
              <w:t>$27,930</w:t>
            </w:r>
          </w:p>
        </w:tc>
        <w:tc>
          <w:tcPr>
            <w:tcW w:w="630" w:type="pct"/>
            <w:vAlign w:val="center"/>
          </w:tcPr>
          <w:p w14:paraId="5788855F" w14:textId="3B0AD6C1" w:rsidR="007D4D11" w:rsidRPr="00F93857" w:rsidRDefault="007D4D11" w:rsidP="00CE1B89">
            <w:pPr>
              <w:pStyle w:val="TableText0"/>
              <w:widowControl w:val="0"/>
              <w:jc w:val="center"/>
            </w:pPr>
            <w:r w:rsidRPr="00F93857">
              <w:t>-$1,872</w:t>
            </w:r>
          </w:p>
        </w:tc>
        <w:tc>
          <w:tcPr>
            <w:tcW w:w="630" w:type="pct"/>
            <w:vAlign w:val="center"/>
          </w:tcPr>
          <w:p w14:paraId="3920B329" w14:textId="514F8AAA" w:rsidR="007D4D11" w:rsidRPr="00F93857" w:rsidRDefault="007D4D11" w:rsidP="00CE1B89">
            <w:pPr>
              <w:pStyle w:val="TableText0"/>
              <w:widowControl w:val="0"/>
              <w:jc w:val="center"/>
            </w:pPr>
            <w:r w:rsidRPr="00F93857">
              <w:t>-19%</w:t>
            </w:r>
          </w:p>
        </w:tc>
      </w:tr>
      <w:tr w:rsidR="007D4D11" w14:paraId="079992AD" w14:textId="77777777" w:rsidTr="002E1FF8">
        <w:trPr>
          <w:cantSplit/>
        </w:trPr>
        <w:tc>
          <w:tcPr>
            <w:tcW w:w="696" w:type="pct"/>
            <w:vAlign w:val="center"/>
          </w:tcPr>
          <w:p w14:paraId="4D9F9A17" w14:textId="607D1E93" w:rsidR="007D4D11" w:rsidRDefault="007D4D11" w:rsidP="00CE1B89">
            <w:pPr>
              <w:pStyle w:val="TableText0"/>
              <w:widowControl w:val="0"/>
            </w:pPr>
            <w:r>
              <w:t>Meningitis wo cx events</w:t>
            </w:r>
          </w:p>
        </w:tc>
        <w:tc>
          <w:tcPr>
            <w:tcW w:w="500" w:type="pct"/>
            <w:vAlign w:val="center"/>
          </w:tcPr>
          <w:p w14:paraId="7EE746E2" w14:textId="77777777" w:rsidR="007D4D11" w:rsidRPr="00F93857" w:rsidRDefault="007D4D11" w:rsidP="00CE1B89">
            <w:pPr>
              <w:pStyle w:val="TableText0"/>
              <w:widowControl w:val="0"/>
              <w:jc w:val="center"/>
            </w:pPr>
            <w:r w:rsidRPr="00F93857">
              <w:t>$241</w:t>
            </w:r>
          </w:p>
        </w:tc>
        <w:tc>
          <w:tcPr>
            <w:tcW w:w="500" w:type="pct"/>
            <w:vAlign w:val="center"/>
          </w:tcPr>
          <w:p w14:paraId="099746D6" w14:textId="77777777" w:rsidR="007D4D11" w:rsidRPr="00F93857" w:rsidRDefault="007D4D11" w:rsidP="00CE1B89">
            <w:pPr>
              <w:pStyle w:val="TableText0"/>
              <w:widowControl w:val="0"/>
              <w:jc w:val="center"/>
            </w:pPr>
            <w:r w:rsidRPr="00F93857">
              <w:t>$279</w:t>
            </w:r>
          </w:p>
        </w:tc>
        <w:tc>
          <w:tcPr>
            <w:tcW w:w="630" w:type="pct"/>
            <w:vAlign w:val="center"/>
          </w:tcPr>
          <w:p w14:paraId="0B85479A" w14:textId="77777777" w:rsidR="007D4D11" w:rsidRPr="00F93857" w:rsidRDefault="007D4D11" w:rsidP="00CE1B89">
            <w:pPr>
              <w:pStyle w:val="TableText0"/>
              <w:widowControl w:val="0"/>
              <w:jc w:val="center"/>
            </w:pPr>
            <w:r w:rsidRPr="00F93857">
              <w:t>-$38</w:t>
            </w:r>
          </w:p>
        </w:tc>
        <w:tc>
          <w:tcPr>
            <w:tcW w:w="630" w:type="pct"/>
            <w:vAlign w:val="center"/>
          </w:tcPr>
          <w:p w14:paraId="131899D8" w14:textId="77777777" w:rsidR="007D4D11" w:rsidRPr="00F93857" w:rsidRDefault="007D4D11" w:rsidP="00CE1B89">
            <w:pPr>
              <w:pStyle w:val="TableText0"/>
              <w:widowControl w:val="0"/>
              <w:jc w:val="center"/>
            </w:pPr>
            <w:r w:rsidRPr="00F93857">
              <w:t>-0.13%</w:t>
            </w:r>
          </w:p>
        </w:tc>
        <w:tc>
          <w:tcPr>
            <w:tcW w:w="782" w:type="pct"/>
            <w:vAlign w:val="center"/>
          </w:tcPr>
          <w:p w14:paraId="31D29E1B" w14:textId="77777777" w:rsidR="007D4D11" w:rsidRPr="00F93857" w:rsidRDefault="007D4D11" w:rsidP="00CE1B89">
            <w:pPr>
              <w:pStyle w:val="TableText0"/>
              <w:widowControl w:val="0"/>
              <w:jc w:val="center"/>
            </w:pPr>
            <w:r w:rsidRPr="00F93857">
              <w:t>$258</w:t>
            </w:r>
          </w:p>
        </w:tc>
        <w:tc>
          <w:tcPr>
            <w:tcW w:w="630" w:type="pct"/>
            <w:vAlign w:val="center"/>
          </w:tcPr>
          <w:p w14:paraId="6D937BC8" w14:textId="29DD6C6D" w:rsidR="007D4D11" w:rsidRPr="00F93857" w:rsidRDefault="007D4D11" w:rsidP="00CE1B89">
            <w:pPr>
              <w:pStyle w:val="TableText0"/>
              <w:widowControl w:val="0"/>
              <w:jc w:val="center"/>
            </w:pPr>
            <w:r w:rsidRPr="00F93857">
              <w:t>-$17</w:t>
            </w:r>
          </w:p>
        </w:tc>
        <w:tc>
          <w:tcPr>
            <w:tcW w:w="630" w:type="pct"/>
            <w:vAlign w:val="center"/>
          </w:tcPr>
          <w:p w14:paraId="4E00967A" w14:textId="77777777" w:rsidR="007D4D11" w:rsidRPr="00F93857" w:rsidRDefault="007D4D11" w:rsidP="00CE1B89">
            <w:pPr>
              <w:pStyle w:val="TableText0"/>
              <w:widowControl w:val="0"/>
              <w:jc w:val="center"/>
            </w:pPr>
            <w:r w:rsidRPr="00F93857">
              <w:t>-0.17%</w:t>
            </w:r>
          </w:p>
        </w:tc>
      </w:tr>
      <w:tr w:rsidR="007D4D11" w14:paraId="322C0049" w14:textId="77777777" w:rsidTr="002E1FF8">
        <w:trPr>
          <w:cantSplit/>
        </w:trPr>
        <w:tc>
          <w:tcPr>
            <w:tcW w:w="696" w:type="pct"/>
            <w:vAlign w:val="center"/>
          </w:tcPr>
          <w:p w14:paraId="299CADD9" w14:textId="77777777" w:rsidR="007D4D11" w:rsidRDefault="007D4D11" w:rsidP="00CE1B89">
            <w:pPr>
              <w:pStyle w:val="TableText0"/>
              <w:widowControl w:val="0"/>
            </w:pPr>
            <w:r>
              <w:t>Meningitis w cx events</w:t>
            </w:r>
          </w:p>
        </w:tc>
        <w:tc>
          <w:tcPr>
            <w:tcW w:w="500" w:type="pct"/>
            <w:vAlign w:val="center"/>
          </w:tcPr>
          <w:p w14:paraId="7AC61DBE" w14:textId="77777777" w:rsidR="007D4D11" w:rsidRPr="00F93857" w:rsidRDefault="007D4D11" w:rsidP="00CE1B89">
            <w:pPr>
              <w:pStyle w:val="TableText0"/>
              <w:widowControl w:val="0"/>
              <w:jc w:val="center"/>
            </w:pPr>
            <w:r w:rsidRPr="00F93857">
              <w:t>$214</w:t>
            </w:r>
          </w:p>
        </w:tc>
        <w:tc>
          <w:tcPr>
            <w:tcW w:w="500" w:type="pct"/>
            <w:vAlign w:val="center"/>
          </w:tcPr>
          <w:p w14:paraId="1D6FFFE8" w14:textId="77777777" w:rsidR="007D4D11" w:rsidRPr="00F93857" w:rsidRDefault="007D4D11" w:rsidP="00CE1B89">
            <w:pPr>
              <w:pStyle w:val="TableText0"/>
              <w:widowControl w:val="0"/>
              <w:jc w:val="center"/>
            </w:pPr>
            <w:r w:rsidRPr="00F93857">
              <w:t>$251</w:t>
            </w:r>
          </w:p>
        </w:tc>
        <w:tc>
          <w:tcPr>
            <w:tcW w:w="630" w:type="pct"/>
            <w:vAlign w:val="center"/>
          </w:tcPr>
          <w:p w14:paraId="6CB920C0" w14:textId="77777777" w:rsidR="007D4D11" w:rsidRPr="00F93857" w:rsidRDefault="007D4D11" w:rsidP="00CE1B89">
            <w:pPr>
              <w:pStyle w:val="TableText0"/>
              <w:widowControl w:val="0"/>
              <w:jc w:val="center"/>
            </w:pPr>
            <w:r w:rsidRPr="00F93857">
              <w:t>-$37</w:t>
            </w:r>
          </w:p>
        </w:tc>
        <w:tc>
          <w:tcPr>
            <w:tcW w:w="630" w:type="pct"/>
            <w:vAlign w:val="center"/>
          </w:tcPr>
          <w:p w14:paraId="152A4BCE" w14:textId="77777777" w:rsidR="007D4D11" w:rsidRPr="00F93857" w:rsidRDefault="007D4D11" w:rsidP="00CE1B89">
            <w:pPr>
              <w:pStyle w:val="TableText0"/>
              <w:widowControl w:val="0"/>
              <w:spacing w:line="259" w:lineRule="auto"/>
              <w:jc w:val="center"/>
            </w:pPr>
            <w:r w:rsidRPr="00F93857">
              <w:t>-0.13%</w:t>
            </w:r>
          </w:p>
        </w:tc>
        <w:tc>
          <w:tcPr>
            <w:tcW w:w="782" w:type="pct"/>
            <w:vAlign w:val="center"/>
          </w:tcPr>
          <w:p w14:paraId="12AAE09A" w14:textId="77777777" w:rsidR="007D4D11" w:rsidRPr="00F93857" w:rsidRDefault="007D4D11" w:rsidP="00CE1B89">
            <w:pPr>
              <w:pStyle w:val="TableText0"/>
              <w:widowControl w:val="0"/>
              <w:jc w:val="center"/>
            </w:pPr>
            <w:r w:rsidRPr="00F93857">
              <w:t>$231</w:t>
            </w:r>
          </w:p>
        </w:tc>
        <w:tc>
          <w:tcPr>
            <w:tcW w:w="630" w:type="pct"/>
            <w:vAlign w:val="center"/>
          </w:tcPr>
          <w:p w14:paraId="35475662" w14:textId="2E9561EC" w:rsidR="007D4D11" w:rsidRPr="00F93857" w:rsidRDefault="007D4D11" w:rsidP="00CE1B89">
            <w:pPr>
              <w:pStyle w:val="TableText0"/>
              <w:widowControl w:val="0"/>
              <w:jc w:val="center"/>
            </w:pPr>
            <w:r w:rsidRPr="00F93857">
              <w:t>-$17</w:t>
            </w:r>
          </w:p>
        </w:tc>
        <w:tc>
          <w:tcPr>
            <w:tcW w:w="630" w:type="pct"/>
            <w:vAlign w:val="center"/>
          </w:tcPr>
          <w:p w14:paraId="0CC9BB88" w14:textId="77777777" w:rsidR="007D4D11" w:rsidRPr="00F93857" w:rsidRDefault="007D4D11" w:rsidP="00CE1B89">
            <w:pPr>
              <w:pStyle w:val="TableText0"/>
              <w:widowControl w:val="0"/>
              <w:jc w:val="center"/>
            </w:pPr>
            <w:r w:rsidRPr="00F93857">
              <w:t>-0.17%</w:t>
            </w:r>
          </w:p>
        </w:tc>
      </w:tr>
      <w:tr w:rsidR="007D4D11" w14:paraId="3AEFB83D" w14:textId="77777777" w:rsidTr="002E1FF8">
        <w:trPr>
          <w:cantSplit/>
        </w:trPr>
        <w:tc>
          <w:tcPr>
            <w:tcW w:w="696" w:type="pct"/>
            <w:vAlign w:val="center"/>
          </w:tcPr>
          <w:p w14:paraId="5D13CCFB" w14:textId="1A572758" w:rsidR="007D4D11" w:rsidRDefault="007D4D11" w:rsidP="00CE1B89">
            <w:pPr>
              <w:pStyle w:val="TableText0"/>
              <w:widowControl w:val="0"/>
            </w:pPr>
            <w:r>
              <w:t>PNE hospitalisation events</w:t>
            </w:r>
          </w:p>
        </w:tc>
        <w:tc>
          <w:tcPr>
            <w:tcW w:w="500" w:type="pct"/>
            <w:vAlign w:val="center"/>
          </w:tcPr>
          <w:p w14:paraId="5BAB9891" w14:textId="77777777" w:rsidR="007D4D11" w:rsidRPr="00F93857" w:rsidRDefault="007D4D11" w:rsidP="00CE1B89">
            <w:pPr>
              <w:pStyle w:val="TableText0"/>
              <w:widowControl w:val="0"/>
              <w:spacing w:line="259" w:lineRule="auto"/>
              <w:jc w:val="center"/>
            </w:pPr>
            <w:r w:rsidRPr="00F93857">
              <w:t>$376,510</w:t>
            </w:r>
          </w:p>
        </w:tc>
        <w:tc>
          <w:tcPr>
            <w:tcW w:w="500" w:type="pct"/>
            <w:vAlign w:val="center"/>
          </w:tcPr>
          <w:p w14:paraId="6108D548" w14:textId="77777777" w:rsidR="007D4D11" w:rsidRPr="00F93857" w:rsidRDefault="007D4D11" w:rsidP="00CE1B89">
            <w:pPr>
              <w:pStyle w:val="TableText0"/>
              <w:widowControl w:val="0"/>
              <w:jc w:val="center"/>
            </w:pPr>
            <w:r w:rsidRPr="00F93857">
              <w:t>$496,365</w:t>
            </w:r>
          </w:p>
        </w:tc>
        <w:tc>
          <w:tcPr>
            <w:tcW w:w="630" w:type="pct"/>
            <w:vAlign w:val="center"/>
          </w:tcPr>
          <w:p w14:paraId="2AEB067F" w14:textId="77777777" w:rsidR="007D4D11" w:rsidRPr="00F93857" w:rsidRDefault="007D4D11" w:rsidP="00CE1B89">
            <w:pPr>
              <w:pStyle w:val="TableText0"/>
              <w:widowControl w:val="0"/>
              <w:jc w:val="center"/>
            </w:pPr>
            <w:r w:rsidRPr="00F93857">
              <w:t>-$29,855</w:t>
            </w:r>
          </w:p>
        </w:tc>
        <w:tc>
          <w:tcPr>
            <w:tcW w:w="630" w:type="pct"/>
            <w:vAlign w:val="center"/>
          </w:tcPr>
          <w:p w14:paraId="1564F9BA" w14:textId="77777777" w:rsidR="007D4D11" w:rsidRPr="00F93857" w:rsidRDefault="007D4D11" w:rsidP="00CE1B89">
            <w:pPr>
              <w:pStyle w:val="TableText0"/>
              <w:widowControl w:val="0"/>
              <w:jc w:val="center"/>
            </w:pPr>
            <w:r w:rsidRPr="00F93857">
              <w:t>-102%</w:t>
            </w:r>
          </w:p>
        </w:tc>
        <w:tc>
          <w:tcPr>
            <w:tcW w:w="782" w:type="pct"/>
            <w:vAlign w:val="center"/>
          </w:tcPr>
          <w:p w14:paraId="5DCD01E7" w14:textId="77777777" w:rsidR="007D4D11" w:rsidRPr="00F93857" w:rsidRDefault="007D4D11" w:rsidP="00CE1B89">
            <w:pPr>
              <w:pStyle w:val="TableText0"/>
              <w:widowControl w:val="0"/>
              <w:jc w:val="center"/>
            </w:pPr>
            <w:r w:rsidRPr="00F93857">
              <w:t>$389,307</w:t>
            </w:r>
          </w:p>
        </w:tc>
        <w:tc>
          <w:tcPr>
            <w:tcW w:w="630" w:type="pct"/>
            <w:vAlign w:val="center"/>
          </w:tcPr>
          <w:p w14:paraId="4526CF43" w14:textId="33DA69C9" w:rsidR="007D4D11" w:rsidRPr="00F93857" w:rsidRDefault="007D4D11" w:rsidP="00CE1B89">
            <w:pPr>
              <w:pStyle w:val="TableText0"/>
              <w:widowControl w:val="0"/>
              <w:jc w:val="center"/>
            </w:pPr>
            <w:r w:rsidRPr="00F93857">
              <w:t>-$12,797</w:t>
            </w:r>
          </w:p>
        </w:tc>
        <w:tc>
          <w:tcPr>
            <w:tcW w:w="630" w:type="pct"/>
            <w:vAlign w:val="center"/>
          </w:tcPr>
          <w:p w14:paraId="7CEA1334" w14:textId="77777777" w:rsidR="007D4D11" w:rsidRPr="00F93857" w:rsidRDefault="007D4D11" w:rsidP="00CE1B89">
            <w:pPr>
              <w:pStyle w:val="TableText0"/>
              <w:widowControl w:val="0"/>
              <w:jc w:val="center"/>
            </w:pPr>
            <w:r w:rsidRPr="00F93857">
              <w:t>-130%</w:t>
            </w:r>
          </w:p>
        </w:tc>
      </w:tr>
      <w:tr w:rsidR="007D4D11" w14:paraId="6CB2EF2C" w14:textId="77777777" w:rsidTr="005E4E54">
        <w:trPr>
          <w:cantSplit/>
        </w:trPr>
        <w:tc>
          <w:tcPr>
            <w:tcW w:w="696" w:type="pct"/>
            <w:vAlign w:val="center"/>
          </w:tcPr>
          <w:p w14:paraId="197BC9DD" w14:textId="5EFB0D41" w:rsidR="007D4D11" w:rsidRDefault="007D4D11" w:rsidP="00CE1B89">
            <w:pPr>
              <w:pStyle w:val="TableText0"/>
              <w:widowControl w:val="0"/>
            </w:pPr>
            <w:r>
              <w:t>PNE GP visits</w:t>
            </w:r>
          </w:p>
        </w:tc>
        <w:tc>
          <w:tcPr>
            <w:tcW w:w="500" w:type="pct"/>
            <w:vAlign w:val="center"/>
          </w:tcPr>
          <w:p w14:paraId="3CFBE4A0" w14:textId="77777777" w:rsidR="007D4D11" w:rsidRPr="00F93857" w:rsidRDefault="007D4D11" w:rsidP="00CE1B89">
            <w:pPr>
              <w:pStyle w:val="TableText0"/>
              <w:widowControl w:val="0"/>
              <w:spacing w:line="259" w:lineRule="auto"/>
              <w:jc w:val="center"/>
            </w:pPr>
            <w:r w:rsidRPr="00F93857">
              <w:t>$8,645</w:t>
            </w:r>
          </w:p>
        </w:tc>
        <w:tc>
          <w:tcPr>
            <w:tcW w:w="500" w:type="pct"/>
            <w:vAlign w:val="center"/>
          </w:tcPr>
          <w:p w14:paraId="267E9097" w14:textId="77777777" w:rsidR="007D4D11" w:rsidRPr="00F93857" w:rsidRDefault="007D4D11" w:rsidP="00CE1B89">
            <w:pPr>
              <w:pStyle w:val="TableText0"/>
              <w:widowControl w:val="0"/>
              <w:jc w:val="center"/>
            </w:pPr>
            <w:r w:rsidRPr="00F93857">
              <w:t>$8,940</w:t>
            </w:r>
          </w:p>
        </w:tc>
        <w:tc>
          <w:tcPr>
            <w:tcW w:w="630" w:type="pct"/>
            <w:vAlign w:val="center"/>
          </w:tcPr>
          <w:p w14:paraId="607DA8C0" w14:textId="77777777" w:rsidR="007D4D11" w:rsidRPr="00F93857" w:rsidRDefault="007D4D11" w:rsidP="00CE1B89">
            <w:pPr>
              <w:pStyle w:val="TableText0"/>
              <w:widowControl w:val="0"/>
              <w:jc w:val="center"/>
            </w:pPr>
            <w:r w:rsidRPr="00F93857">
              <w:t>-$295</w:t>
            </w:r>
          </w:p>
        </w:tc>
        <w:tc>
          <w:tcPr>
            <w:tcW w:w="630" w:type="pct"/>
            <w:vAlign w:val="center"/>
          </w:tcPr>
          <w:p w14:paraId="4FBFBAEB" w14:textId="77777777" w:rsidR="007D4D11" w:rsidRPr="00F93857" w:rsidRDefault="007D4D11" w:rsidP="00CE1B89">
            <w:pPr>
              <w:pStyle w:val="TableText0"/>
              <w:widowControl w:val="0"/>
              <w:jc w:val="center"/>
            </w:pPr>
            <w:r w:rsidRPr="00F93857">
              <w:t>-1%</w:t>
            </w:r>
          </w:p>
        </w:tc>
        <w:tc>
          <w:tcPr>
            <w:tcW w:w="782" w:type="pct"/>
          </w:tcPr>
          <w:p w14:paraId="0972BC2A" w14:textId="77777777" w:rsidR="007D4D11" w:rsidRPr="00F93857" w:rsidRDefault="007D4D11" w:rsidP="00CE1B89">
            <w:pPr>
              <w:pStyle w:val="TableText0"/>
              <w:widowControl w:val="0"/>
              <w:jc w:val="center"/>
            </w:pPr>
            <w:r w:rsidRPr="00F93857">
              <w:t>$8,772</w:t>
            </w:r>
          </w:p>
        </w:tc>
        <w:tc>
          <w:tcPr>
            <w:tcW w:w="630" w:type="pct"/>
          </w:tcPr>
          <w:p w14:paraId="11A9553A" w14:textId="77777777" w:rsidR="007D4D11" w:rsidRPr="00F93857" w:rsidRDefault="007D4D11" w:rsidP="00CE1B89">
            <w:pPr>
              <w:pStyle w:val="TableText0"/>
              <w:widowControl w:val="0"/>
              <w:jc w:val="center"/>
            </w:pPr>
            <w:r w:rsidRPr="00F93857">
              <w:t>$126</w:t>
            </w:r>
          </w:p>
        </w:tc>
        <w:tc>
          <w:tcPr>
            <w:tcW w:w="630" w:type="pct"/>
          </w:tcPr>
          <w:p w14:paraId="28374DDD" w14:textId="77777777" w:rsidR="007D4D11" w:rsidRPr="00F93857" w:rsidRDefault="007D4D11" w:rsidP="00CE1B89">
            <w:pPr>
              <w:pStyle w:val="TableText0"/>
              <w:widowControl w:val="0"/>
              <w:jc w:val="center"/>
            </w:pPr>
            <w:r w:rsidRPr="00F93857">
              <w:t>1%</w:t>
            </w:r>
          </w:p>
        </w:tc>
      </w:tr>
      <w:tr w:rsidR="007D4D11" w14:paraId="30BC0CAF" w14:textId="77777777" w:rsidTr="005E4E54">
        <w:trPr>
          <w:cantSplit/>
        </w:trPr>
        <w:tc>
          <w:tcPr>
            <w:tcW w:w="696" w:type="pct"/>
            <w:vAlign w:val="center"/>
          </w:tcPr>
          <w:p w14:paraId="278E6DA9" w14:textId="77777777" w:rsidR="007D4D11" w:rsidRPr="00522119" w:rsidRDefault="007D4D11" w:rsidP="00CE1B89">
            <w:pPr>
              <w:pStyle w:val="TableText0"/>
              <w:widowControl w:val="0"/>
            </w:pPr>
            <w:r w:rsidRPr="00522119">
              <w:t>Total</w:t>
            </w:r>
          </w:p>
        </w:tc>
        <w:tc>
          <w:tcPr>
            <w:tcW w:w="500" w:type="pct"/>
            <w:vAlign w:val="center"/>
          </w:tcPr>
          <w:p w14:paraId="1E11BDD8" w14:textId="7F5D5802" w:rsidR="007D4D11" w:rsidRPr="00522119" w:rsidRDefault="007D4D11" w:rsidP="00CE1B89">
            <w:pPr>
              <w:pStyle w:val="TableText0"/>
              <w:widowControl w:val="0"/>
              <w:jc w:val="center"/>
            </w:pPr>
            <w:r w:rsidRPr="00522119">
              <w:t>$</w:t>
            </w:r>
            <w:r w:rsidR="006A414A" w:rsidRPr="006A414A">
              <w:rPr>
                <w:color w:val="000000"/>
                <w:spacing w:val="43"/>
                <w:shd w:val="solid" w:color="000000" w:fill="000000"/>
                <w:fitText w:val="301" w:id="-1303201013"/>
                <w14:textFill>
                  <w14:solidFill>
                    <w14:srgbClr w14:val="000000">
                      <w14:alpha w14:val="100000"/>
                    </w14:srgbClr>
                  </w14:solidFill>
                </w14:textFill>
              </w:rPr>
              <w:t>|||</w:t>
            </w:r>
            <w:r w:rsidR="006A414A" w:rsidRPr="006A414A">
              <w:rPr>
                <w:color w:val="000000"/>
                <w:spacing w:val="2"/>
                <w:shd w:val="solid" w:color="000000" w:fill="000000"/>
                <w:fitText w:val="301" w:id="-1303201013"/>
                <w14:textFill>
                  <w14:solidFill>
                    <w14:srgbClr w14:val="000000">
                      <w14:alpha w14:val="100000"/>
                    </w14:srgbClr>
                  </w14:solidFill>
                </w14:textFill>
              </w:rPr>
              <w:t>|</w:t>
            </w:r>
          </w:p>
        </w:tc>
        <w:tc>
          <w:tcPr>
            <w:tcW w:w="500" w:type="pct"/>
            <w:vAlign w:val="center"/>
          </w:tcPr>
          <w:p w14:paraId="29ACCBF4" w14:textId="4DE6EFBF" w:rsidR="007D4D11" w:rsidRPr="00522119" w:rsidRDefault="007D4D11" w:rsidP="00CE1B89">
            <w:pPr>
              <w:pStyle w:val="TableText0"/>
              <w:widowControl w:val="0"/>
              <w:jc w:val="center"/>
            </w:pPr>
            <w:r w:rsidRPr="00522119">
              <w:t>$</w:t>
            </w:r>
            <w:r w:rsidR="006A414A" w:rsidRPr="006A414A">
              <w:rPr>
                <w:color w:val="000000"/>
                <w:spacing w:val="214"/>
                <w:shd w:val="solid" w:color="000000" w:fill="000000"/>
                <w:fitText w:val="300" w:id="-1303201012"/>
                <w14:textFill>
                  <w14:solidFill>
                    <w14:srgbClr w14:val="000000">
                      <w14:alpha w14:val="100000"/>
                    </w14:srgbClr>
                  </w14:solidFill>
                </w14:textFill>
              </w:rPr>
              <w:t>|</w:t>
            </w:r>
            <w:r w:rsidR="006A414A" w:rsidRPr="006A414A">
              <w:rPr>
                <w:color w:val="000000"/>
                <w:shd w:val="solid" w:color="000000" w:fill="000000"/>
                <w:fitText w:val="300" w:id="-1303201012"/>
                <w14:textFill>
                  <w14:solidFill>
                    <w14:srgbClr w14:val="000000">
                      <w14:alpha w14:val="100000"/>
                    </w14:srgbClr>
                  </w14:solidFill>
                </w14:textFill>
              </w:rPr>
              <w:t>|</w:t>
            </w:r>
          </w:p>
        </w:tc>
        <w:tc>
          <w:tcPr>
            <w:tcW w:w="630" w:type="pct"/>
            <w:vAlign w:val="center"/>
          </w:tcPr>
          <w:p w14:paraId="65192A3A" w14:textId="3AA6C43A" w:rsidR="007D4D11" w:rsidRPr="00522119" w:rsidRDefault="007D4D11" w:rsidP="00CE1B89">
            <w:pPr>
              <w:pStyle w:val="TableText0"/>
              <w:widowControl w:val="0"/>
              <w:jc w:val="center"/>
            </w:pPr>
            <w:r w:rsidRPr="00522119">
              <w:t>-$</w:t>
            </w:r>
            <w:r w:rsidR="006A414A" w:rsidRPr="006A414A">
              <w:rPr>
                <w:color w:val="000000"/>
                <w:spacing w:val="114"/>
                <w:shd w:val="solid" w:color="000000" w:fill="000000"/>
                <w:fitText w:val="200" w:id="-1303201011"/>
                <w14:textFill>
                  <w14:solidFill>
                    <w14:srgbClr w14:val="000000">
                      <w14:alpha w14:val="100000"/>
                    </w14:srgbClr>
                  </w14:solidFill>
                </w14:textFill>
              </w:rPr>
              <w:t>|</w:t>
            </w:r>
            <w:r w:rsidR="006A414A" w:rsidRPr="006A414A">
              <w:rPr>
                <w:color w:val="000000"/>
                <w:shd w:val="solid" w:color="000000" w:fill="000000"/>
                <w:fitText w:val="200" w:id="-1303201011"/>
                <w14:textFill>
                  <w14:solidFill>
                    <w14:srgbClr w14:val="000000">
                      <w14:alpha w14:val="100000"/>
                    </w14:srgbClr>
                  </w14:solidFill>
                </w14:textFill>
              </w:rPr>
              <w:t>|</w:t>
            </w:r>
          </w:p>
        </w:tc>
        <w:tc>
          <w:tcPr>
            <w:tcW w:w="630" w:type="pct"/>
            <w:vAlign w:val="center"/>
          </w:tcPr>
          <w:p w14:paraId="1175E411" w14:textId="77777777" w:rsidR="007D4D11" w:rsidRPr="00522119" w:rsidRDefault="007D4D11" w:rsidP="00CE1B89">
            <w:pPr>
              <w:pStyle w:val="TableText0"/>
              <w:widowControl w:val="0"/>
              <w:jc w:val="center"/>
            </w:pPr>
            <w:r w:rsidRPr="00522119">
              <w:t>100%</w:t>
            </w:r>
          </w:p>
        </w:tc>
        <w:tc>
          <w:tcPr>
            <w:tcW w:w="782" w:type="pct"/>
          </w:tcPr>
          <w:p w14:paraId="72BB105A" w14:textId="5DF56448" w:rsidR="007D4D11" w:rsidRPr="00522119" w:rsidRDefault="007D4D11" w:rsidP="00CE1B89">
            <w:pPr>
              <w:pStyle w:val="TableText0"/>
              <w:widowControl w:val="0"/>
              <w:jc w:val="center"/>
            </w:pPr>
            <w:r w:rsidRPr="00522119">
              <w:t>$</w:t>
            </w:r>
            <w:r w:rsidR="006A414A" w:rsidRPr="006A414A">
              <w:rPr>
                <w:rFonts w:hint="eastAsia"/>
                <w:color w:val="000000"/>
                <w:w w:val="15"/>
                <w:shd w:val="solid" w:color="000000" w:fill="000000"/>
                <w:fitText w:val="37" w:id="-1303201010"/>
                <w14:textFill>
                  <w14:solidFill>
                    <w14:srgbClr w14:val="000000">
                      <w14:alpha w14:val="100000"/>
                    </w14:srgbClr>
                  </w14:solidFill>
                </w14:textFill>
              </w:rPr>
              <w:t xml:space="preserve">　</w:t>
            </w:r>
            <w:r w:rsidR="006A414A" w:rsidRPr="006A414A">
              <w:rPr>
                <w:color w:val="000000"/>
                <w:w w:val="15"/>
                <w:shd w:val="solid" w:color="000000" w:fill="000000"/>
                <w:fitText w:val="37" w:id="-1303201010"/>
                <w14:textFill>
                  <w14:solidFill>
                    <w14:srgbClr w14:val="000000">
                      <w14:alpha w14:val="100000"/>
                    </w14:srgbClr>
                  </w14:solidFill>
                </w14:textFill>
              </w:rPr>
              <w:t>|</w:t>
            </w:r>
            <w:r w:rsidR="006A414A" w:rsidRPr="006A414A">
              <w:rPr>
                <w:rFonts w:hint="eastAsia"/>
                <w:color w:val="000000"/>
                <w:spacing w:val="-29"/>
                <w:w w:val="15"/>
                <w:shd w:val="solid" w:color="000000" w:fill="000000"/>
                <w:fitText w:val="37" w:id="-1303201010"/>
                <w14:textFill>
                  <w14:solidFill>
                    <w14:srgbClr w14:val="000000">
                      <w14:alpha w14:val="100000"/>
                    </w14:srgbClr>
                  </w14:solidFill>
                </w14:textFill>
              </w:rPr>
              <w:t xml:space="preserve">　</w:t>
            </w:r>
          </w:p>
        </w:tc>
        <w:tc>
          <w:tcPr>
            <w:tcW w:w="630" w:type="pct"/>
          </w:tcPr>
          <w:p w14:paraId="0D6F4509" w14:textId="5E9917BF" w:rsidR="007D4D11" w:rsidRPr="00522119" w:rsidRDefault="007D4D11" w:rsidP="00CE1B89">
            <w:pPr>
              <w:pStyle w:val="TableText0"/>
              <w:widowControl w:val="0"/>
              <w:jc w:val="center"/>
            </w:pPr>
            <w:r w:rsidRPr="00522119">
              <w:t>-$</w:t>
            </w:r>
            <w:r w:rsidR="006A414A" w:rsidRPr="006A414A">
              <w:rPr>
                <w:color w:val="000000"/>
                <w:spacing w:val="114"/>
                <w:shd w:val="solid" w:color="000000" w:fill="000000"/>
                <w:fitText w:val="200" w:id="-1303201009"/>
                <w14:textFill>
                  <w14:solidFill>
                    <w14:srgbClr w14:val="000000">
                      <w14:alpha w14:val="100000"/>
                    </w14:srgbClr>
                  </w14:solidFill>
                </w14:textFill>
              </w:rPr>
              <w:t>|</w:t>
            </w:r>
            <w:r w:rsidR="006A414A" w:rsidRPr="006A414A">
              <w:rPr>
                <w:color w:val="000000"/>
                <w:shd w:val="solid" w:color="000000" w:fill="000000"/>
                <w:fitText w:val="200" w:id="-1303201009"/>
                <w14:textFill>
                  <w14:solidFill>
                    <w14:srgbClr w14:val="000000">
                      <w14:alpha w14:val="100000"/>
                    </w14:srgbClr>
                  </w14:solidFill>
                </w14:textFill>
              </w:rPr>
              <w:t>|</w:t>
            </w:r>
          </w:p>
        </w:tc>
        <w:tc>
          <w:tcPr>
            <w:tcW w:w="630" w:type="pct"/>
          </w:tcPr>
          <w:p w14:paraId="00B812F6" w14:textId="77777777" w:rsidR="007D4D11" w:rsidRPr="00522119" w:rsidRDefault="007D4D11" w:rsidP="00CE1B89">
            <w:pPr>
              <w:pStyle w:val="TableText0"/>
              <w:widowControl w:val="0"/>
              <w:jc w:val="center"/>
            </w:pPr>
            <w:r w:rsidRPr="00522119">
              <w:t>100%</w:t>
            </w:r>
          </w:p>
        </w:tc>
      </w:tr>
      <w:tr w:rsidR="007D4D11" w14:paraId="4E82F6A2" w14:textId="77777777" w:rsidTr="005E4E54">
        <w:trPr>
          <w:cantSplit/>
        </w:trPr>
        <w:tc>
          <w:tcPr>
            <w:tcW w:w="5000" w:type="pct"/>
            <w:gridSpan w:val="8"/>
            <w:vAlign w:val="center"/>
          </w:tcPr>
          <w:p w14:paraId="393F5A96" w14:textId="6BC54197" w:rsidR="007D4D11" w:rsidRPr="005551ED" w:rsidRDefault="007D4D11" w:rsidP="00CE1B89">
            <w:pPr>
              <w:pStyle w:val="In-tableHeading"/>
              <w:widowControl w:val="0"/>
              <w:rPr>
                <w:vertAlign w:val="superscript"/>
              </w:rPr>
            </w:pPr>
            <w:r w:rsidRPr="00A321F9">
              <w:t xml:space="preserve">Indigenous Australians </w:t>
            </w:r>
            <w:r w:rsidRPr="00E36CB4">
              <w:rPr>
                <w:u w:val="single"/>
              </w:rPr>
              <w:t>&gt;</w:t>
            </w:r>
            <w:r w:rsidR="00524F52">
              <w:rPr>
                <w:u w:val="single"/>
              </w:rPr>
              <w:t xml:space="preserve"> </w:t>
            </w:r>
            <w:r w:rsidRPr="00A321F9">
              <w:t xml:space="preserve">50 years followed until </w:t>
            </w:r>
            <w:r w:rsidR="00677CC1">
              <w:t>age</w:t>
            </w:r>
            <w:r w:rsidR="00820ABA">
              <w:t xml:space="preserve"> of</w:t>
            </w:r>
            <w:r w:rsidR="00677CC1">
              <w:t xml:space="preserve"> </w:t>
            </w:r>
            <w:r w:rsidRPr="00A321F9">
              <w:t xml:space="preserve">100 </w:t>
            </w:r>
            <w:proofErr w:type="spellStart"/>
            <w:r w:rsidRPr="00A321F9">
              <w:t>years</w:t>
            </w:r>
            <w:r>
              <w:rPr>
                <w:vertAlign w:val="superscript"/>
              </w:rPr>
              <w:t>a</w:t>
            </w:r>
            <w:proofErr w:type="spellEnd"/>
          </w:p>
        </w:tc>
      </w:tr>
      <w:tr w:rsidR="007D4D11" w14:paraId="1DB39BAF" w14:textId="77777777" w:rsidTr="005E4E54">
        <w:trPr>
          <w:cantSplit/>
        </w:trPr>
        <w:tc>
          <w:tcPr>
            <w:tcW w:w="696" w:type="pct"/>
            <w:vAlign w:val="center"/>
          </w:tcPr>
          <w:p w14:paraId="113C879C" w14:textId="77777777" w:rsidR="007D4D11" w:rsidRDefault="007D4D11" w:rsidP="00CE1B89">
            <w:pPr>
              <w:pStyle w:val="TableText0"/>
              <w:widowControl w:val="0"/>
            </w:pPr>
            <w:r>
              <w:t>Vaccination</w:t>
            </w:r>
          </w:p>
        </w:tc>
        <w:tc>
          <w:tcPr>
            <w:tcW w:w="500" w:type="pct"/>
            <w:vAlign w:val="center"/>
          </w:tcPr>
          <w:p w14:paraId="5A2B2E95" w14:textId="1A0E25CD" w:rsidR="007D4D11" w:rsidRDefault="007D4D11" w:rsidP="00CE1B89">
            <w:pPr>
              <w:pStyle w:val="TableText0"/>
              <w:widowControl w:val="0"/>
              <w:jc w:val="center"/>
            </w:pPr>
            <w:r>
              <w:t>$</w:t>
            </w:r>
            <w:r w:rsidR="006A414A" w:rsidRPr="006A414A">
              <w:rPr>
                <w:color w:val="000000"/>
                <w:spacing w:val="43"/>
                <w:shd w:val="solid" w:color="000000" w:fill="000000"/>
                <w:fitText w:val="301" w:id="-1303201008"/>
                <w14:textFill>
                  <w14:solidFill>
                    <w14:srgbClr w14:val="000000">
                      <w14:alpha w14:val="100000"/>
                    </w14:srgbClr>
                  </w14:solidFill>
                </w14:textFill>
              </w:rPr>
              <w:t>|||</w:t>
            </w:r>
            <w:r w:rsidR="006A414A" w:rsidRPr="006A414A">
              <w:rPr>
                <w:color w:val="000000"/>
                <w:spacing w:val="2"/>
                <w:shd w:val="solid" w:color="000000" w:fill="000000"/>
                <w:fitText w:val="301" w:id="-1303201008"/>
                <w14:textFill>
                  <w14:solidFill>
                    <w14:srgbClr w14:val="000000">
                      <w14:alpha w14:val="100000"/>
                    </w14:srgbClr>
                  </w14:solidFill>
                </w14:textFill>
              </w:rPr>
              <w:t>|</w:t>
            </w:r>
          </w:p>
        </w:tc>
        <w:tc>
          <w:tcPr>
            <w:tcW w:w="500" w:type="pct"/>
            <w:vAlign w:val="center"/>
          </w:tcPr>
          <w:p w14:paraId="45A6EBD6" w14:textId="327F9ECB" w:rsidR="007D4D11" w:rsidRDefault="007D4D11" w:rsidP="00CE1B89">
            <w:pPr>
              <w:pStyle w:val="TableText0"/>
              <w:widowControl w:val="0"/>
              <w:jc w:val="center"/>
            </w:pPr>
            <w:r>
              <w:t>$</w:t>
            </w:r>
            <w:r w:rsidR="006A414A" w:rsidRPr="006A414A">
              <w:rPr>
                <w:color w:val="000000"/>
                <w:spacing w:val="214"/>
                <w:shd w:val="solid" w:color="000000" w:fill="000000"/>
                <w:fitText w:val="300" w:id="-1303201024"/>
                <w14:textFill>
                  <w14:solidFill>
                    <w14:srgbClr w14:val="000000">
                      <w14:alpha w14:val="100000"/>
                    </w14:srgbClr>
                  </w14:solidFill>
                </w14:textFill>
              </w:rPr>
              <w:t>|</w:t>
            </w:r>
            <w:r w:rsidR="006A414A" w:rsidRPr="006A414A">
              <w:rPr>
                <w:color w:val="000000"/>
                <w:shd w:val="solid" w:color="000000" w:fill="000000"/>
                <w:fitText w:val="300" w:id="-1303201024"/>
                <w14:textFill>
                  <w14:solidFill>
                    <w14:srgbClr w14:val="000000">
                      <w14:alpha w14:val="100000"/>
                    </w14:srgbClr>
                  </w14:solidFill>
                </w14:textFill>
              </w:rPr>
              <w:t>|</w:t>
            </w:r>
          </w:p>
        </w:tc>
        <w:tc>
          <w:tcPr>
            <w:tcW w:w="630" w:type="pct"/>
            <w:vAlign w:val="center"/>
          </w:tcPr>
          <w:p w14:paraId="2FB24530" w14:textId="33EE8E51" w:rsidR="007D4D11" w:rsidRDefault="007D4D11" w:rsidP="00CE1B89">
            <w:pPr>
              <w:pStyle w:val="TableText0"/>
              <w:widowControl w:val="0"/>
              <w:jc w:val="center"/>
            </w:pPr>
            <w:r>
              <w:t>$</w:t>
            </w:r>
            <w:r w:rsidR="006A414A" w:rsidRPr="006A414A">
              <w:rPr>
                <w:color w:val="000000"/>
                <w:spacing w:val="102"/>
                <w:shd w:val="solid" w:color="000000" w:fill="000000"/>
                <w:fitText w:val="188" w:id="-1303201023"/>
                <w14:textFill>
                  <w14:solidFill>
                    <w14:srgbClr w14:val="000000">
                      <w14:alpha w14:val="100000"/>
                    </w14:srgbClr>
                  </w14:solidFill>
                </w14:textFill>
              </w:rPr>
              <w:t>|</w:t>
            </w:r>
            <w:r w:rsidR="006A414A" w:rsidRPr="006A414A">
              <w:rPr>
                <w:color w:val="000000"/>
                <w:shd w:val="solid" w:color="000000" w:fill="000000"/>
                <w:fitText w:val="188" w:id="-1303201023"/>
                <w14:textFill>
                  <w14:solidFill>
                    <w14:srgbClr w14:val="000000">
                      <w14:alpha w14:val="100000"/>
                    </w14:srgbClr>
                  </w14:solidFill>
                </w14:textFill>
              </w:rPr>
              <w:t>|</w:t>
            </w:r>
          </w:p>
        </w:tc>
        <w:tc>
          <w:tcPr>
            <w:tcW w:w="630" w:type="pct"/>
            <w:vAlign w:val="center"/>
          </w:tcPr>
          <w:p w14:paraId="6515111C" w14:textId="77777777" w:rsidR="007D4D11" w:rsidRPr="00CE1B89" w:rsidRDefault="007D4D11" w:rsidP="00CE1B89">
            <w:pPr>
              <w:pStyle w:val="TableText0"/>
              <w:widowControl w:val="0"/>
              <w:jc w:val="center"/>
              <w:rPr>
                <w:highlight w:val="darkGray"/>
              </w:rPr>
            </w:pPr>
            <w:r w:rsidRPr="00522119">
              <w:t>7.9%</w:t>
            </w:r>
          </w:p>
        </w:tc>
        <w:tc>
          <w:tcPr>
            <w:tcW w:w="782" w:type="pct"/>
          </w:tcPr>
          <w:p w14:paraId="743E54BB" w14:textId="2EAD7871" w:rsidR="007D4D11" w:rsidRDefault="007D4D11" w:rsidP="00CE1B89">
            <w:pPr>
              <w:pStyle w:val="TableText0"/>
              <w:widowControl w:val="0"/>
              <w:jc w:val="center"/>
            </w:pPr>
            <w:r>
              <w:t>$</w:t>
            </w:r>
            <w:r w:rsidR="006A414A" w:rsidRPr="006A414A">
              <w:rPr>
                <w:rFonts w:hint="eastAsia"/>
                <w:color w:val="000000"/>
                <w:w w:val="15"/>
                <w:shd w:val="solid" w:color="000000" w:fill="000000"/>
                <w:fitText w:val="37" w:id="-1303201022"/>
                <w14:textFill>
                  <w14:solidFill>
                    <w14:srgbClr w14:val="000000">
                      <w14:alpha w14:val="100000"/>
                    </w14:srgbClr>
                  </w14:solidFill>
                </w14:textFill>
              </w:rPr>
              <w:t xml:space="preserve">　</w:t>
            </w:r>
            <w:r w:rsidR="006A414A" w:rsidRPr="006A414A">
              <w:rPr>
                <w:color w:val="000000"/>
                <w:w w:val="15"/>
                <w:shd w:val="solid" w:color="000000" w:fill="000000"/>
                <w:fitText w:val="37" w:id="-1303201022"/>
                <w14:textFill>
                  <w14:solidFill>
                    <w14:srgbClr w14:val="000000">
                      <w14:alpha w14:val="100000"/>
                    </w14:srgbClr>
                  </w14:solidFill>
                </w14:textFill>
              </w:rPr>
              <w:t>|</w:t>
            </w:r>
            <w:r w:rsidR="006A414A" w:rsidRPr="006A414A">
              <w:rPr>
                <w:rFonts w:hint="eastAsia"/>
                <w:color w:val="000000"/>
                <w:spacing w:val="-29"/>
                <w:w w:val="15"/>
                <w:shd w:val="solid" w:color="000000" w:fill="000000"/>
                <w:fitText w:val="37" w:id="-1303201022"/>
                <w14:textFill>
                  <w14:solidFill>
                    <w14:srgbClr w14:val="000000">
                      <w14:alpha w14:val="100000"/>
                    </w14:srgbClr>
                  </w14:solidFill>
                </w14:textFill>
              </w:rPr>
              <w:t xml:space="preserve">　</w:t>
            </w:r>
          </w:p>
        </w:tc>
        <w:tc>
          <w:tcPr>
            <w:tcW w:w="630" w:type="pct"/>
          </w:tcPr>
          <w:p w14:paraId="164589EA" w14:textId="1691E405" w:rsidR="007D4D11" w:rsidRPr="00814471" w:rsidRDefault="007D4D11" w:rsidP="00CE1B89">
            <w:pPr>
              <w:pStyle w:val="TableText0"/>
              <w:widowControl w:val="0"/>
              <w:jc w:val="center"/>
            </w:pPr>
            <w:r w:rsidRPr="00814471">
              <w:t>$</w:t>
            </w:r>
            <w:r w:rsidR="006A414A" w:rsidRPr="006A414A">
              <w:rPr>
                <w:color w:val="000000"/>
                <w:spacing w:val="101"/>
                <w:shd w:val="solid" w:color="000000" w:fill="000000"/>
                <w:fitText w:val="187" w:id="-1303201021"/>
                <w14:textFill>
                  <w14:solidFill>
                    <w14:srgbClr w14:val="000000">
                      <w14:alpha w14:val="100000"/>
                    </w14:srgbClr>
                  </w14:solidFill>
                </w14:textFill>
              </w:rPr>
              <w:t>|</w:t>
            </w:r>
            <w:r w:rsidR="006A414A" w:rsidRPr="006A414A">
              <w:rPr>
                <w:color w:val="000000"/>
                <w:shd w:val="solid" w:color="000000" w:fill="000000"/>
                <w:fitText w:val="187" w:id="-1303201021"/>
                <w14:textFill>
                  <w14:solidFill>
                    <w14:srgbClr w14:val="000000">
                      <w14:alpha w14:val="100000"/>
                    </w14:srgbClr>
                  </w14:solidFill>
                </w14:textFill>
              </w:rPr>
              <w:t>|</w:t>
            </w:r>
          </w:p>
        </w:tc>
        <w:tc>
          <w:tcPr>
            <w:tcW w:w="630" w:type="pct"/>
          </w:tcPr>
          <w:p w14:paraId="04C892C7" w14:textId="77777777" w:rsidR="007D4D11" w:rsidRPr="00CE1B89" w:rsidRDefault="007D4D11" w:rsidP="00CE1B89">
            <w:pPr>
              <w:pStyle w:val="TableText0"/>
              <w:widowControl w:val="0"/>
              <w:jc w:val="center"/>
              <w:rPr>
                <w:highlight w:val="darkGray"/>
              </w:rPr>
            </w:pPr>
            <w:r w:rsidRPr="00522119">
              <w:t>13%</w:t>
            </w:r>
          </w:p>
        </w:tc>
      </w:tr>
      <w:tr w:rsidR="007D4D11" w14:paraId="59B201FA" w14:textId="77777777" w:rsidTr="00C66AE0">
        <w:trPr>
          <w:cantSplit/>
        </w:trPr>
        <w:tc>
          <w:tcPr>
            <w:tcW w:w="696" w:type="pct"/>
            <w:vAlign w:val="center"/>
          </w:tcPr>
          <w:p w14:paraId="0E6855AE" w14:textId="77777777" w:rsidR="007D4D11" w:rsidRDefault="007D4D11" w:rsidP="00CE1B89">
            <w:pPr>
              <w:pStyle w:val="TableText0"/>
              <w:widowControl w:val="0"/>
            </w:pPr>
            <w:r>
              <w:t>Bacteraemia events</w:t>
            </w:r>
          </w:p>
        </w:tc>
        <w:tc>
          <w:tcPr>
            <w:tcW w:w="500" w:type="pct"/>
            <w:vAlign w:val="center"/>
          </w:tcPr>
          <w:p w14:paraId="53ABA42A" w14:textId="77777777" w:rsidR="007D4D11" w:rsidRPr="00F93857" w:rsidRDefault="007D4D11" w:rsidP="00CE1B89">
            <w:pPr>
              <w:pStyle w:val="TableText0"/>
              <w:widowControl w:val="0"/>
              <w:jc w:val="center"/>
            </w:pPr>
            <w:r w:rsidRPr="00F93857">
              <w:t>$134,216</w:t>
            </w:r>
          </w:p>
        </w:tc>
        <w:tc>
          <w:tcPr>
            <w:tcW w:w="500" w:type="pct"/>
            <w:vAlign w:val="center"/>
          </w:tcPr>
          <w:p w14:paraId="7AC5C2AF" w14:textId="77777777" w:rsidR="007D4D11" w:rsidRPr="00F93857" w:rsidRDefault="007D4D11" w:rsidP="00CE1B89">
            <w:pPr>
              <w:pStyle w:val="TableText0"/>
              <w:widowControl w:val="0"/>
              <w:jc w:val="center"/>
            </w:pPr>
            <w:r w:rsidRPr="00F93857">
              <w:t>$158,447</w:t>
            </w:r>
          </w:p>
        </w:tc>
        <w:tc>
          <w:tcPr>
            <w:tcW w:w="630" w:type="pct"/>
            <w:vAlign w:val="center"/>
          </w:tcPr>
          <w:p w14:paraId="0FCAB534" w14:textId="77777777" w:rsidR="007D4D11" w:rsidRPr="00F93857" w:rsidRDefault="007D4D11" w:rsidP="00CE1B89">
            <w:pPr>
              <w:pStyle w:val="TableText0"/>
              <w:widowControl w:val="0"/>
              <w:jc w:val="center"/>
            </w:pPr>
            <w:r w:rsidRPr="00F93857">
              <w:t>-$24,231</w:t>
            </w:r>
          </w:p>
        </w:tc>
        <w:tc>
          <w:tcPr>
            <w:tcW w:w="630" w:type="pct"/>
            <w:vAlign w:val="center"/>
          </w:tcPr>
          <w:p w14:paraId="6E9648A8" w14:textId="77777777" w:rsidR="007D4D11" w:rsidRPr="00F93857" w:rsidRDefault="007D4D11" w:rsidP="00CE1B89">
            <w:pPr>
              <w:pStyle w:val="TableText0"/>
              <w:widowControl w:val="0"/>
              <w:jc w:val="center"/>
            </w:pPr>
            <w:r w:rsidRPr="00F93857">
              <w:t>-38%</w:t>
            </w:r>
          </w:p>
        </w:tc>
        <w:tc>
          <w:tcPr>
            <w:tcW w:w="782" w:type="pct"/>
            <w:vAlign w:val="center"/>
          </w:tcPr>
          <w:p w14:paraId="166E3AC9" w14:textId="77777777" w:rsidR="007D4D11" w:rsidRPr="00F93857" w:rsidRDefault="007D4D11" w:rsidP="00CE1B89">
            <w:pPr>
              <w:pStyle w:val="TableText0"/>
              <w:widowControl w:val="0"/>
              <w:jc w:val="center"/>
            </w:pPr>
            <w:r w:rsidRPr="00F93857">
              <w:t>$149,565</w:t>
            </w:r>
          </w:p>
        </w:tc>
        <w:tc>
          <w:tcPr>
            <w:tcW w:w="630" w:type="pct"/>
            <w:vAlign w:val="center"/>
          </w:tcPr>
          <w:p w14:paraId="1DD1FE46" w14:textId="77777777" w:rsidR="007D4D11" w:rsidRPr="00F93857" w:rsidRDefault="007D4D11" w:rsidP="00CE1B89">
            <w:pPr>
              <w:pStyle w:val="TableText0"/>
              <w:widowControl w:val="0"/>
              <w:jc w:val="center"/>
            </w:pPr>
            <w:r w:rsidRPr="00F93857">
              <w:t>-$15,348</w:t>
            </w:r>
          </w:p>
        </w:tc>
        <w:tc>
          <w:tcPr>
            <w:tcW w:w="630" w:type="pct"/>
            <w:vAlign w:val="center"/>
          </w:tcPr>
          <w:p w14:paraId="1C148153" w14:textId="77777777" w:rsidR="007D4D11" w:rsidRPr="00F93857" w:rsidRDefault="007D4D11" w:rsidP="00CE1B89">
            <w:pPr>
              <w:pStyle w:val="TableText0"/>
              <w:widowControl w:val="0"/>
              <w:jc w:val="center"/>
            </w:pPr>
            <w:r w:rsidRPr="00F93857">
              <w:t>-40%</w:t>
            </w:r>
          </w:p>
        </w:tc>
      </w:tr>
      <w:tr w:rsidR="007D4D11" w14:paraId="1274C37F" w14:textId="77777777" w:rsidTr="005E4E54">
        <w:trPr>
          <w:cantSplit/>
        </w:trPr>
        <w:tc>
          <w:tcPr>
            <w:tcW w:w="696" w:type="pct"/>
            <w:vAlign w:val="center"/>
          </w:tcPr>
          <w:p w14:paraId="1D02AFD6" w14:textId="77777777" w:rsidR="007D4D11" w:rsidRDefault="007D4D11" w:rsidP="00CE1B89">
            <w:pPr>
              <w:pStyle w:val="TableText0"/>
              <w:widowControl w:val="0"/>
            </w:pPr>
            <w:r>
              <w:t xml:space="preserve">Meningitis wo cx events </w:t>
            </w:r>
          </w:p>
        </w:tc>
        <w:tc>
          <w:tcPr>
            <w:tcW w:w="500" w:type="pct"/>
            <w:vAlign w:val="center"/>
          </w:tcPr>
          <w:p w14:paraId="0B205A52" w14:textId="77777777" w:rsidR="007D4D11" w:rsidRPr="00F93857" w:rsidRDefault="007D4D11" w:rsidP="00CE1B89">
            <w:pPr>
              <w:pStyle w:val="TableText0"/>
              <w:widowControl w:val="0"/>
              <w:jc w:val="center"/>
            </w:pPr>
            <w:r w:rsidRPr="00F93857">
              <w:t>$2,538</w:t>
            </w:r>
          </w:p>
        </w:tc>
        <w:tc>
          <w:tcPr>
            <w:tcW w:w="500" w:type="pct"/>
            <w:vAlign w:val="center"/>
          </w:tcPr>
          <w:p w14:paraId="7335AA64" w14:textId="77777777" w:rsidR="007D4D11" w:rsidRPr="00F93857" w:rsidRDefault="007D4D11" w:rsidP="00CE1B89">
            <w:pPr>
              <w:pStyle w:val="TableText0"/>
              <w:widowControl w:val="0"/>
              <w:jc w:val="center"/>
            </w:pPr>
            <w:r w:rsidRPr="00F93857">
              <w:t>$2,988</w:t>
            </w:r>
          </w:p>
        </w:tc>
        <w:tc>
          <w:tcPr>
            <w:tcW w:w="630" w:type="pct"/>
            <w:vAlign w:val="center"/>
          </w:tcPr>
          <w:p w14:paraId="6CD6BDC7" w14:textId="77777777" w:rsidR="007D4D11" w:rsidRPr="00F93857" w:rsidRDefault="007D4D11" w:rsidP="00CE1B89">
            <w:pPr>
              <w:pStyle w:val="TableText0"/>
              <w:widowControl w:val="0"/>
              <w:jc w:val="center"/>
            </w:pPr>
            <w:r w:rsidRPr="00F93857">
              <w:t>-$450</w:t>
            </w:r>
          </w:p>
        </w:tc>
        <w:tc>
          <w:tcPr>
            <w:tcW w:w="630" w:type="pct"/>
            <w:vAlign w:val="center"/>
          </w:tcPr>
          <w:p w14:paraId="053B7A73" w14:textId="77777777" w:rsidR="007D4D11" w:rsidRPr="00F93857" w:rsidRDefault="007D4D11" w:rsidP="00CE1B89">
            <w:pPr>
              <w:pStyle w:val="TableText0"/>
              <w:widowControl w:val="0"/>
              <w:jc w:val="center"/>
            </w:pPr>
            <w:r w:rsidRPr="00F93857">
              <w:t>-1%</w:t>
            </w:r>
          </w:p>
        </w:tc>
        <w:tc>
          <w:tcPr>
            <w:tcW w:w="782" w:type="pct"/>
          </w:tcPr>
          <w:p w14:paraId="55D54AB1" w14:textId="77777777" w:rsidR="007D4D11" w:rsidRPr="00F93857" w:rsidRDefault="007D4D11" w:rsidP="00CE1B89">
            <w:pPr>
              <w:pStyle w:val="TableText0"/>
              <w:widowControl w:val="0"/>
              <w:jc w:val="center"/>
            </w:pPr>
            <w:r w:rsidRPr="00F93857">
              <w:t>$2,823</w:t>
            </w:r>
          </w:p>
        </w:tc>
        <w:tc>
          <w:tcPr>
            <w:tcW w:w="630" w:type="pct"/>
          </w:tcPr>
          <w:p w14:paraId="729F5BFD" w14:textId="77777777" w:rsidR="007D4D11" w:rsidRPr="00F93857" w:rsidRDefault="007D4D11" w:rsidP="00CE1B89">
            <w:pPr>
              <w:pStyle w:val="TableText0"/>
              <w:widowControl w:val="0"/>
              <w:jc w:val="center"/>
            </w:pPr>
            <w:r w:rsidRPr="00F93857">
              <w:t>-$285</w:t>
            </w:r>
          </w:p>
        </w:tc>
        <w:tc>
          <w:tcPr>
            <w:tcW w:w="630" w:type="pct"/>
          </w:tcPr>
          <w:p w14:paraId="6698E421" w14:textId="77777777" w:rsidR="007D4D11" w:rsidRPr="00F93857" w:rsidRDefault="007D4D11" w:rsidP="00CE1B89">
            <w:pPr>
              <w:pStyle w:val="TableText0"/>
              <w:widowControl w:val="0"/>
              <w:jc w:val="center"/>
            </w:pPr>
            <w:r w:rsidRPr="00F93857">
              <w:t>-1%</w:t>
            </w:r>
          </w:p>
        </w:tc>
      </w:tr>
      <w:tr w:rsidR="007D4D11" w14:paraId="0DC2717D" w14:textId="77777777" w:rsidTr="005E4E54">
        <w:trPr>
          <w:cantSplit/>
        </w:trPr>
        <w:tc>
          <w:tcPr>
            <w:tcW w:w="696" w:type="pct"/>
            <w:vAlign w:val="center"/>
          </w:tcPr>
          <w:p w14:paraId="247C9C21" w14:textId="77777777" w:rsidR="007D4D11" w:rsidRDefault="007D4D11" w:rsidP="00CE1B89">
            <w:pPr>
              <w:pStyle w:val="TableText0"/>
              <w:widowControl w:val="0"/>
            </w:pPr>
            <w:r>
              <w:t>Meningitis w cx events</w:t>
            </w:r>
          </w:p>
        </w:tc>
        <w:tc>
          <w:tcPr>
            <w:tcW w:w="500" w:type="pct"/>
            <w:vAlign w:val="center"/>
          </w:tcPr>
          <w:p w14:paraId="5B7E7248" w14:textId="77777777" w:rsidR="007D4D11" w:rsidRPr="00F93857" w:rsidRDefault="007D4D11" w:rsidP="00CE1B89">
            <w:pPr>
              <w:pStyle w:val="TableText0"/>
              <w:widowControl w:val="0"/>
              <w:jc w:val="center"/>
            </w:pPr>
            <w:r w:rsidRPr="00F93857">
              <w:t>$2,665</w:t>
            </w:r>
          </w:p>
        </w:tc>
        <w:tc>
          <w:tcPr>
            <w:tcW w:w="500" w:type="pct"/>
            <w:vAlign w:val="center"/>
          </w:tcPr>
          <w:p w14:paraId="1CF31B43" w14:textId="77777777" w:rsidR="007D4D11" w:rsidRPr="00F93857" w:rsidRDefault="007D4D11" w:rsidP="00CE1B89">
            <w:pPr>
              <w:pStyle w:val="TableText0"/>
              <w:widowControl w:val="0"/>
              <w:jc w:val="center"/>
            </w:pPr>
            <w:r w:rsidRPr="00F93857">
              <w:t>$3,184</w:t>
            </w:r>
          </w:p>
        </w:tc>
        <w:tc>
          <w:tcPr>
            <w:tcW w:w="630" w:type="pct"/>
            <w:vAlign w:val="center"/>
          </w:tcPr>
          <w:p w14:paraId="35698A6B" w14:textId="77777777" w:rsidR="007D4D11" w:rsidRPr="00F93857" w:rsidRDefault="007D4D11" w:rsidP="00CE1B89">
            <w:pPr>
              <w:pStyle w:val="TableText0"/>
              <w:widowControl w:val="0"/>
              <w:jc w:val="center"/>
            </w:pPr>
            <w:r w:rsidRPr="00F93857">
              <w:t>-$519</w:t>
            </w:r>
          </w:p>
        </w:tc>
        <w:tc>
          <w:tcPr>
            <w:tcW w:w="630" w:type="pct"/>
            <w:vAlign w:val="center"/>
          </w:tcPr>
          <w:p w14:paraId="2CF003BD" w14:textId="77777777" w:rsidR="007D4D11" w:rsidRPr="00F93857" w:rsidRDefault="007D4D11" w:rsidP="00CE1B89">
            <w:pPr>
              <w:pStyle w:val="TableText0"/>
              <w:widowControl w:val="0"/>
              <w:jc w:val="center"/>
            </w:pPr>
            <w:r w:rsidRPr="00F93857">
              <w:t>-1%</w:t>
            </w:r>
          </w:p>
        </w:tc>
        <w:tc>
          <w:tcPr>
            <w:tcW w:w="782" w:type="pct"/>
          </w:tcPr>
          <w:p w14:paraId="0ECC2D79" w14:textId="77777777" w:rsidR="007D4D11" w:rsidRPr="00F93857" w:rsidRDefault="007D4D11" w:rsidP="00CE1B89">
            <w:pPr>
              <w:pStyle w:val="TableText0"/>
              <w:widowControl w:val="0"/>
              <w:jc w:val="center"/>
            </w:pPr>
            <w:r w:rsidRPr="00F93857">
              <w:t>$3,184</w:t>
            </w:r>
          </w:p>
        </w:tc>
        <w:tc>
          <w:tcPr>
            <w:tcW w:w="630" w:type="pct"/>
          </w:tcPr>
          <w:p w14:paraId="49F93D32" w14:textId="77777777" w:rsidR="007D4D11" w:rsidRPr="00F93857" w:rsidRDefault="007D4D11" w:rsidP="00CE1B89">
            <w:pPr>
              <w:pStyle w:val="TableText0"/>
              <w:widowControl w:val="0"/>
              <w:jc w:val="center"/>
            </w:pPr>
            <w:r w:rsidRPr="00F93857">
              <w:t>-$328</w:t>
            </w:r>
          </w:p>
        </w:tc>
        <w:tc>
          <w:tcPr>
            <w:tcW w:w="630" w:type="pct"/>
          </w:tcPr>
          <w:p w14:paraId="79AD7084" w14:textId="77777777" w:rsidR="007D4D11" w:rsidRPr="00F93857" w:rsidRDefault="007D4D11" w:rsidP="00CE1B89">
            <w:pPr>
              <w:pStyle w:val="TableText0"/>
              <w:widowControl w:val="0"/>
              <w:spacing w:line="259" w:lineRule="auto"/>
              <w:jc w:val="center"/>
            </w:pPr>
            <w:r w:rsidRPr="00F93857">
              <w:t>-1%</w:t>
            </w:r>
          </w:p>
        </w:tc>
      </w:tr>
      <w:tr w:rsidR="007D4D11" w14:paraId="3C9BF5CD" w14:textId="77777777" w:rsidTr="00C66AE0">
        <w:trPr>
          <w:cantSplit/>
        </w:trPr>
        <w:tc>
          <w:tcPr>
            <w:tcW w:w="696" w:type="pct"/>
            <w:vAlign w:val="center"/>
          </w:tcPr>
          <w:p w14:paraId="778893DC" w14:textId="43EFC82B" w:rsidR="007D4D11" w:rsidRDefault="007D4D11" w:rsidP="00CE1B89">
            <w:pPr>
              <w:pStyle w:val="TableText0"/>
              <w:widowControl w:val="0"/>
            </w:pPr>
            <w:r>
              <w:t>PNE hospitalisation events</w:t>
            </w:r>
          </w:p>
        </w:tc>
        <w:tc>
          <w:tcPr>
            <w:tcW w:w="500" w:type="pct"/>
            <w:vAlign w:val="center"/>
          </w:tcPr>
          <w:p w14:paraId="4D9D5BC0" w14:textId="77777777" w:rsidR="007D4D11" w:rsidRPr="00F93857" w:rsidRDefault="007D4D11" w:rsidP="00CE1B89">
            <w:pPr>
              <w:pStyle w:val="TableText0"/>
              <w:widowControl w:val="0"/>
              <w:jc w:val="center"/>
            </w:pPr>
            <w:r w:rsidRPr="00F93857">
              <w:t>$504,805</w:t>
            </w:r>
          </w:p>
        </w:tc>
        <w:tc>
          <w:tcPr>
            <w:tcW w:w="500" w:type="pct"/>
            <w:vAlign w:val="center"/>
          </w:tcPr>
          <w:p w14:paraId="28D5C645" w14:textId="77777777" w:rsidR="007D4D11" w:rsidRPr="00F93857" w:rsidRDefault="007D4D11" w:rsidP="00CE1B89">
            <w:pPr>
              <w:pStyle w:val="TableText0"/>
              <w:widowControl w:val="0"/>
              <w:jc w:val="center"/>
            </w:pPr>
            <w:r w:rsidRPr="00F93857">
              <w:t>$547,280</w:t>
            </w:r>
          </w:p>
        </w:tc>
        <w:tc>
          <w:tcPr>
            <w:tcW w:w="630" w:type="pct"/>
            <w:vAlign w:val="center"/>
          </w:tcPr>
          <w:p w14:paraId="2C23FFA9" w14:textId="77777777" w:rsidR="007D4D11" w:rsidRPr="00F93857" w:rsidRDefault="007D4D11" w:rsidP="00CE1B89">
            <w:pPr>
              <w:pStyle w:val="TableText0"/>
              <w:widowControl w:val="0"/>
              <w:jc w:val="center"/>
            </w:pPr>
            <w:r w:rsidRPr="00F93857">
              <w:t>-$42,475</w:t>
            </w:r>
          </w:p>
        </w:tc>
        <w:tc>
          <w:tcPr>
            <w:tcW w:w="630" w:type="pct"/>
            <w:vAlign w:val="center"/>
          </w:tcPr>
          <w:p w14:paraId="7C13D1E1" w14:textId="77777777" w:rsidR="007D4D11" w:rsidRPr="00F93857" w:rsidRDefault="007D4D11" w:rsidP="00CE1B89">
            <w:pPr>
              <w:pStyle w:val="TableText0"/>
              <w:widowControl w:val="0"/>
              <w:jc w:val="center"/>
            </w:pPr>
            <w:r w:rsidRPr="00F93857">
              <w:t>-67%</w:t>
            </w:r>
          </w:p>
        </w:tc>
        <w:tc>
          <w:tcPr>
            <w:tcW w:w="782" w:type="pct"/>
            <w:vAlign w:val="center"/>
          </w:tcPr>
          <w:p w14:paraId="1F679CA0" w14:textId="77777777" w:rsidR="007D4D11" w:rsidRPr="00F93857" w:rsidRDefault="007D4D11" w:rsidP="00CE1B89">
            <w:pPr>
              <w:pStyle w:val="TableText0"/>
              <w:widowControl w:val="0"/>
              <w:jc w:val="center"/>
            </w:pPr>
            <w:r w:rsidRPr="00F93857">
              <w:t>$531,713</w:t>
            </w:r>
          </w:p>
        </w:tc>
        <w:tc>
          <w:tcPr>
            <w:tcW w:w="630" w:type="pct"/>
            <w:vAlign w:val="center"/>
          </w:tcPr>
          <w:p w14:paraId="64F07193" w14:textId="77777777" w:rsidR="007D4D11" w:rsidRPr="00F93857" w:rsidRDefault="007D4D11" w:rsidP="00CE1B89">
            <w:pPr>
              <w:pStyle w:val="TableText0"/>
              <w:widowControl w:val="0"/>
              <w:jc w:val="center"/>
            </w:pPr>
            <w:r w:rsidRPr="00F93857">
              <w:t>-$26,907</w:t>
            </w:r>
          </w:p>
        </w:tc>
        <w:tc>
          <w:tcPr>
            <w:tcW w:w="630" w:type="pct"/>
            <w:vAlign w:val="center"/>
          </w:tcPr>
          <w:p w14:paraId="7742113B" w14:textId="77777777" w:rsidR="007D4D11" w:rsidRPr="00F93857" w:rsidRDefault="007D4D11" w:rsidP="00CE1B89">
            <w:pPr>
              <w:pStyle w:val="TableText0"/>
              <w:widowControl w:val="0"/>
              <w:jc w:val="center"/>
            </w:pPr>
            <w:r w:rsidRPr="00F93857">
              <w:t>-71%</w:t>
            </w:r>
          </w:p>
        </w:tc>
      </w:tr>
      <w:tr w:rsidR="007D4D11" w14:paraId="0CAA033F" w14:textId="77777777" w:rsidTr="005E4E54">
        <w:trPr>
          <w:cantSplit/>
        </w:trPr>
        <w:tc>
          <w:tcPr>
            <w:tcW w:w="696" w:type="pct"/>
            <w:vAlign w:val="center"/>
          </w:tcPr>
          <w:p w14:paraId="46318C91" w14:textId="77777777" w:rsidR="007D4D11" w:rsidRDefault="007D4D11" w:rsidP="00CE1B89">
            <w:pPr>
              <w:pStyle w:val="TableText0"/>
              <w:widowControl w:val="0"/>
            </w:pPr>
            <w:r>
              <w:t>PNE GP visits</w:t>
            </w:r>
          </w:p>
        </w:tc>
        <w:tc>
          <w:tcPr>
            <w:tcW w:w="500" w:type="pct"/>
            <w:vAlign w:val="center"/>
          </w:tcPr>
          <w:p w14:paraId="75EA815F" w14:textId="77777777" w:rsidR="007D4D11" w:rsidRPr="00F93857" w:rsidRDefault="007D4D11" w:rsidP="00CE1B89">
            <w:pPr>
              <w:pStyle w:val="TableText0"/>
              <w:widowControl w:val="0"/>
              <w:jc w:val="center"/>
            </w:pPr>
            <w:r w:rsidRPr="00F93857">
              <w:t>$8,858</w:t>
            </w:r>
          </w:p>
        </w:tc>
        <w:tc>
          <w:tcPr>
            <w:tcW w:w="500" w:type="pct"/>
            <w:vAlign w:val="center"/>
          </w:tcPr>
          <w:p w14:paraId="40720C87" w14:textId="77777777" w:rsidR="007D4D11" w:rsidRPr="00F93857" w:rsidRDefault="007D4D11" w:rsidP="00CE1B89">
            <w:pPr>
              <w:pStyle w:val="TableText0"/>
              <w:widowControl w:val="0"/>
              <w:jc w:val="center"/>
            </w:pPr>
            <w:r w:rsidRPr="00F93857">
              <w:t>$9,167</w:t>
            </w:r>
          </w:p>
        </w:tc>
        <w:tc>
          <w:tcPr>
            <w:tcW w:w="630" w:type="pct"/>
            <w:vAlign w:val="center"/>
          </w:tcPr>
          <w:p w14:paraId="725769FC" w14:textId="77777777" w:rsidR="007D4D11" w:rsidRPr="00F93857" w:rsidRDefault="007D4D11" w:rsidP="00CE1B89">
            <w:pPr>
              <w:pStyle w:val="TableText0"/>
              <w:widowControl w:val="0"/>
              <w:jc w:val="center"/>
            </w:pPr>
            <w:r w:rsidRPr="00F93857">
              <w:t>-309</w:t>
            </w:r>
          </w:p>
        </w:tc>
        <w:tc>
          <w:tcPr>
            <w:tcW w:w="630" w:type="pct"/>
            <w:vAlign w:val="center"/>
          </w:tcPr>
          <w:p w14:paraId="1E89EBAC" w14:textId="77777777" w:rsidR="007D4D11" w:rsidRPr="00F93857" w:rsidRDefault="007D4D11" w:rsidP="00CE1B89">
            <w:pPr>
              <w:pStyle w:val="TableText0"/>
              <w:widowControl w:val="0"/>
              <w:jc w:val="center"/>
            </w:pPr>
            <w:r w:rsidRPr="00F93857">
              <w:t>-0.5%</w:t>
            </w:r>
          </w:p>
        </w:tc>
        <w:tc>
          <w:tcPr>
            <w:tcW w:w="782" w:type="pct"/>
          </w:tcPr>
          <w:p w14:paraId="2C22FA88" w14:textId="77777777" w:rsidR="007D4D11" w:rsidRPr="00F93857" w:rsidRDefault="007D4D11" w:rsidP="00CE1B89">
            <w:pPr>
              <w:pStyle w:val="TableText0"/>
              <w:widowControl w:val="0"/>
              <w:jc w:val="center"/>
            </w:pPr>
            <w:r w:rsidRPr="00F93857">
              <w:t>$9,054</w:t>
            </w:r>
          </w:p>
        </w:tc>
        <w:tc>
          <w:tcPr>
            <w:tcW w:w="630" w:type="pct"/>
          </w:tcPr>
          <w:p w14:paraId="54F1ED1A" w14:textId="77777777" w:rsidR="007D4D11" w:rsidRPr="00F93857" w:rsidRDefault="007D4D11" w:rsidP="00CE1B89">
            <w:pPr>
              <w:pStyle w:val="TableText0"/>
              <w:widowControl w:val="0"/>
              <w:jc w:val="center"/>
            </w:pPr>
            <w:r w:rsidRPr="00F93857">
              <w:t>-$196</w:t>
            </w:r>
          </w:p>
        </w:tc>
        <w:tc>
          <w:tcPr>
            <w:tcW w:w="630" w:type="pct"/>
          </w:tcPr>
          <w:p w14:paraId="6021D30A" w14:textId="77777777" w:rsidR="007D4D11" w:rsidRPr="00F93857" w:rsidRDefault="007D4D11" w:rsidP="00CE1B89">
            <w:pPr>
              <w:pStyle w:val="TableText0"/>
              <w:widowControl w:val="0"/>
              <w:jc w:val="center"/>
            </w:pPr>
            <w:r w:rsidRPr="00F93857">
              <w:t>-1%</w:t>
            </w:r>
          </w:p>
        </w:tc>
      </w:tr>
      <w:tr w:rsidR="007D4D11" w14:paraId="1ADC3CC1" w14:textId="77777777" w:rsidTr="00A8066A">
        <w:trPr>
          <w:cantSplit/>
        </w:trPr>
        <w:tc>
          <w:tcPr>
            <w:tcW w:w="696" w:type="pct"/>
            <w:vAlign w:val="center"/>
          </w:tcPr>
          <w:p w14:paraId="714B4ED7" w14:textId="77777777" w:rsidR="007D4D11" w:rsidRDefault="007D4D11" w:rsidP="00CE1B89">
            <w:pPr>
              <w:pStyle w:val="TableText0"/>
              <w:widowControl w:val="0"/>
            </w:pPr>
            <w:r>
              <w:t>Total</w:t>
            </w:r>
          </w:p>
        </w:tc>
        <w:tc>
          <w:tcPr>
            <w:tcW w:w="500" w:type="pct"/>
            <w:vAlign w:val="center"/>
          </w:tcPr>
          <w:p w14:paraId="711C8ED4" w14:textId="6D2B332F" w:rsidR="007D4D11" w:rsidRDefault="007D4D11" w:rsidP="00CE1B89">
            <w:pPr>
              <w:pStyle w:val="TableText0"/>
              <w:widowControl w:val="0"/>
              <w:jc w:val="center"/>
            </w:pPr>
            <w:r>
              <w:t>$</w:t>
            </w:r>
            <w:r w:rsidR="006A414A" w:rsidRPr="006A414A">
              <w:rPr>
                <w:color w:val="000000"/>
                <w:spacing w:val="43"/>
                <w:shd w:val="solid" w:color="000000" w:fill="000000"/>
                <w:fitText w:val="301" w:id="-1303201020"/>
                <w14:textFill>
                  <w14:solidFill>
                    <w14:srgbClr w14:val="000000">
                      <w14:alpha w14:val="100000"/>
                    </w14:srgbClr>
                  </w14:solidFill>
                </w14:textFill>
              </w:rPr>
              <w:t>|||</w:t>
            </w:r>
            <w:r w:rsidR="006A414A" w:rsidRPr="006A414A">
              <w:rPr>
                <w:color w:val="000000"/>
                <w:spacing w:val="2"/>
                <w:shd w:val="solid" w:color="000000" w:fill="000000"/>
                <w:fitText w:val="301" w:id="-1303201020"/>
                <w14:textFill>
                  <w14:solidFill>
                    <w14:srgbClr w14:val="000000">
                      <w14:alpha w14:val="100000"/>
                    </w14:srgbClr>
                  </w14:solidFill>
                </w14:textFill>
              </w:rPr>
              <w:t>|</w:t>
            </w:r>
          </w:p>
        </w:tc>
        <w:tc>
          <w:tcPr>
            <w:tcW w:w="500" w:type="pct"/>
            <w:vAlign w:val="center"/>
          </w:tcPr>
          <w:p w14:paraId="6FA05D9D" w14:textId="309687F0" w:rsidR="007D4D11" w:rsidRDefault="007D4D11" w:rsidP="00CE1B89">
            <w:pPr>
              <w:pStyle w:val="TableText0"/>
              <w:widowControl w:val="0"/>
              <w:jc w:val="center"/>
            </w:pPr>
            <w:r>
              <w:t>$</w:t>
            </w:r>
            <w:r w:rsidR="006A414A" w:rsidRPr="006A414A">
              <w:rPr>
                <w:color w:val="000000"/>
                <w:spacing w:val="214"/>
                <w:shd w:val="solid" w:color="000000" w:fill="000000"/>
                <w:fitText w:val="300" w:id="-1303201019"/>
                <w14:textFill>
                  <w14:solidFill>
                    <w14:srgbClr w14:val="000000">
                      <w14:alpha w14:val="100000"/>
                    </w14:srgbClr>
                  </w14:solidFill>
                </w14:textFill>
              </w:rPr>
              <w:t>|</w:t>
            </w:r>
            <w:r w:rsidR="006A414A" w:rsidRPr="006A414A">
              <w:rPr>
                <w:color w:val="000000"/>
                <w:shd w:val="solid" w:color="000000" w:fill="000000"/>
                <w:fitText w:val="300" w:id="-1303201019"/>
                <w14:textFill>
                  <w14:solidFill>
                    <w14:srgbClr w14:val="000000">
                      <w14:alpha w14:val="100000"/>
                    </w14:srgbClr>
                  </w14:solidFill>
                </w14:textFill>
              </w:rPr>
              <w:t>|</w:t>
            </w:r>
          </w:p>
        </w:tc>
        <w:tc>
          <w:tcPr>
            <w:tcW w:w="630" w:type="pct"/>
            <w:vAlign w:val="center"/>
          </w:tcPr>
          <w:p w14:paraId="763440F3" w14:textId="75987DE2" w:rsidR="007D4D11" w:rsidRDefault="007D4D11" w:rsidP="00CE1B89">
            <w:pPr>
              <w:pStyle w:val="TableText0"/>
              <w:widowControl w:val="0"/>
              <w:jc w:val="center"/>
            </w:pPr>
            <w:r>
              <w:t>-$</w:t>
            </w:r>
            <w:r w:rsidR="006A414A" w:rsidRPr="006A414A">
              <w:rPr>
                <w:color w:val="000000"/>
                <w:spacing w:val="114"/>
                <w:shd w:val="solid" w:color="000000" w:fill="000000"/>
                <w:fitText w:val="200" w:id="-1303201018"/>
                <w14:textFill>
                  <w14:solidFill>
                    <w14:srgbClr w14:val="000000">
                      <w14:alpha w14:val="100000"/>
                    </w14:srgbClr>
                  </w14:solidFill>
                </w14:textFill>
              </w:rPr>
              <w:t>|</w:t>
            </w:r>
            <w:r w:rsidR="006A414A" w:rsidRPr="006A414A">
              <w:rPr>
                <w:color w:val="000000"/>
                <w:shd w:val="solid" w:color="000000" w:fill="000000"/>
                <w:fitText w:val="200" w:id="-1303201018"/>
                <w14:textFill>
                  <w14:solidFill>
                    <w14:srgbClr w14:val="000000">
                      <w14:alpha w14:val="100000"/>
                    </w14:srgbClr>
                  </w14:solidFill>
                </w14:textFill>
              </w:rPr>
              <w:t>|</w:t>
            </w:r>
          </w:p>
        </w:tc>
        <w:tc>
          <w:tcPr>
            <w:tcW w:w="630" w:type="pct"/>
            <w:vAlign w:val="center"/>
          </w:tcPr>
          <w:p w14:paraId="4DACA04A" w14:textId="77777777" w:rsidR="007D4D11" w:rsidRPr="00CE1B89" w:rsidRDefault="007D4D11" w:rsidP="00CE1B89">
            <w:pPr>
              <w:pStyle w:val="TableText0"/>
              <w:widowControl w:val="0"/>
              <w:jc w:val="center"/>
              <w:rPr>
                <w:highlight w:val="darkGray"/>
              </w:rPr>
            </w:pPr>
            <w:r w:rsidRPr="00522119">
              <w:t>100%</w:t>
            </w:r>
          </w:p>
        </w:tc>
        <w:tc>
          <w:tcPr>
            <w:tcW w:w="782" w:type="pct"/>
            <w:vAlign w:val="center"/>
          </w:tcPr>
          <w:p w14:paraId="728E1404" w14:textId="4F60927A" w:rsidR="007D4D11" w:rsidRDefault="007D4D11" w:rsidP="00CE1B89">
            <w:pPr>
              <w:pStyle w:val="TableText0"/>
              <w:widowControl w:val="0"/>
              <w:jc w:val="center"/>
            </w:pPr>
            <w:r>
              <w:t>$</w:t>
            </w:r>
            <w:r w:rsidR="006A414A" w:rsidRPr="006A414A">
              <w:rPr>
                <w:rFonts w:hint="eastAsia"/>
                <w:color w:val="000000"/>
                <w:w w:val="15"/>
                <w:shd w:val="solid" w:color="000000" w:fill="000000"/>
                <w:fitText w:val="37" w:id="-1303201017"/>
                <w14:textFill>
                  <w14:solidFill>
                    <w14:srgbClr w14:val="000000">
                      <w14:alpha w14:val="100000"/>
                    </w14:srgbClr>
                  </w14:solidFill>
                </w14:textFill>
              </w:rPr>
              <w:t xml:space="preserve">　</w:t>
            </w:r>
            <w:r w:rsidR="006A414A" w:rsidRPr="006A414A">
              <w:rPr>
                <w:color w:val="000000"/>
                <w:w w:val="15"/>
                <w:shd w:val="solid" w:color="000000" w:fill="000000"/>
                <w:fitText w:val="37" w:id="-1303201017"/>
                <w14:textFill>
                  <w14:solidFill>
                    <w14:srgbClr w14:val="000000">
                      <w14:alpha w14:val="100000"/>
                    </w14:srgbClr>
                  </w14:solidFill>
                </w14:textFill>
              </w:rPr>
              <w:t>|</w:t>
            </w:r>
            <w:r w:rsidR="006A414A" w:rsidRPr="006A414A">
              <w:rPr>
                <w:rFonts w:hint="eastAsia"/>
                <w:color w:val="000000"/>
                <w:spacing w:val="-29"/>
                <w:w w:val="15"/>
                <w:shd w:val="solid" w:color="000000" w:fill="000000"/>
                <w:fitText w:val="37" w:id="-1303201017"/>
                <w14:textFill>
                  <w14:solidFill>
                    <w14:srgbClr w14:val="000000">
                      <w14:alpha w14:val="100000"/>
                    </w14:srgbClr>
                  </w14:solidFill>
                </w14:textFill>
              </w:rPr>
              <w:t xml:space="preserve">　</w:t>
            </w:r>
          </w:p>
        </w:tc>
        <w:tc>
          <w:tcPr>
            <w:tcW w:w="630" w:type="pct"/>
            <w:vAlign w:val="center"/>
          </w:tcPr>
          <w:p w14:paraId="4FA2D530" w14:textId="18FD78C7" w:rsidR="007D4D11" w:rsidRDefault="007D4D11" w:rsidP="00CE1B89">
            <w:pPr>
              <w:pStyle w:val="TableText0"/>
              <w:widowControl w:val="0"/>
              <w:jc w:val="center"/>
            </w:pPr>
            <w:r>
              <w:t>-$</w:t>
            </w:r>
            <w:r w:rsidR="006A414A" w:rsidRPr="006A414A">
              <w:rPr>
                <w:color w:val="000000"/>
                <w:spacing w:val="114"/>
                <w:shd w:val="solid" w:color="000000" w:fill="000000"/>
                <w:fitText w:val="200" w:id="-1303201016"/>
                <w14:textFill>
                  <w14:solidFill>
                    <w14:srgbClr w14:val="000000">
                      <w14:alpha w14:val="100000"/>
                    </w14:srgbClr>
                  </w14:solidFill>
                </w14:textFill>
              </w:rPr>
              <w:t>|</w:t>
            </w:r>
            <w:r w:rsidR="006A414A" w:rsidRPr="006A414A">
              <w:rPr>
                <w:color w:val="000000"/>
                <w:shd w:val="solid" w:color="000000" w:fill="000000"/>
                <w:fitText w:val="200" w:id="-1303201016"/>
                <w14:textFill>
                  <w14:solidFill>
                    <w14:srgbClr w14:val="000000">
                      <w14:alpha w14:val="100000"/>
                    </w14:srgbClr>
                  </w14:solidFill>
                </w14:textFill>
              </w:rPr>
              <w:t>|</w:t>
            </w:r>
          </w:p>
        </w:tc>
        <w:tc>
          <w:tcPr>
            <w:tcW w:w="630" w:type="pct"/>
            <w:vAlign w:val="center"/>
          </w:tcPr>
          <w:p w14:paraId="15A29FE1" w14:textId="330579FD" w:rsidR="007D4D11" w:rsidRPr="00CE1B89" w:rsidRDefault="007D4D11" w:rsidP="00CE1B89">
            <w:pPr>
              <w:pStyle w:val="TableText0"/>
              <w:widowControl w:val="0"/>
              <w:jc w:val="center"/>
              <w:rPr>
                <w:highlight w:val="darkGray"/>
              </w:rPr>
            </w:pPr>
            <w:r w:rsidRPr="00083F5D">
              <w:t>-100%</w:t>
            </w:r>
          </w:p>
        </w:tc>
      </w:tr>
      <w:tr w:rsidR="007D4D11" w14:paraId="1A38AFD9" w14:textId="77777777" w:rsidTr="005E4E54">
        <w:trPr>
          <w:cantSplit/>
        </w:trPr>
        <w:tc>
          <w:tcPr>
            <w:tcW w:w="5000" w:type="pct"/>
            <w:gridSpan w:val="8"/>
            <w:vAlign w:val="center"/>
          </w:tcPr>
          <w:p w14:paraId="0E136C91" w14:textId="7B194E7B" w:rsidR="007D4D11" w:rsidRPr="00A321F9" w:rsidRDefault="007D4D11" w:rsidP="00CE1B89">
            <w:pPr>
              <w:pStyle w:val="In-tableHeading"/>
              <w:widowControl w:val="0"/>
            </w:pPr>
            <w:r w:rsidRPr="00A321F9">
              <w:t xml:space="preserve">At-risk Australians aged 18-69 years followed until </w:t>
            </w:r>
            <w:r w:rsidR="00677CC1">
              <w:t>age</w:t>
            </w:r>
            <w:r w:rsidR="00820ABA">
              <w:t xml:space="preserve"> of</w:t>
            </w:r>
            <w:r w:rsidR="00677CC1">
              <w:t xml:space="preserve"> </w:t>
            </w:r>
            <w:r w:rsidRPr="00A321F9">
              <w:t>70 years</w:t>
            </w:r>
          </w:p>
        </w:tc>
      </w:tr>
      <w:tr w:rsidR="007D4D11" w14:paraId="61FE45D9" w14:textId="77777777" w:rsidTr="005E4E54">
        <w:trPr>
          <w:cantSplit/>
        </w:trPr>
        <w:tc>
          <w:tcPr>
            <w:tcW w:w="696" w:type="pct"/>
            <w:vAlign w:val="center"/>
          </w:tcPr>
          <w:p w14:paraId="0BBEE204" w14:textId="77777777" w:rsidR="007D4D11" w:rsidRDefault="007D4D11" w:rsidP="00CE1B89">
            <w:pPr>
              <w:pStyle w:val="TableText0"/>
              <w:widowControl w:val="0"/>
            </w:pPr>
            <w:r>
              <w:t>Vaccination</w:t>
            </w:r>
          </w:p>
        </w:tc>
        <w:tc>
          <w:tcPr>
            <w:tcW w:w="500" w:type="pct"/>
            <w:vAlign w:val="center"/>
          </w:tcPr>
          <w:p w14:paraId="34F16030" w14:textId="22A2D2EA" w:rsidR="007D4D11" w:rsidRDefault="007D4D11" w:rsidP="00CE1B89">
            <w:pPr>
              <w:pStyle w:val="TableText0"/>
              <w:widowControl w:val="0"/>
              <w:jc w:val="center"/>
            </w:pPr>
            <w:r>
              <w:t>$</w:t>
            </w:r>
            <w:r w:rsidR="006A414A" w:rsidRPr="006A414A">
              <w:rPr>
                <w:color w:val="000000"/>
                <w:spacing w:val="43"/>
                <w:shd w:val="solid" w:color="000000" w:fill="000000"/>
                <w:fitText w:val="301" w:id="-1303201015"/>
                <w14:textFill>
                  <w14:solidFill>
                    <w14:srgbClr w14:val="000000">
                      <w14:alpha w14:val="100000"/>
                    </w14:srgbClr>
                  </w14:solidFill>
                </w14:textFill>
              </w:rPr>
              <w:t>|||</w:t>
            </w:r>
            <w:r w:rsidR="006A414A" w:rsidRPr="006A414A">
              <w:rPr>
                <w:color w:val="000000"/>
                <w:spacing w:val="2"/>
                <w:shd w:val="solid" w:color="000000" w:fill="000000"/>
                <w:fitText w:val="301" w:id="-1303201015"/>
                <w14:textFill>
                  <w14:solidFill>
                    <w14:srgbClr w14:val="000000">
                      <w14:alpha w14:val="100000"/>
                    </w14:srgbClr>
                  </w14:solidFill>
                </w14:textFill>
              </w:rPr>
              <w:t>|</w:t>
            </w:r>
          </w:p>
        </w:tc>
        <w:tc>
          <w:tcPr>
            <w:tcW w:w="500" w:type="pct"/>
            <w:vAlign w:val="center"/>
          </w:tcPr>
          <w:p w14:paraId="2B03D5C6" w14:textId="079F2D84" w:rsidR="007D4D11" w:rsidRDefault="007D4D11" w:rsidP="00CE1B89">
            <w:pPr>
              <w:pStyle w:val="TableText0"/>
              <w:widowControl w:val="0"/>
              <w:jc w:val="center"/>
            </w:pPr>
            <w:r>
              <w:t>$</w:t>
            </w:r>
            <w:r w:rsidR="006A414A" w:rsidRPr="006A414A">
              <w:rPr>
                <w:color w:val="000000"/>
                <w:spacing w:val="214"/>
                <w:shd w:val="solid" w:color="000000" w:fill="000000"/>
                <w:fitText w:val="300" w:id="-1303201014"/>
                <w14:textFill>
                  <w14:solidFill>
                    <w14:srgbClr w14:val="000000">
                      <w14:alpha w14:val="100000"/>
                    </w14:srgbClr>
                  </w14:solidFill>
                </w14:textFill>
              </w:rPr>
              <w:t>|</w:t>
            </w:r>
            <w:r w:rsidR="006A414A" w:rsidRPr="006A414A">
              <w:rPr>
                <w:color w:val="000000"/>
                <w:shd w:val="solid" w:color="000000" w:fill="000000"/>
                <w:fitText w:val="300" w:id="-1303201014"/>
                <w14:textFill>
                  <w14:solidFill>
                    <w14:srgbClr w14:val="000000">
                      <w14:alpha w14:val="100000"/>
                    </w14:srgbClr>
                  </w14:solidFill>
                </w14:textFill>
              </w:rPr>
              <w:t>|</w:t>
            </w:r>
          </w:p>
        </w:tc>
        <w:tc>
          <w:tcPr>
            <w:tcW w:w="630" w:type="pct"/>
            <w:vAlign w:val="center"/>
          </w:tcPr>
          <w:p w14:paraId="4D2CD995" w14:textId="08F41972" w:rsidR="007D4D11" w:rsidRDefault="007D4D11" w:rsidP="00CE1B89">
            <w:pPr>
              <w:pStyle w:val="TableText0"/>
              <w:widowControl w:val="0"/>
              <w:jc w:val="center"/>
            </w:pPr>
            <w:r>
              <w:t>$</w:t>
            </w:r>
            <w:r w:rsidR="006A414A" w:rsidRPr="006A414A">
              <w:rPr>
                <w:color w:val="000000"/>
                <w:spacing w:val="102"/>
                <w:shd w:val="solid" w:color="000000" w:fill="000000"/>
                <w:fitText w:val="188" w:id="-1303201013"/>
                <w14:textFill>
                  <w14:solidFill>
                    <w14:srgbClr w14:val="000000">
                      <w14:alpha w14:val="100000"/>
                    </w14:srgbClr>
                  </w14:solidFill>
                </w14:textFill>
              </w:rPr>
              <w:t>|</w:t>
            </w:r>
            <w:r w:rsidR="006A414A" w:rsidRPr="006A414A">
              <w:rPr>
                <w:color w:val="000000"/>
                <w:shd w:val="solid" w:color="000000" w:fill="000000"/>
                <w:fitText w:val="188" w:id="-1303201013"/>
                <w14:textFill>
                  <w14:solidFill>
                    <w14:srgbClr w14:val="000000">
                      <w14:alpha w14:val="100000"/>
                    </w14:srgbClr>
                  </w14:solidFill>
                </w14:textFill>
              </w:rPr>
              <w:t>|</w:t>
            </w:r>
          </w:p>
        </w:tc>
        <w:tc>
          <w:tcPr>
            <w:tcW w:w="630" w:type="pct"/>
            <w:vAlign w:val="center"/>
          </w:tcPr>
          <w:p w14:paraId="4CA3FC00" w14:textId="77777777" w:rsidR="007D4D11" w:rsidRPr="00CE1B89" w:rsidRDefault="007D4D11" w:rsidP="00CE1B89">
            <w:pPr>
              <w:pStyle w:val="TableText0"/>
              <w:widowControl w:val="0"/>
              <w:jc w:val="center"/>
              <w:rPr>
                <w:highlight w:val="darkGray"/>
              </w:rPr>
            </w:pPr>
            <w:r w:rsidRPr="00522119">
              <w:t>29%</w:t>
            </w:r>
          </w:p>
        </w:tc>
        <w:tc>
          <w:tcPr>
            <w:tcW w:w="782" w:type="pct"/>
          </w:tcPr>
          <w:p w14:paraId="4A0761CB" w14:textId="1B269F52" w:rsidR="007D4D11" w:rsidRDefault="007D4D11" w:rsidP="00CE1B89">
            <w:pPr>
              <w:pStyle w:val="TableText0"/>
              <w:widowControl w:val="0"/>
              <w:jc w:val="center"/>
            </w:pPr>
            <w:r>
              <w:t>$</w:t>
            </w:r>
            <w:r w:rsidR="006A414A" w:rsidRPr="006A414A">
              <w:rPr>
                <w:rFonts w:hint="eastAsia"/>
                <w:color w:val="000000"/>
                <w:w w:val="15"/>
                <w:shd w:val="solid" w:color="000000" w:fill="000000"/>
                <w:fitText w:val="37" w:id="-1303201012"/>
                <w14:textFill>
                  <w14:solidFill>
                    <w14:srgbClr w14:val="000000">
                      <w14:alpha w14:val="100000"/>
                    </w14:srgbClr>
                  </w14:solidFill>
                </w14:textFill>
              </w:rPr>
              <w:t xml:space="preserve">　</w:t>
            </w:r>
            <w:r w:rsidR="006A414A" w:rsidRPr="006A414A">
              <w:rPr>
                <w:color w:val="000000"/>
                <w:w w:val="15"/>
                <w:shd w:val="solid" w:color="000000" w:fill="000000"/>
                <w:fitText w:val="37" w:id="-1303201012"/>
                <w14:textFill>
                  <w14:solidFill>
                    <w14:srgbClr w14:val="000000">
                      <w14:alpha w14:val="100000"/>
                    </w14:srgbClr>
                  </w14:solidFill>
                </w14:textFill>
              </w:rPr>
              <w:t>|</w:t>
            </w:r>
            <w:r w:rsidR="006A414A" w:rsidRPr="006A414A">
              <w:rPr>
                <w:rFonts w:hint="eastAsia"/>
                <w:color w:val="000000"/>
                <w:spacing w:val="-29"/>
                <w:w w:val="15"/>
                <w:shd w:val="solid" w:color="000000" w:fill="000000"/>
                <w:fitText w:val="37" w:id="-1303201012"/>
                <w14:textFill>
                  <w14:solidFill>
                    <w14:srgbClr w14:val="000000">
                      <w14:alpha w14:val="100000"/>
                    </w14:srgbClr>
                  </w14:solidFill>
                </w14:textFill>
              </w:rPr>
              <w:t xml:space="preserve">　</w:t>
            </w:r>
          </w:p>
        </w:tc>
        <w:tc>
          <w:tcPr>
            <w:tcW w:w="630" w:type="pct"/>
          </w:tcPr>
          <w:p w14:paraId="183F81C3" w14:textId="7C7C5714" w:rsidR="007D4D11" w:rsidRDefault="007D4D11" w:rsidP="00CE1B89">
            <w:pPr>
              <w:pStyle w:val="TableText0"/>
              <w:widowControl w:val="0"/>
              <w:jc w:val="center"/>
            </w:pPr>
            <w:r>
              <w:t>$</w:t>
            </w:r>
            <w:r w:rsidR="006A414A" w:rsidRPr="006A414A">
              <w:rPr>
                <w:color w:val="000000"/>
                <w:spacing w:val="101"/>
                <w:shd w:val="solid" w:color="000000" w:fill="000000"/>
                <w:fitText w:val="187" w:id="-1303201011"/>
                <w14:textFill>
                  <w14:solidFill>
                    <w14:srgbClr w14:val="000000">
                      <w14:alpha w14:val="100000"/>
                    </w14:srgbClr>
                  </w14:solidFill>
                </w14:textFill>
              </w:rPr>
              <w:t>|</w:t>
            </w:r>
            <w:r w:rsidR="006A414A" w:rsidRPr="006A414A">
              <w:rPr>
                <w:color w:val="000000"/>
                <w:shd w:val="solid" w:color="000000" w:fill="000000"/>
                <w:fitText w:val="187" w:id="-1303201011"/>
                <w14:textFill>
                  <w14:solidFill>
                    <w14:srgbClr w14:val="000000">
                      <w14:alpha w14:val="100000"/>
                    </w14:srgbClr>
                  </w14:solidFill>
                </w14:textFill>
              </w:rPr>
              <w:t>|</w:t>
            </w:r>
          </w:p>
        </w:tc>
        <w:tc>
          <w:tcPr>
            <w:tcW w:w="630" w:type="pct"/>
          </w:tcPr>
          <w:p w14:paraId="5761E796" w14:textId="77777777" w:rsidR="007D4D11" w:rsidRPr="00CE1B89" w:rsidRDefault="007D4D11" w:rsidP="00CE1B89">
            <w:pPr>
              <w:pStyle w:val="TableText0"/>
              <w:widowControl w:val="0"/>
              <w:jc w:val="center"/>
              <w:rPr>
                <w:highlight w:val="darkGray"/>
              </w:rPr>
            </w:pPr>
            <w:r w:rsidRPr="00083F5D">
              <w:t>29%</w:t>
            </w:r>
          </w:p>
        </w:tc>
      </w:tr>
      <w:tr w:rsidR="007D4D11" w14:paraId="51F7368A" w14:textId="77777777" w:rsidTr="005E4E54">
        <w:trPr>
          <w:cantSplit/>
        </w:trPr>
        <w:tc>
          <w:tcPr>
            <w:tcW w:w="696" w:type="pct"/>
            <w:vAlign w:val="center"/>
          </w:tcPr>
          <w:p w14:paraId="72CA864C" w14:textId="77777777" w:rsidR="007D4D11" w:rsidRDefault="007D4D11" w:rsidP="00CE1B89">
            <w:pPr>
              <w:pStyle w:val="TableText0"/>
              <w:widowControl w:val="0"/>
            </w:pPr>
            <w:r>
              <w:t>Bacteraemia events</w:t>
            </w:r>
          </w:p>
        </w:tc>
        <w:tc>
          <w:tcPr>
            <w:tcW w:w="500" w:type="pct"/>
            <w:vAlign w:val="center"/>
          </w:tcPr>
          <w:p w14:paraId="5E8F0419" w14:textId="77777777" w:rsidR="007D4D11" w:rsidRPr="00F93857" w:rsidRDefault="007D4D11" w:rsidP="00CE1B89">
            <w:pPr>
              <w:pStyle w:val="TableText0"/>
              <w:widowControl w:val="0"/>
              <w:jc w:val="center"/>
            </w:pPr>
            <w:r w:rsidRPr="00F93857">
              <w:t>$82,404</w:t>
            </w:r>
          </w:p>
        </w:tc>
        <w:tc>
          <w:tcPr>
            <w:tcW w:w="500" w:type="pct"/>
            <w:vAlign w:val="center"/>
          </w:tcPr>
          <w:p w14:paraId="2F9D21E7" w14:textId="77777777" w:rsidR="007D4D11" w:rsidRPr="00F93857" w:rsidRDefault="007D4D11" w:rsidP="00CE1B89">
            <w:pPr>
              <w:pStyle w:val="TableText0"/>
              <w:widowControl w:val="0"/>
              <w:jc w:val="center"/>
            </w:pPr>
            <w:r w:rsidRPr="00F93857">
              <w:t>$93,955</w:t>
            </w:r>
          </w:p>
        </w:tc>
        <w:tc>
          <w:tcPr>
            <w:tcW w:w="630" w:type="pct"/>
            <w:vAlign w:val="center"/>
          </w:tcPr>
          <w:p w14:paraId="3A2A6732" w14:textId="77777777" w:rsidR="007D4D11" w:rsidRPr="00F93857" w:rsidRDefault="007D4D11" w:rsidP="00CE1B89">
            <w:pPr>
              <w:pStyle w:val="TableText0"/>
              <w:widowControl w:val="0"/>
              <w:jc w:val="center"/>
            </w:pPr>
            <w:r w:rsidRPr="00F93857">
              <w:t>-$11,552</w:t>
            </w:r>
          </w:p>
        </w:tc>
        <w:tc>
          <w:tcPr>
            <w:tcW w:w="630" w:type="pct"/>
            <w:vAlign w:val="center"/>
          </w:tcPr>
          <w:p w14:paraId="07C5BF8F" w14:textId="77777777" w:rsidR="007D4D11" w:rsidRPr="00F93857" w:rsidRDefault="007D4D11" w:rsidP="00CE1B89">
            <w:pPr>
              <w:pStyle w:val="TableText0"/>
              <w:widowControl w:val="0"/>
              <w:jc w:val="center"/>
            </w:pPr>
            <w:r w:rsidRPr="00F93857">
              <w:t>-65%</w:t>
            </w:r>
          </w:p>
        </w:tc>
        <w:tc>
          <w:tcPr>
            <w:tcW w:w="782" w:type="pct"/>
          </w:tcPr>
          <w:p w14:paraId="485294FC" w14:textId="77777777" w:rsidR="007D4D11" w:rsidRPr="00F93857" w:rsidRDefault="007D4D11" w:rsidP="00CE1B89">
            <w:pPr>
              <w:pStyle w:val="TableText0"/>
              <w:widowControl w:val="0"/>
              <w:jc w:val="center"/>
            </w:pPr>
            <w:r w:rsidRPr="00F93857">
              <w:t>$88,592</w:t>
            </w:r>
          </w:p>
        </w:tc>
        <w:tc>
          <w:tcPr>
            <w:tcW w:w="630" w:type="pct"/>
          </w:tcPr>
          <w:p w14:paraId="232A5EB1" w14:textId="77777777" w:rsidR="007D4D11" w:rsidRPr="00F93857" w:rsidRDefault="007D4D11" w:rsidP="00CE1B89">
            <w:pPr>
              <w:pStyle w:val="TableText0"/>
              <w:widowControl w:val="0"/>
              <w:jc w:val="center"/>
            </w:pPr>
            <w:r w:rsidRPr="00F93857">
              <w:t>-$6,188</w:t>
            </w:r>
          </w:p>
        </w:tc>
        <w:tc>
          <w:tcPr>
            <w:tcW w:w="630" w:type="pct"/>
          </w:tcPr>
          <w:p w14:paraId="2B7F694B" w14:textId="77777777" w:rsidR="007D4D11" w:rsidRPr="00F93857" w:rsidRDefault="007D4D11" w:rsidP="00CE1B89">
            <w:pPr>
              <w:pStyle w:val="TableText0"/>
              <w:widowControl w:val="0"/>
              <w:jc w:val="center"/>
            </w:pPr>
            <w:r w:rsidRPr="00F93857">
              <w:t>-87%</w:t>
            </w:r>
          </w:p>
        </w:tc>
      </w:tr>
      <w:tr w:rsidR="007D4D11" w14:paraId="2D6CA03D" w14:textId="77777777" w:rsidTr="005E4E54">
        <w:trPr>
          <w:cantSplit/>
        </w:trPr>
        <w:tc>
          <w:tcPr>
            <w:tcW w:w="696" w:type="pct"/>
            <w:vAlign w:val="center"/>
          </w:tcPr>
          <w:p w14:paraId="13F4333D" w14:textId="77777777" w:rsidR="007D4D11" w:rsidRDefault="007D4D11" w:rsidP="00CE1B89">
            <w:pPr>
              <w:pStyle w:val="TableText0"/>
              <w:widowControl w:val="0"/>
            </w:pPr>
            <w:r>
              <w:t xml:space="preserve">Meningitis wo cx events </w:t>
            </w:r>
          </w:p>
        </w:tc>
        <w:tc>
          <w:tcPr>
            <w:tcW w:w="500" w:type="pct"/>
            <w:vAlign w:val="center"/>
          </w:tcPr>
          <w:p w14:paraId="1A5E5C3E" w14:textId="77777777" w:rsidR="007D4D11" w:rsidRPr="00F93857" w:rsidRDefault="007D4D11" w:rsidP="00CE1B89">
            <w:pPr>
              <w:pStyle w:val="TableText0"/>
              <w:widowControl w:val="0"/>
              <w:jc w:val="center"/>
            </w:pPr>
            <w:r w:rsidRPr="00F93857">
              <w:t>$1,869</w:t>
            </w:r>
          </w:p>
        </w:tc>
        <w:tc>
          <w:tcPr>
            <w:tcW w:w="500" w:type="pct"/>
            <w:vAlign w:val="center"/>
          </w:tcPr>
          <w:p w14:paraId="31056907" w14:textId="77777777" w:rsidR="007D4D11" w:rsidRPr="00F93857" w:rsidRDefault="007D4D11" w:rsidP="00CE1B89">
            <w:pPr>
              <w:pStyle w:val="TableText0"/>
              <w:widowControl w:val="0"/>
              <w:jc w:val="center"/>
            </w:pPr>
            <w:r w:rsidRPr="00F93857">
              <w:t>$2,131</w:t>
            </w:r>
          </w:p>
        </w:tc>
        <w:tc>
          <w:tcPr>
            <w:tcW w:w="630" w:type="pct"/>
            <w:vAlign w:val="center"/>
          </w:tcPr>
          <w:p w14:paraId="379AF55B" w14:textId="77777777" w:rsidR="007D4D11" w:rsidRPr="00F93857" w:rsidRDefault="007D4D11" w:rsidP="00CE1B89">
            <w:pPr>
              <w:pStyle w:val="TableText0"/>
              <w:widowControl w:val="0"/>
              <w:jc w:val="center"/>
            </w:pPr>
            <w:r w:rsidRPr="00F93857">
              <w:t>-$262</w:t>
            </w:r>
          </w:p>
        </w:tc>
        <w:tc>
          <w:tcPr>
            <w:tcW w:w="630" w:type="pct"/>
            <w:vAlign w:val="center"/>
          </w:tcPr>
          <w:p w14:paraId="4EC3664B" w14:textId="77777777" w:rsidR="007D4D11" w:rsidRPr="00F93857" w:rsidRDefault="007D4D11" w:rsidP="00CE1B89">
            <w:pPr>
              <w:pStyle w:val="TableText0"/>
              <w:widowControl w:val="0"/>
              <w:jc w:val="center"/>
            </w:pPr>
            <w:r w:rsidRPr="00F93857">
              <w:t>-1%</w:t>
            </w:r>
          </w:p>
        </w:tc>
        <w:tc>
          <w:tcPr>
            <w:tcW w:w="782" w:type="pct"/>
          </w:tcPr>
          <w:p w14:paraId="39383AF7" w14:textId="77777777" w:rsidR="007D4D11" w:rsidRPr="00F93857" w:rsidRDefault="007D4D11" w:rsidP="00CE1B89">
            <w:pPr>
              <w:pStyle w:val="TableText0"/>
              <w:widowControl w:val="0"/>
              <w:jc w:val="center"/>
            </w:pPr>
            <w:r w:rsidRPr="00F93857">
              <w:t>$2,009</w:t>
            </w:r>
          </w:p>
        </w:tc>
        <w:tc>
          <w:tcPr>
            <w:tcW w:w="630" w:type="pct"/>
          </w:tcPr>
          <w:p w14:paraId="3D3AE8E7" w14:textId="77777777" w:rsidR="007D4D11" w:rsidRPr="00F93857" w:rsidRDefault="007D4D11" w:rsidP="00CE1B89">
            <w:pPr>
              <w:pStyle w:val="TableText0"/>
              <w:widowControl w:val="0"/>
              <w:jc w:val="center"/>
            </w:pPr>
            <w:r w:rsidRPr="00F93857">
              <w:t>-$140</w:t>
            </w:r>
          </w:p>
        </w:tc>
        <w:tc>
          <w:tcPr>
            <w:tcW w:w="630" w:type="pct"/>
          </w:tcPr>
          <w:p w14:paraId="1805B139" w14:textId="77777777" w:rsidR="007D4D11" w:rsidRPr="00F93857" w:rsidRDefault="007D4D11" w:rsidP="00CE1B89">
            <w:pPr>
              <w:pStyle w:val="TableText0"/>
              <w:widowControl w:val="0"/>
              <w:jc w:val="center"/>
            </w:pPr>
            <w:r w:rsidRPr="00F93857">
              <w:t>-2%</w:t>
            </w:r>
          </w:p>
        </w:tc>
      </w:tr>
      <w:tr w:rsidR="007D4D11" w14:paraId="48B0E71F" w14:textId="77777777" w:rsidTr="005E4E54">
        <w:trPr>
          <w:cantSplit/>
        </w:trPr>
        <w:tc>
          <w:tcPr>
            <w:tcW w:w="696" w:type="pct"/>
            <w:vAlign w:val="center"/>
          </w:tcPr>
          <w:p w14:paraId="3B4C1768" w14:textId="77777777" w:rsidR="007D4D11" w:rsidRDefault="007D4D11" w:rsidP="00CE1B89">
            <w:pPr>
              <w:pStyle w:val="TableText0"/>
              <w:widowControl w:val="0"/>
            </w:pPr>
            <w:r>
              <w:t>Meningitis with cx events</w:t>
            </w:r>
          </w:p>
        </w:tc>
        <w:tc>
          <w:tcPr>
            <w:tcW w:w="500" w:type="pct"/>
            <w:vAlign w:val="center"/>
          </w:tcPr>
          <w:p w14:paraId="712AC30D" w14:textId="77777777" w:rsidR="007D4D11" w:rsidRPr="00F93857" w:rsidRDefault="007D4D11" w:rsidP="00CE1B89">
            <w:pPr>
              <w:pStyle w:val="TableText0"/>
              <w:widowControl w:val="0"/>
              <w:jc w:val="center"/>
            </w:pPr>
            <w:r w:rsidRPr="00F93857">
              <w:t>$2,597</w:t>
            </w:r>
          </w:p>
        </w:tc>
        <w:tc>
          <w:tcPr>
            <w:tcW w:w="500" w:type="pct"/>
            <w:vAlign w:val="center"/>
          </w:tcPr>
          <w:p w14:paraId="1089B480" w14:textId="77777777" w:rsidR="007D4D11" w:rsidRPr="00F93857" w:rsidRDefault="007D4D11" w:rsidP="00CE1B89">
            <w:pPr>
              <w:pStyle w:val="TableText0"/>
              <w:widowControl w:val="0"/>
              <w:jc w:val="center"/>
            </w:pPr>
            <w:r w:rsidRPr="00F93857">
              <w:t>$2,961</w:t>
            </w:r>
          </w:p>
        </w:tc>
        <w:tc>
          <w:tcPr>
            <w:tcW w:w="630" w:type="pct"/>
            <w:vAlign w:val="center"/>
          </w:tcPr>
          <w:p w14:paraId="0DDE3FD6" w14:textId="77777777" w:rsidR="007D4D11" w:rsidRPr="00F93857" w:rsidRDefault="007D4D11" w:rsidP="00CE1B89">
            <w:pPr>
              <w:pStyle w:val="TableText0"/>
              <w:widowControl w:val="0"/>
              <w:jc w:val="center"/>
            </w:pPr>
            <w:r w:rsidRPr="00F93857">
              <w:t>-$364</w:t>
            </w:r>
          </w:p>
        </w:tc>
        <w:tc>
          <w:tcPr>
            <w:tcW w:w="630" w:type="pct"/>
            <w:vAlign w:val="center"/>
          </w:tcPr>
          <w:p w14:paraId="2243A419" w14:textId="77777777" w:rsidR="007D4D11" w:rsidRPr="00F93857" w:rsidRDefault="007D4D11" w:rsidP="00CE1B89">
            <w:pPr>
              <w:pStyle w:val="TableText0"/>
              <w:widowControl w:val="0"/>
              <w:jc w:val="center"/>
            </w:pPr>
            <w:r w:rsidRPr="00F93857">
              <w:t>-2%</w:t>
            </w:r>
          </w:p>
        </w:tc>
        <w:tc>
          <w:tcPr>
            <w:tcW w:w="782" w:type="pct"/>
          </w:tcPr>
          <w:p w14:paraId="17FB2522" w14:textId="77777777" w:rsidR="007D4D11" w:rsidRPr="00F93857" w:rsidRDefault="007D4D11" w:rsidP="00CE1B89">
            <w:pPr>
              <w:pStyle w:val="TableText0"/>
              <w:widowControl w:val="0"/>
              <w:jc w:val="center"/>
            </w:pPr>
            <w:r w:rsidRPr="00F93857">
              <w:t>$2,792</w:t>
            </w:r>
          </w:p>
        </w:tc>
        <w:tc>
          <w:tcPr>
            <w:tcW w:w="630" w:type="pct"/>
          </w:tcPr>
          <w:p w14:paraId="18CC38DC" w14:textId="77777777" w:rsidR="007D4D11" w:rsidRPr="00F93857" w:rsidRDefault="007D4D11" w:rsidP="00CE1B89">
            <w:pPr>
              <w:pStyle w:val="TableText0"/>
              <w:widowControl w:val="0"/>
              <w:jc w:val="center"/>
            </w:pPr>
            <w:r w:rsidRPr="00F93857">
              <w:t>-$195</w:t>
            </w:r>
          </w:p>
        </w:tc>
        <w:tc>
          <w:tcPr>
            <w:tcW w:w="630" w:type="pct"/>
          </w:tcPr>
          <w:p w14:paraId="6DAE098A" w14:textId="77777777" w:rsidR="007D4D11" w:rsidRPr="00F93857" w:rsidRDefault="007D4D11" w:rsidP="00CE1B89">
            <w:pPr>
              <w:pStyle w:val="TableText0"/>
              <w:widowControl w:val="0"/>
              <w:jc w:val="center"/>
            </w:pPr>
            <w:r w:rsidRPr="00F93857">
              <w:t>-3%</w:t>
            </w:r>
          </w:p>
        </w:tc>
      </w:tr>
      <w:tr w:rsidR="007D4D11" w14:paraId="033F042E" w14:textId="77777777" w:rsidTr="005E4E54">
        <w:trPr>
          <w:cantSplit/>
        </w:trPr>
        <w:tc>
          <w:tcPr>
            <w:tcW w:w="696" w:type="pct"/>
            <w:vAlign w:val="center"/>
          </w:tcPr>
          <w:p w14:paraId="459F70FE" w14:textId="5CF76918" w:rsidR="007D4D11" w:rsidRDefault="007D4D11" w:rsidP="00CE1B89">
            <w:pPr>
              <w:pStyle w:val="TableText0"/>
              <w:widowControl w:val="0"/>
            </w:pPr>
            <w:r>
              <w:t>PNE hospitalisation events</w:t>
            </w:r>
          </w:p>
        </w:tc>
        <w:tc>
          <w:tcPr>
            <w:tcW w:w="500" w:type="pct"/>
            <w:vAlign w:val="center"/>
          </w:tcPr>
          <w:p w14:paraId="10BEAD39" w14:textId="77777777" w:rsidR="007D4D11" w:rsidRPr="00F93857" w:rsidRDefault="007D4D11" w:rsidP="00CE1B89">
            <w:pPr>
              <w:pStyle w:val="TableText0"/>
              <w:widowControl w:val="0"/>
              <w:jc w:val="center"/>
            </w:pPr>
            <w:r w:rsidRPr="00F93857">
              <w:t>$133,128</w:t>
            </w:r>
          </w:p>
        </w:tc>
        <w:tc>
          <w:tcPr>
            <w:tcW w:w="500" w:type="pct"/>
            <w:vAlign w:val="center"/>
          </w:tcPr>
          <w:p w14:paraId="7E081B3A" w14:textId="77777777" w:rsidR="007D4D11" w:rsidRPr="00F93857" w:rsidRDefault="007D4D11" w:rsidP="00CE1B89">
            <w:pPr>
              <w:pStyle w:val="TableText0"/>
              <w:widowControl w:val="0"/>
              <w:jc w:val="center"/>
            </w:pPr>
            <w:r w:rsidRPr="00F93857">
              <w:t>$143,984</w:t>
            </w:r>
          </w:p>
        </w:tc>
        <w:tc>
          <w:tcPr>
            <w:tcW w:w="630" w:type="pct"/>
            <w:vAlign w:val="center"/>
          </w:tcPr>
          <w:p w14:paraId="180970C4" w14:textId="77777777" w:rsidR="007D4D11" w:rsidRPr="00F93857" w:rsidRDefault="007D4D11" w:rsidP="00CE1B89">
            <w:pPr>
              <w:pStyle w:val="TableText0"/>
              <w:widowControl w:val="0"/>
              <w:jc w:val="center"/>
            </w:pPr>
            <w:r w:rsidRPr="00F93857">
              <w:t>-$10,856</w:t>
            </w:r>
          </w:p>
        </w:tc>
        <w:tc>
          <w:tcPr>
            <w:tcW w:w="630" w:type="pct"/>
            <w:vAlign w:val="center"/>
          </w:tcPr>
          <w:p w14:paraId="3D37C9DF" w14:textId="77777777" w:rsidR="007D4D11" w:rsidRPr="00F93857" w:rsidRDefault="007D4D11" w:rsidP="00CE1B89">
            <w:pPr>
              <w:pStyle w:val="TableText0"/>
              <w:widowControl w:val="0"/>
              <w:jc w:val="center"/>
            </w:pPr>
            <w:r w:rsidRPr="00F93857">
              <w:t>-61%</w:t>
            </w:r>
          </w:p>
        </w:tc>
        <w:tc>
          <w:tcPr>
            <w:tcW w:w="782" w:type="pct"/>
          </w:tcPr>
          <w:p w14:paraId="20485278" w14:textId="77777777" w:rsidR="007D4D11" w:rsidRPr="00F93857" w:rsidRDefault="007D4D11" w:rsidP="00CE1B89">
            <w:pPr>
              <w:pStyle w:val="TableText0"/>
              <w:widowControl w:val="0"/>
              <w:jc w:val="center"/>
            </w:pPr>
            <w:r w:rsidRPr="00F93857">
              <w:t>$138,944</w:t>
            </w:r>
          </w:p>
        </w:tc>
        <w:tc>
          <w:tcPr>
            <w:tcW w:w="630" w:type="pct"/>
          </w:tcPr>
          <w:p w14:paraId="119092FF" w14:textId="77777777" w:rsidR="007D4D11" w:rsidRPr="00F93857" w:rsidRDefault="007D4D11" w:rsidP="00CE1B89">
            <w:pPr>
              <w:pStyle w:val="TableText0"/>
              <w:widowControl w:val="0"/>
              <w:jc w:val="center"/>
            </w:pPr>
            <w:r w:rsidRPr="00F93857">
              <w:t>-$5,861</w:t>
            </w:r>
          </w:p>
        </w:tc>
        <w:tc>
          <w:tcPr>
            <w:tcW w:w="630" w:type="pct"/>
          </w:tcPr>
          <w:p w14:paraId="72640C76" w14:textId="77777777" w:rsidR="007D4D11" w:rsidRPr="00F93857" w:rsidRDefault="007D4D11" w:rsidP="00CE1B89">
            <w:pPr>
              <w:pStyle w:val="TableText0"/>
              <w:widowControl w:val="0"/>
              <w:jc w:val="center"/>
            </w:pPr>
            <w:r w:rsidRPr="00F93857">
              <w:t>-82%</w:t>
            </w:r>
          </w:p>
        </w:tc>
      </w:tr>
      <w:tr w:rsidR="007D4D11" w14:paraId="4B014605" w14:textId="77777777" w:rsidTr="005E4E54">
        <w:trPr>
          <w:cantSplit/>
        </w:trPr>
        <w:tc>
          <w:tcPr>
            <w:tcW w:w="696" w:type="pct"/>
            <w:vAlign w:val="center"/>
          </w:tcPr>
          <w:p w14:paraId="23900F30" w14:textId="77777777" w:rsidR="007D4D11" w:rsidRDefault="007D4D11" w:rsidP="00CE1B89">
            <w:pPr>
              <w:pStyle w:val="TableText0"/>
              <w:widowControl w:val="0"/>
            </w:pPr>
            <w:r>
              <w:t>PNE GP visits</w:t>
            </w:r>
          </w:p>
        </w:tc>
        <w:tc>
          <w:tcPr>
            <w:tcW w:w="500" w:type="pct"/>
            <w:vAlign w:val="center"/>
          </w:tcPr>
          <w:p w14:paraId="68A359F0" w14:textId="77777777" w:rsidR="007D4D11" w:rsidRPr="00F93857" w:rsidRDefault="007D4D11" w:rsidP="00CE1B89">
            <w:pPr>
              <w:pStyle w:val="TableText0"/>
              <w:widowControl w:val="0"/>
              <w:jc w:val="center"/>
            </w:pPr>
            <w:r w:rsidRPr="00F93857">
              <w:t>$2,351</w:t>
            </w:r>
          </w:p>
        </w:tc>
        <w:tc>
          <w:tcPr>
            <w:tcW w:w="500" w:type="pct"/>
            <w:vAlign w:val="center"/>
          </w:tcPr>
          <w:p w14:paraId="5DBE3130" w14:textId="77777777" w:rsidR="007D4D11" w:rsidRPr="00F93857" w:rsidRDefault="007D4D11" w:rsidP="00CE1B89">
            <w:pPr>
              <w:pStyle w:val="TableText0"/>
              <w:widowControl w:val="0"/>
              <w:jc w:val="center"/>
            </w:pPr>
            <w:r w:rsidRPr="00F93857">
              <w:t>$2,430</w:t>
            </w:r>
          </w:p>
        </w:tc>
        <w:tc>
          <w:tcPr>
            <w:tcW w:w="630" w:type="pct"/>
            <w:vAlign w:val="center"/>
          </w:tcPr>
          <w:p w14:paraId="6471F8F1" w14:textId="77777777" w:rsidR="007D4D11" w:rsidRPr="00F93857" w:rsidRDefault="007D4D11" w:rsidP="00CE1B89">
            <w:pPr>
              <w:pStyle w:val="TableText0"/>
              <w:widowControl w:val="0"/>
              <w:jc w:val="center"/>
            </w:pPr>
            <w:r w:rsidRPr="00F93857">
              <w:t>-$79</w:t>
            </w:r>
          </w:p>
        </w:tc>
        <w:tc>
          <w:tcPr>
            <w:tcW w:w="630" w:type="pct"/>
            <w:vAlign w:val="center"/>
          </w:tcPr>
          <w:p w14:paraId="03683515" w14:textId="77777777" w:rsidR="007D4D11" w:rsidRPr="00F93857" w:rsidRDefault="007D4D11" w:rsidP="00CE1B89">
            <w:pPr>
              <w:pStyle w:val="TableText0"/>
              <w:widowControl w:val="0"/>
              <w:jc w:val="center"/>
            </w:pPr>
            <w:r w:rsidRPr="00F93857">
              <w:t>-0.4%</w:t>
            </w:r>
          </w:p>
        </w:tc>
        <w:tc>
          <w:tcPr>
            <w:tcW w:w="782" w:type="pct"/>
          </w:tcPr>
          <w:p w14:paraId="4FC91FF3" w14:textId="77777777" w:rsidR="007D4D11" w:rsidRPr="00F93857" w:rsidRDefault="007D4D11" w:rsidP="00CE1B89">
            <w:pPr>
              <w:pStyle w:val="TableText0"/>
              <w:widowControl w:val="0"/>
              <w:jc w:val="center"/>
            </w:pPr>
            <w:r w:rsidRPr="00F93857">
              <w:t>$2,293</w:t>
            </w:r>
          </w:p>
        </w:tc>
        <w:tc>
          <w:tcPr>
            <w:tcW w:w="630" w:type="pct"/>
          </w:tcPr>
          <w:p w14:paraId="71DB8564" w14:textId="77777777" w:rsidR="007D4D11" w:rsidRPr="00F93857" w:rsidRDefault="007D4D11" w:rsidP="00CE1B89">
            <w:pPr>
              <w:pStyle w:val="TableText0"/>
              <w:widowControl w:val="0"/>
              <w:jc w:val="center"/>
            </w:pPr>
            <w:r w:rsidRPr="00F93857">
              <w:t>-$42</w:t>
            </w:r>
          </w:p>
        </w:tc>
        <w:tc>
          <w:tcPr>
            <w:tcW w:w="630" w:type="pct"/>
          </w:tcPr>
          <w:p w14:paraId="0D993E8C" w14:textId="77777777" w:rsidR="007D4D11" w:rsidRPr="00F93857" w:rsidRDefault="007D4D11" w:rsidP="00CE1B89">
            <w:pPr>
              <w:pStyle w:val="TableText0"/>
              <w:widowControl w:val="0"/>
              <w:jc w:val="center"/>
            </w:pPr>
            <w:r w:rsidRPr="00F93857">
              <w:t>-1%</w:t>
            </w:r>
          </w:p>
        </w:tc>
      </w:tr>
      <w:tr w:rsidR="007D4D11" w14:paraId="3CFCD90F" w14:textId="77777777" w:rsidTr="005E4E54">
        <w:trPr>
          <w:cantSplit/>
        </w:trPr>
        <w:tc>
          <w:tcPr>
            <w:tcW w:w="696" w:type="pct"/>
            <w:vAlign w:val="center"/>
          </w:tcPr>
          <w:p w14:paraId="0AE7FA66" w14:textId="77777777" w:rsidR="007D4D11" w:rsidRDefault="007D4D11" w:rsidP="00CE1B89">
            <w:pPr>
              <w:pStyle w:val="TableText0"/>
              <w:widowControl w:val="0"/>
            </w:pPr>
            <w:r>
              <w:t>Total</w:t>
            </w:r>
          </w:p>
        </w:tc>
        <w:tc>
          <w:tcPr>
            <w:tcW w:w="500" w:type="pct"/>
            <w:vAlign w:val="center"/>
          </w:tcPr>
          <w:p w14:paraId="007DC099" w14:textId="45FDA1C9" w:rsidR="007D4D11" w:rsidRDefault="007D4D11" w:rsidP="00CE1B89">
            <w:pPr>
              <w:pStyle w:val="TableText0"/>
              <w:widowControl w:val="0"/>
              <w:jc w:val="center"/>
            </w:pPr>
            <w:r>
              <w:t>$</w:t>
            </w:r>
            <w:r w:rsidR="006A414A" w:rsidRPr="006A414A">
              <w:rPr>
                <w:color w:val="000000"/>
                <w:spacing w:val="43"/>
                <w:shd w:val="solid" w:color="000000" w:fill="000000"/>
                <w:fitText w:val="301" w:id="-1303201010"/>
                <w14:textFill>
                  <w14:solidFill>
                    <w14:srgbClr w14:val="000000">
                      <w14:alpha w14:val="100000"/>
                    </w14:srgbClr>
                  </w14:solidFill>
                </w14:textFill>
              </w:rPr>
              <w:t>|||</w:t>
            </w:r>
            <w:r w:rsidR="006A414A" w:rsidRPr="006A414A">
              <w:rPr>
                <w:color w:val="000000"/>
                <w:spacing w:val="2"/>
                <w:shd w:val="solid" w:color="000000" w:fill="000000"/>
                <w:fitText w:val="301" w:id="-1303201010"/>
                <w14:textFill>
                  <w14:solidFill>
                    <w14:srgbClr w14:val="000000">
                      <w14:alpha w14:val="100000"/>
                    </w14:srgbClr>
                  </w14:solidFill>
                </w14:textFill>
              </w:rPr>
              <w:t>|</w:t>
            </w:r>
          </w:p>
        </w:tc>
        <w:tc>
          <w:tcPr>
            <w:tcW w:w="500" w:type="pct"/>
            <w:vAlign w:val="center"/>
          </w:tcPr>
          <w:p w14:paraId="73526121" w14:textId="68F11F69" w:rsidR="007D4D11" w:rsidRDefault="007D4D11" w:rsidP="00CE1B89">
            <w:pPr>
              <w:pStyle w:val="TableText0"/>
              <w:widowControl w:val="0"/>
              <w:jc w:val="center"/>
            </w:pPr>
            <w:r>
              <w:t>$</w:t>
            </w:r>
            <w:r w:rsidR="006A414A" w:rsidRPr="006A414A">
              <w:rPr>
                <w:color w:val="000000"/>
                <w:spacing w:val="214"/>
                <w:shd w:val="solid" w:color="000000" w:fill="000000"/>
                <w:fitText w:val="300" w:id="-1303201009"/>
                <w14:textFill>
                  <w14:solidFill>
                    <w14:srgbClr w14:val="000000">
                      <w14:alpha w14:val="100000"/>
                    </w14:srgbClr>
                  </w14:solidFill>
                </w14:textFill>
              </w:rPr>
              <w:t>|</w:t>
            </w:r>
            <w:r w:rsidR="006A414A" w:rsidRPr="006A414A">
              <w:rPr>
                <w:color w:val="000000"/>
                <w:shd w:val="solid" w:color="000000" w:fill="000000"/>
                <w:fitText w:val="300" w:id="-1303201009"/>
                <w14:textFill>
                  <w14:solidFill>
                    <w14:srgbClr w14:val="000000">
                      <w14:alpha w14:val="100000"/>
                    </w14:srgbClr>
                  </w14:solidFill>
                </w14:textFill>
              </w:rPr>
              <w:t>|</w:t>
            </w:r>
          </w:p>
        </w:tc>
        <w:tc>
          <w:tcPr>
            <w:tcW w:w="630" w:type="pct"/>
            <w:vAlign w:val="center"/>
          </w:tcPr>
          <w:p w14:paraId="3A652DFE" w14:textId="077EC2F6" w:rsidR="007D4D11" w:rsidRDefault="007D4D11" w:rsidP="00CE1B89">
            <w:pPr>
              <w:pStyle w:val="TableText0"/>
              <w:widowControl w:val="0"/>
              <w:jc w:val="center"/>
            </w:pPr>
            <w:r>
              <w:t>-$</w:t>
            </w:r>
            <w:r w:rsidR="006A414A" w:rsidRPr="006A414A">
              <w:rPr>
                <w:color w:val="000000"/>
                <w:spacing w:val="114"/>
                <w:shd w:val="solid" w:color="000000" w:fill="000000"/>
                <w:fitText w:val="200" w:id="-1303201008"/>
                <w14:textFill>
                  <w14:solidFill>
                    <w14:srgbClr w14:val="000000">
                      <w14:alpha w14:val="100000"/>
                    </w14:srgbClr>
                  </w14:solidFill>
                </w14:textFill>
              </w:rPr>
              <w:t>|</w:t>
            </w:r>
            <w:r w:rsidR="006A414A" w:rsidRPr="006A414A">
              <w:rPr>
                <w:color w:val="000000"/>
                <w:shd w:val="solid" w:color="000000" w:fill="000000"/>
                <w:fitText w:val="200" w:id="-1303201008"/>
                <w14:textFill>
                  <w14:solidFill>
                    <w14:srgbClr w14:val="000000">
                      <w14:alpha w14:val="100000"/>
                    </w14:srgbClr>
                  </w14:solidFill>
                </w14:textFill>
              </w:rPr>
              <w:t>|</w:t>
            </w:r>
          </w:p>
        </w:tc>
        <w:tc>
          <w:tcPr>
            <w:tcW w:w="630" w:type="pct"/>
            <w:vAlign w:val="center"/>
          </w:tcPr>
          <w:p w14:paraId="56A24A28" w14:textId="77777777" w:rsidR="007D4D11" w:rsidRPr="00CE1B89" w:rsidRDefault="007D4D11" w:rsidP="00CE1B89">
            <w:pPr>
              <w:pStyle w:val="TableText0"/>
              <w:widowControl w:val="0"/>
              <w:jc w:val="center"/>
              <w:rPr>
                <w:highlight w:val="darkGray"/>
              </w:rPr>
            </w:pPr>
            <w:r w:rsidRPr="00083F5D">
              <w:t>100%</w:t>
            </w:r>
          </w:p>
        </w:tc>
        <w:tc>
          <w:tcPr>
            <w:tcW w:w="782" w:type="pct"/>
          </w:tcPr>
          <w:p w14:paraId="2B03B50D" w14:textId="3D1BEBAA" w:rsidR="007D4D11" w:rsidRDefault="007D4D11" w:rsidP="00CE1B89">
            <w:pPr>
              <w:pStyle w:val="TableText0"/>
              <w:widowControl w:val="0"/>
              <w:jc w:val="center"/>
            </w:pPr>
            <w:r>
              <w:t>$</w:t>
            </w:r>
            <w:r w:rsidR="006A414A" w:rsidRPr="006A414A">
              <w:rPr>
                <w:rFonts w:hint="eastAsia"/>
                <w:color w:val="000000"/>
                <w:w w:val="15"/>
                <w:shd w:val="solid" w:color="000000" w:fill="000000"/>
                <w:fitText w:val="37" w:id="-1303201024"/>
                <w14:textFill>
                  <w14:solidFill>
                    <w14:srgbClr w14:val="000000">
                      <w14:alpha w14:val="100000"/>
                    </w14:srgbClr>
                  </w14:solidFill>
                </w14:textFill>
              </w:rPr>
              <w:t xml:space="preserve">　</w:t>
            </w:r>
            <w:r w:rsidR="006A414A" w:rsidRPr="006A414A">
              <w:rPr>
                <w:color w:val="000000"/>
                <w:w w:val="15"/>
                <w:shd w:val="solid" w:color="000000" w:fill="000000"/>
                <w:fitText w:val="37" w:id="-1303201024"/>
                <w14:textFill>
                  <w14:solidFill>
                    <w14:srgbClr w14:val="000000">
                      <w14:alpha w14:val="100000"/>
                    </w14:srgbClr>
                  </w14:solidFill>
                </w14:textFill>
              </w:rPr>
              <w:t>|</w:t>
            </w:r>
            <w:r w:rsidR="006A414A" w:rsidRPr="006A414A">
              <w:rPr>
                <w:rFonts w:hint="eastAsia"/>
                <w:color w:val="000000"/>
                <w:spacing w:val="-29"/>
                <w:w w:val="15"/>
                <w:shd w:val="solid" w:color="000000" w:fill="000000"/>
                <w:fitText w:val="37" w:id="-1303201024"/>
                <w14:textFill>
                  <w14:solidFill>
                    <w14:srgbClr w14:val="000000">
                      <w14:alpha w14:val="100000"/>
                    </w14:srgbClr>
                  </w14:solidFill>
                </w14:textFill>
              </w:rPr>
              <w:t xml:space="preserve">　</w:t>
            </w:r>
          </w:p>
        </w:tc>
        <w:tc>
          <w:tcPr>
            <w:tcW w:w="630" w:type="pct"/>
          </w:tcPr>
          <w:p w14:paraId="4845895E" w14:textId="726B132F" w:rsidR="007D4D11" w:rsidRDefault="007D4D11" w:rsidP="00CE1B89">
            <w:pPr>
              <w:pStyle w:val="TableText0"/>
              <w:widowControl w:val="0"/>
              <w:jc w:val="center"/>
            </w:pPr>
            <w:r>
              <w:t>-$</w:t>
            </w:r>
            <w:r w:rsidR="006A414A" w:rsidRPr="006A414A">
              <w:rPr>
                <w:color w:val="000000"/>
                <w:spacing w:val="114"/>
                <w:shd w:val="solid" w:color="000000" w:fill="000000"/>
                <w:fitText w:val="200" w:id="-1303201023"/>
                <w14:textFill>
                  <w14:solidFill>
                    <w14:srgbClr w14:val="000000">
                      <w14:alpha w14:val="100000"/>
                    </w14:srgbClr>
                  </w14:solidFill>
                </w14:textFill>
              </w:rPr>
              <w:t>|</w:t>
            </w:r>
            <w:r w:rsidR="006A414A" w:rsidRPr="006A414A">
              <w:rPr>
                <w:color w:val="000000"/>
                <w:shd w:val="solid" w:color="000000" w:fill="000000"/>
                <w:fitText w:val="200" w:id="-1303201023"/>
                <w14:textFill>
                  <w14:solidFill>
                    <w14:srgbClr w14:val="000000">
                      <w14:alpha w14:val="100000"/>
                    </w14:srgbClr>
                  </w14:solidFill>
                </w14:textFill>
              </w:rPr>
              <w:t>|</w:t>
            </w:r>
          </w:p>
        </w:tc>
        <w:tc>
          <w:tcPr>
            <w:tcW w:w="630" w:type="pct"/>
          </w:tcPr>
          <w:p w14:paraId="2EB3A63A" w14:textId="77777777" w:rsidR="007D4D11" w:rsidRPr="00CE1B89" w:rsidRDefault="007D4D11" w:rsidP="00CE1B89">
            <w:pPr>
              <w:pStyle w:val="TableText0"/>
              <w:widowControl w:val="0"/>
              <w:jc w:val="center"/>
              <w:rPr>
                <w:highlight w:val="darkGray"/>
              </w:rPr>
            </w:pPr>
            <w:r w:rsidRPr="00083F5D">
              <w:t>100%</w:t>
            </w:r>
          </w:p>
        </w:tc>
      </w:tr>
    </w:tbl>
    <w:p w14:paraId="4B1FF40F" w14:textId="2F227356" w:rsidR="007D4D11" w:rsidRDefault="007D4D11" w:rsidP="00CE1B89">
      <w:pPr>
        <w:pStyle w:val="FooterTableFigure"/>
        <w:keepNext/>
        <w:widowControl w:val="0"/>
      </w:pPr>
      <w:r>
        <w:t>Source: Generated from</w:t>
      </w:r>
      <w:r w:rsidR="00B64496" w:rsidRPr="00B64496">
        <w:t xml:space="preserve"> </w:t>
      </w:r>
      <w:r w:rsidR="00F24352" w:rsidRPr="00F24352">
        <w:t xml:space="preserve">the </w:t>
      </w:r>
      <w:r w:rsidR="00F24352">
        <w:t>E</w:t>
      </w:r>
      <w:r w:rsidR="00F24352" w:rsidRPr="00F24352">
        <w:t xml:space="preserve">xcel sheets </w:t>
      </w:r>
      <w:r w:rsidR="003E5619">
        <w:t>‘</w:t>
      </w:r>
      <w:r w:rsidR="00F24352" w:rsidRPr="00F24352">
        <w:t>Prevenar 70</w:t>
      </w:r>
      <w:r w:rsidR="003E5619">
        <w:t>’</w:t>
      </w:r>
      <w:r w:rsidR="00F24352" w:rsidRPr="00F24352">
        <w:t xml:space="preserve">, </w:t>
      </w:r>
      <w:r w:rsidR="003E5619">
        <w:t>‘</w:t>
      </w:r>
      <w:r w:rsidR="00F24352" w:rsidRPr="00F24352">
        <w:t xml:space="preserve">Prevenar </w:t>
      </w:r>
      <w:proofErr w:type="spellStart"/>
      <w:r w:rsidR="00F24352" w:rsidRPr="00F24352">
        <w:t>AtRisk</w:t>
      </w:r>
      <w:proofErr w:type="spellEnd"/>
      <w:r w:rsidR="00F24352" w:rsidRPr="00F24352">
        <w:t xml:space="preserve"> 18-69</w:t>
      </w:r>
      <w:r w:rsidR="003E5619">
        <w:t>’</w:t>
      </w:r>
      <w:r w:rsidR="00F24352" w:rsidRPr="00F24352">
        <w:t xml:space="preserve"> and </w:t>
      </w:r>
      <w:r w:rsidR="003E5619">
        <w:t>‘</w:t>
      </w:r>
      <w:r w:rsidR="00F24352" w:rsidRPr="00F24352">
        <w:t xml:space="preserve">Prevenar </w:t>
      </w:r>
      <w:proofErr w:type="spellStart"/>
      <w:r w:rsidR="00F24352" w:rsidRPr="00F24352">
        <w:t>Indig</w:t>
      </w:r>
      <w:proofErr w:type="spellEnd"/>
      <w:r w:rsidR="00F24352" w:rsidRPr="00F24352">
        <w:t xml:space="preserve"> 50</w:t>
      </w:r>
      <w:r w:rsidR="003E5619">
        <w:t>’</w:t>
      </w:r>
      <w:r>
        <w:t>during the evaluation.</w:t>
      </w:r>
    </w:p>
    <w:p w14:paraId="23E2B499" w14:textId="6BCE378F" w:rsidR="007D4D11" w:rsidRPr="008F4B68" w:rsidRDefault="007D4D11" w:rsidP="00CE1B89">
      <w:pPr>
        <w:pStyle w:val="FooterTableFigure"/>
        <w:widowControl w:val="0"/>
      </w:pPr>
      <w:r>
        <w:t>Abbreviations:</w:t>
      </w:r>
      <w:r w:rsidRPr="00FB1EBD">
        <w:t xml:space="preserve"> </w:t>
      </w:r>
      <w:r w:rsidRPr="00DE1E12">
        <w:t>13vPCV</w:t>
      </w:r>
      <w:r w:rsidR="38854285">
        <w:t xml:space="preserve">, </w:t>
      </w:r>
      <w:r w:rsidRPr="00DE1E12">
        <w:t xml:space="preserve">13 valent pneumococcal conjugate </w:t>
      </w:r>
      <w:proofErr w:type="gramStart"/>
      <w:r w:rsidRPr="00DE1E12">
        <w:t>vaccine</w:t>
      </w:r>
      <w:proofErr w:type="gramEnd"/>
      <w:r w:rsidRPr="00DE1E12">
        <w:t>; 15vPCV</w:t>
      </w:r>
      <w:r w:rsidR="5111DB5A">
        <w:t xml:space="preserve">, </w:t>
      </w:r>
      <w:r w:rsidRPr="00DE1E12">
        <w:t>15 valent pneumococcal conjugate vaccine; 20vPCV</w:t>
      </w:r>
      <w:r w:rsidR="2E48530A">
        <w:t xml:space="preserve">, </w:t>
      </w:r>
      <w:r w:rsidRPr="00DE1E12">
        <w:t xml:space="preserve">20 valent pneumococcal conjugate vaccine; </w:t>
      </w:r>
      <w:r w:rsidRPr="008F4B68">
        <w:t>cx</w:t>
      </w:r>
      <w:r w:rsidR="4F7A5D5A">
        <w:t xml:space="preserve">, </w:t>
      </w:r>
      <w:r w:rsidRPr="008F4B68">
        <w:t>complications; GP</w:t>
      </w:r>
      <w:r w:rsidR="646B7DBA">
        <w:t xml:space="preserve">, </w:t>
      </w:r>
      <w:r w:rsidRPr="008F4B68">
        <w:t>general practitioner; PNE</w:t>
      </w:r>
      <w:r w:rsidR="2344FEDE">
        <w:t>,</w:t>
      </w:r>
      <w:r w:rsidRPr="008F4B68">
        <w:t xml:space="preserve"> </w:t>
      </w:r>
      <w:r w:rsidR="004E5353">
        <w:t>p</w:t>
      </w:r>
      <w:r w:rsidRPr="008F4B68">
        <w:t>neumococcal pneumonia</w:t>
      </w:r>
      <w:r w:rsidR="00B3379E">
        <w:t>; wo, without.</w:t>
      </w:r>
    </w:p>
    <w:p w14:paraId="4B37208E" w14:textId="27D091A5" w:rsidR="007D4D11" w:rsidRPr="005551ED" w:rsidRDefault="007D4D11" w:rsidP="00CE1B89">
      <w:pPr>
        <w:pStyle w:val="FooterTableFigure"/>
        <w:widowControl w:val="0"/>
      </w:pPr>
      <w:proofErr w:type="spellStart"/>
      <w:r w:rsidRPr="00EB5266">
        <w:t>a</w:t>
      </w:r>
      <w:proofErr w:type="spellEnd"/>
      <w:r w:rsidRPr="00EB5266">
        <w:t xml:space="preserve"> </w:t>
      </w:r>
      <w:proofErr w:type="gramStart"/>
      <w:r>
        <w:t>The</w:t>
      </w:r>
      <w:proofErr w:type="gramEnd"/>
      <w:r>
        <w:t xml:space="preserve"> </w:t>
      </w:r>
      <w:r w:rsidR="00B352B0">
        <w:t xml:space="preserve">economic </w:t>
      </w:r>
      <w:r>
        <w:t>model uses discounted vaccination costs, so these results should be interpreted carefully.</w:t>
      </w:r>
    </w:p>
    <w:p w14:paraId="1CE8D2A9" w14:textId="08319AE9" w:rsidR="007D4D11" w:rsidRPr="00EF4652" w:rsidRDefault="007D4D11" w:rsidP="00CE1B89">
      <w:pPr>
        <w:keepNext/>
        <w:spacing w:line="259" w:lineRule="auto"/>
        <w:jc w:val="left"/>
        <w:rPr>
          <w:rStyle w:val="CommentReference"/>
        </w:rPr>
      </w:pPr>
      <w:bookmarkStart w:id="103" w:name="_Ref112349196"/>
      <w:bookmarkStart w:id="104" w:name="_Ref113694792"/>
      <w:r w:rsidRPr="00556C78">
        <w:rPr>
          <w:rStyle w:val="CommentReference"/>
        </w:rPr>
        <w:lastRenderedPageBreak/>
        <w:t xml:space="preserve">Table </w:t>
      </w:r>
      <w:r w:rsidRPr="00556C78">
        <w:rPr>
          <w:rStyle w:val="CommentReference"/>
        </w:rPr>
        <w:fldChar w:fldCharType="begin"/>
      </w:r>
      <w:r w:rsidRPr="00556C78">
        <w:rPr>
          <w:rStyle w:val="CommentReference"/>
        </w:rPr>
        <w:instrText xml:space="preserve"> SEQ Table \* ARABIC </w:instrText>
      </w:r>
      <w:r w:rsidRPr="00556C78">
        <w:rPr>
          <w:rStyle w:val="CommentReference"/>
        </w:rPr>
        <w:fldChar w:fldCharType="separate"/>
      </w:r>
      <w:r w:rsidR="00137984">
        <w:rPr>
          <w:rStyle w:val="CommentReference"/>
          <w:noProof/>
        </w:rPr>
        <w:t>14</w:t>
      </w:r>
      <w:r w:rsidRPr="00556C78">
        <w:rPr>
          <w:rStyle w:val="CommentReference"/>
        </w:rPr>
        <w:fldChar w:fldCharType="end"/>
      </w:r>
      <w:bookmarkEnd w:id="103"/>
      <w:bookmarkEnd w:id="104"/>
      <w:r w:rsidRPr="00556C78">
        <w:rPr>
          <w:rStyle w:val="CommentReference"/>
        </w:rPr>
        <w:t>:</w:t>
      </w:r>
      <w:r w:rsidRPr="00FB143B">
        <w:rPr>
          <w:rStyle w:val="CommentReference"/>
        </w:rPr>
        <w:t xml:space="preserve"> Health care resource items: disaggregated summary of cost impacts (undiscounted) for </w:t>
      </w:r>
      <w:r w:rsidRPr="00EF4652">
        <w:rPr>
          <w:rStyle w:val="CommentReference"/>
        </w:rPr>
        <w:t xml:space="preserve">Indigenous Australians aged 25-49 years followed until </w:t>
      </w:r>
      <w:r w:rsidR="00677CC1" w:rsidRPr="00EF4652">
        <w:rPr>
          <w:rStyle w:val="CommentReference"/>
        </w:rPr>
        <w:t xml:space="preserve">age </w:t>
      </w:r>
      <w:r w:rsidR="00820ABA" w:rsidRPr="00EF4652">
        <w:rPr>
          <w:rStyle w:val="CommentReference"/>
        </w:rPr>
        <w:t xml:space="preserve">of </w:t>
      </w:r>
      <w:r w:rsidRPr="00EF4652">
        <w:rPr>
          <w:rStyle w:val="CommentReference"/>
        </w:rPr>
        <w:t>50 years</w:t>
      </w:r>
      <w:r w:rsidR="00912BC8">
        <w:rPr>
          <w:rStyle w:val="CommentReference"/>
        </w:rPr>
        <w:t>, per 1,000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58"/>
        <w:gridCol w:w="1596"/>
        <w:gridCol w:w="1800"/>
        <w:gridCol w:w="1800"/>
      </w:tblGrid>
      <w:tr w:rsidR="007D4D11" w14:paraId="09FC1F6B" w14:textId="77777777" w:rsidTr="00912BC8">
        <w:tc>
          <w:tcPr>
            <w:tcW w:w="1255" w:type="pct"/>
            <w:vAlign w:val="center"/>
          </w:tcPr>
          <w:p w14:paraId="2AE66687" w14:textId="77777777" w:rsidR="007D4D11" w:rsidRPr="005C6766" w:rsidRDefault="007D4D11" w:rsidP="00CE1B89">
            <w:pPr>
              <w:pStyle w:val="TableText0"/>
              <w:widowControl w:val="0"/>
              <w:rPr>
                <w:b/>
                <w:bCs w:val="0"/>
              </w:rPr>
            </w:pPr>
            <w:r w:rsidRPr="005C6766">
              <w:rPr>
                <w:b/>
                <w:bCs w:val="0"/>
              </w:rPr>
              <w:t>Resource item</w:t>
            </w:r>
          </w:p>
        </w:tc>
        <w:tc>
          <w:tcPr>
            <w:tcW w:w="864" w:type="pct"/>
            <w:vAlign w:val="center"/>
          </w:tcPr>
          <w:p w14:paraId="63F8074E" w14:textId="5704F9B0" w:rsidR="007D4D11" w:rsidRPr="005C6766" w:rsidRDefault="007D4D11" w:rsidP="00CE1B89">
            <w:pPr>
              <w:pStyle w:val="TableText0"/>
              <w:widowControl w:val="0"/>
              <w:jc w:val="center"/>
              <w:rPr>
                <w:b/>
                <w:bCs w:val="0"/>
              </w:rPr>
            </w:pPr>
            <w:r w:rsidRPr="005C6766">
              <w:rPr>
                <w:b/>
                <w:bCs w:val="0"/>
              </w:rPr>
              <w:t xml:space="preserve">20vPCV </w:t>
            </w:r>
          </w:p>
        </w:tc>
        <w:tc>
          <w:tcPr>
            <w:tcW w:w="885" w:type="pct"/>
            <w:vAlign w:val="center"/>
          </w:tcPr>
          <w:p w14:paraId="3D3D395E" w14:textId="3CC5240D" w:rsidR="007D4D11" w:rsidRPr="005C6766" w:rsidRDefault="007D4D11" w:rsidP="00CE1B89">
            <w:pPr>
              <w:pStyle w:val="TableText0"/>
              <w:widowControl w:val="0"/>
              <w:jc w:val="center"/>
              <w:rPr>
                <w:b/>
                <w:bCs w:val="0"/>
              </w:rPr>
            </w:pPr>
            <w:r w:rsidRPr="005C6766">
              <w:rPr>
                <w:b/>
                <w:bCs w:val="0"/>
              </w:rPr>
              <w:t xml:space="preserve">No vaccination </w:t>
            </w:r>
          </w:p>
        </w:tc>
        <w:tc>
          <w:tcPr>
            <w:tcW w:w="998" w:type="pct"/>
            <w:vAlign w:val="center"/>
          </w:tcPr>
          <w:p w14:paraId="70CE928D" w14:textId="77777777" w:rsidR="007D4D11" w:rsidRPr="005C6766" w:rsidRDefault="007D4D11" w:rsidP="00CE1B89">
            <w:pPr>
              <w:pStyle w:val="TableText0"/>
              <w:widowControl w:val="0"/>
              <w:jc w:val="center"/>
              <w:rPr>
                <w:b/>
                <w:bCs w:val="0"/>
              </w:rPr>
            </w:pPr>
            <w:r w:rsidRPr="005C6766">
              <w:rPr>
                <w:b/>
                <w:bCs w:val="0"/>
              </w:rPr>
              <w:t>Incremental cost</w:t>
            </w:r>
          </w:p>
        </w:tc>
        <w:tc>
          <w:tcPr>
            <w:tcW w:w="998" w:type="pct"/>
            <w:vAlign w:val="center"/>
          </w:tcPr>
          <w:p w14:paraId="3FD92F66" w14:textId="77777777" w:rsidR="007D4D11" w:rsidRPr="005C6766" w:rsidRDefault="007D4D11" w:rsidP="00CE1B89">
            <w:pPr>
              <w:pStyle w:val="TableText0"/>
              <w:widowControl w:val="0"/>
              <w:jc w:val="center"/>
              <w:rPr>
                <w:b/>
                <w:bCs w:val="0"/>
              </w:rPr>
            </w:pPr>
            <w:r w:rsidRPr="005C6766">
              <w:rPr>
                <w:b/>
                <w:bCs w:val="0"/>
              </w:rPr>
              <w:t xml:space="preserve">% </w:t>
            </w:r>
            <w:proofErr w:type="gramStart"/>
            <w:r w:rsidRPr="005C6766">
              <w:rPr>
                <w:b/>
                <w:bCs w:val="0"/>
              </w:rPr>
              <w:t>of</w:t>
            </w:r>
            <w:proofErr w:type="gramEnd"/>
            <w:r w:rsidRPr="005C6766">
              <w:rPr>
                <w:b/>
                <w:bCs w:val="0"/>
              </w:rPr>
              <w:t xml:space="preserve"> total incremental cost</w:t>
            </w:r>
          </w:p>
        </w:tc>
      </w:tr>
      <w:tr w:rsidR="007D4D11" w14:paraId="50E62D45" w14:textId="77777777" w:rsidTr="00912BC8">
        <w:tc>
          <w:tcPr>
            <w:tcW w:w="1255" w:type="pct"/>
            <w:vAlign w:val="center"/>
          </w:tcPr>
          <w:p w14:paraId="284E0AAA" w14:textId="77777777" w:rsidR="007D4D11" w:rsidRDefault="007D4D11" w:rsidP="00CE1B89">
            <w:pPr>
              <w:pStyle w:val="TableText0"/>
              <w:widowControl w:val="0"/>
            </w:pPr>
            <w:r>
              <w:t>Vaccination</w:t>
            </w:r>
          </w:p>
        </w:tc>
        <w:tc>
          <w:tcPr>
            <w:tcW w:w="864" w:type="pct"/>
          </w:tcPr>
          <w:p w14:paraId="54FBD77A" w14:textId="4C91B739" w:rsidR="007D4D11" w:rsidRDefault="007D4D11" w:rsidP="00CE1B89">
            <w:pPr>
              <w:pStyle w:val="TableText0"/>
              <w:widowControl w:val="0"/>
              <w:jc w:val="center"/>
            </w:pPr>
            <w:r>
              <w:t>$</w:t>
            </w:r>
            <w:r w:rsidR="006A414A" w:rsidRPr="006A414A">
              <w:rPr>
                <w:color w:val="000000"/>
                <w:shd w:val="solid" w:color="000000" w:fill="000000"/>
                <w14:textFill>
                  <w14:solidFill>
                    <w14:srgbClr w14:val="000000">
                      <w14:alpha w14:val="100000"/>
                    </w14:srgbClr>
                  </w14:solidFill>
                </w14:textFill>
              </w:rPr>
              <w:t>|</w:t>
            </w:r>
          </w:p>
        </w:tc>
        <w:tc>
          <w:tcPr>
            <w:tcW w:w="885" w:type="pct"/>
            <w:vAlign w:val="center"/>
          </w:tcPr>
          <w:p w14:paraId="5C86343E" w14:textId="1437D9ED" w:rsidR="007D4D11" w:rsidRDefault="007D4D11" w:rsidP="00CE1B89">
            <w:pPr>
              <w:pStyle w:val="TableText0"/>
              <w:widowControl w:val="0"/>
              <w:jc w:val="center"/>
            </w:pPr>
            <w:r>
              <w:t>$0</w:t>
            </w:r>
          </w:p>
        </w:tc>
        <w:tc>
          <w:tcPr>
            <w:tcW w:w="998" w:type="pct"/>
            <w:vAlign w:val="center"/>
          </w:tcPr>
          <w:p w14:paraId="238F0EF5" w14:textId="4CFA1EC5" w:rsidR="007D4D11" w:rsidRDefault="007D4D11" w:rsidP="00CE1B89">
            <w:pPr>
              <w:pStyle w:val="TableText0"/>
              <w:widowControl w:val="0"/>
              <w:jc w:val="center"/>
            </w:pPr>
            <w:r>
              <w:t>$</w:t>
            </w:r>
            <w:r w:rsidR="006A414A" w:rsidRPr="006A414A">
              <w:rPr>
                <w:color w:val="000000"/>
                <w:shd w:val="solid" w:color="000000" w:fill="000000"/>
                <w14:textFill>
                  <w14:solidFill>
                    <w14:srgbClr w14:val="000000">
                      <w14:alpha w14:val="100000"/>
                    </w14:srgbClr>
                  </w14:solidFill>
                </w14:textFill>
              </w:rPr>
              <w:t>|</w:t>
            </w:r>
          </w:p>
        </w:tc>
        <w:tc>
          <w:tcPr>
            <w:tcW w:w="998" w:type="pct"/>
            <w:vAlign w:val="center"/>
          </w:tcPr>
          <w:p w14:paraId="423D9E14" w14:textId="77777777" w:rsidR="007D4D11" w:rsidRDefault="007D4D11" w:rsidP="00CE1B89">
            <w:pPr>
              <w:pStyle w:val="TableText0"/>
              <w:widowControl w:val="0"/>
              <w:jc w:val="center"/>
            </w:pPr>
            <w:r w:rsidRPr="00083F5D">
              <w:t>395%</w:t>
            </w:r>
          </w:p>
        </w:tc>
      </w:tr>
      <w:tr w:rsidR="007D4D11" w14:paraId="61DE67E7" w14:textId="77777777" w:rsidTr="00912BC8">
        <w:tc>
          <w:tcPr>
            <w:tcW w:w="1255" w:type="pct"/>
            <w:vAlign w:val="center"/>
          </w:tcPr>
          <w:p w14:paraId="29639F43" w14:textId="77777777" w:rsidR="007D4D11" w:rsidRDefault="007D4D11" w:rsidP="00CE1B89">
            <w:pPr>
              <w:pStyle w:val="TableText0"/>
              <w:widowControl w:val="0"/>
            </w:pPr>
            <w:r>
              <w:t>Bacteraemia events</w:t>
            </w:r>
          </w:p>
        </w:tc>
        <w:tc>
          <w:tcPr>
            <w:tcW w:w="864" w:type="pct"/>
            <w:vAlign w:val="center"/>
          </w:tcPr>
          <w:p w14:paraId="6DE19618" w14:textId="77777777" w:rsidR="007D4D11" w:rsidRDefault="007D4D11" w:rsidP="00CE1B89">
            <w:pPr>
              <w:pStyle w:val="TableText0"/>
              <w:widowControl w:val="0"/>
              <w:jc w:val="center"/>
            </w:pPr>
            <w:r>
              <w:t>$42,502</w:t>
            </w:r>
          </w:p>
        </w:tc>
        <w:tc>
          <w:tcPr>
            <w:tcW w:w="885" w:type="pct"/>
            <w:vAlign w:val="center"/>
          </w:tcPr>
          <w:p w14:paraId="0247FEE0" w14:textId="77777777" w:rsidR="007D4D11" w:rsidRDefault="007D4D11" w:rsidP="00CE1B89">
            <w:pPr>
              <w:pStyle w:val="TableText0"/>
              <w:widowControl w:val="0"/>
              <w:jc w:val="center"/>
            </w:pPr>
            <w:r>
              <w:t>$68,583</w:t>
            </w:r>
          </w:p>
        </w:tc>
        <w:tc>
          <w:tcPr>
            <w:tcW w:w="998" w:type="pct"/>
            <w:vAlign w:val="center"/>
          </w:tcPr>
          <w:p w14:paraId="1F097712" w14:textId="77777777" w:rsidR="007D4D11" w:rsidRDefault="007D4D11" w:rsidP="00CE1B89">
            <w:pPr>
              <w:pStyle w:val="TableText0"/>
              <w:widowControl w:val="0"/>
              <w:jc w:val="center"/>
            </w:pPr>
            <w:r>
              <w:t>-$26,081</w:t>
            </w:r>
          </w:p>
        </w:tc>
        <w:tc>
          <w:tcPr>
            <w:tcW w:w="998" w:type="pct"/>
            <w:vAlign w:val="center"/>
          </w:tcPr>
          <w:p w14:paraId="4929C103" w14:textId="77777777" w:rsidR="007D4D11" w:rsidRDefault="007D4D11" w:rsidP="00CE1B89">
            <w:pPr>
              <w:pStyle w:val="TableText0"/>
              <w:widowControl w:val="0"/>
              <w:jc w:val="center"/>
            </w:pPr>
            <w:r>
              <w:t>-219%</w:t>
            </w:r>
          </w:p>
        </w:tc>
      </w:tr>
      <w:tr w:rsidR="007D4D11" w14:paraId="1458E636" w14:textId="77777777" w:rsidTr="00912BC8">
        <w:tc>
          <w:tcPr>
            <w:tcW w:w="1255" w:type="pct"/>
            <w:vAlign w:val="center"/>
          </w:tcPr>
          <w:p w14:paraId="2C4504A0" w14:textId="5FD70B43" w:rsidR="007D4D11" w:rsidRDefault="007D4D11" w:rsidP="00CE1B89">
            <w:pPr>
              <w:pStyle w:val="TableText0"/>
              <w:widowControl w:val="0"/>
            </w:pPr>
            <w:r>
              <w:t>Meningitis w</w:t>
            </w:r>
            <w:r w:rsidR="00197181">
              <w:t>ith</w:t>
            </w:r>
            <w:r>
              <w:t>o</w:t>
            </w:r>
            <w:r w:rsidR="00197181">
              <w:t>ut</w:t>
            </w:r>
            <w:r>
              <w:t xml:space="preserve"> cx events </w:t>
            </w:r>
          </w:p>
        </w:tc>
        <w:tc>
          <w:tcPr>
            <w:tcW w:w="864" w:type="pct"/>
            <w:vAlign w:val="center"/>
          </w:tcPr>
          <w:p w14:paraId="6ECF43B1" w14:textId="77777777" w:rsidR="007D4D11" w:rsidRDefault="007D4D11" w:rsidP="00CE1B89">
            <w:pPr>
              <w:pStyle w:val="TableText0"/>
              <w:widowControl w:val="0"/>
              <w:jc w:val="center"/>
            </w:pPr>
            <w:r>
              <w:t>$0</w:t>
            </w:r>
          </w:p>
        </w:tc>
        <w:tc>
          <w:tcPr>
            <w:tcW w:w="885" w:type="pct"/>
            <w:vAlign w:val="center"/>
          </w:tcPr>
          <w:p w14:paraId="2064C7C7" w14:textId="77777777" w:rsidR="007D4D11" w:rsidRDefault="007D4D11" w:rsidP="00CE1B89">
            <w:pPr>
              <w:pStyle w:val="TableText0"/>
              <w:widowControl w:val="0"/>
              <w:jc w:val="center"/>
            </w:pPr>
            <w:r>
              <w:t>$0</w:t>
            </w:r>
          </w:p>
        </w:tc>
        <w:tc>
          <w:tcPr>
            <w:tcW w:w="998" w:type="pct"/>
            <w:vAlign w:val="center"/>
          </w:tcPr>
          <w:p w14:paraId="5550D51D" w14:textId="77777777" w:rsidR="007D4D11" w:rsidRDefault="007D4D11" w:rsidP="00CE1B89">
            <w:pPr>
              <w:pStyle w:val="TableText0"/>
              <w:widowControl w:val="0"/>
              <w:jc w:val="center"/>
            </w:pPr>
            <w:r>
              <w:t>$0</w:t>
            </w:r>
          </w:p>
        </w:tc>
        <w:tc>
          <w:tcPr>
            <w:tcW w:w="998" w:type="pct"/>
            <w:vAlign w:val="center"/>
          </w:tcPr>
          <w:p w14:paraId="190C9FBD" w14:textId="77777777" w:rsidR="007D4D11" w:rsidRDefault="007D4D11" w:rsidP="00CE1B89">
            <w:pPr>
              <w:pStyle w:val="TableText0"/>
              <w:widowControl w:val="0"/>
              <w:jc w:val="center"/>
            </w:pPr>
            <w:r>
              <w:t>0%</w:t>
            </w:r>
          </w:p>
        </w:tc>
      </w:tr>
      <w:tr w:rsidR="007D4D11" w14:paraId="3A8D58BE" w14:textId="77777777" w:rsidTr="00912BC8">
        <w:tc>
          <w:tcPr>
            <w:tcW w:w="1255" w:type="pct"/>
            <w:vAlign w:val="center"/>
          </w:tcPr>
          <w:p w14:paraId="31846336" w14:textId="35F32B12" w:rsidR="007D4D11" w:rsidRDefault="007D4D11" w:rsidP="00CE1B89">
            <w:pPr>
              <w:pStyle w:val="TableText0"/>
              <w:widowControl w:val="0"/>
            </w:pPr>
            <w:r>
              <w:t>Meningitis w</w:t>
            </w:r>
            <w:r w:rsidR="00197181">
              <w:t>ith</w:t>
            </w:r>
            <w:r>
              <w:t xml:space="preserve"> cx events</w:t>
            </w:r>
          </w:p>
        </w:tc>
        <w:tc>
          <w:tcPr>
            <w:tcW w:w="864" w:type="pct"/>
            <w:vAlign w:val="center"/>
          </w:tcPr>
          <w:p w14:paraId="3EDECDEF" w14:textId="77777777" w:rsidR="007D4D11" w:rsidRDefault="007D4D11" w:rsidP="00CE1B89">
            <w:pPr>
              <w:pStyle w:val="TableText0"/>
              <w:widowControl w:val="0"/>
              <w:jc w:val="center"/>
            </w:pPr>
            <w:r>
              <w:t>$0</w:t>
            </w:r>
          </w:p>
        </w:tc>
        <w:tc>
          <w:tcPr>
            <w:tcW w:w="885" w:type="pct"/>
            <w:vAlign w:val="center"/>
          </w:tcPr>
          <w:p w14:paraId="048F0FF6" w14:textId="77777777" w:rsidR="007D4D11" w:rsidRDefault="007D4D11" w:rsidP="00CE1B89">
            <w:pPr>
              <w:pStyle w:val="TableText0"/>
              <w:widowControl w:val="0"/>
              <w:jc w:val="center"/>
            </w:pPr>
            <w:r>
              <w:t>$0</w:t>
            </w:r>
          </w:p>
        </w:tc>
        <w:tc>
          <w:tcPr>
            <w:tcW w:w="998" w:type="pct"/>
            <w:vAlign w:val="center"/>
          </w:tcPr>
          <w:p w14:paraId="7F640470" w14:textId="77777777" w:rsidR="007D4D11" w:rsidRDefault="007D4D11" w:rsidP="00CE1B89">
            <w:pPr>
              <w:pStyle w:val="TableText0"/>
              <w:widowControl w:val="0"/>
              <w:jc w:val="center"/>
            </w:pPr>
            <w:r>
              <w:t>$0</w:t>
            </w:r>
          </w:p>
        </w:tc>
        <w:tc>
          <w:tcPr>
            <w:tcW w:w="998" w:type="pct"/>
            <w:vAlign w:val="center"/>
          </w:tcPr>
          <w:p w14:paraId="3B0B461B" w14:textId="77777777" w:rsidR="007D4D11" w:rsidRDefault="007D4D11" w:rsidP="00CE1B89">
            <w:pPr>
              <w:pStyle w:val="TableText0"/>
              <w:widowControl w:val="0"/>
              <w:jc w:val="center"/>
            </w:pPr>
            <w:r>
              <w:t>0%</w:t>
            </w:r>
          </w:p>
        </w:tc>
      </w:tr>
      <w:tr w:rsidR="007D4D11" w14:paraId="265AFDD5" w14:textId="77777777" w:rsidTr="00912BC8">
        <w:tc>
          <w:tcPr>
            <w:tcW w:w="1255" w:type="pct"/>
            <w:vAlign w:val="center"/>
          </w:tcPr>
          <w:p w14:paraId="5B92502E" w14:textId="77777777" w:rsidR="007D4D11" w:rsidRDefault="007D4D11" w:rsidP="00CE1B89">
            <w:pPr>
              <w:pStyle w:val="TableText0"/>
              <w:widowControl w:val="0"/>
            </w:pPr>
            <w:r>
              <w:t>PNE hospitalisation events</w:t>
            </w:r>
          </w:p>
        </w:tc>
        <w:tc>
          <w:tcPr>
            <w:tcW w:w="864" w:type="pct"/>
            <w:vAlign w:val="center"/>
          </w:tcPr>
          <w:p w14:paraId="171AE8C7" w14:textId="77777777" w:rsidR="007D4D11" w:rsidRDefault="007D4D11" w:rsidP="00CE1B89">
            <w:pPr>
              <w:pStyle w:val="TableText0"/>
              <w:widowControl w:val="0"/>
              <w:jc w:val="center"/>
            </w:pPr>
            <w:r>
              <w:t>$32,022</w:t>
            </w:r>
          </w:p>
        </w:tc>
        <w:tc>
          <w:tcPr>
            <w:tcW w:w="885" w:type="pct"/>
            <w:vAlign w:val="center"/>
          </w:tcPr>
          <w:p w14:paraId="7E60DBA1" w14:textId="77777777" w:rsidR="007D4D11" w:rsidRDefault="007D4D11" w:rsidP="00CE1B89">
            <w:pPr>
              <w:pStyle w:val="TableText0"/>
              <w:widowControl w:val="0"/>
              <w:jc w:val="center"/>
            </w:pPr>
            <w:r>
              <w:t>$40,972</w:t>
            </w:r>
          </w:p>
        </w:tc>
        <w:tc>
          <w:tcPr>
            <w:tcW w:w="998" w:type="pct"/>
            <w:vAlign w:val="center"/>
          </w:tcPr>
          <w:p w14:paraId="64D69850" w14:textId="77777777" w:rsidR="007D4D11" w:rsidRDefault="007D4D11" w:rsidP="00CE1B89">
            <w:pPr>
              <w:pStyle w:val="TableText0"/>
              <w:widowControl w:val="0"/>
              <w:jc w:val="center"/>
            </w:pPr>
            <w:r>
              <w:t>-$8,951</w:t>
            </w:r>
          </w:p>
        </w:tc>
        <w:tc>
          <w:tcPr>
            <w:tcW w:w="998" w:type="pct"/>
            <w:vAlign w:val="center"/>
          </w:tcPr>
          <w:p w14:paraId="179E1366" w14:textId="77777777" w:rsidR="007D4D11" w:rsidRDefault="007D4D11" w:rsidP="00CE1B89">
            <w:pPr>
              <w:pStyle w:val="TableText0"/>
              <w:widowControl w:val="0"/>
              <w:jc w:val="center"/>
            </w:pPr>
            <w:r>
              <w:t>-75%</w:t>
            </w:r>
          </w:p>
        </w:tc>
      </w:tr>
      <w:tr w:rsidR="007D4D11" w14:paraId="1AAD36BE" w14:textId="77777777" w:rsidTr="00912BC8">
        <w:tc>
          <w:tcPr>
            <w:tcW w:w="1255" w:type="pct"/>
            <w:vAlign w:val="center"/>
          </w:tcPr>
          <w:p w14:paraId="0BC89CB0" w14:textId="77777777" w:rsidR="007D4D11" w:rsidRDefault="007D4D11" w:rsidP="00CE1B89">
            <w:pPr>
              <w:pStyle w:val="TableText0"/>
              <w:widowControl w:val="0"/>
            </w:pPr>
            <w:r>
              <w:t>PNE GP visits</w:t>
            </w:r>
          </w:p>
        </w:tc>
        <w:tc>
          <w:tcPr>
            <w:tcW w:w="864" w:type="pct"/>
            <w:vAlign w:val="center"/>
          </w:tcPr>
          <w:p w14:paraId="2A2FCA48" w14:textId="77777777" w:rsidR="007D4D11" w:rsidRDefault="007D4D11" w:rsidP="00CE1B89">
            <w:pPr>
              <w:pStyle w:val="TableText0"/>
              <w:widowControl w:val="0"/>
              <w:jc w:val="center"/>
            </w:pPr>
            <w:r>
              <w:t>$586</w:t>
            </w:r>
          </w:p>
        </w:tc>
        <w:tc>
          <w:tcPr>
            <w:tcW w:w="885" w:type="pct"/>
            <w:vAlign w:val="center"/>
          </w:tcPr>
          <w:p w14:paraId="066FE46E" w14:textId="77777777" w:rsidR="007D4D11" w:rsidRDefault="007D4D11" w:rsidP="00CE1B89">
            <w:pPr>
              <w:pStyle w:val="TableText0"/>
              <w:widowControl w:val="0"/>
              <w:jc w:val="center"/>
            </w:pPr>
            <w:r>
              <w:t>$655</w:t>
            </w:r>
          </w:p>
        </w:tc>
        <w:tc>
          <w:tcPr>
            <w:tcW w:w="998" w:type="pct"/>
            <w:vAlign w:val="center"/>
          </w:tcPr>
          <w:p w14:paraId="0D9B1340" w14:textId="77777777" w:rsidR="007D4D11" w:rsidRDefault="007D4D11" w:rsidP="00CE1B89">
            <w:pPr>
              <w:pStyle w:val="TableText0"/>
              <w:widowControl w:val="0"/>
              <w:jc w:val="center"/>
            </w:pPr>
            <w:r>
              <w:t>-$68</w:t>
            </w:r>
          </w:p>
        </w:tc>
        <w:tc>
          <w:tcPr>
            <w:tcW w:w="998" w:type="pct"/>
            <w:vAlign w:val="center"/>
          </w:tcPr>
          <w:p w14:paraId="113E3613" w14:textId="77777777" w:rsidR="007D4D11" w:rsidRDefault="007D4D11" w:rsidP="00CE1B89">
            <w:pPr>
              <w:pStyle w:val="TableText0"/>
              <w:widowControl w:val="0"/>
              <w:jc w:val="center"/>
            </w:pPr>
            <w:r>
              <w:t>-1%</w:t>
            </w:r>
          </w:p>
        </w:tc>
      </w:tr>
      <w:tr w:rsidR="007D4D11" w14:paraId="5C60D1C9" w14:textId="77777777" w:rsidTr="00083F5D">
        <w:trPr>
          <w:trHeight w:val="133"/>
        </w:trPr>
        <w:tc>
          <w:tcPr>
            <w:tcW w:w="1255" w:type="pct"/>
            <w:vAlign w:val="center"/>
          </w:tcPr>
          <w:p w14:paraId="0219E793" w14:textId="77777777" w:rsidR="007D4D11" w:rsidRDefault="007D4D11" w:rsidP="00CE1B89">
            <w:pPr>
              <w:pStyle w:val="TableText0"/>
              <w:widowControl w:val="0"/>
            </w:pPr>
            <w:r>
              <w:t>Total</w:t>
            </w:r>
          </w:p>
        </w:tc>
        <w:tc>
          <w:tcPr>
            <w:tcW w:w="864" w:type="pct"/>
            <w:vAlign w:val="center"/>
          </w:tcPr>
          <w:p w14:paraId="36D5AFFF" w14:textId="56BCA1E9" w:rsidR="007D4D11" w:rsidRDefault="007D4D11" w:rsidP="00CE1B89">
            <w:pPr>
              <w:pStyle w:val="TableText0"/>
              <w:widowControl w:val="0"/>
              <w:jc w:val="center"/>
            </w:pPr>
            <w:r>
              <w:t>$</w:t>
            </w:r>
            <w:r w:rsidR="006A414A" w:rsidRPr="006A414A">
              <w:rPr>
                <w:color w:val="000000"/>
                <w:shd w:val="solid" w:color="000000" w:fill="000000"/>
                <w14:textFill>
                  <w14:solidFill>
                    <w14:srgbClr w14:val="000000">
                      <w14:alpha w14:val="100000"/>
                    </w14:srgbClr>
                  </w14:solidFill>
                </w14:textFill>
              </w:rPr>
              <w:t>|</w:t>
            </w:r>
          </w:p>
        </w:tc>
        <w:tc>
          <w:tcPr>
            <w:tcW w:w="885" w:type="pct"/>
            <w:vAlign w:val="center"/>
          </w:tcPr>
          <w:p w14:paraId="3ECD88F4" w14:textId="77777777" w:rsidR="007D4D11" w:rsidRDefault="007D4D11" w:rsidP="00CE1B89">
            <w:pPr>
              <w:pStyle w:val="TableText0"/>
              <w:widowControl w:val="0"/>
              <w:jc w:val="center"/>
            </w:pPr>
            <w:r>
              <w:t>$110,210</w:t>
            </w:r>
          </w:p>
        </w:tc>
        <w:tc>
          <w:tcPr>
            <w:tcW w:w="998" w:type="pct"/>
            <w:vAlign w:val="center"/>
          </w:tcPr>
          <w:p w14:paraId="6E0BD5C6" w14:textId="62E258A6" w:rsidR="007D4D11" w:rsidRDefault="007D4D11" w:rsidP="00CE1B89">
            <w:pPr>
              <w:pStyle w:val="TableText0"/>
              <w:widowControl w:val="0"/>
              <w:jc w:val="center"/>
            </w:pPr>
            <w:r>
              <w:t>$</w:t>
            </w:r>
            <w:r w:rsidR="006A414A" w:rsidRPr="006A414A">
              <w:rPr>
                <w:color w:val="000000"/>
                <w:shd w:val="solid" w:color="000000" w:fill="000000"/>
                <w14:textFill>
                  <w14:solidFill>
                    <w14:srgbClr w14:val="000000">
                      <w14:alpha w14:val="100000"/>
                    </w14:srgbClr>
                  </w14:solidFill>
                </w14:textFill>
              </w:rPr>
              <w:t>|</w:t>
            </w:r>
          </w:p>
        </w:tc>
        <w:tc>
          <w:tcPr>
            <w:tcW w:w="998" w:type="pct"/>
            <w:vAlign w:val="center"/>
          </w:tcPr>
          <w:p w14:paraId="571504AA" w14:textId="77777777" w:rsidR="007D4D11" w:rsidRDefault="007D4D11" w:rsidP="00CE1B89">
            <w:pPr>
              <w:pStyle w:val="TableText0"/>
              <w:widowControl w:val="0"/>
              <w:jc w:val="center"/>
            </w:pPr>
            <w:r w:rsidRPr="00083F5D">
              <w:t>100%</w:t>
            </w:r>
          </w:p>
        </w:tc>
      </w:tr>
    </w:tbl>
    <w:p w14:paraId="095CF8AB" w14:textId="6FE7BF14" w:rsidR="007D4D11" w:rsidRDefault="007D4D11" w:rsidP="00CE1B89">
      <w:pPr>
        <w:pStyle w:val="FooterTableFigure"/>
        <w:keepNext/>
        <w:widowControl w:val="0"/>
      </w:pPr>
      <w:r>
        <w:t xml:space="preserve">Source: Generated from the </w:t>
      </w:r>
      <w:r w:rsidR="00F24352">
        <w:t>E</w:t>
      </w:r>
      <w:r>
        <w:t>xcel sheet</w:t>
      </w:r>
      <w:r w:rsidR="00660D27">
        <w:t xml:space="preserve"> </w:t>
      </w:r>
      <w:r w:rsidR="003E5619">
        <w:t>‘</w:t>
      </w:r>
      <w:r w:rsidR="00660D27" w:rsidRPr="00660D27">
        <w:t xml:space="preserve">Prevenar </w:t>
      </w:r>
      <w:proofErr w:type="spellStart"/>
      <w:r w:rsidR="00660D27" w:rsidRPr="00660D27">
        <w:t>Indig</w:t>
      </w:r>
      <w:proofErr w:type="spellEnd"/>
      <w:r w:rsidR="00660D27" w:rsidRPr="00660D27">
        <w:t xml:space="preserve"> 25-49</w:t>
      </w:r>
      <w:r w:rsidR="003E5619">
        <w:t>’</w:t>
      </w:r>
      <w:r>
        <w:t xml:space="preserve"> during the evaluation.</w:t>
      </w:r>
    </w:p>
    <w:p w14:paraId="4EBC7A22" w14:textId="1A649F5C" w:rsidR="007D4D11" w:rsidRDefault="007D4D11" w:rsidP="00CE1B89">
      <w:pPr>
        <w:pStyle w:val="FooterTableFigure"/>
        <w:keepNext/>
        <w:widowControl w:val="0"/>
      </w:pPr>
      <w:r>
        <w:t>Abbreviations:</w:t>
      </w:r>
      <w:r w:rsidRPr="00FB1EBD">
        <w:t xml:space="preserve"> </w:t>
      </w:r>
      <w:r>
        <w:t>20vPCV</w:t>
      </w:r>
      <w:r w:rsidR="5951E9D7">
        <w:t xml:space="preserve">, </w:t>
      </w:r>
      <w:r>
        <w:t>20-valent pneumococcal conjugate vaccine; cx</w:t>
      </w:r>
      <w:r w:rsidR="3C66D986">
        <w:t xml:space="preserve">, </w:t>
      </w:r>
      <w:r>
        <w:t>complications; GP</w:t>
      </w:r>
      <w:r w:rsidR="6191F71D">
        <w:t xml:space="preserve">, </w:t>
      </w:r>
      <w:r>
        <w:t>general practitioner; PNE</w:t>
      </w:r>
      <w:r w:rsidR="1176FCD5">
        <w:t>,</w:t>
      </w:r>
      <w:r w:rsidRPr="00EA6590">
        <w:t xml:space="preserve"> Pneumococcal pneumonia</w:t>
      </w:r>
      <w:r>
        <w:t>.</w:t>
      </w:r>
    </w:p>
    <w:p w14:paraId="454C35D2" w14:textId="1B3C472C" w:rsidR="00B3379E" w:rsidRPr="00B07840" w:rsidRDefault="00EB5266" w:rsidP="00B3379E">
      <w:pPr>
        <w:pStyle w:val="3-BodyText"/>
      </w:pPr>
      <w:r>
        <w:t>The PBAC noted the k</w:t>
      </w:r>
      <w:r w:rsidR="00B3379E">
        <w:t xml:space="preserve">ey drivers of the economic model shown in </w:t>
      </w:r>
      <w:r w:rsidR="00711703">
        <w:fldChar w:fldCharType="begin"/>
      </w:r>
      <w:r w:rsidR="00711703">
        <w:instrText xml:space="preserve"> REF _Ref112349284 \h </w:instrText>
      </w:r>
      <w:r w:rsidR="00711703">
        <w:fldChar w:fldCharType="separate"/>
      </w:r>
      <w:r w:rsidR="00137984">
        <w:t xml:space="preserve">Table </w:t>
      </w:r>
      <w:r w:rsidR="00137984">
        <w:rPr>
          <w:noProof/>
        </w:rPr>
        <w:t>15</w:t>
      </w:r>
      <w:r w:rsidR="00711703">
        <w:fldChar w:fldCharType="end"/>
      </w:r>
      <w:r w:rsidR="00B3379E">
        <w:t>.</w:t>
      </w:r>
    </w:p>
    <w:p w14:paraId="18B83BCB" w14:textId="7C857075" w:rsidR="007D4D11" w:rsidRPr="00BB00B3" w:rsidRDefault="007D4D11" w:rsidP="00CE1B89">
      <w:pPr>
        <w:pStyle w:val="Caption"/>
        <w:keepLines w:val="0"/>
        <w:widowControl w:val="0"/>
        <w:rPr>
          <w:rStyle w:val="CommentReference"/>
          <w:b/>
          <w:bCs/>
          <w:snapToGrid w:val="0"/>
          <w:szCs w:val="24"/>
        </w:rPr>
      </w:pPr>
      <w:bookmarkStart w:id="105" w:name="_Ref112349200"/>
      <w:bookmarkStart w:id="106" w:name="_Ref112349284"/>
      <w:r>
        <w:lastRenderedPageBreak/>
        <w:t>Table</w:t>
      </w:r>
      <w:bookmarkEnd w:id="105"/>
      <w:r>
        <w:t xml:space="preserve"> </w:t>
      </w:r>
      <w:r>
        <w:fldChar w:fldCharType="begin"/>
      </w:r>
      <w:r>
        <w:instrText>SEQ Table \* ARABIC</w:instrText>
      </w:r>
      <w:r>
        <w:fldChar w:fldCharType="separate"/>
      </w:r>
      <w:r w:rsidR="00137984">
        <w:rPr>
          <w:noProof/>
        </w:rPr>
        <w:t>15</w:t>
      </w:r>
      <w:r>
        <w:fldChar w:fldCharType="end"/>
      </w:r>
      <w:bookmarkEnd w:id="106"/>
      <w:r w:rsidRPr="0076267C">
        <w:rPr>
          <w:b w:val="0"/>
          <w:bCs w:val="0"/>
        </w:rPr>
        <w:t>:</w:t>
      </w:r>
      <w:r w:rsidRPr="0076267C">
        <w:rPr>
          <w:rStyle w:val="CommentReference"/>
          <w:b/>
          <w:bCs/>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3686"/>
        <w:gridCol w:w="4059"/>
      </w:tblGrid>
      <w:tr w:rsidR="007D4D11" w:rsidRPr="003D1DE4" w14:paraId="0BDF5807" w14:textId="77777777" w:rsidTr="00EF4652">
        <w:trPr>
          <w:tblHeader/>
        </w:trPr>
        <w:tc>
          <w:tcPr>
            <w:tcW w:w="705" w:type="pct"/>
            <w:shd w:val="clear" w:color="auto" w:fill="auto"/>
            <w:vAlign w:val="center"/>
          </w:tcPr>
          <w:p w14:paraId="6EDAA4EC" w14:textId="77777777" w:rsidR="007D4D11" w:rsidRPr="003D1DE4" w:rsidRDefault="007D4D11" w:rsidP="00CE1B89">
            <w:pPr>
              <w:pStyle w:val="In-tableHeading"/>
              <w:widowControl w:val="0"/>
              <w:jc w:val="center"/>
            </w:pPr>
            <w:r w:rsidRPr="003D1DE4">
              <w:t>Description</w:t>
            </w:r>
          </w:p>
        </w:tc>
        <w:tc>
          <w:tcPr>
            <w:tcW w:w="2044" w:type="pct"/>
            <w:shd w:val="clear" w:color="auto" w:fill="auto"/>
            <w:vAlign w:val="center"/>
          </w:tcPr>
          <w:p w14:paraId="54F5EB31" w14:textId="77777777" w:rsidR="007D4D11" w:rsidRPr="003D1DE4" w:rsidRDefault="007D4D11" w:rsidP="00CE1B89">
            <w:pPr>
              <w:pStyle w:val="In-tableHeading"/>
              <w:widowControl w:val="0"/>
              <w:jc w:val="center"/>
            </w:pPr>
            <w:r w:rsidRPr="003D1DE4">
              <w:t>Method/Value</w:t>
            </w:r>
          </w:p>
        </w:tc>
        <w:tc>
          <w:tcPr>
            <w:tcW w:w="2251" w:type="pct"/>
            <w:shd w:val="clear" w:color="auto" w:fill="auto"/>
            <w:vAlign w:val="center"/>
          </w:tcPr>
          <w:p w14:paraId="794CA192" w14:textId="5171004A" w:rsidR="00DD4668" w:rsidRPr="003D1DE4" w:rsidRDefault="007D4D11" w:rsidP="00CE1B89">
            <w:pPr>
              <w:pStyle w:val="In-tableHeading"/>
              <w:widowControl w:val="0"/>
              <w:jc w:val="center"/>
            </w:pPr>
            <w:r w:rsidRPr="003D1DE4">
              <w:t>Impact</w:t>
            </w:r>
            <w:r w:rsidR="00712A11">
              <w:t xml:space="preserve"> on b</w:t>
            </w:r>
            <w:r w:rsidR="002F2934">
              <w:t>ase case ICERs</w:t>
            </w:r>
          </w:p>
        </w:tc>
      </w:tr>
      <w:tr w:rsidR="00B07840" w:rsidRPr="00E2771E" w14:paraId="47B14F7B" w14:textId="77777777" w:rsidTr="00EF4652">
        <w:tc>
          <w:tcPr>
            <w:tcW w:w="705" w:type="pct"/>
            <w:shd w:val="clear" w:color="auto" w:fill="auto"/>
          </w:tcPr>
          <w:p w14:paraId="1240ACEF" w14:textId="2F683211" w:rsidR="00B07840" w:rsidRPr="00E2771E" w:rsidRDefault="00B07840" w:rsidP="00CE1B89">
            <w:pPr>
              <w:pStyle w:val="TableText0"/>
              <w:widowControl w:val="0"/>
              <w:rPr>
                <w:lang w:val="en-US"/>
              </w:rPr>
            </w:pPr>
            <w:r w:rsidRPr="00E91C64">
              <w:rPr>
                <w:lang w:val="en-US"/>
              </w:rPr>
              <w:t>C</w:t>
            </w:r>
            <w:r w:rsidR="00E1393D">
              <w:rPr>
                <w:lang w:val="en-US"/>
              </w:rPr>
              <w:t>ase fatality rate</w:t>
            </w:r>
            <w:r w:rsidRPr="00E91C64">
              <w:rPr>
                <w:lang w:val="en-US"/>
              </w:rPr>
              <w:t xml:space="preserve"> for pneumococcal </w:t>
            </w:r>
            <w:proofErr w:type="spellStart"/>
            <w:r w:rsidRPr="00E91C64">
              <w:rPr>
                <w:lang w:val="en-US"/>
              </w:rPr>
              <w:t>hospitalisations</w:t>
            </w:r>
            <w:proofErr w:type="spellEnd"/>
          </w:p>
        </w:tc>
        <w:tc>
          <w:tcPr>
            <w:tcW w:w="2044" w:type="pct"/>
            <w:shd w:val="clear" w:color="auto" w:fill="auto"/>
          </w:tcPr>
          <w:p w14:paraId="5636FCA1" w14:textId="39A5AF88" w:rsidR="00B07840" w:rsidRPr="00E2771E" w:rsidRDefault="00B07840" w:rsidP="00CE1B89">
            <w:pPr>
              <w:pStyle w:val="TableText0"/>
              <w:widowControl w:val="0"/>
              <w:rPr>
                <w:lang w:val="en-US"/>
              </w:rPr>
            </w:pPr>
            <w:r>
              <w:rPr>
                <w:lang w:val="en-US"/>
              </w:rPr>
              <w:t xml:space="preserve">Base case analysis </w:t>
            </w:r>
            <w:r w:rsidR="00820ABA">
              <w:rPr>
                <w:lang w:val="en-US"/>
              </w:rPr>
              <w:t xml:space="preserve">sourced </w:t>
            </w:r>
            <w:r>
              <w:rPr>
                <w:lang w:val="en-US"/>
              </w:rPr>
              <w:t xml:space="preserve">age-adjusted rates from </w:t>
            </w:r>
            <w:proofErr w:type="spellStart"/>
            <w:r>
              <w:rPr>
                <w:lang w:val="en-US"/>
              </w:rPr>
              <w:t>Dirmesropian</w:t>
            </w:r>
            <w:proofErr w:type="spellEnd"/>
            <w:r>
              <w:rPr>
                <w:lang w:val="en-US"/>
              </w:rPr>
              <w:t xml:space="preserve"> </w:t>
            </w:r>
            <w:r w:rsidR="00A77ABE">
              <w:rPr>
                <w:lang w:val="en-US"/>
              </w:rPr>
              <w:t>(</w:t>
            </w:r>
            <w:r>
              <w:rPr>
                <w:lang w:val="en-US"/>
              </w:rPr>
              <w:t>2018</w:t>
            </w:r>
            <w:r w:rsidR="00A77ABE">
              <w:rPr>
                <w:lang w:val="en-US"/>
              </w:rPr>
              <w:t>)</w:t>
            </w:r>
            <w:r>
              <w:rPr>
                <w:lang w:val="en-US"/>
              </w:rPr>
              <w:t xml:space="preserve"> that ranged from 0.71% to 16.75%. Sensitivity analysis</w:t>
            </w:r>
            <w:r w:rsidR="002168CB">
              <w:rPr>
                <w:lang w:val="en-US"/>
              </w:rPr>
              <w:t xml:space="preserve"> in the submission</w:t>
            </w:r>
            <w:r>
              <w:rPr>
                <w:lang w:val="en-US"/>
              </w:rPr>
              <w:t xml:space="preserve"> changed these to 3.8% and 20.5%</w:t>
            </w:r>
            <w:r w:rsidR="00CE4ED8">
              <w:rPr>
                <w:lang w:val="en-US"/>
              </w:rPr>
              <w:t xml:space="preserve"> as </w:t>
            </w:r>
            <w:r w:rsidR="00CD61EA" w:rsidRPr="00683533">
              <w:rPr>
                <w:iCs/>
                <w:lang w:val="en-US"/>
              </w:rPr>
              <w:t>recommended</w:t>
            </w:r>
            <w:r w:rsidR="00CD61EA">
              <w:rPr>
                <w:lang w:val="en-US"/>
              </w:rPr>
              <w:t xml:space="preserve"> </w:t>
            </w:r>
            <w:r w:rsidR="00CD61EA" w:rsidRPr="00683533">
              <w:rPr>
                <w:iCs/>
                <w:lang w:val="en-US"/>
              </w:rPr>
              <w:t>by</w:t>
            </w:r>
            <w:r w:rsidR="00CD61EA">
              <w:rPr>
                <w:lang w:val="en-US"/>
              </w:rPr>
              <w:t xml:space="preserve"> </w:t>
            </w:r>
            <w:r w:rsidR="00CE4ED8">
              <w:rPr>
                <w:lang w:val="en-US"/>
              </w:rPr>
              <w:t>ATAGI</w:t>
            </w:r>
            <w:r w:rsidR="00CD61EA">
              <w:rPr>
                <w:lang w:val="en-US"/>
              </w:rPr>
              <w:t xml:space="preserve"> </w:t>
            </w:r>
            <w:r w:rsidR="00CD61EA" w:rsidRPr="00683533">
              <w:rPr>
                <w:iCs/>
                <w:lang w:val="en-US"/>
              </w:rPr>
              <w:t>for CAP</w:t>
            </w:r>
            <w:r w:rsidR="00CE4ED8">
              <w:rPr>
                <w:lang w:val="en-US"/>
              </w:rPr>
              <w:t xml:space="preserve"> </w:t>
            </w:r>
            <w:r w:rsidR="00CD61EA" w:rsidRPr="00683533">
              <w:rPr>
                <w:iCs/>
                <w:lang w:val="en-US"/>
              </w:rPr>
              <w:t>CFRs</w:t>
            </w:r>
            <w:r w:rsidR="00CD61EA">
              <w:rPr>
                <w:lang w:val="en-US"/>
              </w:rPr>
              <w:t xml:space="preserve"> </w:t>
            </w:r>
            <w:r w:rsidR="00CE4ED8">
              <w:rPr>
                <w:lang w:val="en-US"/>
              </w:rPr>
              <w:t>(</w:t>
            </w:r>
            <w:r w:rsidR="00921617">
              <w:rPr>
                <w:lang w:val="en-US"/>
              </w:rPr>
              <w:t xml:space="preserve">p68, </w:t>
            </w:r>
            <w:r w:rsidR="006C73AD" w:rsidRPr="006C73AD">
              <w:rPr>
                <w:lang w:val="en-US"/>
              </w:rPr>
              <w:t>ATAGI advice February 2016</w:t>
            </w:r>
            <w:r w:rsidR="006C73AD">
              <w:rPr>
                <w:lang w:val="en-US"/>
              </w:rPr>
              <w:t>)</w:t>
            </w:r>
            <w:r>
              <w:rPr>
                <w:lang w:val="en-US"/>
              </w:rPr>
              <w:t>.</w:t>
            </w:r>
          </w:p>
        </w:tc>
        <w:tc>
          <w:tcPr>
            <w:tcW w:w="2251" w:type="pct"/>
            <w:shd w:val="clear" w:color="auto" w:fill="auto"/>
          </w:tcPr>
          <w:p w14:paraId="20E7469E" w14:textId="45A8C169" w:rsidR="00B07840" w:rsidRDefault="007D6CEA" w:rsidP="00CE1B89">
            <w:pPr>
              <w:pStyle w:val="TableText0"/>
              <w:widowControl w:val="0"/>
              <w:rPr>
                <w:lang w:val="en-US"/>
              </w:rPr>
            </w:pPr>
            <w:r>
              <w:rPr>
                <w:lang w:val="en-US"/>
              </w:rPr>
              <w:t>Remains dominant with CFRs tested in sensitivity analyses for the existing populations.</w:t>
            </w:r>
          </w:p>
          <w:p w14:paraId="2BF1D8A9" w14:textId="77777777" w:rsidR="007D6CEA" w:rsidRDefault="007D6CEA" w:rsidP="00CE1B89">
            <w:pPr>
              <w:pStyle w:val="TableText0"/>
              <w:widowControl w:val="0"/>
              <w:rPr>
                <w:i/>
                <w:lang w:val="en-US"/>
              </w:rPr>
            </w:pPr>
          </w:p>
          <w:p w14:paraId="37580B2B" w14:textId="2C7EB247" w:rsidR="007D6CEA" w:rsidRPr="002A5787" w:rsidRDefault="007D6CEA" w:rsidP="00CE1B89">
            <w:pPr>
              <w:pStyle w:val="TableText0"/>
              <w:widowControl w:val="0"/>
              <w:rPr>
                <w:iCs/>
                <w:lang w:val="en-US"/>
              </w:rPr>
            </w:pPr>
            <w:r>
              <w:rPr>
                <w:iCs/>
                <w:lang w:val="en-US"/>
              </w:rPr>
              <w:t>Medium impact for the expanded population.</w:t>
            </w:r>
          </w:p>
        </w:tc>
      </w:tr>
      <w:tr w:rsidR="00B07840" w:rsidRPr="004E375B" w14:paraId="52DFF0C1" w14:textId="77777777" w:rsidTr="00EF4652">
        <w:tc>
          <w:tcPr>
            <w:tcW w:w="705" w:type="pct"/>
            <w:shd w:val="clear" w:color="auto" w:fill="auto"/>
          </w:tcPr>
          <w:p w14:paraId="7842F9DF" w14:textId="6DCA0286" w:rsidR="00B07840" w:rsidRPr="004E375B" w:rsidRDefault="00B07840" w:rsidP="00CE1B89">
            <w:pPr>
              <w:pStyle w:val="TableText0"/>
              <w:widowControl w:val="0"/>
              <w:rPr>
                <w:lang w:val="en-US"/>
              </w:rPr>
            </w:pPr>
            <w:r w:rsidRPr="004E375B">
              <w:rPr>
                <w:lang w:val="en-US"/>
              </w:rPr>
              <w:t>Comparative effectiveness of 20vPCV</w:t>
            </w:r>
          </w:p>
        </w:tc>
        <w:tc>
          <w:tcPr>
            <w:tcW w:w="2044" w:type="pct"/>
            <w:shd w:val="clear" w:color="auto" w:fill="auto"/>
          </w:tcPr>
          <w:p w14:paraId="3C78D832" w14:textId="093B784B" w:rsidR="00B07840" w:rsidRPr="004E375B" w:rsidRDefault="00B07840" w:rsidP="00CE1B89">
            <w:pPr>
              <w:keepNext/>
              <w:widowControl w:val="0"/>
              <w:jc w:val="left"/>
              <w:rPr>
                <w:lang w:val="en-US"/>
              </w:rPr>
            </w:pPr>
            <w:r w:rsidRPr="004E375B">
              <w:rPr>
                <w:rFonts w:ascii="Arial Narrow" w:eastAsiaTheme="majorEastAsia" w:hAnsi="Arial Narrow" w:cstheme="majorBidi"/>
                <w:bCs/>
                <w:iCs/>
                <w:sz w:val="20"/>
                <w:lang w:val="en-US"/>
              </w:rPr>
              <w:t xml:space="preserve">The CEA results rely on the relationship between serotype coverage and the vaccine effectiveness for those serotypes. </w:t>
            </w:r>
          </w:p>
        </w:tc>
        <w:tc>
          <w:tcPr>
            <w:tcW w:w="2251" w:type="pct"/>
            <w:shd w:val="clear" w:color="auto" w:fill="auto"/>
          </w:tcPr>
          <w:p w14:paraId="030ADD7F" w14:textId="717F7265" w:rsidR="00B07840" w:rsidRPr="004E375B" w:rsidRDefault="00B07840" w:rsidP="00CE1B89">
            <w:pPr>
              <w:pStyle w:val="TableText0"/>
              <w:widowControl w:val="0"/>
              <w:rPr>
                <w:lang w:val="en-US"/>
              </w:rPr>
            </w:pPr>
            <w:r w:rsidRPr="004E375B">
              <w:rPr>
                <w:lang w:val="en-US"/>
              </w:rPr>
              <w:t xml:space="preserve">Likely high. </w:t>
            </w:r>
            <w:r w:rsidRPr="004E375B">
              <w:rPr>
                <w:iCs/>
                <w:lang w:val="en-US"/>
              </w:rPr>
              <w:t xml:space="preserve">As a result of the information provided, model structure, and presentation of results, there was limited ability to feasibly conduct additional sensitivity analyses </w:t>
            </w:r>
            <w:r w:rsidR="006B24AE" w:rsidRPr="004E375B">
              <w:rPr>
                <w:iCs/>
                <w:lang w:val="en-US"/>
              </w:rPr>
              <w:t xml:space="preserve">to robustly test the impact of the </w:t>
            </w:r>
            <w:r w:rsidR="00F01A45">
              <w:rPr>
                <w:iCs/>
                <w:lang w:val="en-US"/>
              </w:rPr>
              <w:t xml:space="preserve">efficacy of the </w:t>
            </w:r>
            <w:r w:rsidR="006B24AE" w:rsidRPr="004E375B">
              <w:rPr>
                <w:iCs/>
                <w:lang w:val="en-US"/>
              </w:rPr>
              <w:t xml:space="preserve">additional serotypes. </w:t>
            </w:r>
          </w:p>
        </w:tc>
      </w:tr>
      <w:tr w:rsidR="00B07840" w:rsidRPr="00E2771E" w14:paraId="0AC8DC4A" w14:textId="77777777" w:rsidTr="00EF4652">
        <w:tc>
          <w:tcPr>
            <w:tcW w:w="705" w:type="pct"/>
            <w:shd w:val="clear" w:color="auto" w:fill="auto"/>
          </w:tcPr>
          <w:p w14:paraId="74240EFA" w14:textId="7E493C8F" w:rsidR="00B07840" w:rsidRPr="00E2771E" w:rsidRDefault="00B07840" w:rsidP="00CE1B89">
            <w:pPr>
              <w:pStyle w:val="TableText0"/>
              <w:widowControl w:val="0"/>
              <w:rPr>
                <w:lang w:val="en-US"/>
              </w:rPr>
            </w:pPr>
            <w:r w:rsidRPr="00FD08F3">
              <w:t xml:space="preserve">Waning efficacy for </w:t>
            </w:r>
            <w:r w:rsidR="00DE101E">
              <w:t>13v</w:t>
            </w:r>
            <w:r w:rsidRPr="00FD08F3">
              <w:t>PCV</w:t>
            </w:r>
            <w:r w:rsidR="00DE101E">
              <w:t>, 15vPCV and 20vPCV</w:t>
            </w:r>
          </w:p>
        </w:tc>
        <w:tc>
          <w:tcPr>
            <w:tcW w:w="2044" w:type="pct"/>
            <w:shd w:val="clear" w:color="auto" w:fill="auto"/>
          </w:tcPr>
          <w:p w14:paraId="3AB47CFD" w14:textId="77777777" w:rsidR="0004441A" w:rsidRDefault="00B07840" w:rsidP="00CE1B89">
            <w:pPr>
              <w:pStyle w:val="TableText0"/>
              <w:widowControl w:val="0"/>
            </w:pPr>
            <w:r w:rsidRPr="00FD08F3">
              <w:t xml:space="preserve">Base case used </w:t>
            </w:r>
            <w:r w:rsidR="00A77ABE">
              <w:t xml:space="preserve">an </w:t>
            </w:r>
            <w:r w:rsidR="00DB6B9B">
              <w:t>annual reduction in vaccine efficacy:</w:t>
            </w:r>
            <w:r w:rsidRPr="00FD08F3">
              <w:t xml:space="preserve"> 0% for years 0-5, 5% for years 6-10, 10% for years 11-15, and 15% for years 16+.</w:t>
            </w:r>
            <w:r>
              <w:t xml:space="preserve"> </w:t>
            </w:r>
          </w:p>
          <w:p w14:paraId="1B812DDF" w14:textId="554D4EEF" w:rsidR="00044475" w:rsidRPr="004E375B" w:rsidRDefault="0004441A" w:rsidP="00CE1B89">
            <w:pPr>
              <w:pStyle w:val="TableText0"/>
              <w:widowControl w:val="0"/>
              <w:rPr>
                <w:iCs/>
              </w:rPr>
            </w:pPr>
            <w:r>
              <w:t>Sensitivity analysis conducted:</w:t>
            </w:r>
            <w:r w:rsidR="00FE613A" w:rsidRPr="004E375B">
              <w:rPr>
                <w:iCs/>
              </w:rPr>
              <w:t xml:space="preserve"> </w:t>
            </w:r>
          </w:p>
          <w:p w14:paraId="498DA2F9" w14:textId="4C9EB084" w:rsidR="00044475" w:rsidRPr="004E375B" w:rsidRDefault="00B07840" w:rsidP="00CE1B89">
            <w:pPr>
              <w:pStyle w:val="TableText0"/>
              <w:widowControl w:val="0"/>
              <w:numPr>
                <w:ilvl w:val="0"/>
                <w:numId w:val="16"/>
              </w:numPr>
              <w:ind w:left="399" w:hanging="283"/>
              <w:rPr>
                <w:lang w:val="en-US"/>
              </w:rPr>
            </w:pPr>
            <w:r w:rsidRPr="004E375B">
              <w:rPr>
                <w:iCs/>
              </w:rPr>
              <w:t>0% for years 0-5</w:t>
            </w:r>
          </w:p>
          <w:p w14:paraId="54839CB5" w14:textId="514FE35B" w:rsidR="00044475" w:rsidRPr="004E375B" w:rsidRDefault="00B07840" w:rsidP="00CE1B89">
            <w:pPr>
              <w:pStyle w:val="TableText0"/>
              <w:widowControl w:val="0"/>
              <w:numPr>
                <w:ilvl w:val="0"/>
                <w:numId w:val="16"/>
              </w:numPr>
              <w:ind w:left="399" w:hanging="283"/>
              <w:rPr>
                <w:lang w:val="en-US"/>
              </w:rPr>
            </w:pPr>
            <w:r w:rsidRPr="004E375B">
              <w:rPr>
                <w:iCs/>
              </w:rPr>
              <w:t>50% for years 6-10</w:t>
            </w:r>
          </w:p>
          <w:p w14:paraId="265F8F1F" w14:textId="00D1F7CC" w:rsidR="00B07840" w:rsidRPr="00FD08F3" w:rsidRDefault="00B07840" w:rsidP="00CE1B89">
            <w:pPr>
              <w:pStyle w:val="TableText0"/>
              <w:widowControl w:val="0"/>
              <w:numPr>
                <w:ilvl w:val="0"/>
                <w:numId w:val="16"/>
              </w:numPr>
              <w:ind w:left="399" w:hanging="283"/>
              <w:rPr>
                <w:i/>
                <w:lang w:val="en-US"/>
              </w:rPr>
            </w:pPr>
            <w:r w:rsidRPr="004E375B">
              <w:rPr>
                <w:iCs/>
              </w:rPr>
              <w:t>100% for years 10+</w:t>
            </w:r>
          </w:p>
        </w:tc>
        <w:tc>
          <w:tcPr>
            <w:tcW w:w="2251" w:type="pct"/>
            <w:shd w:val="clear" w:color="auto" w:fill="auto"/>
          </w:tcPr>
          <w:p w14:paraId="3AE6D13C" w14:textId="4DF3EFC0" w:rsidR="00B07840" w:rsidRDefault="007D6CEA" w:rsidP="00CE1B89">
            <w:pPr>
              <w:pStyle w:val="TableText0"/>
              <w:widowControl w:val="0"/>
              <w:rPr>
                <w:iCs/>
                <w:lang w:val="en-US"/>
              </w:rPr>
            </w:pPr>
            <w:r>
              <w:rPr>
                <w:iCs/>
                <w:lang w:val="en-US"/>
              </w:rPr>
              <w:t>Remains dominant</w:t>
            </w:r>
            <w:r w:rsidR="00A107AB">
              <w:rPr>
                <w:iCs/>
                <w:lang w:val="en-US"/>
              </w:rPr>
              <w:t xml:space="preserve"> with waning testing in sensitivity analys</w:t>
            </w:r>
            <w:r w:rsidR="006D165D">
              <w:rPr>
                <w:iCs/>
                <w:lang w:val="en-US"/>
              </w:rPr>
              <w:t>i</w:t>
            </w:r>
            <w:r w:rsidR="00A107AB">
              <w:rPr>
                <w:iCs/>
                <w:lang w:val="en-US"/>
              </w:rPr>
              <w:t>s</w:t>
            </w:r>
            <w:r>
              <w:rPr>
                <w:iCs/>
                <w:lang w:val="en-US"/>
              </w:rPr>
              <w:t xml:space="preserve"> for </w:t>
            </w:r>
            <w:r w:rsidR="00FD4493">
              <w:rPr>
                <w:iCs/>
                <w:lang w:val="en-US"/>
              </w:rPr>
              <w:t>at-risk adults aged 18-69</w:t>
            </w:r>
            <w:r w:rsidR="008904F5">
              <w:rPr>
                <w:iCs/>
                <w:lang w:val="en-US"/>
              </w:rPr>
              <w:t xml:space="preserve"> years</w:t>
            </w:r>
            <w:r w:rsidR="00FD4493">
              <w:rPr>
                <w:iCs/>
                <w:lang w:val="en-US"/>
              </w:rPr>
              <w:t>.</w:t>
            </w:r>
          </w:p>
          <w:p w14:paraId="44382D66" w14:textId="77777777" w:rsidR="007D6CEA" w:rsidRDefault="007D6CEA" w:rsidP="00CE1B89">
            <w:pPr>
              <w:pStyle w:val="TableText0"/>
              <w:widowControl w:val="0"/>
              <w:rPr>
                <w:lang w:val="en-US"/>
              </w:rPr>
            </w:pPr>
          </w:p>
          <w:p w14:paraId="67282964" w14:textId="72255A0B" w:rsidR="007D6CEA" w:rsidRPr="00E2771E" w:rsidRDefault="007D6CEA" w:rsidP="00CE1B89">
            <w:pPr>
              <w:pStyle w:val="TableText0"/>
              <w:widowControl w:val="0"/>
              <w:rPr>
                <w:lang w:val="en-US"/>
              </w:rPr>
            </w:pPr>
            <w:r>
              <w:rPr>
                <w:lang w:val="en-US"/>
              </w:rPr>
              <w:t>High impact for expanded population.</w:t>
            </w:r>
          </w:p>
        </w:tc>
      </w:tr>
      <w:tr w:rsidR="00B07840" w:rsidRPr="004E375B" w14:paraId="261742E7" w14:textId="77777777" w:rsidTr="00EF4652">
        <w:tc>
          <w:tcPr>
            <w:tcW w:w="705" w:type="pct"/>
            <w:shd w:val="clear" w:color="auto" w:fill="auto"/>
          </w:tcPr>
          <w:p w14:paraId="56B7B921" w14:textId="4A4A4C29" w:rsidR="00B07840" w:rsidRPr="004E375B" w:rsidRDefault="00B07840" w:rsidP="00CE1B89">
            <w:pPr>
              <w:pStyle w:val="TableText0"/>
              <w:widowControl w:val="0"/>
            </w:pPr>
            <w:r w:rsidRPr="004E375B">
              <w:t>Serotype coverage for 20vPCV</w:t>
            </w:r>
            <w:r w:rsidR="00DD4668" w:rsidRPr="004E375B">
              <w:t xml:space="preserve"> – Indigenous adults (aged 25-49 years)</w:t>
            </w:r>
          </w:p>
        </w:tc>
        <w:tc>
          <w:tcPr>
            <w:tcW w:w="2044" w:type="pct"/>
            <w:shd w:val="clear" w:color="auto" w:fill="auto"/>
          </w:tcPr>
          <w:p w14:paraId="5613294D" w14:textId="4C279900" w:rsidR="00A77ABE" w:rsidRPr="004E375B" w:rsidRDefault="00B07840" w:rsidP="00CE1B89">
            <w:pPr>
              <w:pStyle w:val="TableText0"/>
              <w:widowControl w:val="0"/>
              <w:rPr>
                <w:iCs/>
              </w:rPr>
            </w:pPr>
            <w:r w:rsidRPr="004E375B">
              <w:t xml:space="preserve">Base case </w:t>
            </w:r>
            <w:r w:rsidR="00A77ABE" w:rsidRPr="004E375B">
              <w:t>=</w:t>
            </w:r>
            <w:r w:rsidR="00F63AD9" w:rsidRPr="004E375B">
              <w:t xml:space="preserve"> </w:t>
            </w:r>
            <w:r w:rsidRPr="004E375B">
              <w:t>72%</w:t>
            </w:r>
            <w:r w:rsidRPr="004E375B">
              <w:rPr>
                <w:iCs/>
              </w:rPr>
              <w:t xml:space="preserve">. </w:t>
            </w:r>
          </w:p>
          <w:p w14:paraId="6146144F" w14:textId="64E8E7D8" w:rsidR="00B07840" w:rsidRPr="004E375B" w:rsidRDefault="00B07840" w:rsidP="00CE1B89">
            <w:pPr>
              <w:pStyle w:val="TableText0"/>
              <w:widowControl w:val="0"/>
              <w:rPr>
                <w:iCs/>
              </w:rPr>
            </w:pPr>
            <w:r w:rsidRPr="004E375B">
              <w:rPr>
                <w:iCs/>
              </w:rPr>
              <w:t xml:space="preserve">Sensitivity analysis conducted during the evaluation </w:t>
            </w:r>
            <w:r w:rsidR="00D623DC" w:rsidRPr="004E375B">
              <w:rPr>
                <w:iCs/>
              </w:rPr>
              <w:t>reduced this value by 15% to</w:t>
            </w:r>
            <w:r w:rsidRPr="004E375B">
              <w:rPr>
                <w:iCs/>
              </w:rPr>
              <w:t xml:space="preserve"> 61%.</w:t>
            </w:r>
          </w:p>
        </w:tc>
        <w:tc>
          <w:tcPr>
            <w:tcW w:w="2251" w:type="pct"/>
            <w:shd w:val="clear" w:color="auto" w:fill="auto"/>
          </w:tcPr>
          <w:p w14:paraId="5885F510" w14:textId="65452657" w:rsidR="00B07840" w:rsidRPr="004E375B" w:rsidRDefault="00B07840" w:rsidP="00CE1B89">
            <w:pPr>
              <w:pStyle w:val="TableText0"/>
              <w:widowControl w:val="0"/>
              <w:rPr>
                <w:iCs/>
                <w:lang w:val="en-US"/>
              </w:rPr>
            </w:pPr>
            <w:r w:rsidRPr="004E375B">
              <w:rPr>
                <w:iCs/>
                <w:lang w:val="en-US"/>
              </w:rPr>
              <w:t>Medium</w:t>
            </w:r>
            <w:r w:rsidR="00A107AB">
              <w:rPr>
                <w:iCs/>
                <w:lang w:val="en-US"/>
              </w:rPr>
              <w:t xml:space="preserve"> impact for expanded population</w:t>
            </w:r>
            <w:r w:rsidRPr="004E375B">
              <w:rPr>
                <w:iCs/>
                <w:lang w:val="en-US"/>
              </w:rPr>
              <w:t xml:space="preserve">. </w:t>
            </w:r>
          </w:p>
        </w:tc>
      </w:tr>
      <w:tr w:rsidR="00B07840" w:rsidRPr="00E2771E" w14:paraId="6B8C851B" w14:textId="77777777" w:rsidTr="00EF4652">
        <w:tc>
          <w:tcPr>
            <w:tcW w:w="705" w:type="pct"/>
            <w:shd w:val="clear" w:color="auto" w:fill="auto"/>
          </w:tcPr>
          <w:p w14:paraId="656E5475" w14:textId="02C16067" w:rsidR="00B07840" w:rsidRPr="00FD08F3" w:rsidRDefault="00B07840" w:rsidP="00CE1B89">
            <w:pPr>
              <w:pStyle w:val="TableText0"/>
              <w:widowControl w:val="0"/>
            </w:pPr>
            <w:r>
              <w:t>Time horizon</w:t>
            </w:r>
          </w:p>
        </w:tc>
        <w:tc>
          <w:tcPr>
            <w:tcW w:w="2044" w:type="pct"/>
            <w:shd w:val="clear" w:color="auto" w:fill="auto"/>
          </w:tcPr>
          <w:p w14:paraId="188AA544" w14:textId="45DEFE38" w:rsidR="008725DE" w:rsidRDefault="008725DE" w:rsidP="00CE1B89">
            <w:pPr>
              <w:keepNext/>
              <w:widowControl w:val="0"/>
              <w:jc w:val="left"/>
              <w:rPr>
                <w:rFonts w:ascii="Arial Narrow" w:eastAsiaTheme="majorEastAsia" w:hAnsi="Arial Narrow" w:cstheme="majorBidi"/>
                <w:sz w:val="20"/>
                <w:szCs w:val="20"/>
              </w:rPr>
            </w:pPr>
            <w:r w:rsidRPr="1CEF9B82">
              <w:rPr>
                <w:rFonts w:ascii="Arial Narrow" w:eastAsiaTheme="majorEastAsia" w:hAnsi="Arial Narrow" w:cstheme="majorBidi"/>
                <w:sz w:val="20"/>
                <w:szCs w:val="20"/>
              </w:rPr>
              <w:t xml:space="preserve">The time horizons </w:t>
            </w:r>
            <w:r w:rsidR="00A77ABE">
              <w:rPr>
                <w:rFonts w:ascii="Arial Narrow" w:eastAsiaTheme="majorEastAsia" w:hAnsi="Arial Narrow" w:cstheme="majorBidi"/>
                <w:sz w:val="20"/>
                <w:szCs w:val="20"/>
              </w:rPr>
              <w:t>v</w:t>
            </w:r>
            <w:r w:rsidR="00586E5C">
              <w:rPr>
                <w:rFonts w:ascii="Arial Narrow" w:eastAsiaTheme="majorEastAsia" w:hAnsi="Arial Narrow" w:cstheme="majorBidi"/>
                <w:sz w:val="20"/>
                <w:szCs w:val="20"/>
              </w:rPr>
              <w:t>aried depending on the population considered. As such, the periods of extrapolations varied substantially across populations.</w:t>
            </w:r>
          </w:p>
          <w:p w14:paraId="0431B51A" w14:textId="0F2622A6" w:rsidR="00586E5C" w:rsidRDefault="00586E5C" w:rsidP="00CE1B89">
            <w:pPr>
              <w:pStyle w:val="ListParagraph"/>
              <w:keepNext/>
              <w:widowControl w:val="0"/>
              <w:numPr>
                <w:ilvl w:val="0"/>
                <w:numId w:val="17"/>
              </w:numPr>
              <w:spacing w:after="0"/>
              <w:ind w:hanging="244"/>
              <w:jc w:val="left"/>
              <w:rPr>
                <w:rFonts w:ascii="Arial Narrow" w:eastAsiaTheme="majorEastAsia" w:hAnsi="Arial Narrow" w:cstheme="majorBidi"/>
                <w:sz w:val="20"/>
                <w:szCs w:val="20"/>
              </w:rPr>
            </w:pPr>
            <w:r>
              <w:rPr>
                <w:rFonts w:ascii="Arial Narrow" w:eastAsiaTheme="majorEastAsia" w:hAnsi="Arial Narrow" w:cstheme="majorBidi"/>
                <w:sz w:val="20"/>
                <w:szCs w:val="20"/>
              </w:rPr>
              <w:t>N</w:t>
            </w:r>
            <w:r w:rsidR="008725DE" w:rsidRPr="00A77ABE">
              <w:rPr>
                <w:rFonts w:ascii="Arial Narrow" w:eastAsiaTheme="majorEastAsia" w:hAnsi="Arial Narrow" w:cstheme="majorBidi"/>
                <w:sz w:val="20"/>
                <w:szCs w:val="20"/>
              </w:rPr>
              <w:t>on-Indigenous population aged ≥70 years with follow-up until age 100 years</w:t>
            </w:r>
          </w:p>
          <w:p w14:paraId="106401C4" w14:textId="300A5FDB" w:rsidR="008725DE" w:rsidRDefault="00586E5C" w:rsidP="00CE1B89">
            <w:pPr>
              <w:pStyle w:val="ListParagraph"/>
              <w:keepNext/>
              <w:widowControl w:val="0"/>
              <w:numPr>
                <w:ilvl w:val="0"/>
                <w:numId w:val="17"/>
              </w:numPr>
              <w:spacing w:after="0"/>
              <w:ind w:hanging="244"/>
              <w:jc w:val="left"/>
              <w:rPr>
                <w:rFonts w:ascii="Arial Narrow" w:eastAsiaTheme="majorEastAsia" w:hAnsi="Arial Narrow" w:cstheme="majorBidi"/>
                <w:sz w:val="20"/>
                <w:szCs w:val="20"/>
              </w:rPr>
            </w:pPr>
            <w:r>
              <w:rPr>
                <w:rFonts w:ascii="Arial Narrow" w:eastAsiaTheme="majorEastAsia" w:hAnsi="Arial Narrow" w:cstheme="majorBidi"/>
                <w:sz w:val="20"/>
                <w:szCs w:val="20"/>
              </w:rPr>
              <w:t>A</w:t>
            </w:r>
            <w:r w:rsidR="008725DE" w:rsidRPr="00A77ABE">
              <w:rPr>
                <w:rFonts w:ascii="Arial Narrow" w:eastAsiaTheme="majorEastAsia" w:hAnsi="Arial Narrow" w:cstheme="majorBidi"/>
                <w:sz w:val="20"/>
                <w:szCs w:val="20"/>
              </w:rPr>
              <w:t xml:space="preserve">t-risk population with follow-up until age 70 years </w:t>
            </w:r>
          </w:p>
          <w:p w14:paraId="4D31A8B4" w14:textId="79FE637E" w:rsidR="008725DE" w:rsidRDefault="008725DE" w:rsidP="00CE1B89">
            <w:pPr>
              <w:pStyle w:val="ListParagraph"/>
              <w:keepNext/>
              <w:widowControl w:val="0"/>
              <w:numPr>
                <w:ilvl w:val="0"/>
                <w:numId w:val="17"/>
              </w:numPr>
              <w:spacing w:after="0"/>
              <w:ind w:hanging="244"/>
              <w:jc w:val="left"/>
              <w:rPr>
                <w:rFonts w:ascii="Arial Narrow" w:eastAsiaTheme="majorEastAsia" w:hAnsi="Arial Narrow" w:cstheme="majorBidi"/>
                <w:sz w:val="20"/>
                <w:szCs w:val="20"/>
              </w:rPr>
            </w:pPr>
            <w:r w:rsidRPr="00A77ABE">
              <w:rPr>
                <w:rFonts w:ascii="Arial Narrow" w:eastAsiaTheme="majorEastAsia" w:hAnsi="Arial Narrow" w:cstheme="majorBidi"/>
                <w:sz w:val="20"/>
                <w:szCs w:val="20"/>
              </w:rPr>
              <w:t xml:space="preserve">Indigenous population aged ≥50 years with follow-up until age 100 years </w:t>
            </w:r>
          </w:p>
          <w:p w14:paraId="14CC48C2" w14:textId="2B5A848B" w:rsidR="008725DE" w:rsidRPr="00A77ABE" w:rsidRDefault="008725DE" w:rsidP="00CE1B89">
            <w:pPr>
              <w:pStyle w:val="ListParagraph"/>
              <w:keepNext/>
              <w:widowControl w:val="0"/>
              <w:numPr>
                <w:ilvl w:val="0"/>
                <w:numId w:val="17"/>
              </w:numPr>
              <w:spacing w:after="0"/>
              <w:ind w:hanging="244"/>
              <w:jc w:val="left"/>
              <w:rPr>
                <w:rFonts w:ascii="Arial Narrow" w:eastAsiaTheme="majorEastAsia" w:hAnsi="Arial Narrow" w:cstheme="majorBidi"/>
                <w:sz w:val="20"/>
                <w:szCs w:val="20"/>
              </w:rPr>
            </w:pPr>
            <w:r w:rsidRPr="00A77ABE">
              <w:rPr>
                <w:rFonts w:ascii="Arial Narrow" w:eastAsiaTheme="majorEastAsia" w:hAnsi="Arial Narrow" w:cstheme="majorBidi"/>
                <w:sz w:val="20"/>
                <w:szCs w:val="20"/>
              </w:rPr>
              <w:t>Indigenous population aged 25-49 years with follow-up until age 50 years</w:t>
            </w:r>
          </w:p>
          <w:p w14:paraId="54AB03B7" w14:textId="3BE26012" w:rsidR="00AD6D74" w:rsidRPr="00F028D8" w:rsidRDefault="00AD6D74" w:rsidP="00CE1B89">
            <w:pPr>
              <w:pStyle w:val="TableText0"/>
              <w:widowControl w:val="0"/>
            </w:pPr>
            <w:r w:rsidRPr="004E375B">
              <w:rPr>
                <w:iCs/>
              </w:rPr>
              <w:t xml:space="preserve">Sensitivity analysis conducted during the evaluation reduced </w:t>
            </w:r>
            <w:r w:rsidR="00AE5141" w:rsidRPr="004E375B">
              <w:rPr>
                <w:iCs/>
              </w:rPr>
              <w:t xml:space="preserve">the follow up time </w:t>
            </w:r>
            <w:r w:rsidRPr="004E375B">
              <w:rPr>
                <w:iCs/>
              </w:rPr>
              <w:t>to 5</w:t>
            </w:r>
            <w:r w:rsidR="00ED3084" w:rsidRPr="004E375B">
              <w:rPr>
                <w:iCs/>
              </w:rPr>
              <w:t xml:space="preserve"> years</w:t>
            </w:r>
            <w:r w:rsidR="001625B9" w:rsidRPr="004E375B">
              <w:rPr>
                <w:iCs/>
              </w:rPr>
              <w:t>.</w:t>
            </w:r>
          </w:p>
        </w:tc>
        <w:tc>
          <w:tcPr>
            <w:tcW w:w="2251" w:type="pct"/>
            <w:shd w:val="clear" w:color="auto" w:fill="auto"/>
          </w:tcPr>
          <w:p w14:paraId="4B442655" w14:textId="6597A786" w:rsidR="00E25588" w:rsidRDefault="00A107AB" w:rsidP="00CE1B89">
            <w:pPr>
              <w:pStyle w:val="TableText0"/>
              <w:widowControl w:val="0"/>
              <w:rPr>
                <w:lang w:val="en-US"/>
              </w:rPr>
            </w:pPr>
            <w:r>
              <w:rPr>
                <w:iCs/>
                <w:lang w:val="en-US"/>
              </w:rPr>
              <w:t xml:space="preserve">Remains dominant with a </w:t>
            </w:r>
            <w:proofErr w:type="gramStart"/>
            <w:r>
              <w:rPr>
                <w:iCs/>
                <w:lang w:val="en-US"/>
              </w:rPr>
              <w:t>5 year</w:t>
            </w:r>
            <w:proofErr w:type="gramEnd"/>
            <w:r>
              <w:rPr>
                <w:iCs/>
                <w:lang w:val="en-US"/>
              </w:rPr>
              <w:t xml:space="preserve"> time horizon for</w:t>
            </w:r>
            <w:r w:rsidR="0081638C" w:rsidRPr="004E375B">
              <w:rPr>
                <w:lang w:val="en-US"/>
              </w:rPr>
              <w:t xml:space="preserve"> the comparisons with 13vPCV and 15vPCV for non-Indigenous Australians ≥ 70 years </w:t>
            </w:r>
            <w:r w:rsidR="00A20C82" w:rsidRPr="004E375B">
              <w:rPr>
                <w:lang w:val="en-US"/>
              </w:rPr>
              <w:t xml:space="preserve">and </w:t>
            </w:r>
            <w:r w:rsidR="0081638C" w:rsidRPr="004E375B">
              <w:rPr>
                <w:lang w:val="en-US"/>
              </w:rPr>
              <w:t>Indigenous Australians aged ≥ 50 years</w:t>
            </w:r>
            <w:r w:rsidR="00E25588" w:rsidRPr="004E375B">
              <w:rPr>
                <w:lang w:val="en-US"/>
              </w:rPr>
              <w:t>.</w:t>
            </w:r>
            <w:r w:rsidR="0081638C" w:rsidRPr="004E375B">
              <w:rPr>
                <w:lang w:val="en-US"/>
              </w:rPr>
              <w:t xml:space="preserve"> </w:t>
            </w:r>
          </w:p>
          <w:p w14:paraId="110C812E" w14:textId="27C47DBB" w:rsidR="00A107AB" w:rsidRDefault="00A107AB" w:rsidP="00CE1B89">
            <w:pPr>
              <w:pStyle w:val="TableText0"/>
              <w:widowControl w:val="0"/>
              <w:rPr>
                <w:lang w:val="en-US"/>
              </w:rPr>
            </w:pPr>
          </w:p>
          <w:p w14:paraId="3FBA5CF2" w14:textId="6174D7DD" w:rsidR="00B07840" w:rsidRPr="000436E6" w:rsidRDefault="00A107AB" w:rsidP="00CE1B89">
            <w:pPr>
              <w:pStyle w:val="TableText0"/>
              <w:widowControl w:val="0"/>
              <w:rPr>
                <w:lang w:val="en-US"/>
              </w:rPr>
            </w:pPr>
            <w:r>
              <w:rPr>
                <w:lang w:val="en-US"/>
              </w:rPr>
              <w:t>High impact</w:t>
            </w:r>
            <w:r w:rsidR="000436E6">
              <w:rPr>
                <w:lang w:val="en-US"/>
              </w:rPr>
              <w:t xml:space="preserve"> </w:t>
            </w:r>
            <w:r w:rsidR="00804392" w:rsidRPr="004E375B">
              <w:rPr>
                <w:lang w:val="en-US"/>
              </w:rPr>
              <w:t xml:space="preserve">for </w:t>
            </w:r>
            <w:r w:rsidR="0081638C" w:rsidRPr="004E375B">
              <w:rPr>
                <w:lang w:val="en-US"/>
              </w:rPr>
              <w:t xml:space="preserve">at-risk Australians aged 18-69 years </w:t>
            </w:r>
            <w:r w:rsidR="007C01E2" w:rsidRPr="004E375B">
              <w:rPr>
                <w:lang w:val="en-US"/>
              </w:rPr>
              <w:t>and</w:t>
            </w:r>
            <w:r w:rsidR="00870108" w:rsidRPr="004E375B">
              <w:rPr>
                <w:lang w:val="en-US"/>
              </w:rPr>
              <w:t xml:space="preserve"> for </w:t>
            </w:r>
            <w:r w:rsidR="0081638C" w:rsidRPr="004E375B">
              <w:rPr>
                <w:lang w:val="en-US"/>
              </w:rPr>
              <w:t>Indigenous Australians aged 25-49 years.</w:t>
            </w:r>
          </w:p>
        </w:tc>
      </w:tr>
    </w:tbl>
    <w:p w14:paraId="08DB4ACF" w14:textId="444E9EB1" w:rsidR="007D4D11" w:rsidRDefault="007D4D11" w:rsidP="00CE1B89">
      <w:pPr>
        <w:pStyle w:val="FooterTableFigure"/>
        <w:keepNext/>
        <w:widowControl w:val="0"/>
      </w:pPr>
      <w:r>
        <w:t xml:space="preserve">Source: </w:t>
      </w:r>
      <w:r w:rsidRPr="000B2829">
        <w:t>Table</w:t>
      </w:r>
      <w:r>
        <w:t>s 3.9.1, 3.9.2 and</w:t>
      </w:r>
      <w:r w:rsidRPr="000B2829">
        <w:t xml:space="preserve"> 3.9.4, p49</w:t>
      </w:r>
      <w:r>
        <w:t>8-</w:t>
      </w:r>
      <w:r w:rsidRPr="000B2829">
        <w:t xml:space="preserve">9 </w:t>
      </w:r>
      <w:r w:rsidR="00C7641C">
        <w:t xml:space="preserve">of the submission </w:t>
      </w:r>
      <w:r>
        <w:t xml:space="preserve">and </w:t>
      </w:r>
      <w:r w:rsidRPr="004E375B">
        <w:rPr>
          <w:iCs/>
        </w:rPr>
        <w:t xml:space="preserve">compiled during the evaluation from </w:t>
      </w:r>
      <w:r w:rsidR="004776FE" w:rsidRPr="004E375B">
        <w:rPr>
          <w:iCs/>
        </w:rPr>
        <w:t xml:space="preserve">the </w:t>
      </w:r>
      <w:r w:rsidR="00660D27" w:rsidRPr="004E375B">
        <w:rPr>
          <w:iCs/>
        </w:rPr>
        <w:t>E</w:t>
      </w:r>
      <w:r w:rsidR="004776FE" w:rsidRPr="004E375B">
        <w:rPr>
          <w:iCs/>
        </w:rPr>
        <w:t xml:space="preserve">xcel sheets </w:t>
      </w:r>
      <w:r w:rsidR="003E5619" w:rsidRPr="004E375B">
        <w:rPr>
          <w:iCs/>
        </w:rPr>
        <w:t>‘</w:t>
      </w:r>
      <w:r w:rsidR="004776FE" w:rsidRPr="004E375B">
        <w:rPr>
          <w:iCs/>
        </w:rPr>
        <w:t>Prevenar 70</w:t>
      </w:r>
      <w:r w:rsidR="003E5619" w:rsidRPr="004E375B">
        <w:rPr>
          <w:iCs/>
        </w:rPr>
        <w:t>’</w:t>
      </w:r>
      <w:r w:rsidR="004776FE" w:rsidRPr="004E375B">
        <w:rPr>
          <w:iCs/>
        </w:rPr>
        <w:t xml:space="preserve">, </w:t>
      </w:r>
      <w:r w:rsidR="003E5619" w:rsidRPr="004E375B">
        <w:rPr>
          <w:iCs/>
        </w:rPr>
        <w:t>‘</w:t>
      </w:r>
      <w:r w:rsidR="004776FE" w:rsidRPr="004E375B">
        <w:rPr>
          <w:iCs/>
        </w:rPr>
        <w:t xml:space="preserve">Prevenar </w:t>
      </w:r>
      <w:proofErr w:type="spellStart"/>
      <w:r w:rsidR="004776FE" w:rsidRPr="004E375B">
        <w:rPr>
          <w:iCs/>
        </w:rPr>
        <w:t>AtRisk</w:t>
      </w:r>
      <w:proofErr w:type="spellEnd"/>
      <w:r w:rsidR="004776FE" w:rsidRPr="004E375B">
        <w:rPr>
          <w:iCs/>
        </w:rPr>
        <w:t xml:space="preserve"> 18-69</w:t>
      </w:r>
      <w:r w:rsidR="003E5619" w:rsidRPr="004E375B">
        <w:rPr>
          <w:iCs/>
        </w:rPr>
        <w:t>’</w:t>
      </w:r>
      <w:r w:rsidR="004776FE" w:rsidRPr="00A77ABE">
        <w:t xml:space="preserve">, </w:t>
      </w:r>
      <w:r w:rsidR="003E5619" w:rsidRPr="004E375B">
        <w:rPr>
          <w:iCs/>
        </w:rPr>
        <w:t>‘</w:t>
      </w:r>
      <w:r w:rsidR="004776FE" w:rsidRPr="00A77ABE">
        <w:t xml:space="preserve">Prevenar </w:t>
      </w:r>
      <w:proofErr w:type="spellStart"/>
      <w:r w:rsidR="004776FE" w:rsidRPr="00A77ABE">
        <w:t>Indig</w:t>
      </w:r>
      <w:proofErr w:type="spellEnd"/>
      <w:r w:rsidR="004776FE" w:rsidRPr="00A77ABE">
        <w:t xml:space="preserve"> 25-49</w:t>
      </w:r>
      <w:r w:rsidR="003E5619" w:rsidRPr="004E375B">
        <w:rPr>
          <w:iCs/>
        </w:rPr>
        <w:t>’</w:t>
      </w:r>
      <w:r w:rsidR="004776FE" w:rsidRPr="00A77ABE">
        <w:t xml:space="preserve"> and </w:t>
      </w:r>
      <w:r w:rsidR="003E5619" w:rsidRPr="004E375B">
        <w:rPr>
          <w:iCs/>
        </w:rPr>
        <w:t>‘</w:t>
      </w:r>
      <w:r w:rsidR="004776FE" w:rsidRPr="00A77ABE">
        <w:t xml:space="preserve">Prevenar </w:t>
      </w:r>
      <w:proofErr w:type="spellStart"/>
      <w:r w:rsidR="004776FE" w:rsidRPr="00A77ABE">
        <w:t>Indig</w:t>
      </w:r>
      <w:proofErr w:type="spellEnd"/>
      <w:r w:rsidR="004776FE" w:rsidRPr="00A77ABE">
        <w:t xml:space="preserve"> 50</w:t>
      </w:r>
      <w:r w:rsidR="003E5619" w:rsidRPr="004E375B">
        <w:rPr>
          <w:iCs/>
        </w:rPr>
        <w:t>’</w:t>
      </w:r>
      <w:r>
        <w:t>.</w:t>
      </w:r>
    </w:p>
    <w:p w14:paraId="210A36A3" w14:textId="4E08F2D9" w:rsidR="3D8BE95A" w:rsidRDefault="3D8BE95A" w:rsidP="00CE1B89">
      <w:pPr>
        <w:pStyle w:val="FooterTableFigure"/>
        <w:keepNext/>
      </w:pPr>
      <w:r>
        <w:t>Abbreviations: 13vPCV, 13-valent pneumococcal conjugate vaccine; 15vPCV 15-valent</w:t>
      </w:r>
      <w:r w:rsidR="7B6AE003">
        <w:t xml:space="preserve"> pneumococcal conjugate vaccine; 20vPCV, 20-valent pneumococcal conjugate vaccine; </w:t>
      </w:r>
      <w:r w:rsidR="166424DA">
        <w:t xml:space="preserve">23vPPV 23-valent pneumococcal </w:t>
      </w:r>
      <w:r w:rsidR="48C33DAC">
        <w:t>polysaccharide vaccine;</w:t>
      </w:r>
      <w:r w:rsidR="7B6AE003">
        <w:t xml:space="preserve"> </w:t>
      </w:r>
      <w:r w:rsidR="00CD61EA" w:rsidRPr="00683533">
        <w:rPr>
          <w:iCs/>
        </w:rPr>
        <w:t>CAP, community acquired pneumonia;</w:t>
      </w:r>
      <w:r w:rsidR="00CD61EA">
        <w:t xml:space="preserve"> </w:t>
      </w:r>
      <w:r w:rsidR="64D39071">
        <w:t>CEA cost-effectiveness analysis</w:t>
      </w:r>
      <w:r w:rsidR="00CD61EA">
        <w:t xml:space="preserve">; </w:t>
      </w:r>
      <w:r w:rsidR="00CD61EA" w:rsidRPr="00683533">
        <w:rPr>
          <w:iCs/>
        </w:rPr>
        <w:t>CFR, case fatality rates</w:t>
      </w:r>
    </w:p>
    <w:p w14:paraId="727CC917" w14:textId="18EDBE79" w:rsidR="00B07840" w:rsidRPr="004E375B" w:rsidRDefault="00AE5141" w:rsidP="00036C51">
      <w:pPr>
        <w:pStyle w:val="3-BodyText"/>
      </w:pPr>
      <w:r w:rsidRPr="004E375B">
        <w:rPr>
          <w:iCs/>
        </w:rPr>
        <w:t>The</w:t>
      </w:r>
      <w:r w:rsidR="00B07840" w:rsidRPr="004E375B">
        <w:t xml:space="preserve"> </w:t>
      </w:r>
      <w:proofErr w:type="gramStart"/>
      <w:r w:rsidR="00B07840" w:rsidRPr="004E375B">
        <w:t>time period</w:t>
      </w:r>
      <w:proofErr w:type="gramEnd"/>
      <w:r w:rsidR="00B07840" w:rsidRPr="004E375B">
        <w:t xml:space="preserve"> for extrapolation for each population is different, </w:t>
      </w:r>
      <w:r w:rsidRPr="004E375B">
        <w:rPr>
          <w:iCs/>
        </w:rPr>
        <w:t>and</w:t>
      </w:r>
      <w:r w:rsidR="00B07840" w:rsidRPr="004E375B">
        <w:rPr>
          <w:iCs/>
        </w:rPr>
        <w:t xml:space="preserve"> </w:t>
      </w:r>
      <w:r w:rsidR="00B07840" w:rsidRPr="004E375B">
        <w:t xml:space="preserve">this could have an impact on the interpretation of the results. In a policy landscape where changes can have a large impact in a short </w:t>
      </w:r>
      <w:proofErr w:type="gramStart"/>
      <w:r w:rsidR="00B07840" w:rsidRPr="004E375B">
        <w:t>time period</w:t>
      </w:r>
      <w:proofErr w:type="gramEnd"/>
      <w:r w:rsidR="00B07840" w:rsidRPr="004E375B">
        <w:t xml:space="preserve">, a shorter time horizon would be more appropriate. </w:t>
      </w:r>
      <w:r w:rsidR="007521C9" w:rsidRPr="00683533">
        <w:t>The ESC noted that</w:t>
      </w:r>
      <w:r w:rsidR="007521C9">
        <w:rPr>
          <w:iCs/>
        </w:rPr>
        <w:t xml:space="preserve"> s</w:t>
      </w:r>
      <w:r w:rsidRPr="004E375B">
        <w:rPr>
          <w:iCs/>
        </w:rPr>
        <w:t xml:space="preserve">ensitivity analyses conducted during the evaluation showed that the ICER was highly sensitive to the time horizon (results presented </w:t>
      </w:r>
      <w:r w:rsidRPr="007F452D">
        <w:rPr>
          <w:iCs/>
        </w:rPr>
        <w:t>in</w:t>
      </w:r>
      <w:r w:rsidR="006A5B68">
        <w:rPr>
          <w:iCs/>
        </w:rPr>
        <w:t xml:space="preserve"> </w:t>
      </w:r>
      <w:r w:rsidR="006A5B68">
        <w:rPr>
          <w:iCs/>
        </w:rPr>
        <w:fldChar w:fldCharType="begin"/>
      </w:r>
      <w:r w:rsidR="006A5B68">
        <w:rPr>
          <w:iCs/>
        </w:rPr>
        <w:instrText xml:space="preserve"> REF _Ref112658017 \h </w:instrText>
      </w:r>
      <w:r w:rsidR="006A5B68">
        <w:rPr>
          <w:iCs/>
        </w:rPr>
      </w:r>
      <w:r w:rsidR="006A5B68">
        <w:rPr>
          <w:iCs/>
        </w:rPr>
        <w:fldChar w:fldCharType="separate"/>
      </w:r>
      <w:r w:rsidR="00137984" w:rsidRPr="0006615A">
        <w:t xml:space="preserve">Table </w:t>
      </w:r>
      <w:r w:rsidR="00137984">
        <w:rPr>
          <w:noProof/>
        </w:rPr>
        <w:t>18</w:t>
      </w:r>
      <w:r w:rsidR="006A5B68">
        <w:rPr>
          <w:iCs/>
        </w:rPr>
        <w:fldChar w:fldCharType="end"/>
      </w:r>
      <w:r w:rsidR="006A5B68">
        <w:rPr>
          <w:iCs/>
        </w:rPr>
        <w:t xml:space="preserve"> </w:t>
      </w:r>
      <w:r w:rsidR="006A5B68" w:rsidRPr="006A5B68">
        <w:rPr>
          <w:iCs/>
        </w:rPr>
        <w:t>a</w:t>
      </w:r>
      <w:r w:rsidR="006A5B68" w:rsidRPr="006A5B68">
        <w:t xml:space="preserve">nd </w:t>
      </w:r>
      <w:r w:rsidR="006A5B68" w:rsidRPr="006A5B68">
        <w:fldChar w:fldCharType="begin"/>
      </w:r>
      <w:r w:rsidR="006A5B68" w:rsidRPr="006A5B68">
        <w:instrText xml:space="preserve"> REF _Ref116486395 \h  \* MERGEFORMAT </w:instrText>
      </w:r>
      <w:r w:rsidR="006A5B68" w:rsidRPr="006A5B68">
        <w:fldChar w:fldCharType="separate"/>
      </w:r>
      <w:r w:rsidR="00137984" w:rsidRPr="00137984">
        <w:t>Table 19</w:t>
      </w:r>
      <w:r w:rsidR="006A5B68" w:rsidRPr="006A5B68">
        <w:fldChar w:fldCharType="end"/>
      </w:r>
      <w:r w:rsidR="0031313F" w:rsidRPr="006A5B68">
        <w:t>).</w:t>
      </w:r>
      <w:r w:rsidR="0031313F" w:rsidRPr="004E375B">
        <w:rPr>
          <w:iCs/>
        </w:rPr>
        <w:t xml:space="preserve"> </w:t>
      </w:r>
    </w:p>
    <w:p w14:paraId="383B686C" w14:textId="40A76553" w:rsidR="00B07840" w:rsidRPr="00BD1102" w:rsidRDefault="000B41B9" w:rsidP="00036C51">
      <w:pPr>
        <w:pStyle w:val="3-BodyText"/>
      </w:pPr>
      <w:r>
        <w:lastRenderedPageBreak/>
        <w:t>ATAGI considered t</w:t>
      </w:r>
      <w:r w:rsidR="00B07840" w:rsidRPr="00BD1102">
        <w:t xml:space="preserve">he assumption of constant serotype distribution beyond 5-10 years is highly uncertain. </w:t>
      </w:r>
      <w:r>
        <w:t>ATAGI noted</w:t>
      </w:r>
      <w:r w:rsidR="00B07840" w:rsidRPr="00BD1102">
        <w:t xml:space="preserve"> </w:t>
      </w:r>
      <w:r>
        <w:t>if</w:t>
      </w:r>
      <w:r w:rsidR="00B07840" w:rsidRPr="00BD1102">
        <w:t xml:space="preserve"> changes </w:t>
      </w:r>
      <w:r>
        <w:t>were</w:t>
      </w:r>
      <w:r w:rsidR="00B07840" w:rsidRPr="00BD1102">
        <w:t xml:space="preserve"> made to the paediatric PCV schedule </w:t>
      </w:r>
      <w:proofErr w:type="gramStart"/>
      <w:r w:rsidR="00B07840" w:rsidRPr="00BD1102">
        <w:t>in the near future</w:t>
      </w:r>
      <w:proofErr w:type="gramEnd"/>
      <w:r w:rsidR="00B07840" w:rsidRPr="00BD1102">
        <w:t>, for example the move to extended valency PCVs, this would highly likely impact serotype distributions (e.g., ST3 has been increasing proportionally as a cause of pneumococcal disease in Australia in recent years in the absence of an effective vaccine</w:t>
      </w:r>
      <w:r w:rsidR="00A107AB">
        <w:t xml:space="preserve"> against this serotype</w:t>
      </w:r>
      <w:r w:rsidR="00B07840" w:rsidRPr="00BD1102">
        <w:t xml:space="preserve">), making extrapolations beyond 5-10 years especially tenuous. </w:t>
      </w:r>
      <w:r>
        <w:t>ATAGI acknowledged</w:t>
      </w:r>
      <w:r w:rsidR="00B07840" w:rsidRPr="00BD1102">
        <w:t xml:space="preserve"> that a 20-year waning profile has been used in previous models,</w:t>
      </w:r>
      <w:r w:rsidR="00B07840" w:rsidRPr="00683533">
        <w:rPr>
          <w:iCs/>
        </w:rPr>
        <w:t xml:space="preserve"> </w:t>
      </w:r>
      <w:r>
        <w:t xml:space="preserve">however considered </w:t>
      </w:r>
      <w:r w:rsidR="00B07840" w:rsidRPr="00BD1102">
        <w:t xml:space="preserve">it </w:t>
      </w:r>
      <w:r w:rsidR="002E2DD0">
        <w:t>may be appropriate</w:t>
      </w:r>
      <w:r w:rsidR="00B07840" w:rsidRPr="00BD1102">
        <w:t xml:space="preserve"> that either </w:t>
      </w:r>
      <w:r w:rsidR="007F452D">
        <w:t xml:space="preserve">apply </w:t>
      </w:r>
      <w:r w:rsidR="00B07840" w:rsidRPr="00BD1102">
        <w:t>(</w:t>
      </w:r>
      <w:proofErr w:type="spellStart"/>
      <w:r w:rsidR="00B07840" w:rsidRPr="00BD1102">
        <w:t>i</w:t>
      </w:r>
      <w:proofErr w:type="spellEnd"/>
      <w:r w:rsidR="00B07840" w:rsidRPr="00BD1102">
        <w:t xml:space="preserve">) a short-term </w:t>
      </w:r>
      <w:r w:rsidR="00F706D9">
        <w:t xml:space="preserve">time </w:t>
      </w:r>
      <w:r w:rsidR="00B07840" w:rsidRPr="00BD1102">
        <w:t xml:space="preserve">horizon assuming </w:t>
      </w:r>
      <w:r w:rsidR="002E2DD0">
        <w:t>no change in coverage</w:t>
      </w:r>
      <w:r w:rsidR="002E2DD0" w:rsidRPr="00BD1102">
        <w:t xml:space="preserve"> </w:t>
      </w:r>
      <w:r w:rsidR="00B07840" w:rsidRPr="00BD1102">
        <w:t>or (ii) a medium-term</w:t>
      </w:r>
      <w:r w:rsidR="00F706D9">
        <w:t xml:space="preserve"> time</w:t>
      </w:r>
      <w:r w:rsidR="00B07840" w:rsidRPr="00BD1102">
        <w:t xml:space="preserve"> horizon that predicts some degree of coverage reduction (or both)</w:t>
      </w:r>
      <w:r w:rsidR="00F706D9">
        <w:t>,</w:t>
      </w:r>
      <w:r w:rsidR="00B07840" w:rsidRPr="00BD1102">
        <w:t xml:space="preserve"> at least as a sensitivity analysis. (p70</w:t>
      </w:r>
      <w:r w:rsidR="00906813">
        <w:t xml:space="preserve">, </w:t>
      </w:r>
      <w:r w:rsidR="00906813" w:rsidRPr="00906813">
        <w:rPr>
          <w:iCs/>
        </w:rPr>
        <w:t>Prevenar 20,</w:t>
      </w:r>
      <w:r w:rsidR="00906813" w:rsidRPr="00683533">
        <w:t xml:space="preserve"> </w:t>
      </w:r>
      <w:r w:rsidR="00B07840" w:rsidRPr="00BD1102">
        <w:t>ATAGI pre-submission advice to PBAC, April 2022)</w:t>
      </w:r>
      <w:r w:rsidR="00887449">
        <w:t>.</w:t>
      </w:r>
    </w:p>
    <w:p w14:paraId="67ABCDE0" w14:textId="24E02EF0" w:rsidR="006424AA" w:rsidRPr="006424AA" w:rsidRDefault="0076267C" w:rsidP="00036C51">
      <w:pPr>
        <w:pStyle w:val="3-BodyText"/>
      </w:pPr>
      <w:r w:rsidRPr="0076267C">
        <w:fldChar w:fldCharType="begin"/>
      </w:r>
      <w:r w:rsidRPr="0076267C">
        <w:instrText xml:space="preserve"> REF _Ref112657989 \h </w:instrText>
      </w:r>
      <w:r>
        <w:instrText xml:space="preserve"> \* MERGEFORMAT </w:instrText>
      </w:r>
      <w:r w:rsidRPr="0076267C">
        <w:fldChar w:fldCharType="separate"/>
      </w:r>
      <w:r w:rsidR="00137984" w:rsidRPr="00137984">
        <w:t>Table 16</w:t>
      </w:r>
      <w:r w:rsidRPr="0076267C">
        <w:fldChar w:fldCharType="end"/>
      </w:r>
      <w:r w:rsidR="00B07840" w:rsidRPr="0076267C">
        <w:t xml:space="preserve"> </w:t>
      </w:r>
      <w:r w:rsidR="00F97015">
        <w:t>presents</w:t>
      </w:r>
      <w:r w:rsidR="00B07840" w:rsidRPr="0076267C">
        <w:t xml:space="preserve"> the results from the economic evaluation</w:t>
      </w:r>
      <w:r w:rsidR="00A018B7">
        <w:t xml:space="preserve"> f</w:t>
      </w:r>
      <w:r w:rsidR="00590F83" w:rsidRPr="00683533">
        <w:rPr>
          <w:iCs/>
        </w:rPr>
        <w:t>or the existing NIP populations</w:t>
      </w:r>
      <w:r w:rsidR="00F706D9">
        <w:rPr>
          <w:iCs/>
        </w:rPr>
        <w:t>.</w:t>
      </w:r>
    </w:p>
    <w:p w14:paraId="68B74961" w14:textId="73C5110C" w:rsidR="005C1790" w:rsidRPr="00683533" w:rsidRDefault="00590F83" w:rsidP="005C1790">
      <w:pPr>
        <w:pStyle w:val="3-BodyText"/>
        <w:rPr>
          <w:iCs/>
        </w:rPr>
      </w:pPr>
      <w:r w:rsidRPr="00683533">
        <w:rPr>
          <w:iCs/>
        </w:rPr>
        <w:t xml:space="preserve">For non-Indigenous adults aged </w:t>
      </w:r>
      <w:r w:rsidR="00826EE4" w:rsidRPr="00683533">
        <w:rPr>
          <w:iCs/>
        </w:rPr>
        <w:t>≥</w:t>
      </w:r>
      <w:r w:rsidR="00A40161" w:rsidRPr="00683533">
        <w:rPr>
          <w:iCs/>
        </w:rPr>
        <w:t xml:space="preserve"> </w:t>
      </w:r>
      <w:r w:rsidRPr="00683533">
        <w:rPr>
          <w:iCs/>
        </w:rPr>
        <w:t xml:space="preserve">70 years </w:t>
      </w:r>
      <w:r w:rsidR="005C1790" w:rsidRPr="00683533">
        <w:rPr>
          <w:iCs/>
        </w:rPr>
        <w:t xml:space="preserve">the model assumed that the additional 7 (5) serotypes would increase vaccine coverage by 21% (9%) </w:t>
      </w:r>
      <w:r w:rsidR="005A4853" w:rsidRPr="00683533">
        <w:rPr>
          <w:iCs/>
        </w:rPr>
        <w:t>(</w:t>
      </w:r>
      <w:r w:rsidR="005A4853" w:rsidRPr="00683533">
        <w:rPr>
          <w:iCs/>
        </w:rPr>
        <w:fldChar w:fldCharType="begin"/>
      </w:r>
      <w:r w:rsidR="005A4853" w:rsidRPr="00683533">
        <w:rPr>
          <w:iCs/>
        </w:rPr>
        <w:instrText xml:space="preserve"> REF _Ref116561383 \h  \* MERGEFORMAT </w:instrText>
      </w:r>
      <w:r w:rsidR="005A4853" w:rsidRPr="00683533">
        <w:rPr>
          <w:iCs/>
        </w:rPr>
      </w:r>
      <w:r w:rsidR="005A4853" w:rsidRPr="00683533">
        <w:rPr>
          <w:iCs/>
        </w:rPr>
        <w:fldChar w:fldCharType="separate"/>
      </w:r>
      <w:r w:rsidR="00137984" w:rsidRPr="00137984">
        <w:t>Table 10</w:t>
      </w:r>
      <w:r w:rsidR="005A4853" w:rsidRPr="00683533">
        <w:rPr>
          <w:iCs/>
        </w:rPr>
        <w:fldChar w:fldCharType="end"/>
      </w:r>
      <w:r w:rsidR="005A4853" w:rsidRPr="00683533">
        <w:rPr>
          <w:iCs/>
        </w:rPr>
        <w:t xml:space="preserve">) </w:t>
      </w:r>
      <w:r w:rsidR="005C1790" w:rsidRPr="00683533">
        <w:rPr>
          <w:iCs/>
        </w:rPr>
        <w:t>and this results in:</w:t>
      </w:r>
    </w:p>
    <w:p w14:paraId="5A870419" w14:textId="7C10C734" w:rsidR="005C1790" w:rsidRPr="00683533" w:rsidRDefault="005C1790" w:rsidP="00227608">
      <w:pPr>
        <w:pStyle w:val="3-BodyText"/>
        <w:numPr>
          <w:ilvl w:val="0"/>
          <w:numId w:val="32"/>
        </w:numPr>
        <w:ind w:left="1134"/>
        <w:rPr>
          <w:iCs/>
        </w:rPr>
      </w:pPr>
      <w:r w:rsidRPr="00683533">
        <w:rPr>
          <w:iCs/>
        </w:rPr>
        <w:t xml:space="preserve">A reduction in bacteraemia events of 0.30 (0.13) per 1,000 people </w:t>
      </w:r>
      <w:proofErr w:type="gramStart"/>
      <w:r w:rsidRPr="00683533">
        <w:rPr>
          <w:iCs/>
        </w:rPr>
        <w:t>vaccinated</w:t>
      </w:r>
      <w:r w:rsidR="00A40161" w:rsidRPr="00683533">
        <w:rPr>
          <w:iCs/>
        </w:rPr>
        <w:t>;</w:t>
      </w:r>
      <w:proofErr w:type="gramEnd"/>
    </w:p>
    <w:p w14:paraId="08B52893" w14:textId="2AB70C21" w:rsidR="005C1790" w:rsidRPr="00683533" w:rsidRDefault="005C1790" w:rsidP="00227608">
      <w:pPr>
        <w:pStyle w:val="3-BodyText"/>
        <w:numPr>
          <w:ilvl w:val="0"/>
          <w:numId w:val="32"/>
        </w:numPr>
        <w:ind w:left="1134"/>
        <w:rPr>
          <w:iCs/>
        </w:rPr>
      </w:pPr>
      <w:r w:rsidRPr="00683533">
        <w:rPr>
          <w:iCs/>
        </w:rPr>
        <w:t xml:space="preserve">A reduction in meningitis events of 0.01 (0.00) per 1,000 people </w:t>
      </w:r>
      <w:proofErr w:type="gramStart"/>
      <w:r w:rsidRPr="00683533">
        <w:rPr>
          <w:iCs/>
        </w:rPr>
        <w:t>vaccinated</w:t>
      </w:r>
      <w:r w:rsidR="00A40161" w:rsidRPr="00683533">
        <w:rPr>
          <w:iCs/>
        </w:rPr>
        <w:t>;</w:t>
      </w:r>
      <w:proofErr w:type="gramEnd"/>
    </w:p>
    <w:p w14:paraId="28E23BB0" w14:textId="6985F567" w:rsidR="005C1790" w:rsidRPr="00683533" w:rsidRDefault="005C1790" w:rsidP="00227608">
      <w:pPr>
        <w:pStyle w:val="3-BodyText"/>
        <w:numPr>
          <w:ilvl w:val="0"/>
          <w:numId w:val="32"/>
        </w:numPr>
        <w:ind w:left="1134"/>
        <w:rPr>
          <w:iCs/>
        </w:rPr>
      </w:pPr>
      <w:r w:rsidRPr="00683533">
        <w:rPr>
          <w:iCs/>
        </w:rPr>
        <w:t>A reduction in PNE GP visits or hospital admissions of 6.53 (</w:t>
      </w:r>
      <w:r w:rsidR="007013B7" w:rsidRPr="00683533">
        <w:rPr>
          <w:iCs/>
        </w:rPr>
        <w:t>2.80</w:t>
      </w:r>
      <w:r w:rsidRPr="00683533">
        <w:rPr>
          <w:iCs/>
        </w:rPr>
        <w:t xml:space="preserve">) per 1,000 people </w:t>
      </w:r>
      <w:proofErr w:type="gramStart"/>
      <w:r w:rsidRPr="00683533">
        <w:rPr>
          <w:iCs/>
        </w:rPr>
        <w:t>vaccinated</w:t>
      </w:r>
      <w:r w:rsidR="00A40161" w:rsidRPr="00683533">
        <w:rPr>
          <w:iCs/>
        </w:rPr>
        <w:t>;</w:t>
      </w:r>
      <w:proofErr w:type="gramEnd"/>
      <w:r w:rsidR="00A40161" w:rsidRPr="00683533">
        <w:rPr>
          <w:iCs/>
        </w:rPr>
        <w:t xml:space="preserve"> and</w:t>
      </w:r>
    </w:p>
    <w:p w14:paraId="0A188FD4" w14:textId="53427C87" w:rsidR="005C1790" w:rsidRPr="00683533" w:rsidRDefault="00517AAF" w:rsidP="00227608">
      <w:pPr>
        <w:pStyle w:val="3-BodyText"/>
        <w:numPr>
          <w:ilvl w:val="0"/>
          <w:numId w:val="32"/>
        </w:numPr>
        <w:ind w:left="1134"/>
        <w:rPr>
          <w:iCs/>
        </w:rPr>
      </w:pPr>
      <w:r w:rsidRPr="00683533">
        <w:rPr>
          <w:iCs/>
        </w:rPr>
        <w:t>The cost saving associated with avoiding the above events is $</w:t>
      </w:r>
      <w:r w:rsidR="006A414A" w:rsidRPr="00137984">
        <w:rPr>
          <w:iCs/>
          <w:color w:val="000000"/>
          <w:w w:val="15"/>
          <w:shd w:val="solid" w:color="000000" w:fill="000000"/>
          <w:fitText w:val="-20" w:id="-1303201022"/>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22"/>
          <w14:textFill>
            <w14:solidFill>
              <w14:srgbClr w14:val="000000">
                <w14:alpha w14:val="100000"/>
              </w14:srgbClr>
            </w14:solidFill>
          </w14:textFill>
        </w:rPr>
        <w:t>|</w:t>
      </w:r>
      <w:r w:rsidR="005C1790" w:rsidRPr="00683533">
        <w:rPr>
          <w:iCs/>
        </w:rPr>
        <w:t xml:space="preserve"> ($</w:t>
      </w:r>
      <w:r w:rsidR="006A414A" w:rsidRPr="00137984">
        <w:rPr>
          <w:iCs/>
          <w:color w:val="000000"/>
          <w:w w:val="15"/>
          <w:shd w:val="solid" w:color="000000" w:fill="000000"/>
          <w:fitText w:val="-20" w:id="-1303201021"/>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21"/>
          <w14:textFill>
            <w14:solidFill>
              <w14:srgbClr w14:val="000000">
                <w14:alpha w14:val="100000"/>
              </w14:srgbClr>
            </w14:solidFill>
          </w14:textFill>
        </w:rPr>
        <w:t>|</w:t>
      </w:r>
      <w:r w:rsidR="005C1790" w:rsidRPr="00683533">
        <w:rPr>
          <w:iCs/>
        </w:rPr>
        <w:t>)</w:t>
      </w:r>
      <w:r w:rsidRPr="00683533">
        <w:rPr>
          <w:iCs/>
        </w:rPr>
        <w:t>. This</w:t>
      </w:r>
      <w:r w:rsidR="005C1790" w:rsidRPr="00683533">
        <w:rPr>
          <w:iCs/>
        </w:rPr>
        <w:t xml:space="preserve"> exceeds the additional cost for the 20vPCV vaccine </w:t>
      </w:r>
      <w:r w:rsidR="00562CBB" w:rsidRPr="00683533">
        <w:rPr>
          <w:iCs/>
        </w:rPr>
        <w:t xml:space="preserve">of </w:t>
      </w:r>
      <w:r w:rsidR="005C1790" w:rsidRPr="00683533">
        <w:rPr>
          <w:iCs/>
        </w:rPr>
        <w:t>$</w:t>
      </w:r>
      <w:r w:rsidR="006A414A" w:rsidRPr="00137984">
        <w:rPr>
          <w:iCs/>
          <w:color w:val="000000"/>
          <w:w w:val="15"/>
          <w:shd w:val="solid" w:color="000000" w:fill="000000"/>
          <w:fitText w:val="-20" w:id="-1303201020"/>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20"/>
          <w14:textFill>
            <w14:solidFill>
              <w14:srgbClr w14:val="000000">
                <w14:alpha w14:val="100000"/>
              </w14:srgbClr>
            </w14:solidFill>
          </w14:textFill>
        </w:rPr>
        <w:t>|</w:t>
      </w:r>
      <w:r w:rsidR="005C1790" w:rsidRPr="00683533">
        <w:rPr>
          <w:iCs/>
        </w:rPr>
        <w:t xml:space="preserve"> per 1,000 people (</w:t>
      </w:r>
      <w:r w:rsidR="005C1790" w:rsidRPr="00683533">
        <w:rPr>
          <w:iCs/>
        </w:rPr>
        <w:fldChar w:fldCharType="begin"/>
      </w:r>
      <w:r w:rsidR="005C1790" w:rsidRPr="00683533">
        <w:rPr>
          <w:iCs/>
        </w:rPr>
        <w:instrText xml:space="preserve"> REF _Ref112657930 \h  \* MERGEFORMAT </w:instrText>
      </w:r>
      <w:r w:rsidR="005C1790" w:rsidRPr="00683533">
        <w:rPr>
          <w:iCs/>
        </w:rPr>
      </w:r>
      <w:r w:rsidR="005C1790" w:rsidRPr="00683533">
        <w:rPr>
          <w:iCs/>
        </w:rPr>
        <w:fldChar w:fldCharType="separate"/>
      </w:r>
      <w:r w:rsidR="00137984" w:rsidRPr="00137984">
        <w:rPr>
          <w:iCs/>
        </w:rPr>
        <w:t>Table 13</w:t>
      </w:r>
      <w:r w:rsidR="005C1790" w:rsidRPr="00683533">
        <w:rPr>
          <w:iCs/>
        </w:rPr>
        <w:fldChar w:fldCharType="end"/>
      </w:r>
      <w:r w:rsidR="005C1790" w:rsidRPr="00683533">
        <w:rPr>
          <w:iCs/>
        </w:rPr>
        <w:t>)</w:t>
      </w:r>
      <w:r w:rsidR="00A40161" w:rsidRPr="00683533">
        <w:rPr>
          <w:iCs/>
        </w:rPr>
        <w:t>.</w:t>
      </w:r>
      <w:r w:rsidR="005C1790" w:rsidRPr="00683533">
        <w:rPr>
          <w:iCs/>
        </w:rPr>
        <w:t xml:space="preserve"> </w:t>
      </w:r>
    </w:p>
    <w:p w14:paraId="2BAB5F2C" w14:textId="5BA79ABE" w:rsidR="006424AA" w:rsidRPr="00683533" w:rsidRDefault="006424AA" w:rsidP="006424AA">
      <w:pPr>
        <w:pStyle w:val="3-BodyText"/>
        <w:rPr>
          <w:iCs/>
        </w:rPr>
      </w:pPr>
      <w:r w:rsidRPr="00683533">
        <w:rPr>
          <w:iCs/>
        </w:rPr>
        <w:t>F</w:t>
      </w:r>
      <w:r w:rsidR="00590F83" w:rsidRPr="00683533">
        <w:rPr>
          <w:iCs/>
        </w:rPr>
        <w:t xml:space="preserve">or Indigenous adults aged </w:t>
      </w:r>
      <w:r w:rsidR="004D57C8" w:rsidRPr="00683533">
        <w:rPr>
          <w:iCs/>
        </w:rPr>
        <w:t>≥</w:t>
      </w:r>
      <w:r w:rsidR="008F552C" w:rsidRPr="00683533">
        <w:rPr>
          <w:iCs/>
        </w:rPr>
        <w:t xml:space="preserve"> </w:t>
      </w:r>
      <w:r w:rsidR="00590F83" w:rsidRPr="00683533">
        <w:rPr>
          <w:iCs/>
        </w:rPr>
        <w:t>50 years</w:t>
      </w:r>
      <w:r w:rsidRPr="00683533">
        <w:rPr>
          <w:iCs/>
        </w:rPr>
        <w:t xml:space="preserve"> the model assumed that the additional 7 (5) serotypes would increase vaccine coverage by </w:t>
      </w:r>
      <w:r w:rsidR="00815173" w:rsidRPr="00683533">
        <w:rPr>
          <w:iCs/>
        </w:rPr>
        <w:t>30</w:t>
      </w:r>
      <w:r w:rsidRPr="00683533">
        <w:rPr>
          <w:iCs/>
        </w:rPr>
        <w:t>% (1</w:t>
      </w:r>
      <w:r w:rsidR="00815173" w:rsidRPr="00683533">
        <w:rPr>
          <w:iCs/>
        </w:rPr>
        <w:t>9</w:t>
      </w:r>
      <w:r w:rsidRPr="00683533">
        <w:rPr>
          <w:iCs/>
        </w:rPr>
        <w:t xml:space="preserve">%) </w:t>
      </w:r>
      <w:r w:rsidR="005A4853" w:rsidRPr="00683533">
        <w:rPr>
          <w:iCs/>
        </w:rPr>
        <w:t>(</w:t>
      </w:r>
      <w:r w:rsidR="005A4853" w:rsidRPr="00683533">
        <w:rPr>
          <w:iCs/>
        </w:rPr>
        <w:fldChar w:fldCharType="begin"/>
      </w:r>
      <w:r w:rsidR="005A4853" w:rsidRPr="00683533">
        <w:rPr>
          <w:iCs/>
        </w:rPr>
        <w:instrText xml:space="preserve"> REF _Ref116561383 \h  \* MERGEFORMAT </w:instrText>
      </w:r>
      <w:r w:rsidR="005A4853" w:rsidRPr="00683533">
        <w:rPr>
          <w:iCs/>
        </w:rPr>
      </w:r>
      <w:r w:rsidR="005A4853" w:rsidRPr="00683533">
        <w:rPr>
          <w:iCs/>
        </w:rPr>
        <w:fldChar w:fldCharType="separate"/>
      </w:r>
      <w:r w:rsidR="00137984" w:rsidRPr="00137984">
        <w:t>Table 10</w:t>
      </w:r>
      <w:r w:rsidR="005A4853" w:rsidRPr="00683533">
        <w:rPr>
          <w:iCs/>
        </w:rPr>
        <w:fldChar w:fldCharType="end"/>
      </w:r>
      <w:r w:rsidR="005A4853" w:rsidRPr="00683533">
        <w:rPr>
          <w:iCs/>
        </w:rPr>
        <w:t xml:space="preserve">) </w:t>
      </w:r>
      <w:r w:rsidRPr="00683533">
        <w:rPr>
          <w:iCs/>
        </w:rPr>
        <w:t>and this results in:</w:t>
      </w:r>
    </w:p>
    <w:p w14:paraId="686EE037" w14:textId="532461DC" w:rsidR="006424AA" w:rsidRPr="00683533" w:rsidRDefault="006424AA" w:rsidP="00227608">
      <w:pPr>
        <w:pStyle w:val="3-BodyText"/>
        <w:numPr>
          <w:ilvl w:val="0"/>
          <w:numId w:val="32"/>
        </w:numPr>
        <w:ind w:left="1134"/>
        <w:rPr>
          <w:iCs/>
        </w:rPr>
      </w:pPr>
      <w:r w:rsidRPr="00683533">
        <w:rPr>
          <w:iCs/>
        </w:rPr>
        <w:t xml:space="preserve">A reduction in bacteraemia events of </w:t>
      </w:r>
      <w:r w:rsidR="005C1790" w:rsidRPr="00683533">
        <w:rPr>
          <w:iCs/>
        </w:rPr>
        <w:t>1.80</w:t>
      </w:r>
      <w:r w:rsidRPr="00683533">
        <w:rPr>
          <w:iCs/>
        </w:rPr>
        <w:t xml:space="preserve"> (</w:t>
      </w:r>
      <w:r w:rsidR="005C1790" w:rsidRPr="00683533">
        <w:rPr>
          <w:iCs/>
        </w:rPr>
        <w:t>1.14</w:t>
      </w:r>
      <w:r w:rsidRPr="00683533">
        <w:rPr>
          <w:iCs/>
        </w:rPr>
        <w:t xml:space="preserve">) per 1,000 people </w:t>
      </w:r>
      <w:proofErr w:type="gramStart"/>
      <w:r w:rsidRPr="00683533">
        <w:rPr>
          <w:iCs/>
        </w:rPr>
        <w:t>vaccinated</w:t>
      </w:r>
      <w:r w:rsidR="00A40161" w:rsidRPr="00683533">
        <w:rPr>
          <w:iCs/>
        </w:rPr>
        <w:t>;</w:t>
      </w:r>
      <w:proofErr w:type="gramEnd"/>
    </w:p>
    <w:p w14:paraId="009C97E5" w14:textId="1FBFE71A" w:rsidR="006424AA" w:rsidRPr="00683533" w:rsidRDefault="006424AA" w:rsidP="00227608">
      <w:pPr>
        <w:pStyle w:val="3-BodyText"/>
        <w:numPr>
          <w:ilvl w:val="0"/>
          <w:numId w:val="32"/>
        </w:numPr>
        <w:ind w:left="1134"/>
        <w:rPr>
          <w:iCs/>
        </w:rPr>
      </w:pPr>
      <w:r w:rsidRPr="00683533">
        <w:rPr>
          <w:iCs/>
        </w:rPr>
        <w:t>A reduction in meningitis events of 0.</w:t>
      </w:r>
      <w:r w:rsidR="00CC775E" w:rsidRPr="00683533">
        <w:rPr>
          <w:iCs/>
        </w:rPr>
        <w:t>11</w:t>
      </w:r>
      <w:r w:rsidRPr="00683533">
        <w:rPr>
          <w:iCs/>
        </w:rPr>
        <w:t xml:space="preserve"> (0.0</w:t>
      </w:r>
      <w:r w:rsidR="00CC775E" w:rsidRPr="00683533">
        <w:rPr>
          <w:iCs/>
        </w:rPr>
        <w:t>7</w:t>
      </w:r>
      <w:r w:rsidRPr="00683533">
        <w:rPr>
          <w:iCs/>
        </w:rPr>
        <w:t xml:space="preserve">) per 1,000 people </w:t>
      </w:r>
      <w:proofErr w:type="gramStart"/>
      <w:r w:rsidRPr="00683533">
        <w:rPr>
          <w:iCs/>
        </w:rPr>
        <w:t>vaccinated</w:t>
      </w:r>
      <w:r w:rsidR="00A40161" w:rsidRPr="00683533">
        <w:rPr>
          <w:iCs/>
        </w:rPr>
        <w:t>;</w:t>
      </w:r>
      <w:proofErr w:type="gramEnd"/>
    </w:p>
    <w:p w14:paraId="127BCD9D" w14:textId="65865958" w:rsidR="006424AA" w:rsidRPr="00683533" w:rsidRDefault="006424AA" w:rsidP="00227608">
      <w:pPr>
        <w:pStyle w:val="3-BodyText"/>
        <w:numPr>
          <w:ilvl w:val="0"/>
          <w:numId w:val="32"/>
        </w:numPr>
        <w:ind w:left="1134"/>
        <w:rPr>
          <w:iCs/>
        </w:rPr>
      </w:pPr>
      <w:r w:rsidRPr="00683533">
        <w:rPr>
          <w:iCs/>
        </w:rPr>
        <w:t xml:space="preserve">A reduction in PNE GP visits or hospital admissions of </w:t>
      </w:r>
      <w:r w:rsidR="005C1790" w:rsidRPr="00683533">
        <w:rPr>
          <w:iCs/>
        </w:rPr>
        <w:t>8.50</w:t>
      </w:r>
      <w:r w:rsidRPr="00683533">
        <w:rPr>
          <w:iCs/>
        </w:rPr>
        <w:t xml:space="preserve"> (</w:t>
      </w:r>
      <w:r w:rsidR="005C1790" w:rsidRPr="00683533">
        <w:rPr>
          <w:iCs/>
        </w:rPr>
        <w:t>5.38</w:t>
      </w:r>
      <w:r w:rsidRPr="00683533">
        <w:rPr>
          <w:iCs/>
        </w:rPr>
        <w:t xml:space="preserve">) per 1,000 people </w:t>
      </w:r>
      <w:proofErr w:type="gramStart"/>
      <w:r w:rsidRPr="00683533">
        <w:rPr>
          <w:iCs/>
        </w:rPr>
        <w:t>vaccinated</w:t>
      </w:r>
      <w:r w:rsidR="00A40161" w:rsidRPr="00683533">
        <w:rPr>
          <w:iCs/>
        </w:rPr>
        <w:t>;</w:t>
      </w:r>
      <w:proofErr w:type="gramEnd"/>
      <w:r w:rsidR="00A40161" w:rsidRPr="00683533">
        <w:rPr>
          <w:iCs/>
        </w:rPr>
        <w:t xml:space="preserve"> and</w:t>
      </w:r>
    </w:p>
    <w:p w14:paraId="01D3C443" w14:textId="1C018A80" w:rsidR="00590F83" w:rsidRPr="00683533" w:rsidRDefault="00517AAF" w:rsidP="00227608">
      <w:pPr>
        <w:pStyle w:val="3-BodyText"/>
        <w:numPr>
          <w:ilvl w:val="0"/>
          <w:numId w:val="32"/>
        </w:numPr>
        <w:ind w:left="1134"/>
        <w:rPr>
          <w:iCs/>
        </w:rPr>
      </w:pPr>
      <w:r w:rsidRPr="00683533">
        <w:rPr>
          <w:iCs/>
        </w:rPr>
        <w:t>The cost saving associated with avoiding the above events is $</w:t>
      </w:r>
      <w:r w:rsidR="006A414A" w:rsidRPr="00137984">
        <w:rPr>
          <w:iCs/>
          <w:color w:val="000000"/>
          <w:w w:val="15"/>
          <w:shd w:val="solid" w:color="000000" w:fill="000000"/>
          <w:fitText w:val="-20" w:id="-1303201019"/>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19"/>
          <w14:textFill>
            <w14:solidFill>
              <w14:srgbClr w14:val="000000">
                <w14:alpha w14:val="100000"/>
              </w14:srgbClr>
            </w14:solidFill>
          </w14:textFill>
        </w:rPr>
        <w:t>|</w:t>
      </w:r>
      <w:r w:rsidR="006424AA" w:rsidRPr="00683533">
        <w:rPr>
          <w:iCs/>
        </w:rPr>
        <w:t xml:space="preserve"> ($</w:t>
      </w:r>
      <w:r w:rsidR="006A414A" w:rsidRPr="00137984">
        <w:rPr>
          <w:iCs/>
          <w:color w:val="000000"/>
          <w:w w:val="15"/>
          <w:shd w:val="solid" w:color="000000" w:fill="000000"/>
          <w:fitText w:val="-20" w:id="-1303201018"/>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18"/>
          <w14:textFill>
            <w14:solidFill>
              <w14:srgbClr w14:val="000000">
                <w14:alpha w14:val="100000"/>
              </w14:srgbClr>
            </w14:solidFill>
          </w14:textFill>
        </w:rPr>
        <w:t>|</w:t>
      </w:r>
      <w:r w:rsidR="006424AA" w:rsidRPr="00683533">
        <w:rPr>
          <w:iCs/>
        </w:rPr>
        <w:t>)</w:t>
      </w:r>
      <w:r w:rsidRPr="00683533">
        <w:rPr>
          <w:iCs/>
        </w:rPr>
        <w:t>. This</w:t>
      </w:r>
      <w:r w:rsidR="006424AA" w:rsidRPr="00683533">
        <w:rPr>
          <w:iCs/>
        </w:rPr>
        <w:t xml:space="preserve"> exceeds the additional cost for the 20vPCV vaccine </w:t>
      </w:r>
      <w:r w:rsidR="00562CBB" w:rsidRPr="00683533">
        <w:rPr>
          <w:iCs/>
        </w:rPr>
        <w:t xml:space="preserve">of </w:t>
      </w:r>
      <w:r w:rsidR="006424AA" w:rsidRPr="00683533">
        <w:rPr>
          <w:iCs/>
        </w:rPr>
        <w:t>$</w:t>
      </w:r>
      <w:r w:rsidR="006A414A" w:rsidRPr="00137984">
        <w:rPr>
          <w:iCs/>
          <w:color w:val="000000"/>
          <w:w w:val="15"/>
          <w:shd w:val="solid" w:color="000000" w:fill="000000"/>
          <w:fitText w:val="-20" w:id="-1303201017"/>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17"/>
          <w14:textFill>
            <w14:solidFill>
              <w14:srgbClr w14:val="000000">
                <w14:alpha w14:val="100000"/>
              </w14:srgbClr>
            </w14:solidFill>
          </w14:textFill>
        </w:rPr>
        <w:t>|</w:t>
      </w:r>
      <w:r w:rsidR="00CC775E" w:rsidRPr="00683533">
        <w:rPr>
          <w:iCs/>
        </w:rPr>
        <w:t xml:space="preserve"> ($</w:t>
      </w:r>
      <w:r w:rsidR="006A414A" w:rsidRPr="00137984">
        <w:rPr>
          <w:iCs/>
          <w:color w:val="000000"/>
          <w:w w:val="15"/>
          <w:shd w:val="solid" w:color="000000" w:fill="000000"/>
          <w:fitText w:val="-20" w:id="-1303201016"/>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16"/>
          <w14:textFill>
            <w14:solidFill>
              <w14:srgbClr w14:val="000000">
                <w14:alpha w14:val="100000"/>
              </w14:srgbClr>
            </w14:solidFill>
          </w14:textFill>
        </w:rPr>
        <w:t>|</w:t>
      </w:r>
      <w:r w:rsidR="00CC775E" w:rsidRPr="00683533">
        <w:rPr>
          <w:iCs/>
        </w:rPr>
        <w:t>)</w:t>
      </w:r>
      <w:r w:rsidR="006424AA" w:rsidRPr="00683533">
        <w:rPr>
          <w:iCs/>
        </w:rPr>
        <w:t xml:space="preserve"> per 1,000 people (</w:t>
      </w:r>
      <w:r w:rsidR="006424AA" w:rsidRPr="00683533">
        <w:rPr>
          <w:iCs/>
        </w:rPr>
        <w:fldChar w:fldCharType="begin"/>
      </w:r>
      <w:r w:rsidR="006424AA" w:rsidRPr="00683533">
        <w:rPr>
          <w:iCs/>
        </w:rPr>
        <w:instrText xml:space="preserve"> REF _Ref112657930 \h  \* MERGEFORMAT </w:instrText>
      </w:r>
      <w:r w:rsidR="006424AA" w:rsidRPr="00683533">
        <w:rPr>
          <w:iCs/>
        </w:rPr>
      </w:r>
      <w:r w:rsidR="006424AA" w:rsidRPr="00683533">
        <w:rPr>
          <w:iCs/>
        </w:rPr>
        <w:fldChar w:fldCharType="separate"/>
      </w:r>
      <w:r w:rsidR="00137984" w:rsidRPr="00137984">
        <w:rPr>
          <w:iCs/>
        </w:rPr>
        <w:t>Table 13</w:t>
      </w:r>
      <w:r w:rsidR="006424AA" w:rsidRPr="00683533">
        <w:rPr>
          <w:iCs/>
        </w:rPr>
        <w:fldChar w:fldCharType="end"/>
      </w:r>
      <w:r w:rsidR="006424AA" w:rsidRPr="00683533">
        <w:rPr>
          <w:iCs/>
        </w:rPr>
        <w:t>)</w:t>
      </w:r>
      <w:r w:rsidR="00A40161" w:rsidRPr="00683533">
        <w:rPr>
          <w:iCs/>
        </w:rPr>
        <w:t>.</w:t>
      </w:r>
      <w:r w:rsidR="006424AA" w:rsidRPr="00683533">
        <w:rPr>
          <w:iCs/>
        </w:rPr>
        <w:t xml:space="preserve"> </w:t>
      </w:r>
    </w:p>
    <w:p w14:paraId="3CA8C766" w14:textId="4311D404" w:rsidR="003E25BC" w:rsidRPr="00683533" w:rsidRDefault="003E25BC" w:rsidP="003E25BC">
      <w:pPr>
        <w:pStyle w:val="3-BodyText"/>
        <w:rPr>
          <w:iCs/>
        </w:rPr>
      </w:pPr>
      <w:r w:rsidRPr="00683533">
        <w:rPr>
          <w:iCs/>
        </w:rPr>
        <w:t xml:space="preserve">For at-risk adults aged 18-69 years the model assumed that the additional 7 (5) serotypes would increase vaccine coverage by 28% (15%) </w:t>
      </w:r>
      <w:r w:rsidR="005A4853" w:rsidRPr="00683533">
        <w:rPr>
          <w:iCs/>
        </w:rPr>
        <w:t>(</w:t>
      </w:r>
      <w:r w:rsidR="005A4853" w:rsidRPr="00683533">
        <w:rPr>
          <w:iCs/>
        </w:rPr>
        <w:fldChar w:fldCharType="begin"/>
      </w:r>
      <w:r w:rsidR="005A4853" w:rsidRPr="00683533">
        <w:rPr>
          <w:iCs/>
        </w:rPr>
        <w:instrText xml:space="preserve"> REF _Ref116561383 \h  \* MERGEFORMAT </w:instrText>
      </w:r>
      <w:r w:rsidR="005A4853" w:rsidRPr="00683533">
        <w:rPr>
          <w:iCs/>
        </w:rPr>
      </w:r>
      <w:r w:rsidR="005A4853" w:rsidRPr="00683533">
        <w:rPr>
          <w:iCs/>
        </w:rPr>
        <w:fldChar w:fldCharType="separate"/>
      </w:r>
      <w:r w:rsidR="00137984" w:rsidRPr="00137984">
        <w:t>Table 10</w:t>
      </w:r>
      <w:r w:rsidR="005A4853" w:rsidRPr="00683533">
        <w:rPr>
          <w:iCs/>
        </w:rPr>
        <w:fldChar w:fldCharType="end"/>
      </w:r>
      <w:r w:rsidR="005A4853" w:rsidRPr="00683533">
        <w:rPr>
          <w:iCs/>
        </w:rPr>
        <w:t xml:space="preserve">) </w:t>
      </w:r>
      <w:r w:rsidRPr="00683533">
        <w:rPr>
          <w:iCs/>
        </w:rPr>
        <w:t>and this results in:</w:t>
      </w:r>
    </w:p>
    <w:p w14:paraId="2660529A" w14:textId="184B3F71" w:rsidR="003E25BC" w:rsidRPr="00683533" w:rsidRDefault="003E25BC" w:rsidP="00227608">
      <w:pPr>
        <w:pStyle w:val="3-BodyText"/>
        <w:numPr>
          <w:ilvl w:val="0"/>
          <w:numId w:val="32"/>
        </w:numPr>
        <w:ind w:left="1134"/>
        <w:rPr>
          <w:iCs/>
        </w:rPr>
      </w:pPr>
      <w:r w:rsidRPr="00683533">
        <w:rPr>
          <w:iCs/>
        </w:rPr>
        <w:t xml:space="preserve">A reduction in bacteraemia events of 0.86 (0.46) per 1,000 people </w:t>
      </w:r>
      <w:proofErr w:type="gramStart"/>
      <w:r w:rsidR="002E1FF8" w:rsidRPr="00683533">
        <w:rPr>
          <w:iCs/>
        </w:rPr>
        <w:t>vaccinated</w:t>
      </w:r>
      <w:r w:rsidR="00A40161" w:rsidRPr="00683533">
        <w:rPr>
          <w:iCs/>
        </w:rPr>
        <w:t>;</w:t>
      </w:r>
      <w:proofErr w:type="gramEnd"/>
    </w:p>
    <w:p w14:paraId="4A107142" w14:textId="19CDA021" w:rsidR="003E25BC" w:rsidRPr="00683533" w:rsidRDefault="002E1FF8" w:rsidP="00227608">
      <w:pPr>
        <w:pStyle w:val="3-BodyText"/>
        <w:numPr>
          <w:ilvl w:val="0"/>
          <w:numId w:val="32"/>
        </w:numPr>
        <w:ind w:left="1134"/>
        <w:rPr>
          <w:iCs/>
        </w:rPr>
      </w:pPr>
      <w:r w:rsidRPr="00683533">
        <w:rPr>
          <w:iCs/>
        </w:rPr>
        <w:t xml:space="preserve">A reduction in meningitis events of 0.07 (0.04) per 1,000 people </w:t>
      </w:r>
      <w:proofErr w:type="gramStart"/>
      <w:r w:rsidRPr="00683533">
        <w:rPr>
          <w:iCs/>
        </w:rPr>
        <w:t>vaccinated</w:t>
      </w:r>
      <w:r w:rsidR="00A40161" w:rsidRPr="00683533">
        <w:rPr>
          <w:iCs/>
        </w:rPr>
        <w:t>;</w:t>
      </w:r>
      <w:proofErr w:type="gramEnd"/>
    </w:p>
    <w:p w14:paraId="7C54D11A" w14:textId="1EF9A3F5" w:rsidR="002E1FF8" w:rsidRPr="00683533" w:rsidRDefault="002E1FF8" w:rsidP="00227608">
      <w:pPr>
        <w:pStyle w:val="3-BodyText"/>
        <w:numPr>
          <w:ilvl w:val="0"/>
          <w:numId w:val="32"/>
        </w:numPr>
        <w:ind w:left="1134"/>
        <w:rPr>
          <w:iCs/>
        </w:rPr>
      </w:pPr>
      <w:r w:rsidRPr="00683533">
        <w:rPr>
          <w:iCs/>
        </w:rPr>
        <w:lastRenderedPageBreak/>
        <w:t xml:space="preserve">A reduction in PNE GP visits or hospital admissions of 2.17 (1.16) per 1,000 people </w:t>
      </w:r>
      <w:proofErr w:type="gramStart"/>
      <w:r w:rsidRPr="00683533">
        <w:rPr>
          <w:iCs/>
        </w:rPr>
        <w:t>vaccinated</w:t>
      </w:r>
      <w:r w:rsidR="00A40161" w:rsidRPr="00683533">
        <w:rPr>
          <w:iCs/>
        </w:rPr>
        <w:t>;</w:t>
      </w:r>
      <w:proofErr w:type="gramEnd"/>
      <w:r w:rsidR="00A40161" w:rsidRPr="00683533">
        <w:rPr>
          <w:iCs/>
        </w:rPr>
        <w:t xml:space="preserve"> and</w:t>
      </w:r>
    </w:p>
    <w:p w14:paraId="180E0432" w14:textId="1A721571" w:rsidR="002E1FF8" w:rsidRPr="00683533" w:rsidRDefault="00517AAF" w:rsidP="00227608">
      <w:pPr>
        <w:pStyle w:val="3-BodyText"/>
        <w:numPr>
          <w:ilvl w:val="0"/>
          <w:numId w:val="32"/>
        </w:numPr>
        <w:ind w:left="1134"/>
        <w:rPr>
          <w:iCs/>
        </w:rPr>
      </w:pPr>
      <w:r w:rsidRPr="00683533">
        <w:rPr>
          <w:iCs/>
        </w:rPr>
        <w:t>The cost saving associated with avoiding the above events is $</w:t>
      </w:r>
      <w:r w:rsidR="006A414A" w:rsidRPr="00137984">
        <w:rPr>
          <w:iCs/>
          <w:color w:val="000000"/>
          <w:w w:val="15"/>
          <w:shd w:val="solid" w:color="000000" w:fill="000000"/>
          <w:fitText w:val="-20" w:id="-1303201015"/>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15"/>
          <w14:textFill>
            <w14:solidFill>
              <w14:srgbClr w14:val="000000">
                <w14:alpha w14:val="100000"/>
              </w14:srgbClr>
            </w14:solidFill>
          </w14:textFill>
        </w:rPr>
        <w:t>|</w:t>
      </w:r>
      <w:r w:rsidR="006424AA" w:rsidRPr="00683533">
        <w:rPr>
          <w:iCs/>
        </w:rPr>
        <w:t xml:space="preserve"> ($</w:t>
      </w:r>
      <w:r w:rsidR="006A414A" w:rsidRPr="00137984">
        <w:rPr>
          <w:iCs/>
          <w:color w:val="000000"/>
          <w:w w:val="15"/>
          <w:shd w:val="solid" w:color="000000" w:fill="000000"/>
          <w:fitText w:val="-20" w:id="-1303201014"/>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14"/>
          <w14:textFill>
            <w14:solidFill>
              <w14:srgbClr w14:val="000000">
                <w14:alpha w14:val="100000"/>
              </w14:srgbClr>
            </w14:solidFill>
          </w14:textFill>
        </w:rPr>
        <w:t>|</w:t>
      </w:r>
      <w:r w:rsidR="006424AA" w:rsidRPr="00683533">
        <w:rPr>
          <w:iCs/>
        </w:rPr>
        <w:t>)</w:t>
      </w:r>
      <w:r w:rsidRPr="00683533">
        <w:rPr>
          <w:iCs/>
        </w:rPr>
        <w:t>. This</w:t>
      </w:r>
      <w:r w:rsidR="006424AA" w:rsidRPr="00683533">
        <w:rPr>
          <w:iCs/>
        </w:rPr>
        <w:t xml:space="preserve"> </w:t>
      </w:r>
      <w:r w:rsidR="002E1FF8" w:rsidRPr="00683533">
        <w:rPr>
          <w:iCs/>
        </w:rPr>
        <w:t>exceeds</w:t>
      </w:r>
      <w:r w:rsidR="006424AA" w:rsidRPr="00683533">
        <w:rPr>
          <w:iCs/>
        </w:rPr>
        <w:t xml:space="preserve"> the additional cost for the 20vPCV vaccine </w:t>
      </w:r>
      <w:r w:rsidR="00562CBB" w:rsidRPr="00683533">
        <w:rPr>
          <w:iCs/>
        </w:rPr>
        <w:t xml:space="preserve">of </w:t>
      </w:r>
      <w:r w:rsidR="006424AA" w:rsidRPr="00683533">
        <w:rPr>
          <w:iCs/>
        </w:rPr>
        <w:t>$</w:t>
      </w:r>
      <w:r w:rsidR="006A414A" w:rsidRPr="00137984">
        <w:rPr>
          <w:iCs/>
          <w:color w:val="000000"/>
          <w:w w:val="15"/>
          <w:shd w:val="solid" w:color="000000" w:fill="000000"/>
          <w:fitText w:val="-20" w:id="-1303201013"/>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13"/>
          <w14:textFill>
            <w14:solidFill>
              <w14:srgbClr w14:val="000000">
                <w14:alpha w14:val="100000"/>
              </w14:srgbClr>
            </w14:solidFill>
          </w14:textFill>
        </w:rPr>
        <w:t>|</w:t>
      </w:r>
      <w:r w:rsidR="006424AA" w:rsidRPr="00683533">
        <w:rPr>
          <w:iCs/>
        </w:rPr>
        <w:t xml:space="preserve"> per 1,000 people (</w:t>
      </w:r>
      <w:r w:rsidR="006424AA" w:rsidRPr="00683533">
        <w:rPr>
          <w:iCs/>
        </w:rPr>
        <w:fldChar w:fldCharType="begin"/>
      </w:r>
      <w:r w:rsidR="006424AA" w:rsidRPr="00683533">
        <w:rPr>
          <w:iCs/>
        </w:rPr>
        <w:instrText xml:space="preserve"> REF _Ref112657930 \h  \* MERGEFORMAT </w:instrText>
      </w:r>
      <w:r w:rsidR="006424AA" w:rsidRPr="00683533">
        <w:rPr>
          <w:iCs/>
        </w:rPr>
      </w:r>
      <w:r w:rsidR="006424AA" w:rsidRPr="00683533">
        <w:rPr>
          <w:iCs/>
        </w:rPr>
        <w:fldChar w:fldCharType="separate"/>
      </w:r>
      <w:r w:rsidR="00137984" w:rsidRPr="00137984">
        <w:rPr>
          <w:iCs/>
        </w:rPr>
        <w:t>Table 13</w:t>
      </w:r>
      <w:r w:rsidR="006424AA" w:rsidRPr="00683533">
        <w:rPr>
          <w:iCs/>
        </w:rPr>
        <w:fldChar w:fldCharType="end"/>
      </w:r>
      <w:r w:rsidR="006424AA" w:rsidRPr="00683533">
        <w:rPr>
          <w:iCs/>
        </w:rPr>
        <w:t>)</w:t>
      </w:r>
      <w:r w:rsidR="00A40161" w:rsidRPr="00683533">
        <w:rPr>
          <w:iCs/>
        </w:rPr>
        <w:t>.</w:t>
      </w:r>
    </w:p>
    <w:p w14:paraId="3D0B047B" w14:textId="62D97479" w:rsidR="007D4D11" w:rsidRPr="00F244EA" w:rsidRDefault="007D4D11" w:rsidP="00A77ABE">
      <w:pPr>
        <w:pStyle w:val="Caption"/>
        <w:widowControl w:val="0"/>
        <w:rPr>
          <w:rStyle w:val="CommentReference"/>
          <w:b/>
          <w:bCs/>
          <w:snapToGrid w:val="0"/>
          <w:szCs w:val="24"/>
        </w:rPr>
      </w:pPr>
      <w:bookmarkStart w:id="107" w:name="_Ref112657989"/>
      <w:r w:rsidRPr="00F244EA">
        <w:rPr>
          <w:rStyle w:val="CommentReference"/>
          <w:b/>
          <w:bCs/>
          <w:szCs w:val="24"/>
        </w:rPr>
        <w:t xml:space="preserve">Table </w:t>
      </w:r>
      <w:r w:rsidRPr="00F244EA">
        <w:rPr>
          <w:rStyle w:val="CommentReference"/>
          <w:b/>
          <w:bCs/>
          <w:szCs w:val="24"/>
        </w:rPr>
        <w:fldChar w:fldCharType="begin"/>
      </w:r>
      <w:r w:rsidRPr="00F244EA">
        <w:rPr>
          <w:rStyle w:val="CommentReference"/>
          <w:b/>
          <w:bCs/>
          <w:szCs w:val="24"/>
        </w:rPr>
        <w:instrText xml:space="preserve"> SEQ Table \* ARABIC </w:instrText>
      </w:r>
      <w:r w:rsidRPr="00F244EA">
        <w:rPr>
          <w:rStyle w:val="CommentReference"/>
          <w:b/>
          <w:bCs/>
          <w:szCs w:val="24"/>
        </w:rPr>
        <w:fldChar w:fldCharType="separate"/>
      </w:r>
      <w:r w:rsidR="00137984">
        <w:rPr>
          <w:rStyle w:val="CommentReference"/>
          <w:b/>
          <w:bCs/>
          <w:noProof/>
          <w:szCs w:val="24"/>
        </w:rPr>
        <w:t>16</w:t>
      </w:r>
      <w:r w:rsidRPr="00F244EA">
        <w:rPr>
          <w:rStyle w:val="CommentReference"/>
          <w:b/>
          <w:bCs/>
          <w:szCs w:val="24"/>
        </w:rPr>
        <w:fldChar w:fldCharType="end"/>
      </w:r>
      <w:bookmarkEnd w:id="107"/>
      <w:r w:rsidRPr="00F244EA">
        <w:rPr>
          <w:rStyle w:val="CommentReference"/>
          <w:b/>
          <w:bCs/>
          <w:szCs w:val="24"/>
        </w:rPr>
        <w:t xml:space="preserve">: Results of the economic evaluation for non-Indigenous </w:t>
      </w:r>
      <w:r w:rsidRPr="00352703">
        <w:rPr>
          <w:rStyle w:val="CommentReference"/>
          <w:b/>
          <w:bCs/>
          <w:szCs w:val="24"/>
        </w:rPr>
        <w:t xml:space="preserve">adults aged </w:t>
      </w:r>
      <w:r w:rsidR="00352703">
        <w:rPr>
          <w:bCs w:val="0"/>
        </w:rPr>
        <w:t>≥</w:t>
      </w:r>
      <w:r w:rsidR="00352703" w:rsidRPr="00352703">
        <w:rPr>
          <w:rStyle w:val="CommentReference"/>
          <w:b/>
          <w:bCs/>
          <w:szCs w:val="24"/>
        </w:rPr>
        <w:t xml:space="preserve"> </w:t>
      </w:r>
      <w:r w:rsidRPr="00352703">
        <w:rPr>
          <w:rStyle w:val="CommentReference"/>
          <w:b/>
          <w:bCs/>
          <w:szCs w:val="24"/>
        </w:rPr>
        <w:t xml:space="preserve">70 years, Indigenous adults aged </w:t>
      </w:r>
      <w:r w:rsidR="00352703">
        <w:rPr>
          <w:bCs w:val="0"/>
        </w:rPr>
        <w:t>≥</w:t>
      </w:r>
      <w:r w:rsidR="00A519B7">
        <w:rPr>
          <w:rStyle w:val="CommentReference"/>
          <w:b/>
          <w:bCs/>
          <w:szCs w:val="24"/>
          <w:u w:val="single"/>
        </w:rPr>
        <w:t xml:space="preserve"> </w:t>
      </w:r>
      <w:r w:rsidRPr="00F244EA">
        <w:rPr>
          <w:rStyle w:val="CommentReference"/>
          <w:b/>
          <w:bCs/>
          <w:szCs w:val="24"/>
        </w:rPr>
        <w:t>50 years, and at-risk adults aged 18-69 years</w:t>
      </w:r>
      <w:r w:rsidR="001F74EA">
        <w:rPr>
          <w:rStyle w:val="CommentReference"/>
          <w:b/>
          <w:bCs/>
          <w:szCs w:val="24"/>
        </w:rPr>
        <w:t xml:space="preserve">, </w:t>
      </w:r>
      <w:r w:rsidR="001F74EA" w:rsidRPr="001F74EA">
        <w:rPr>
          <w:rStyle w:val="CommentReference"/>
          <w:b/>
          <w:bCs/>
          <w:szCs w:val="24"/>
        </w:rPr>
        <w:t>per 1,000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67"/>
        <w:gridCol w:w="1472"/>
        <w:gridCol w:w="1134"/>
        <w:gridCol w:w="1562"/>
        <w:gridCol w:w="1273"/>
        <w:gridCol w:w="1509"/>
      </w:tblGrid>
      <w:tr w:rsidR="000250EF" w:rsidRPr="005E6CBC" w14:paraId="714FD528" w14:textId="77777777" w:rsidTr="009A477A">
        <w:trPr>
          <w:tblHeader/>
        </w:trPr>
        <w:tc>
          <w:tcPr>
            <w:tcW w:w="1146" w:type="pct"/>
            <w:vAlign w:val="center"/>
          </w:tcPr>
          <w:p w14:paraId="21D7ACBE" w14:textId="77777777" w:rsidR="000250EF" w:rsidRPr="005E6CBC" w:rsidRDefault="000250EF" w:rsidP="00A77ABE">
            <w:pPr>
              <w:pStyle w:val="In-tableHeading"/>
              <w:keepLines/>
              <w:widowControl w:val="0"/>
            </w:pPr>
            <w:bookmarkStart w:id="108" w:name="_Ref112349396"/>
            <w:r>
              <w:t>Component</w:t>
            </w:r>
          </w:p>
        </w:tc>
        <w:tc>
          <w:tcPr>
            <w:tcW w:w="816" w:type="pct"/>
            <w:vAlign w:val="center"/>
          </w:tcPr>
          <w:p w14:paraId="6A0ACC03" w14:textId="79511174" w:rsidR="000250EF" w:rsidRPr="005E6CBC" w:rsidRDefault="000250EF" w:rsidP="00A77ABE">
            <w:pPr>
              <w:pStyle w:val="In-tableHeading"/>
              <w:keepLines/>
              <w:widowControl w:val="0"/>
              <w:jc w:val="center"/>
            </w:pPr>
            <w:r>
              <w:t>20vPCV</w:t>
            </w:r>
          </w:p>
        </w:tc>
        <w:tc>
          <w:tcPr>
            <w:tcW w:w="629" w:type="pct"/>
            <w:vAlign w:val="center"/>
          </w:tcPr>
          <w:p w14:paraId="3B418ADF" w14:textId="119065DB" w:rsidR="000250EF" w:rsidRPr="005E6CBC" w:rsidRDefault="000250EF" w:rsidP="00A77ABE">
            <w:pPr>
              <w:pStyle w:val="In-tableHeading"/>
              <w:keepLines/>
              <w:widowControl w:val="0"/>
              <w:jc w:val="center"/>
            </w:pPr>
            <w:r>
              <w:t>13vPCV</w:t>
            </w:r>
          </w:p>
        </w:tc>
        <w:tc>
          <w:tcPr>
            <w:tcW w:w="866" w:type="pct"/>
            <w:vAlign w:val="center"/>
          </w:tcPr>
          <w:p w14:paraId="5C79698C" w14:textId="77777777" w:rsidR="000250EF" w:rsidRPr="005E6CBC" w:rsidRDefault="000250EF" w:rsidP="00A77ABE">
            <w:pPr>
              <w:pStyle w:val="In-tableHeading"/>
              <w:keepLines/>
              <w:widowControl w:val="0"/>
              <w:jc w:val="center"/>
            </w:pPr>
            <w:r w:rsidRPr="005E6CBC">
              <w:t>Increment</w:t>
            </w:r>
            <w:r>
              <w:t xml:space="preserve"> (20vPCV vs 13vPCV)</w:t>
            </w:r>
          </w:p>
        </w:tc>
        <w:tc>
          <w:tcPr>
            <w:tcW w:w="706" w:type="pct"/>
            <w:vAlign w:val="center"/>
          </w:tcPr>
          <w:p w14:paraId="38D30636" w14:textId="7C3D2953" w:rsidR="000250EF" w:rsidRPr="005E6CBC" w:rsidRDefault="000250EF" w:rsidP="00A77ABE">
            <w:pPr>
              <w:pStyle w:val="In-tableHeading"/>
              <w:keepLines/>
              <w:widowControl w:val="0"/>
              <w:jc w:val="center"/>
            </w:pPr>
            <w:r>
              <w:t>15vPCV</w:t>
            </w:r>
          </w:p>
        </w:tc>
        <w:tc>
          <w:tcPr>
            <w:tcW w:w="837" w:type="pct"/>
            <w:vAlign w:val="center"/>
          </w:tcPr>
          <w:p w14:paraId="12A2241B" w14:textId="7F2E24BB" w:rsidR="000250EF" w:rsidRPr="00CD61EA" w:rsidRDefault="000250EF" w:rsidP="00A77ABE">
            <w:pPr>
              <w:pStyle w:val="In-tableHeading"/>
              <w:keepLines/>
              <w:widowControl w:val="0"/>
              <w:jc w:val="center"/>
              <w:rPr>
                <w:vertAlign w:val="superscript"/>
              </w:rPr>
            </w:pPr>
            <w:r w:rsidRPr="005E6CBC">
              <w:t>Increment</w:t>
            </w:r>
            <w:r>
              <w:t xml:space="preserve"> (20vPCV vs 15</w:t>
            </w:r>
            <w:proofErr w:type="gramStart"/>
            <w:r>
              <w:t>vPCV)</w:t>
            </w:r>
            <w:r w:rsidR="00CD61EA">
              <w:rPr>
                <w:vertAlign w:val="superscript"/>
              </w:rPr>
              <w:t>a</w:t>
            </w:r>
            <w:proofErr w:type="gramEnd"/>
          </w:p>
        </w:tc>
      </w:tr>
      <w:tr w:rsidR="000250EF" w:rsidRPr="00E2771E" w14:paraId="11D5AD89" w14:textId="77777777" w:rsidTr="009A477A">
        <w:tc>
          <w:tcPr>
            <w:tcW w:w="5000" w:type="pct"/>
            <w:gridSpan w:val="6"/>
            <w:vAlign w:val="center"/>
          </w:tcPr>
          <w:p w14:paraId="1EB145F6" w14:textId="77777777" w:rsidR="000250EF" w:rsidRDefault="000250EF" w:rsidP="00A77ABE">
            <w:pPr>
              <w:pStyle w:val="TableText0"/>
              <w:keepLines/>
              <w:widowControl w:val="0"/>
              <w:rPr>
                <w:b/>
                <w:bCs w:val="0"/>
              </w:rPr>
            </w:pPr>
            <w:r>
              <w:rPr>
                <w:b/>
                <w:bCs w:val="0"/>
              </w:rPr>
              <w:t>Non-Indigenous adults aged ≥ 70 years</w:t>
            </w:r>
          </w:p>
        </w:tc>
      </w:tr>
      <w:tr w:rsidR="000250EF" w:rsidRPr="00E2771E" w14:paraId="7EF57C20" w14:textId="77777777" w:rsidTr="009A477A">
        <w:tc>
          <w:tcPr>
            <w:tcW w:w="1146" w:type="pct"/>
            <w:vAlign w:val="center"/>
          </w:tcPr>
          <w:p w14:paraId="4D6F18F7" w14:textId="77777777" w:rsidR="000250EF" w:rsidRPr="00E2771E" w:rsidRDefault="000250EF" w:rsidP="00A77ABE">
            <w:pPr>
              <w:pStyle w:val="TableText0"/>
              <w:keepLines/>
              <w:widowControl w:val="0"/>
              <w:rPr>
                <w:rFonts w:ascii="Times" w:hAnsi="Times"/>
              </w:rPr>
            </w:pPr>
            <w:r w:rsidRPr="00E2771E">
              <w:t>Costs</w:t>
            </w:r>
          </w:p>
        </w:tc>
        <w:tc>
          <w:tcPr>
            <w:tcW w:w="816" w:type="pct"/>
            <w:vAlign w:val="center"/>
          </w:tcPr>
          <w:p w14:paraId="3A1D9E69" w14:textId="280C8262" w:rsidR="000250EF" w:rsidRPr="005E6CBC" w:rsidRDefault="000250EF" w:rsidP="00A77ABE">
            <w:pPr>
              <w:pStyle w:val="TableText0"/>
              <w:keepLines/>
              <w:widowControl w:val="0"/>
              <w:jc w:val="center"/>
              <w:rPr>
                <w:rFonts w:ascii="Times" w:hAnsi="Times"/>
              </w:rPr>
            </w:pPr>
            <w:r w:rsidRPr="005E6CBC">
              <w:t>$</w:t>
            </w:r>
            <w:r w:rsidR="006A414A" w:rsidRPr="006A414A">
              <w:rPr>
                <w:color w:val="000000"/>
                <w:shd w:val="solid" w:color="000000" w:fill="000000"/>
                <w14:textFill>
                  <w14:solidFill>
                    <w14:srgbClr w14:val="000000">
                      <w14:alpha w14:val="100000"/>
                    </w14:srgbClr>
                  </w14:solidFill>
                </w14:textFill>
              </w:rPr>
              <w:t>|</w:t>
            </w:r>
            <w:r>
              <w:t xml:space="preserve"> </w:t>
            </w:r>
          </w:p>
        </w:tc>
        <w:tc>
          <w:tcPr>
            <w:tcW w:w="629" w:type="pct"/>
            <w:vAlign w:val="center"/>
          </w:tcPr>
          <w:p w14:paraId="1D530474" w14:textId="778729B9" w:rsidR="000250EF" w:rsidRPr="005E6CBC" w:rsidRDefault="000250EF" w:rsidP="00A77ABE">
            <w:pPr>
              <w:pStyle w:val="TableText0"/>
              <w:keepLines/>
              <w:widowControl w:val="0"/>
              <w:jc w:val="center"/>
              <w:rPr>
                <w:rFonts w:ascii="Times" w:hAnsi="Times"/>
              </w:rPr>
            </w:pPr>
            <w:r w:rsidRPr="00522119">
              <w:t>$</w:t>
            </w:r>
            <w:r w:rsidR="006A414A" w:rsidRPr="006A414A">
              <w:rPr>
                <w:rFonts w:hint="eastAsia"/>
                <w:color w:val="000000"/>
                <w:w w:val="22"/>
                <w:shd w:val="solid" w:color="000000" w:fill="000000"/>
                <w:fitText w:val="101" w:id="-1303201012"/>
                <w14:textFill>
                  <w14:solidFill>
                    <w14:srgbClr w14:val="000000">
                      <w14:alpha w14:val="100000"/>
                    </w14:srgbClr>
                  </w14:solidFill>
                </w14:textFill>
              </w:rPr>
              <w:t xml:space="preserve">　</w:t>
            </w:r>
            <w:r w:rsidR="006A414A" w:rsidRPr="006A414A">
              <w:rPr>
                <w:color w:val="000000"/>
                <w:w w:val="22"/>
                <w:shd w:val="solid" w:color="000000" w:fill="000000"/>
                <w:fitText w:val="101" w:id="-1303201012"/>
                <w14:textFill>
                  <w14:solidFill>
                    <w14:srgbClr w14:val="000000">
                      <w14:alpha w14:val="100000"/>
                    </w14:srgbClr>
                  </w14:solidFill>
                </w14:textFill>
              </w:rPr>
              <w:t>|</w:t>
            </w:r>
            <w:r w:rsidR="006A414A" w:rsidRPr="006A414A">
              <w:rPr>
                <w:rFonts w:hint="eastAsia"/>
                <w:color w:val="000000"/>
                <w:spacing w:val="3"/>
                <w:w w:val="22"/>
                <w:shd w:val="solid" w:color="000000" w:fill="000000"/>
                <w:fitText w:val="101" w:id="-1303201012"/>
                <w14:textFill>
                  <w14:solidFill>
                    <w14:srgbClr w14:val="000000">
                      <w14:alpha w14:val="100000"/>
                    </w14:srgbClr>
                  </w14:solidFill>
                </w14:textFill>
              </w:rPr>
              <w:t xml:space="preserve">　</w:t>
            </w:r>
          </w:p>
        </w:tc>
        <w:tc>
          <w:tcPr>
            <w:tcW w:w="866" w:type="pct"/>
            <w:vAlign w:val="center"/>
          </w:tcPr>
          <w:p w14:paraId="14DE959C" w14:textId="701EBE15" w:rsidR="000250EF" w:rsidRPr="005E6CBC" w:rsidRDefault="000250EF" w:rsidP="00A77ABE">
            <w:pPr>
              <w:pStyle w:val="TableText0"/>
              <w:keepLines/>
              <w:widowControl w:val="0"/>
              <w:jc w:val="center"/>
              <w:rPr>
                <w:rFonts w:ascii="Times" w:hAnsi="Times"/>
              </w:rPr>
            </w:pPr>
            <w:r>
              <w:t>-</w:t>
            </w:r>
            <w:r w:rsidRPr="005E6CBC">
              <w:t>$</w:t>
            </w:r>
            <w:r w:rsidR="006A414A" w:rsidRPr="006A414A">
              <w:rPr>
                <w:color w:val="000000"/>
                <w:shd w:val="solid" w:color="000000" w:fill="000000"/>
                <w14:textFill>
                  <w14:solidFill>
                    <w14:srgbClr w14:val="000000">
                      <w14:alpha w14:val="100000"/>
                    </w14:srgbClr>
                  </w14:solidFill>
                </w14:textFill>
              </w:rPr>
              <w:t>|</w:t>
            </w:r>
          </w:p>
        </w:tc>
        <w:tc>
          <w:tcPr>
            <w:tcW w:w="706" w:type="pct"/>
            <w:vAlign w:val="center"/>
          </w:tcPr>
          <w:p w14:paraId="3A1E2F61" w14:textId="279A66EC" w:rsidR="000250EF" w:rsidRDefault="000250EF" w:rsidP="00A77ABE">
            <w:pPr>
              <w:pStyle w:val="TableText0"/>
              <w:keepLines/>
              <w:widowControl w:val="0"/>
              <w:jc w:val="center"/>
            </w:pPr>
            <w:r w:rsidRPr="00522119">
              <w:t>$</w:t>
            </w:r>
            <w:r w:rsidR="006A414A" w:rsidRPr="00137984">
              <w:rPr>
                <w:rFonts w:hint="eastAsia"/>
                <w:color w:val="000000"/>
                <w:w w:val="15"/>
                <w:shd w:val="solid" w:color="000000" w:fill="000000"/>
                <w:fitText w:val="25" w:id="-1303201011"/>
                <w14:textFill>
                  <w14:solidFill>
                    <w14:srgbClr w14:val="000000">
                      <w14:alpha w14:val="100000"/>
                    </w14:srgbClr>
                  </w14:solidFill>
                </w14:textFill>
              </w:rPr>
              <w:t xml:space="preserve">　</w:t>
            </w:r>
            <w:r w:rsidR="006A414A" w:rsidRPr="00137984">
              <w:rPr>
                <w:color w:val="000000"/>
                <w:w w:val="15"/>
                <w:shd w:val="solid" w:color="000000" w:fill="000000"/>
                <w:fitText w:val="25" w:id="-1303201011"/>
                <w14:textFill>
                  <w14:solidFill>
                    <w14:srgbClr w14:val="000000">
                      <w14:alpha w14:val="100000"/>
                    </w14:srgbClr>
                  </w14:solidFill>
                </w14:textFill>
              </w:rPr>
              <w:t>|</w:t>
            </w:r>
            <w:r w:rsidR="006A414A" w:rsidRPr="00137984">
              <w:rPr>
                <w:rFonts w:hint="eastAsia"/>
                <w:color w:val="000000"/>
                <w:spacing w:val="-41"/>
                <w:w w:val="15"/>
                <w:shd w:val="solid" w:color="000000" w:fill="000000"/>
                <w:fitText w:val="25" w:id="-1303201011"/>
                <w14:textFill>
                  <w14:solidFill>
                    <w14:srgbClr w14:val="000000">
                      <w14:alpha w14:val="100000"/>
                    </w14:srgbClr>
                  </w14:solidFill>
                </w14:textFill>
              </w:rPr>
              <w:t xml:space="preserve">　</w:t>
            </w:r>
            <w:r>
              <w:t xml:space="preserve"> </w:t>
            </w:r>
          </w:p>
        </w:tc>
        <w:tc>
          <w:tcPr>
            <w:tcW w:w="837" w:type="pct"/>
            <w:vAlign w:val="center"/>
          </w:tcPr>
          <w:p w14:paraId="330C6E70" w14:textId="15BF5843" w:rsidR="000250EF" w:rsidRDefault="000250EF" w:rsidP="00A77ABE">
            <w:pPr>
              <w:pStyle w:val="TableText0"/>
              <w:keepLines/>
              <w:widowControl w:val="0"/>
              <w:jc w:val="center"/>
            </w:pPr>
            <w:r>
              <w:t>-</w:t>
            </w:r>
            <w:r w:rsidRPr="005E6CBC">
              <w:t>$</w:t>
            </w:r>
            <w:r w:rsidR="006A414A" w:rsidRPr="006A414A">
              <w:rPr>
                <w:color w:val="000000"/>
                <w:shd w:val="solid" w:color="000000" w:fill="000000"/>
                <w14:textFill>
                  <w14:solidFill>
                    <w14:srgbClr w14:val="000000">
                      <w14:alpha w14:val="100000"/>
                    </w14:srgbClr>
                  </w14:solidFill>
                </w14:textFill>
              </w:rPr>
              <w:t>|</w:t>
            </w:r>
          </w:p>
        </w:tc>
      </w:tr>
      <w:tr w:rsidR="000250EF" w:rsidRPr="00E2771E" w14:paraId="18D89A88" w14:textId="77777777" w:rsidTr="009A477A">
        <w:tc>
          <w:tcPr>
            <w:tcW w:w="1146" w:type="pct"/>
            <w:vAlign w:val="center"/>
          </w:tcPr>
          <w:p w14:paraId="2AA7D5BB" w14:textId="37C71607" w:rsidR="000250EF" w:rsidRPr="00E2771E" w:rsidRDefault="00C5282A" w:rsidP="00A77ABE">
            <w:pPr>
              <w:pStyle w:val="TableText0"/>
              <w:keepLines/>
              <w:widowControl w:val="0"/>
              <w:rPr>
                <w:rFonts w:ascii="Times" w:hAnsi="Times"/>
              </w:rPr>
            </w:pPr>
            <w:r>
              <w:t>Years of life lived</w:t>
            </w:r>
          </w:p>
        </w:tc>
        <w:tc>
          <w:tcPr>
            <w:tcW w:w="816" w:type="pct"/>
            <w:vAlign w:val="center"/>
          </w:tcPr>
          <w:p w14:paraId="03BF3563" w14:textId="77777777" w:rsidR="000250EF" w:rsidRPr="005E6CBC" w:rsidRDefault="000250EF" w:rsidP="00A77ABE">
            <w:pPr>
              <w:pStyle w:val="TableText0"/>
              <w:keepLines/>
              <w:widowControl w:val="0"/>
              <w:jc w:val="center"/>
              <w:rPr>
                <w:rFonts w:ascii="Times" w:hAnsi="Times"/>
              </w:rPr>
            </w:pPr>
            <w:r>
              <w:t xml:space="preserve">8,165 </w:t>
            </w:r>
          </w:p>
        </w:tc>
        <w:tc>
          <w:tcPr>
            <w:tcW w:w="629" w:type="pct"/>
            <w:vAlign w:val="center"/>
          </w:tcPr>
          <w:p w14:paraId="596FD142" w14:textId="77777777" w:rsidR="000250EF" w:rsidRPr="005E6CBC" w:rsidRDefault="000250EF" w:rsidP="00A77ABE">
            <w:pPr>
              <w:pStyle w:val="TableText0"/>
              <w:keepLines/>
              <w:widowControl w:val="0"/>
              <w:jc w:val="center"/>
              <w:rPr>
                <w:rFonts w:ascii="Times" w:hAnsi="Times"/>
              </w:rPr>
            </w:pPr>
            <w:r>
              <w:t xml:space="preserve">8,162 </w:t>
            </w:r>
          </w:p>
        </w:tc>
        <w:tc>
          <w:tcPr>
            <w:tcW w:w="866" w:type="pct"/>
            <w:vAlign w:val="center"/>
          </w:tcPr>
          <w:p w14:paraId="31BBB6F5" w14:textId="77777777" w:rsidR="000250EF" w:rsidRPr="005E6CBC" w:rsidRDefault="000250EF" w:rsidP="00A77ABE">
            <w:pPr>
              <w:pStyle w:val="TableText0"/>
              <w:keepLines/>
              <w:widowControl w:val="0"/>
              <w:jc w:val="center"/>
            </w:pPr>
            <w:r>
              <w:t xml:space="preserve">2.45 </w:t>
            </w:r>
          </w:p>
        </w:tc>
        <w:tc>
          <w:tcPr>
            <w:tcW w:w="706" w:type="pct"/>
            <w:vAlign w:val="center"/>
          </w:tcPr>
          <w:p w14:paraId="096690A7" w14:textId="77777777" w:rsidR="000250EF" w:rsidRDefault="000250EF" w:rsidP="00A77ABE">
            <w:pPr>
              <w:pStyle w:val="TableText0"/>
              <w:keepLines/>
              <w:widowControl w:val="0"/>
              <w:jc w:val="center"/>
            </w:pPr>
            <w:r>
              <w:t>8,164</w:t>
            </w:r>
          </w:p>
        </w:tc>
        <w:tc>
          <w:tcPr>
            <w:tcW w:w="837" w:type="pct"/>
            <w:vAlign w:val="center"/>
          </w:tcPr>
          <w:p w14:paraId="3EC7FA42" w14:textId="77777777" w:rsidR="000250EF" w:rsidRDefault="000250EF" w:rsidP="00A77ABE">
            <w:pPr>
              <w:pStyle w:val="TableText0"/>
              <w:keepLines/>
              <w:widowControl w:val="0"/>
              <w:jc w:val="center"/>
            </w:pPr>
            <w:r>
              <w:t xml:space="preserve">1.05 </w:t>
            </w:r>
          </w:p>
        </w:tc>
      </w:tr>
      <w:tr w:rsidR="000250EF" w:rsidRPr="00E2771E" w14:paraId="29A3F51E" w14:textId="77777777" w:rsidTr="009A477A">
        <w:tc>
          <w:tcPr>
            <w:tcW w:w="2591" w:type="pct"/>
            <w:gridSpan w:val="3"/>
            <w:vAlign w:val="center"/>
          </w:tcPr>
          <w:p w14:paraId="48AD241B" w14:textId="2D0BB59B" w:rsidR="000250EF" w:rsidRDefault="000250EF" w:rsidP="00A77ABE">
            <w:pPr>
              <w:pStyle w:val="TableText0"/>
              <w:keepLines/>
              <w:widowControl w:val="0"/>
            </w:pPr>
            <w:r w:rsidRPr="0038643A">
              <w:t xml:space="preserve">Incremental cost/extra </w:t>
            </w:r>
            <w:r w:rsidR="00C5282A">
              <w:t>year of life lived</w:t>
            </w:r>
          </w:p>
        </w:tc>
        <w:tc>
          <w:tcPr>
            <w:tcW w:w="866" w:type="pct"/>
            <w:vAlign w:val="center"/>
          </w:tcPr>
          <w:p w14:paraId="354EEB56" w14:textId="39C58450" w:rsidR="000250EF" w:rsidRPr="0017012A" w:rsidRDefault="00E343DA" w:rsidP="00A77ABE">
            <w:pPr>
              <w:pStyle w:val="TableText0"/>
              <w:keepLines/>
              <w:widowControl w:val="0"/>
              <w:jc w:val="center"/>
              <w:rPr>
                <w:bCs w:val="0"/>
              </w:rPr>
            </w:pPr>
            <w:r w:rsidRPr="0017012A">
              <w:rPr>
                <w:bCs w:val="0"/>
              </w:rPr>
              <w:t>Dominant</w:t>
            </w:r>
          </w:p>
        </w:tc>
        <w:tc>
          <w:tcPr>
            <w:tcW w:w="706" w:type="pct"/>
          </w:tcPr>
          <w:p w14:paraId="2FA71FAE" w14:textId="77777777" w:rsidR="000250EF" w:rsidRPr="0017012A" w:rsidRDefault="000250EF" w:rsidP="00A77ABE">
            <w:pPr>
              <w:pStyle w:val="TableText0"/>
              <w:keepLines/>
              <w:widowControl w:val="0"/>
              <w:jc w:val="center"/>
              <w:rPr>
                <w:bCs w:val="0"/>
              </w:rPr>
            </w:pPr>
          </w:p>
        </w:tc>
        <w:tc>
          <w:tcPr>
            <w:tcW w:w="837" w:type="pct"/>
          </w:tcPr>
          <w:p w14:paraId="39771D18" w14:textId="2AC8973C" w:rsidR="000250EF" w:rsidRPr="0017012A" w:rsidRDefault="00E343DA" w:rsidP="00A77ABE">
            <w:pPr>
              <w:pStyle w:val="TableText0"/>
              <w:keepLines/>
              <w:widowControl w:val="0"/>
              <w:jc w:val="center"/>
              <w:rPr>
                <w:bCs w:val="0"/>
              </w:rPr>
            </w:pPr>
            <w:r w:rsidRPr="0017012A">
              <w:rPr>
                <w:bCs w:val="0"/>
              </w:rPr>
              <w:t>Dominant</w:t>
            </w:r>
          </w:p>
        </w:tc>
      </w:tr>
      <w:tr w:rsidR="000250EF" w:rsidRPr="00E2771E" w14:paraId="5640E536" w14:textId="77777777" w:rsidTr="009A477A">
        <w:tc>
          <w:tcPr>
            <w:tcW w:w="1146" w:type="pct"/>
            <w:vAlign w:val="center"/>
          </w:tcPr>
          <w:p w14:paraId="11FF39BF" w14:textId="77777777" w:rsidR="000250EF" w:rsidRDefault="000250EF" w:rsidP="00A77ABE">
            <w:pPr>
              <w:pStyle w:val="TableText0"/>
              <w:keepLines/>
              <w:widowControl w:val="0"/>
            </w:pPr>
            <w:r>
              <w:t>QALY</w:t>
            </w:r>
          </w:p>
        </w:tc>
        <w:tc>
          <w:tcPr>
            <w:tcW w:w="816" w:type="pct"/>
            <w:vAlign w:val="center"/>
          </w:tcPr>
          <w:p w14:paraId="0757108F" w14:textId="77777777" w:rsidR="000250EF" w:rsidRDefault="000250EF" w:rsidP="00A77ABE">
            <w:pPr>
              <w:pStyle w:val="TableText0"/>
              <w:keepLines/>
              <w:widowControl w:val="0"/>
              <w:jc w:val="center"/>
            </w:pPr>
            <w:r>
              <w:t xml:space="preserve">6,534 </w:t>
            </w:r>
          </w:p>
        </w:tc>
        <w:tc>
          <w:tcPr>
            <w:tcW w:w="629" w:type="pct"/>
            <w:vAlign w:val="center"/>
          </w:tcPr>
          <w:p w14:paraId="3222EBF5" w14:textId="77777777" w:rsidR="000250EF" w:rsidRDefault="000250EF" w:rsidP="00A77ABE">
            <w:pPr>
              <w:pStyle w:val="TableText0"/>
              <w:keepLines/>
              <w:widowControl w:val="0"/>
              <w:jc w:val="center"/>
            </w:pPr>
            <w:r>
              <w:t xml:space="preserve">6,532 </w:t>
            </w:r>
          </w:p>
        </w:tc>
        <w:tc>
          <w:tcPr>
            <w:tcW w:w="866" w:type="pct"/>
            <w:vAlign w:val="center"/>
          </w:tcPr>
          <w:p w14:paraId="00C2DDB7" w14:textId="77777777" w:rsidR="000250EF" w:rsidRPr="0017012A" w:rsidRDefault="000250EF" w:rsidP="00A77ABE">
            <w:pPr>
              <w:pStyle w:val="TableText0"/>
              <w:keepLines/>
              <w:widowControl w:val="0"/>
              <w:jc w:val="center"/>
              <w:rPr>
                <w:bCs w:val="0"/>
              </w:rPr>
            </w:pPr>
            <w:r w:rsidRPr="0017012A">
              <w:rPr>
                <w:bCs w:val="0"/>
              </w:rPr>
              <w:t xml:space="preserve">1.91 </w:t>
            </w:r>
          </w:p>
        </w:tc>
        <w:tc>
          <w:tcPr>
            <w:tcW w:w="706" w:type="pct"/>
            <w:vAlign w:val="center"/>
          </w:tcPr>
          <w:p w14:paraId="4EC06270" w14:textId="77777777" w:rsidR="000250EF" w:rsidRPr="0017012A" w:rsidRDefault="000250EF" w:rsidP="00A77ABE">
            <w:pPr>
              <w:pStyle w:val="TableText0"/>
              <w:keepLines/>
              <w:widowControl w:val="0"/>
              <w:jc w:val="center"/>
              <w:rPr>
                <w:bCs w:val="0"/>
              </w:rPr>
            </w:pPr>
            <w:r w:rsidRPr="0017012A">
              <w:rPr>
                <w:bCs w:val="0"/>
              </w:rPr>
              <w:t>6,533</w:t>
            </w:r>
          </w:p>
        </w:tc>
        <w:tc>
          <w:tcPr>
            <w:tcW w:w="837" w:type="pct"/>
            <w:vAlign w:val="center"/>
          </w:tcPr>
          <w:p w14:paraId="458D3BEE" w14:textId="77777777" w:rsidR="000250EF" w:rsidRPr="0017012A" w:rsidRDefault="000250EF" w:rsidP="00A77ABE">
            <w:pPr>
              <w:pStyle w:val="TableText0"/>
              <w:keepLines/>
              <w:widowControl w:val="0"/>
              <w:jc w:val="center"/>
              <w:rPr>
                <w:bCs w:val="0"/>
              </w:rPr>
            </w:pPr>
            <w:r w:rsidRPr="0017012A">
              <w:rPr>
                <w:bCs w:val="0"/>
              </w:rPr>
              <w:t xml:space="preserve">0.82 </w:t>
            </w:r>
          </w:p>
        </w:tc>
      </w:tr>
      <w:tr w:rsidR="000250EF" w:rsidRPr="00E2771E" w14:paraId="2A669CF5" w14:textId="77777777" w:rsidTr="009A477A">
        <w:tc>
          <w:tcPr>
            <w:tcW w:w="2591" w:type="pct"/>
            <w:gridSpan w:val="3"/>
            <w:vAlign w:val="center"/>
          </w:tcPr>
          <w:p w14:paraId="12A63AF6" w14:textId="77777777" w:rsidR="000250EF" w:rsidRDefault="000250EF" w:rsidP="00A77ABE">
            <w:pPr>
              <w:pStyle w:val="TableText0"/>
              <w:keepLines/>
              <w:widowControl w:val="0"/>
            </w:pPr>
            <w:r w:rsidRPr="0038643A">
              <w:t>Incremental cost/extra QALY gained</w:t>
            </w:r>
          </w:p>
        </w:tc>
        <w:tc>
          <w:tcPr>
            <w:tcW w:w="866" w:type="pct"/>
            <w:vAlign w:val="center"/>
          </w:tcPr>
          <w:p w14:paraId="0E30A9E4" w14:textId="0803441B" w:rsidR="000250EF" w:rsidRPr="0017012A" w:rsidRDefault="00E343DA" w:rsidP="00A77ABE">
            <w:pPr>
              <w:pStyle w:val="TableText0"/>
              <w:keepLines/>
              <w:widowControl w:val="0"/>
              <w:jc w:val="center"/>
              <w:rPr>
                <w:bCs w:val="0"/>
              </w:rPr>
            </w:pPr>
            <w:r w:rsidRPr="0017012A">
              <w:rPr>
                <w:bCs w:val="0"/>
              </w:rPr>
              <w:t>Dominant</w:t>
            </w:r>
          </w:p>
        </w:tc>
        <w:tc>
          <w:tcPr>
            <w:tcW w:w="706" w:type="pct"/>
          </w:tcPr>
          <w:p w14:paraId="7BF23DFB" w14:textId="77777777" w:rsidR="000250EF" w:rsidRPr="0017012A" w:rsidRDefault="000250EF" w:rsidP="00A77ABE">
            <w:pPr>
              <w:pStyle w:val="TableText0"/>
              <w:keepLines/>
              <w:widowControl w:val="0"/>
              <w:jc w:val="center"/>
              <w:rPr>
                <w:bCs w:val="0"/>
              </w:rPr>
            </w:pPr>
          </w:p>
        </w:tc>
        <w:tc>
          <w:tcPr>
            <w:tcW w:w="837" w:type="pct"/>
            <w:vAlign w:val="center"/>
          </w:tcPr>
          <w:p w14:paraId="1740C231" w14:textId="0828C6B1" w:rsidR="000250EF" w:rsidRPr="0017012A" w:rsidRDefault="00E343DA" w:rsidP="00A77ABE">
            <w:pPr>
              <w:pStyle w:val="TableText0"/>
              <w:keepLines/>
              <w:widowControl w:val="0"/>
              <w:jc w:val="center"/>
              <w:rPr>
                <w:bCs w:val="0"/>
              </w:rPr>
            </w:pPr>
            <w:r w:rsidRPr="0017012A">
              <w:rPr>
                <w:bCs w:val="0"/>
              </w:rPr>
              <w:t>Dominant</w:t>
            </w:r>
          </w:p>
        </w:tc>
      </w:tr>
      <w:tr w:rsidR="000250EF" w:rsidRPr="00E2771E" w14:paraId="429C5212" w14:textId="77777777" w:rsidTr="009A477A">
        <w:tc>
          <w:tcPr>
            <w:tcW w:w="5000" w:type="pct"/>
            <w:gridSpan w:val="6"/>
            <w:vAlign w:val="center"/>
          </w:tcPr>
          <w:p w14:paraId="3DA01D99" w14:textId="77777777" w:rsidR="000250EF" w:rsidRDefault="000250EF" w:rsidP="00A77ABE">
            <w:pPr>
              <w:pStyle w:val="TableText0"/>
              <w:keepLines/>
              <w:widowControl w:val="0"/>
              <w:rPr>
                <w:b/>
                <w:bCs w:val="0"/>
              </w:rPr>
            </w:pPr>
            <w:r>
              <w:rPr>
                <w:b/>
                <w:bCs w:val="0"/>
              </w:rPr>
              <w:t>Indigenous adults aged ≥ 50 years</w:t>
            </w:r>
          </w:p>
        </w:tc>
      </w:tr>
      <w:tr w:rsidR="000250EF" w:rsidRPr="00E2771E" w14:paraId="777124D2" w14:textId="77777777" w:rsidTr="009A477A">
        <w:tc>
          <w:tcPr>
            <w:tcW w:w="1146" w:type="pct"/>
            <w:vAlign w:val="center"/>
          </w:tcPr>
          <w:p w14:paraId="02054E11" w14:textId="77777777" w:rsidR="000250EF" w:rsidRDefault="000250EF" w:rsidP="00A77ABE">
            <w:pPr>
              <w:pStyle w:val="TableText0"/>
              <w:keepLines/>
              <w:widowControl w:val="0"/>
            </w:pPr>
            <w:r w:rsidRPr="00E2771E">
              <w:t>Costs</w:t>
            </w:r>
          </w:p>
        </w:tc>
        <w:tc>
          <w:tcPr>
            <w:tcW w:w="816" w:type="pct"/>
            <w:vAlign w:val="center"/>
          </w:tcPr>
          <w:p w14:paraId="20908744" w14:textId="477ECF5A" w:rsidR="000250EF" w:rsidRDefault="000250EF" w:rsidP="00A77ABE">
            <w:pPr>
              <w:pStyle w:val="TableText0"/>
              <w:keepLines/>
              <w:widowControl w:val="0"/>
              <w:jc w:val="center"/>
            </w:pPr>
            <w:r>
              <w:t>$</w:t>
            </w:r>
            <w:r w:rsidR="006A414A" w:rsidRPr="006A414A">
              <w:rPr>
                <w:color w:val="000000"/>
                <w:shd w:val="solid" w:color="000000" w:fill="000000"/>
                <w14:textFill>
                  <w14:solidFill>
                    <w14:srgbClr w14:val="000000">
                      <w14:alpha w14:val="100000"/>
                    </w14:srgbClr>
                  </w14:solidFill>
                </w14:textFill>
              </w:rPr>
              <w:t>|</w:t>
            </w:r>
            <w:r>
              <w:t xml:space="preserve"> </w:t>
            </w:r>
          </w:p>
        </w:tc>
        <w:tc>
          <w:tcPr>
            <w:tcW w:w="629" w:type="pct"/>
            <w:vAlign w:val="center"/>
          </w:tcPr>
          <w:p w14:paraId="63A2122C" w14:textId="1B2725B7" w:rsidR="000250EF" w:rsidRDefault="000250EF" w:rsidP="00A77ABE">
            <w:pPr>
              <w:pStyle w:val="TableText0"/>
              <w:keepLines/>
              <w:widowControl w:val="0"/>
              <w:jc w:val="center"/>
            </w:pPr>
            <w:r w:rsidRPr="00522119">
              <w:t>$</w:t>
            </w:r>
            <w:r w:rsidR="006A414A" w:rsidRPr="006A414A">
              <w:rPr>
                <w:rFonts w:hint="eastAsia"/>
                <w:color w:val="000000"/>
                <w:w w:val="22"/>
                <w:shd w:val="solid" w:color="000000" w:fill="000000"/>
                <w:fitText w:val="101" w:id="-1303201010"/>
                <w14:textFill>
                  <w14:solidFill>
                    <w14:srgbClr w14:val="000000">
                      <w14:alpha w14:val="100000"/>
                    </w14:srgbClr>
                  </w14:solidFill>
                </w14:textFill>
              </w:rPr>
              <w:t xml:space="preserve">　</w:t>
            </w:r>
            <w:r w:rsidR="006A414A" w:rsidRPr="006A414A">
              <w:rPr>
                <w:color w:val="000000"/>
                <w:w w:val="22"/>
                <w:shd w:val="solid" w:color="000000" w:fill="000000"/>
                <w:fitText w:val="101" w:id="-1303201010"/>
                <w14:textFill>
                  <w14:solidFill>
                    <w14:srgbClr w14:val="000000">
                      <w14:alpha w14:val="100000"/>
                    </w14:srgbClr>
                  </w14:solidFill>
                </w14:textFill>
              </w:rPr>
              <w:t>|</w:t>
            </w:r>
            <w:r w:rsidR="006A414A" w:rsidRPr="006A414A">
              <w:rPr>
                <w:rFonts w:hint="eastAsia"/>
                <w:color w:val="000000"/>
                <w:spacing w:val="3"/>
                <w:w w:val="22"/>
                <w:shd w:val="solid" w:color="000000" w:fill="000000"/>
                <w:fitText w:val="101" w:id="-1303201010"/>
                <w14:textFill>
                  <w14:solidFill>
                    <w14:srgbClr w14:val="000000">
                      <w14:alpha w14:val="100000"/>
                    </w14:srgbClr>
                  </w14:solidFill>
                </w14:textFill>
              </w:rPr>
              <w:t xml:space="preserve">　</w:t>
            </w:r>
          </w:p>
        </w:tc>
        <w:tc>
          <w:tcPr>
            <w:tcW w:w="866" w:type="pct"/>
            <w:vAlign w:val="center"/>
          </w:tcPr>
          <w:p w14:paraId="5BA003FD" w14:textId="0CCDE279" w:rsidR="000250EF" w:rsidRDefault="000250EF" w:rsidP="00A77ABE">
            <w:pPr>
              <w:pStyle w:val="TableText0"/>
              <w:keepLines/>
              <w:widowControl w:val="0"/>
              <w:jc w:val="center"/>
            </w:pPr>
            <w:r>
              <w:t>-$</w:t>
            </w:r>
            <w:r w:rsidR="006A414A" w:rsidRPr="006A414A">
              <w:rPr>
                <w:color w:val="000000"/>
                <w:shd w:val="solid" w:color="000000" w:fill="000000"/>
                <w14:textFill>
                  <w14:solidFill>
                    <w14:srgbClr w14:val="000000">
                      <w14:alpha w14:val="100000"/>
                    </w14:srgbClr>
                  </w14:solidFill>
                </w14:textFill>
              </w:rPr>
              <w:t>|</w:t>
            </w:r>
            <w:r>
              <w:t xml:space="preserve"> </w:t>
            </w:r>
          </w:p>
        </w:tc>
        <w:tc>
          <w:tcPr>
            <w:tcW w:w="706" w:type="pct"/>
            <w:vAlign w:val="center"/>
          </w:tcPr>
          <w:p w14:paraId="24C5F13B" w14:textId="364E7E4C" w:rsidR="000250EF" w:rsidRDefault="000250EF" w:rsidP="00A77ABE">
            <w:pPr>
              <w:pStyle w:val="TableText0"/>
              <w:keepLines/>
              <w:widowControl w:val="0"/>
              <w:jc w:val="center"/>
            </w:pPr>
            <w:r w:rsidRPr="00522119">
              <w:t>$</w:t>
            </w:r>
            <w:r w:rsidR="006A414A" w:rsidRPr="00137984">
              <w:rPr>
                <w:rFonts w:hint="eastAsia"/>
                <w:color w:val="000000"/>
                <w:w w:val="15"/>
                <w:shd w:val="solid" w:color="000000" w:fill="000000"/>
                <w:fitText w:val="25" w:id="-1303201009"/>
                <w14:textFill>
                  <w14:solidFill>
                    <w14:srgbClr w14:val="000000">
                      <w14:alpha w14:val="100000"/>
                    </w14:srgbClr>
                  </w14:solidFill>
                </w14:textFill>
              </w:rPr>
              <w:t xml:space="preserve">　</w:t>
            </w:r>
            <w:r w:rsidR="006A414A" w:rsidRPr="00137984">
              <w:rPr>
                <w:color w:val="000000"/>
                <w:w w:val="15"/>
                <w:shd w:val="solid" w:color="000000" w:fill="000000"/>
                <w:fitText w:val="25" w:id="-1303201009"/>
                <w14:textFill>
                  <w14:solidFill>
                    <w14:srgbClr w14:val="000000">
                      <w14:alpha w14:val="100000"/>
                    </w14:srgbClr>
                  </w14:solidFill>
                </w14:textFill>
              </w:rPr>
              <w:t>|</w:t>
            </w:r>
            <w:r w:rsidR="006A414A" w:rsidRPr="00137984">
              <w:rPr>
                <w:rFonts w:hint="eastAsia"/>
                <w:color w:val="000000"/>
                <w:spacing w:val="-41"/>
                <w:w w:val="15"/>
                <w:shd w:val="solid" w:color="000000" w:fill="000000"/>
                <w:fitText w:val="25" w:id="-1303201009"/>
                <w14:textFill>
                  <w14:solidFill>
                    <w14:srgbClr w14:val="000000">
                      <w14:alpha w14:val="100000"/>
                    </w14:srgbClr>
                  </w14:solidFill>
                </w14:textFill>
              </w:rPr>
              <w:t xml:space="preserve">　</w:t>
            </w:r>
          </w:p>
        </w:tc>
        <w:tc>
          <w:tcPr>
            <w:tcW w:w="837" w:type="pct"/>
            <w:vAlign w:val="center"/>
          </w:tcPr>
          <w:p w14:paraId="58C4229F" w14:textId="73437390" w:rsidR="000250EF" w:rsidRDefault="000250EF" w:rsidP="00A77ABE">
            <w:pPr>
              <w:pStyle w:val="TableText0"/>
              <w:keepLines/>
              <w:widowControl w:val="0"/>
              <w:jc w:val="center"/>
            </w:pPr>
            <w:r>
              <w:t>-$</w:t>
            </w:r>
            <w:r w:rsidR="006A414A" w:rsidRPr="006A414A">
              <w:rPr>
                <w:color w:val="000000"/>
                <w:shd w:val="solid" w:color="000000" w:fill="000000"/>
                <w14:textFill>
                  <w14:solidFill>
                    <w14:srgbClr w14:val="000000">
                      <w14:alpha w14:val="100000"/>
                    </w14:srgbClr>
                  </w14:solidFill>
                </w14:textFill>
              </w:rPr>
              <w:t>|</w:t>
            </w:r>
            <w:r>
              <w:t xml:space="preserve"> </w:t>
            </w:r>
          </w:p>
        </w:tc>
      </w:tr>
      <w:tr w:rsidR="000250EF" w:rsidRPr="00E2771E" w14:paraId="46B62CF1" w14:textId="77777777" w:rsidTr="009A477A">
        <w:tc>
          <w:tcPr>
            <w:tcW w:w="1146" w:type="pct"/>
            <w:vAlign w:val="center"/>
          </w:tcPr>
          <w:p w14:paraId="4A9E7E2E" w14:textId="3542CF28" w:rsidR="000250EF" w:rsidRDefault="00C5282A" w:rsidP="00A77ABE">
            <w:pPr>
              <w:pStyle w:val="TableText0"/>
              <w:keepLines/>
              <w:widowControl w:val="0"/>
            </w:pPr>
            <w:r>
              <w:t>Years of life lived</w:t>
            </w:r>
          </w:p>
        </w:tc>
        <w:tc>
          <w:tcPr>
            <w:tcW w:w="816" w:type="pct"/>
            <w:vAlign w:val="center"/>
          </w:tcPr>
          <w:p w14:paraId="3D5B8826" w14:textId="77777777" w:rsidR="000250EF" w:rsidRDefault="000250EF" w:rsidP="00A77ABE">
            <w:pPr>
              <w:pStyle w:val="TableText0"/>
              <w:keepLines/>
              <w:widowControl w:val="0"/>
              <w:jc w:val="center"/>
            </w:pPr>
            <w:r>
              <w:t xml:space="preserve">12,391 </w:t>
            </w:r>
          </w:p>
        </w:tc>
        <w:tc>
          <w:tcPr>
            <w:tcW w:w="629" w:type="pct"/>
            <w:vAlign w:val="center"/>
          </w:tcPr>
          <w:p w14:paraId="7B82E0AF" w14:textId="77777777" w:rsidR="000250EF" w:rsidRDefault="000250EF" w:rsidP="00A77ABE">
            <w:pPr>
              <w:pStyle w:val="TableText0"/>
              <w:keepLines/>
              <w:widowControl w:val="0"/>
              <w:jc w:val="center"/>
            </w:pPr>
            <w:r>
              <w:t xml:space="preserve">12,387 </w:t>
            </w:r>
          </w:p>
        </w:tc>
        <w:tc>
          <w:tcPr>
            <w:tcW w:w="866" w:type="pct"/>
            <w:vAlign w:val="center"/>
          </w:tcPr>
          <w:p w14:paraId="66F29355" w14:textId="77777777" w:rsidR="000250EF" w:rsidRDefault="000250EF" w:rsidP="00A77ABE">
            <w:pPr>
              <w:pStyle w:val="TableText0"/>
              <w:keepLines/>
              <w:widowControl w:val="0"/>
              <w:jc w:val="center"/>
            </w:pPr>
            <w:r>
              <w:t xml:space="preserve">3.89 </w:t>
            </w:r>
          </w:p>
        </w:tc>
        <w:tc>
          <w:tcPr>
            <w:tcW w:w="706" w:type="pct"/>
            <w:vAlign w:val="center"/>
          </w:tcPr>
          <w:p w14:paraId="030B042A" w14:textId="77777777" w:rsidR="000250EF" w:rsidRDefault="000250EF" w:rsidP="00A77ABE">
            <w:pPr>
              <w:pStyle w:val="TableText0"/>
              <w:keepLines/>
              <w:widowControl w:val="0"/>
              <w:jc w:val="center"/>
            </w:pPr>
            <w:r>
              <w:t xml:space="preserve">12,389 </w:t>
            </w:r>
          </w:p>
        </w:tc>
        <w:tc>
          <w:tcPr>
            <w:tcW w:w="837" w:type="pct"/>
            <w:vAlign w:val="center"/>
          </w:tcPr>
          <w:p w14:paraId="58AB8264" w14:textId="77777777" w:rsidR="000250EF" w:rsidRDefault="000250EF" w:rsidP="00A77ABE">
            <w:pPr>
              <w:pStyle w:val="TableText0"/>
              <w:keepLines/>
              <w:widowControl w:val="0"/>
              <w:jc w:val="center"/>
            </w:pPr>
            <w:r>
              <w:t xml:space="preserve">2.46 </w:t>
            </w:r>
          </w:p>
        </w:tc>
      </w:tr>
      <w:tr w:rsidR="000250EF" w:rsidRPr="00E2771E" w14:paraId="7C492351" w14:textId="77777777" w:rsidTr="009A477A">
        <w:tc>
          <w:tcPr>
            <w:tcW w:w="2591" w:type="pct"/>
            <w:gridSpan w:val="3"/>
            <w:vAlign w:val="center"/>
          </w:tcPr>
          <w:p w14:paraId="55E6F8A2" w14:textId="5F11EED2" w:rsidR="000250EF" w:rsidRDefault="000250EF" w:rsidP="00A77ABE">
            <w:pPr>
              <w:pStyle w:val="TableText0"/>
              <w:keepLines/>
              <w:widowControl w:val="0"/>
            </w:pPr>
            <w:r w:rsidRPr="0038643A">
              <w:t xml:space="preserve">Incremental cost/extra </w:t>
            </w:r>
            <w:r w:rsidR="00C5282A">
              <w:t>year of life lived</w:t>
            </w:r>
          </w:p>
        </w:tc>
        <w:tc>
          <w:tcPr>
            <w:tcW w:w="866" w:type="pct"/>
            <w:vAlign w:val="center"/>
          </w:tcPr>
          <w:p w14:paraId="18DD4BF3" w14:textId="5C17CB85" w:rsidR="000250EF" w:rsidRPr="0017012A" w:rsidRDefault="00E343DA" w:rsidP="00A77ABE">
            <w:pPr>
              <w:pStyle w:val="TableText0"/>
              <w:keepLines/>
              <w:widowControl w:val="0"/>
              <w:jc w:val="center"/>
              <w:rPr>
                <w:bCs w:val="0"/>
              </w:rPr>
            </w:pPr>
            <w:r w:rsidRPr="0017012A">
              <w:rPr>
                <w:bCs w:val="0"/>
              </w:rPr>
              <w:t>Dominant</w:t>
            </w:r>
          </w:p>
        </w:tc>
        <w:tc>
          <w:tcPr>
            <w:tcW w:w="706" w:type="pct"/>
            <w:vAlign w:val="center"/>
          </w:tcPr>
          <w:p w14:paraId="7CB76EBC" w14:textId="77777777" w:rsidR="000250EF" w:rsidRPr="0017012A" w:rsidRDefault="000250EF" w:rsidP="00A77ABE">
            <w:pPr>
              <w:pStyle w:val="TableText0"/>
              <w:keepLines/>
              <w:widowControl w:val="0"/>
              <w:jc w:val="center"/>
              <w:rPr>
                <w:bCs w:val="0"/>
              </w:rPr>
            </w:pPr>
          </w:p>
        </w:tc>
        <w:tc>
          <w:tcPr>
            <w:tcW w:w="837" w:type="pct"/>
            <w:vAlign w:val="center"/>
          </w:tcPr>
          <w:p w14:paraId="24200AC0" w14:textId="27C5EEC4" w:rsidR="000250EF" w:rsidRPr="0017012A" w:rsidRDefault="00E343DA" w:rsidP="00A77ABE">
            <w:pPr>
              <w:pStyle w:val="TableText0"/>
              <w:keepLines/>
              <w:widowControl w:val="0"/>
              <w:jc w:val="center"/>
              <w:rPr>
                <w:bCs w:val="0"/>
              </w:rPr>
            </w:pPr>
            <w:r w:rsidRPr="0017012A">
              <w:rPr>
                <w:bCs w:val="0"/>
              </w:rPr>
              <w:t>Dominant</w:t>
            </w:r>
          </w:p>
        </w:tc>
      </w:tr>
      <w:tr w:rsidR="000250EF" w:rsidRPr="00E2771E" w14:paraId="2C063290" w14:textId="77777777" w:rsidTr="009A477A">
        <w:tc>
          <w:tcPr>
            <w:tcW w:w="1146" w:type="pct"/>
            <w:vAlign w:val="center"/>
          </w:tcPr>
          <w:p w14:paraId="1CDCC3C7" w14:textId="77777777" w:rsidR="000250EF" w:rsidRDefault="000250EF" w:rsidP="00A77ABE">
            <w:pPr>
              <w:pStyle w:val="TableText0"/>
              <w:keepLines/>
              <w:widowControl w:val="0"/>
            </w:pPr>
            <w:r>
              <w:t>QALY</w:t>
            </w:r>
          </w:p>
        </w:tc>
        <w:tc>
          <w:tcPr>
            <w:tcW w:w="816" w:type="pct"/>
            <w:vAlign w:val="center"/>
          </w:tcPr>
          <w:p w14:paraId="5C4F6BC1" w14:textId="77777777" w:rsidR="000250EF" w:rsidRDefault="000250EF" w:rsidP="00A77ABE">
            <w:pPr>
              <w:pStyle w:val="TableText0"/>
              <w:keepLines/>
              <w:widowControl w:val="0"/>
              <w:jc w:val="center"/>
            </w:pPr>
            <w:r>
              <w:t xml:space="preserve">10,636 </w:t>
            </w:r>
          </w:p>
        </w:tc>
        <w:tc>
          <w:tcPr>
            <w:tcW w:w="629" w:type="pct"/>
            <w:vAlign w:val="center"/>
          </w:tcPr>
          <w:p w14:paraId="6DE5A95F" w14:textId="77777777" w:rsidR="000250EF" w:rsidRDefault="000250EF" w:rsidP="00A77ABE">
            <w:pPr>
              <w:pStyle w:val="TableText0"/>
              <w:keepLines/>
              <w:widowControl w:val="0"/>
              <w:jc w:val="center"/>
            </w:pPr>
            <w:r>
              <w:t xml:space="preserve">10,633 </w:t>
            </w:r>
          </w:p>
        </w:tc>
        <w:tc>
          <w:tcPr>
            <w:tcW w:w="866" w:type="pct"/>
            <w:vAlign w:val="center"/>
          </w:tcPr>
          <w:p w14:paraId="1E9F8EAF" w14:textId="77777777" w:rsidR="000250EF" w:rsidRPr="0017012A" w:rsidRDefault="000250EF" w:rsidP="00A77ABE">
            <w:pPr>
              <w:pStyle w:val="TableText0"/>
              <w:keepLines/>
              <w:widowControl w:val="0"/>
              <w:jc w:val="center"/>
              <w:rPr>
                <w:bCs w:val="0"/>
              </w:rPr>
            </w:pPr>
            <w:r w:rsidRPr="0017012A">
              <w:rPr>
                <w:bCs w:val="0"/>
              </w:rPr>
              <w:t xml:space="preserve">3.18 </w:t>
            </w:r>
          </w:p>
        </w:tc>
        <w:tc>
          <w:tcPr>
            <w:tcW w:w="706" w:type="pct"/>
            <w:vAlign w:val="center"/>
          </w:tcPr>
          <w:p w14:paraId="6A319C13" w14:textId="77777777" w:rsidR="000250EF" w:rsidRPr="0017012A" w:rsidRDefault="000250EF" w:rsidP="00A77ABE">
            <w:pPr>
              <w:pStyle w:val="TableText0"/>
              <w:keepLines/>
              <w:widowControl w:val="0"/>
              <w:jc w:val="center"/>
              <w:rPr>
                <w:bCs w:val="0"/>
              </w:rPr>
            </w:pPr>
            <w:r w:rsidRPr="0017012A">
              <w:rPr>
                <w:bCs w:val="0"/>
              </w:rPr>
              <w:t xml:space="preserve">10,634 </w:t>
            </w:r>
          </w:p>
        </w:tc>
        <w:tc>
          <w:tcPr>
            <w:tcW w:w="837" w:type="pct"/>
            <w:vAlign w:val="center"/>
          </w:tcPr>
          <w:p w14:paraId="0C3D7034" w14:textId="77777777" w:rsidR="000250EF" w:rsidRPr="0017012A" w:rsidRDefault="000250EF" w:rsidP="00A77ABE">
            <w:pPr>
              <w:pStyle w:val="TableText0"/>
              <w:keepLines/>
              <w:widowControl w:val="0"/>
              <w:jc w:val="center"/>
              <w:rPr>
                <w:bCs w:val="0"/>
              </w:rPr>
            </w:pPr>
            <w:r w:rsidRPr="0017012A">
              <w:rPr>
                <w:bCs w:val="0"/>
              </w:rPr>
              <w:t xml:space="preserve">2.02 </w:t>
            </w:r>
          </w:p>
        </w:tc>
      </w:tr>
      <w:tr w:rsidR="000250EF" w:rsidRPr="00E2771E" w14:paraId="61648CC9" w14:textId="77777777" w:rsidTr="009A477A">
        <w:tc>
          <w:tcPr>
            <w:tcW w:w="2591" w:type="pct"/>
            <w:gridSpan w:val="3"/>
            <w:vAlign w:val="center"/>
          </w:tcPr>
          <w:p w14:paraId="04CE9695" w14:textId="77777777" w:rsidR="000250EF" w:rsidRDefault="000250EF" w:rsidP="00A77ABE">
            <w:pPr>
              <w:pStyle w:val="TableText0"/>
              <w:keepLines/>
              <w:widowControl w:val="0"/>
            </w:pPr>
            <w:r w:rsidRPr="0038643A">
              <w:t>Incremental cost/extra QALY gained</w:t>
            </w:r>
            <w:r w:rsidRPr="00CD36E4" w:rsidDel="00CD36E4">
              <w:t xml:space="preserve"> </w:t>
            </w:r>
          </w:p>
        </w:tc>
        <w:tc>
          <w:tcPr>
            <w:tcW w:w="866" w:type="pct"/>
            <w:vAlign w:val="center"/>
          </w:tcPr>
          <w:p w14:paraId="0473848F" w14:textId="26250248" w:rsidR="000250EF" w:rsidRPr="0017012A" w:rsidRDefault="00E343DA" w:rsidP="00A77ABE">
            <w:pPr>
              <w:pStyle w:val="TableText0"/>
              <w:keepLines/>
              <w:widowControl w:val="0"/>
              <w:jc w:val="center"/>
              <w:rPr>
                <w:bCs w:val="0"/>
              </w:rPr>
            </w:pPr>
            <w:r w:rsidRPr="0017012A">
              <w:rPr>
                <w:bCs w:val="0"/>
              </w:rPr>
              <w:t>Dominant</w:t>
            </w:r>
          </w:p>
        </w:tc>
        <w:tc>
          <w:tcPr>
            <w:tcW w:w="706" w:type="pct"/>
            <w:vAlign w:val="center"/>
          </w:tcPr>
          <w:p w14:paraId="5EB11ECA" w14:textId="77777777" w:rsidR="000250EF" w:rsidRPr="0017012A" w:rsidRDefault="000250EF" w:rsidP="00A77ABE">
            <w:pPr>
              <w:pStyle w:val="TableText0"/>
              <w:keepLines/>
              <w:widowControl w:val="0"/>
              <w:jc w:val="center"/>
              <w:rPr>
                <w:bCs w:val="0"/>
              </w:rPr>
            </w:pPr>
          </w:p>
        </w:tc>
        <w:tc>
          <w:tcPr>
            <w:tcW w:w="837" w:type="pct"/>
            <w:vAlign w:val="center"/>
          </w:tcPr>
          <w:p w14:paraId="4BF7181A" w14:textId="33CC87A0" w:rsidR="000250EF" w:rsidRPr="0017012A" w:rsidRDefault="00E343DA" w:rsidP="00A77ABE">
            <w:pPr>
              <w:pStyle w:val="TableText0"/>
              <w:keepLines/>
              <w:widowControl w:val="0"/>
              <w:jc w:val="center"/>
              <w:rPr>
                <w:bCs w:val="0"/>
              </w:rPr>
            </w:pPr>
            <w:r w:rsidRPr="0017012A">
              <w:rPr>
                <w:bCs w:val="0"/>
              </w:rPr>
              <w:t>Dominant</w:t>
            </w:r>
          </w:p>
        </w:tc>
      </w:tr>
      <w:tr w:rsidR="000250EF" w:rsidRPr="00E2771E" w14:paraId="072ED0D0" w14:textId="77777777" w:rsidTr="009A477A">
        <w:tc>
          <w:tcPr>
            <w:tcW w:w="5000" w:type="pct"/>
            <w:gridSpan w:val="6"/>
            <w:vAlign w:val="center"/>
          </w:tcPr>
          <w:p w14:paraId="6979F813" w14:textId="448E1613" w:rsidR="000250EF" w:rsidRPr="004E375B" w:rsidRDefault="000250EF" w:rsidP="00A77ABE">
            <w:pPr>
              <w:pStyle w:val="TableText0"/>
              <w:keepLines/>
              <w:widowControl w:val="0"/>
              <w:rPr>
                <w:b/>
                <w:vertAlign w:val="superscript"/>
              </w:rPr>
            </w:pPr>
            <w:r>
              <w:rPr>
                <w:b/>
                <w:bCs w:val="0"/>
              </w:rPr>
              <w:t xml:space="preserve">At-risk adults aged 18-69 </w:t>
            </w:r>
            <w:proofErr w:type="spellStart"/>
            <w:r>
              <w:rPr>
                <w:b/>
                <w:bCs w:val="0"/>
              </w:rPr>
              <w:t>years</w:t>
            </w:r>
            <w:r w:rsidR="00CD61EA">
              <w:rPr>
                <w:b/>
                <w:bCs w:val="0"/>
                <w:vertAlign w:val="superscript"/>
              </w:rPr>
              <w:t>b</w:t>
            </w:r>
            <w:proofErr w:type="spellEnd"/>
          </w:p>
        </w:tc>
      </w:tr>
      <w:tr w:rsidR="000250EF" w:rsidRPr="004E375B" w14:paraId="6E5007A2" w14:textId="77777777" w:rsidTr="009A477A">
        <w:tc>
          <w:tcPr>
            <w:tcW w:w="1146" w:type="pct"/>
            <w:vAlign w:val="center"/>
          </w:tcPr>
          <w:p w14:paraId="2A0D8239" w14:textId="77777777" w:rsidR="000250EF" w:rsidRPr="004E375B" w:rsidRDefault="000250EF" w:rsidP="00A77ABE">
            <w:pPr>
              <w:pStyle w:val="TableText0"/>
              <w:keepLines/>
              <w:widowControl w:val="0"/>
            </w:pPr>
            <w:r w:rsidRPr="004E375B">
              <w:t>Costs</w:t>
            </w:r>
          </w:p>
        </w:tc>
        <w:tc>
          <w:tcPr>
            <w:tcW w:w="816" w:type="pct"/>
            <w:vAlign w:val="center"/>
          </w:tcPr>
          <w:p w14:paraId="63498332" w14:textId="724DDD07" w:rsidR="000250EF" w:rsidRPr="004E375B" w:rsidRDefault="000250EF" w:rsidP="00A77ABE">
            <w:pPr>
              <w:pStyle w:val="TableText0"/>
              <w:keepLines/>
              <w:widowControl w:val="0"/>
              <w:jc w:val="center"/>
              <w:rPr>
                <w:iCs/>
              </w:rPr>
            </w:pPr>
            <w:r w:rsidRPr="004E375B">
              <w:rPr>
                <w:iCs/>
              </w:rPr>
              <w:t>$</w:t>
            </w:r>
            <w:r w:rsidR="006A414A" w:rsidRPr="006A414A">
              <w:rPr>
                <w:iCs/>
                <w:color w:val="000000"/>
                <w:shd w:val="solid" w:color="000000" w:fill="000000"/>
                <w14:textFill>
                  <w14:solidFill>
                    <w14:srgbClr w14:val="000000">
                      <w14:alpha w14:val="100000"/>
                    </w14:srgbClr>
                  </w14:solidFill>
                </w14:textFill>
              </w:rPr>
              <w:t>|</w:t>
            </w:r>
            <w:r w:rsidRPr="004E375B">
              <w:rPr>
                <w:iCs/>
              </w:rPr>
              <w:t xml:space="preserve"> </w:t>
            </w:r>
          </w:p>
        </w:tc>
        <w:tc>
          <w:tcPr>
            <w:tcW w:w="629" w:type="pct"/>
            <w:vAlign w:val="center"/>
          </w:tcPr>
          <w:p w14:paraId="163B01BD" w14:textId="0E53FD62" w:rsidR="000250EF" w:rsidRPr="004E375B" w:rsidRDefault="000250EF" w:rsidP="00A77ABE">
            <w:pPr>
              <w:pStyle w:val="TableText0"/>
              <w:keepLines/>
              <w:widowControl w:val="0"/>
              <w:jc w:val="center"/>
              <w:rPr>
                <w:iCs/>
              </w:rPr>
            </w:pPr>
            <w:r w:rsidRPr="00522119">
              <w:rPr>
                <w:iCs/>
              </w:rPr>
              <w:t>$</w:t>
            </w:r>
            <w:r w:rsidR="006A414A" w:rsidRPr="006A414A">
              <w:rPr>
                <w:rFonts w:hint="eastAsia"/>
                <w:iCs/>
                <w:color w:val="000000"/>
                <w:w w:val="22"/>
                <w:shd w:val="solid" w:color="000000" w:fill="000000"/>
                <w:fitText w:val="101" w:id="-1303201008"/>
                <w14:textFill>
                  <w14:solidFill>
                    <w14:srgbClr w14:val="000000">
                      <w14:alpha w14:val="100000"/>
                    </w14:srgbClr>
                  </w14:solidFill>
                </w14:textFill>
              </w:rPr>
              <w:t xml:space="preserve">　</w:t>
            </w:r>
            <w:r w:rsidR="006A414A" w:rsidRPr="006A414A">
              <w:rPr>
                <w:iCs/>
                <w:color w:val="000000"/>
                <w:w w:val="22"/>
                <w:shd w:val="solid" w:color="000000" w:fill="000000"/>
                <w:fitText w:val="101" w:id="-1303201008"/>
                <w14:textFill>
                  <w14:solidFill>
                    <w14:srgbClr w14:val="000000">
                      <w14:alpha w14:val="100000"/>
                    </w14:srgbClr>
                  </w14:solidFill>
                </w14:textFill>
              </w:rPr>
              <w:t>|</w:t>
            </w:r>
            <w:r w:rsidR="006A414A" w:rsidRPr="006A414A">
              <w:rPr>
                <w:rFonts w:hint="eastAsia"/>
                <w:iCs/>
                <w:color w:val="000000"/>
                <w:spacing w:val="3"/>
                <w:w w:val="22"/>
                <w:shd w:val="solid" w:color="000000" w:fill="000000"/>
                <w:fitText w:val="101" w:id="-1303201008"/>
                <w14:textFill>
                  <w14:solidFill>
                    <w14:srgbClr w14:val="000000">
                      <w14:alpha w14:val="100000"/>
                    </w14:srgbClr>
                  </w14:solidFill>
                </w14:textFill>
              </w:rPr>
              <w:t xml:space="preserve">　</w:t>
            </w:r>
          </w:p>
        </w:tc>
        <w:tc>
          <w:tcPr>
            <w:tcW w:w="866" w:type="pct"/>
            <w:vAlign w:val="center"/>
          </w:tcPr>
          <w:p w14:paraId="70BE6AB3" w14:textId="5B0EF87D" w:rsidR="000250EF" w:rsidRPr="004E375B" w:rsidRDefault="000250EF" w:rsidP="00A77ABE">
            <w:pPr>
              <w:pStyle w:val="TableText0"/>
              <w:keepLines/>
              <w:widowControl w:val="0"/>
              <w:jc w:val="center"/>
              <w:rPr>
                <w:iCs/>
              </w:rPr>
            </w:pPr>
            <w:r w:rsidRPr="004E375B">
              <w:rPr>
                <w:iCs/>
              </w:rPr>
              <w:t>-$</w:t>
            </w:r>
            <w:r w:rsidR="006A414A" w:rsidRPr="006A414A">
              <w:rPr>
                <w:iCs/>
                <w:color w:val="000000"/>
                <w:shd w:val="solid" w:color="000000" w:fill="000000"/>
                <w14:textFill>
                  <w14:solidFill>
                    <w14:srgbClr w14:val="000000">
                      <w14:alpha w14:val="100000"/>
                    </w14:srgbClr>
                  </w14:solidFill>
                </w14:textFill>
              </w:rPr>
              <w:t>|</w:t>
            </w:r>
          </w:p>
        </w:tc>
        <w:tc>
          <w:tcPr>
            <w:tcW w:w="706" w:type="pct"/>
            <w:vAlign w:val="center"/>
          </w:tcPr>
          <w:p w14:paraId="54105A53" w14:textId="5A5A8E5D" w:rsidR="000250EF" w:rsidRPr="004E375B" w:rsidRDefault="000250EF" w:rsidP="00A77ABE">
            <w:pPr>
              <w:pStyle w:val="TableText0"/>
              <w:keepLines/>
              <w:widowControl w:val="0"/>
              <w:jc w:val="center"/>
              <w:rPr>
                <w:iCs/>
              </w:rPr>
            </w:pPr>
            <w:r w:rsidRPr="00522119">
              <w:rPr>
                <w:iCs/>
              </w:rPr>
              <w:t>$</w:t>
            </w:r>
            <w:r w:rsidR="006A414A" w:rsidRPr="00137984">
              <w:rPr>
                <w:rFonts w:hint="eastAsia"/>
                <w:iCs/>
                <w:color w:val="000000"/>
                <w:w w:val="15"/>
                <w:shd w:val="solid" w:color="000000" w:fill="000000"/>
                <w:fitText w:val="25" w:id="-1303201024"/>
                <w14:textFill>
                  <w14:solidFill>
                    <w14:srgbClr w14:val="000000">
                      <w14:alpha w14:val="100000"/>
                    </w14:srgbClr>
                  </w14:solidFill>
                </w14:textFill>
              </w:rPr>
              <w:t xml:space="preserve">　</w:t>
            </w:r>
            <w:r w:rsidR="006A414A" w:rsidRPr="00137984">
              <w:rPr>
                <w:iCs/>
                <w:color w:val="000000"/>
                <w:w w:val="15"/>
                <w:shd w:val="solid" w:color="000000" w:fill="000000"/>
                <w:fitText w:val="25" w:id="-1303201024"/>
                <w14:textFill>
                  <w14:solidFill>
                    <w14:srgbClr w14:val="000000">
                      <w14:alpha w14:val="100000"/>
                    </w14:srgbClr>
                  </w14:solidFill>
                </w14:textFill>
              </w:rPr>
              <w:t>|</w:t>
            </w:r>
            <w:r w:rsidR="006A414A" w:rsidRPr="00137984">
              <w:rPr>
                <w:rFonts w:hint="eastAsia"/>
                <w:iCs/>
                <w:color w:val="000000"/>
                <w:spacing w:val="-41"/>
                <w:w w:val="15"/>
                <w:shd w:val="solid" w:color="000000" w:fill="000000"/>
                <w:fitText w:val="25" w:id="-1303201024"/>
                <w14:textFill>
                  <w14:solidFill>
                    <w14:srgbClr w14:val="000000">
                      <w14:alpha w14:val="100000"/>
                    </w14:srgbClr>
                  </w14:solidFill>
                </w14:textFill>
              </w:rPr>
              <w:t xml:space="preserve">　</w:t>
            </w:r>
          </w:p>
        </w:tc>
        <w:tc>
          <w:tcPr>
            <w:tcW w:w="837" w:type="pct"/>
            <w:vAlign w:val="center"/>
          </w:tcPr>
          <w:p w14:paraId="12660164" w14:textId="0AA2A522" w:rsidR="000250EF" w:rsidRPr="004E375B" w:rsidRDefault="000250EF" w:rsidP="00A77ABE">
            <w:pPr>
              <w:pStyle w:val="TableText0"/>
              <w:keepLines/>
              <w:widowControl w:val="0"/>
              <w:jc w:val="center"/>
              <w:rPr>
                <w:iCs/>
              </w:rPr>
            </w:pPr>
            <w:r w:rsidRPr="004E375B">
              <w:rPr>
                <w:iCs/>
              </w:rPr>
              <w:t>-$</w:t>
            </w:r>
            <w:r w:rsidR="006A414A" w:rsidRPr="006A414A">
              <w:rPr>
                <w:iCs/>
                <w:color w:val="000000"/>
                <w:shd w:val="solid" w:color="000000" w:fill="000000"/>
                <w14:textFill>
                  <w14:solidFill>
                    <w14:srgbClr w14:val="000000">
                      <w14:alpha w14:val="100000"/>
                    </w14:srgbClr>
                  </w14:solidFill>
                </w14:textFill>
              </w:rPr>
              <w:t>|</w:t>
            </w:r>
          </w:p>
        </w:tc>
      </w:tr>
      <w:tr w:rsidR="000250EF" w:rsidRPr="004E375B" w14:paraId="0CA17385" w14:textId="77777777" w:rsidTr="009A477A">
        <w:tc>
          <w:tcPr>
            <w:tcW w:w="1146" w:type="pct"/>
            <w:vAlign w:val="center"/>
          </w:tcPr>
          <w:p w14:paraId="0F41B56F" w14:textId="4E03DE75" w:rsidR="000250EF" w:rsidRPr="004E375B" w:rsidRDefault="00C5282A" w:rsidP="00A77ABE">
            <w:pPr>
              <w:pStyle w:val="TableText0"/>
              <w:keepLines/>
              <w:widowControl w:val="0"/>
            </w:pPr>
            <w:r w:rsidRPr="004E375B">
              <w:t>Years of life lived</w:t>
            </w:r>
          </w:p>
        </w:tc>
        <w:tc>
          <w:tcPr>
            <w:tcW w:w="816" w:type="pct"/>
            <w:vAlign w:val="center"/>
          </w:tcPr>
          <w:p w14:paraId="66DA263C" w14:textId="77777777" w:rsidR="000250EF" w:rsidRPr="004E375B" w:rsidRDefault="000250EF" w:rsidP="00A77ABE">
            <w:pPr>
              <w:pStyle w:val="TableText0"/>
              <w:keepLines/>
              <w:widowControl w:val="0"/>
              <w:jc w:val="center"/>
              <w:rPr>
                <w:iCs/>
              </w:rPr>
            </w:pPr>
            <w:r w:rsidRPr="004E375B">
              <w:rPr>
                <w:iCs/>
              </w:rPr>
              <w:t xml:space="preserve">14,122 </w:t>
            </w:r>
          </w:p>
        </w:tc>
        <w:tc>
          <w:tcPr>
            <w:tcW w:w="629" w:type="pct"/>
            <w:vAlign w:val="center"/>
          </w:tcPr>
          <w:p w14:paraId="59F9AD81" w14:textId="77777777" w:rsidR="000250EF" w:rsidRPr="004E375B" w:rsidRDefault="000250EF" w:rsidP="00A77ABE">
            <w:pPr>
              <w:pStyle w:val="TableText0"/>
              <w:keepLines/>
              <w:widowControl w:val="0"/>
              <w:jc w:val="center"/>
              <w:rPr>
                <w:iCs/>
              </w:rPr>
            </w:pPr>
            <w:r w:rsidRPr="004E375B">
              <w:rPr>
                <w:iCs/>
              </w:rPr>
              <w:t xml:space="preserve">14,122 </w:t>
            </w:r>
          </w:p>
        </w:tc>
        <w:tc>
          <w:tcPr>
            <w:tcW w:w="866" w:type="pct"/>
            <w:vAlign w:val="center"/>
          </w:tcPr>
          <w:p w14:paraId="5A82024E" w14:textId="77777777" w:rsidR="000250EF" w:rsidRPr="004E375B" w:rsidRDefault="000250EF" w:rsidP="00A77ABE">
            <w:pPr>
              <w:pStyle w:val="TableText0"/>
              <w:keepLines/>
              <w:widowControl w:val="0"/>
              <w:jc w:val="center"/>
              <w:rPr>
                <w:iCs/>
              </w:rPr>
            </w:pPr>
            <w:r w:rsidRPr="004E375B">
              <w:rPr>
                <w:iCs/>
              </w:rPr>
              <w:t xml:space="preserve">0.60 </w:t>
            </w:r>
          </w:p>
        </w:tc>
        <w:tc>
          <w:tcPr>
            <w:tcW w:w="706" w:type="pct"/>
            <w:vAlign w:val="center"/>
          </w:tcPr>
          <w:p w14:paraId="489F5F60" w14:textId="77777777" w:rsidR="000250EF" w:rsidRPr="004E375B" w:rsidRDefault="000250EF" w:rsidP="00A77ABE">
            <w:pPr>
              <w:pStyle w:val="TableText0"/>
              <w:keepLines/>
              <w:widowControl w:val="0"/>
              <w:jc w:val="center"/>
              <w:rPr>
                <w:iCs/>
              </w:rPr>
            </w:pPr>
            <w:r w:rsidRPr="004E375B">
              <w:rPr>
                <w:iCs/>
              </w:rPr>
              <w:t>14,122</w:t>
            </w:r>
          </w:p>
        </w:tc>
        <w:tc>
          <w:tcPr>
            <w:tcW w:w="837" w:type="pct"/>
            <w:vAlign w:val="center"/>
          </w:tcPr>
          <w:p w14:paraId="251AB514" w14:textId="77777777" w:rsidR="000250EF" w:rsidRPr="004E375B" w:rsidRDefault="000250EF" w:rsidP="00A77ABE">
            <w:pPr>
              <w:pStyle w:val="TableText0"/>
              <w:keepLines/>
              <w:widowControl w:val="0"/>
              <w:jc w:val="center"/>
              <w:rPr>
                <w:iCs/>
              </w:rPr>
            </w:pPr>
            <w:r w:rsidRPr="004E375B">
              <w:rPr>
                <w:iCs/>
              </w:rPr>
              <w:t>0.32</w:t>
            </w:r>
          </w:p>
        </w:tc>
      </w:tr>
      <w:tr w:rsidR="000250EF" w:rsidRPr="004E375B" w14:paraId="2FC4DB2F" w14:textId="77777777" w:rsidTr="009A477A">
        <w:tc>
          <w:tcPr>
            <w:tcW w:w="2591" w:type="pct"/>
            <w:gridSpan w:val="3"/>
            <w:vAlign w:val="center"/>
          </w:tcPr>
          <w:p w14:paraId="28D97216" w14:textId="057A0520" w:rsidR="000250EF" w:rsidRPr="004E375B" w:rsidRDefault="000250EF" w:rsidP="00A77ABE">
            <w:pPr>
              <w:pStyle w:val="TableText0"/>
              <w:keepLines/>
              <w:widowControl w:val="0"/>
            </w:pPr>
            <w:r w:rsidRPr="004E375B">
              <w:rPr>
                <w:bCs w:val="0"/>
              </w:rPr>
              <w:t xml:space="preserve">Incremental cost/extra </w:t>
            </w:r>
            <w:r w:rsidR="00C5282A" w:rsidRPr="004E375B">
              <w:t>year of life lived</w:t>
            </w:r>
          </w:p>
        </w:tc>
        <w:tc>
          <w:tcPr>
            <w:tcW w:w="866" w:type="pct"/>
            <w:vAlign w:val="center"/>
          </w:tcPr>
          <w:p w14:paraId="38FA7562" w14:textId="53C67429" w:rsidR="000250EF" w:rsidRPr="0017012A" w:rsidRDefault="00E343DA" w:rsidP="00A77ABE">
            <w:pPr>
              <w:pStyle w:val="TableText0"/>
              <w:keepLines/>
              <w:widowControl w:val="0"/>
              <w:jc w:val="center"/>
              <w:rPr>
                <w:bCs w:val="0"/>
              </w:rPr>
            </w:pPr>
            <w:r w:rsidRPr="0017012A">
              <w:rPr>
                <w:bCs w:val="0"/>
              </w:rPr>
              <w:t>Dominant</w:t>
            </w:r>
          </w:p>
        </w:tc>
        <w:tc>
          <w:tcPr>
            <w:tcW w:w="706" w:type="pct"/>
            <w:vAlign w:val="center"/>
          </w:tcPr>
          <w:p w14:paraId="7B75FDB3" w14:textId="77777777" w:rsidR="000250EF" w:rsidRPr="0017012A" w:rsidRDefault="000250EF" w:rsidP="00A77ABE">
            <w:pPr>
              <w:pStyle w:val="TableText0"/>
              <w:keepLines/>
              <w:widowControl w:val="0"/>
              <w:jc w:val="center"/>
              <w:rPr>
                <w:bCs w:val="0"/>
              </w:rPr>
            </w:pPr>
          </w:p>
        </w:tc>
        <w:tc>
          <w:tcPr>
            <w:tcW w:w="837" w:type="pct"/>
            <w:vAlign w:val="center"/>
          </w:tcPr>
          <w:p w14:paraId="7892B8B4" w14:textId="09076670" w:rsidR="000250EF" w:rsidRPr="0017012A" w:rsidRDefault="00E343DA" w:rsidP="00A77ABE">
            <w:pPr>
              <w:pStyle w:val="TableText0"/>
              <w:keepLines/>
              <w:widowControl w:val="0"/>
              <w:jc w:val="center"/>
              <w:rPr>
                <w:bCs w:val="0"/>
              </w:rPr>
            </w:pPr>
            <w:r w:rsidRPr="0017012A">
              <w:rPr>
                <w:bCs w:val="0"/>
              </w:rPr>
              <w:t>Dominant</w:t>
            </w:r>
          </w:p>
        </w:tc>
      </w:tr>
      <w:tr w:rsidR="000250EF" w:rsidRPr="004E375B" w14:paraId="28AE7D30" w14:textId="77777777" w:rsidTr="009A477A">
        <w:tc>
          <w:tcPr>
            <w:tcW w:w="1146" w:type="pct"/>
            <w:vAlign w:val="center"/>
          </w:tcPr>
          <w:p w14:paraId="2E19756A" w14:textId="77777777" w:rsidR="000250EF" w:rsidRPr="004E375B" w:rsidRDefault="000250EF" w:rsidP="00A77ABE">
            <w:pPr>
              <w:pStyle w:val="TableText0"/>
              <w:keepLines/>
              <w:widowControl w:val="0"/>
            </w:pPr>
            <w:r w:rsidRPr="004E375B">
              <w:t>QALY</w:t>
            </w:r>
          </w:p>
        </w:tc>
        <w:tc>
          <w:tcPr>
            <w:tcW w:w="816" w:type="pct"/>
            <w:vAlign w:val="center"/>
          </w:tcPr>
          <w:p w14:paraId="21BA2718" w14:textId="77777777" w:rsidR="000250EF" w:rsidRPr="004E375B" w:rsidRDefault="000250EF" w:rsidP="00A77ABE">
            <w:pPr>
              <w:pStyle w:val="TableText0"/>
              <w:keepLines/>
              <w:widowControl w:val="0"/>
              <w:jc w:val="center"/>
              <w:rPr>
                <w:iCs/>
              </w:rPr>
            </w:pPr>
            <w:r w:rsidRPr="004E375B">
              <w:rPr>
                <w:iCs/>
              </w:rPr>
              <w:t>12,663</w:t>
            </w:r>
          </w:p>
        </w:tc>
        <w:tc>
          <w:tcPr>
            <w:tcW w:w="629" w:type="pct"/>
            <w:vAlign w:val="center"/>
          </w:tcPr>
          <w:p w14:paraId="7D7A9769" w14:textId="77777777" w:rsidR="000250EF" w:rsidRPr="004E375B" w:rsidRDefault="000250EF" w:rsidP="00A77ABE">
            <w:pPr>
              <w:pStyle w:val="TableText0"/>
              <w:keepLines/>
              <w:widowControl w:val="0"/>
              <w:jc w:val="center"/>
              <w:rPr>
                <w:iCs/>
              </w:rPr>
            </w:pPr>
            <w:r w:rsidRPr="004E375B">
              <w:rPr>
                <w:iCs/>
              </w:rPr>
              <w:t>12,663</w:t>
            </w:r>
          </w:p>
        </w:tc>
        <w:tc>
          <w:tcPr>
            <w:tcW w:w="866" w:type="pct"/>
            <w:vAlign w:val="center"/>
          </w:tcPr>
          <w:p w14:paraId="630F9339" w14:textId="77777777" w:rsidR="000250EF" w:rsidRPr="0017012A" w:rsidRDefault="000250EF" w:rsidP="00A77ABE">
            <w:pPr>
              <w:pStyle w:val="TableText0"/>
              <w:keepLines/>
              <w:widowControl w:val="0"/>
              <w:jc w:val="center"/>
              <w:rPr>
                <w:bCs w:val="0"/>
              </w:rPr>
            </w:pPr>
            <w:r w:rsidRPr="0017012A">
              <w:rPr>
                <w:bCs w:val="0"/>
              </w:rPr>
              <w:t xml:space="preserve">0.56 </w:t>
            </w:r>
          </w:p>
        </w:tc>
        <w:tc>
          <w:tcPr>
            <w:tcW w:w="706" w:type="pct"/>
            <w:vAlign w:val="center"/>
          </w:tcPr>
          <w:p w14:paraId="678FEA1D" w14:textId="77777777" w:rsidR="000250EF" w:rsidRPr="0017012A" w:rsidRDefault="000250EF" w:rsidP="00A77ABE">
            <w:pPr>
              <w:pStyle w:val="TableText0"/>
              <w:keepLines/>
              <w:widowControl w:val="0"/>
              <w:jc w:val="center"/>
              <w:rPr>
                <w:bCs w:val="0"/>
              </w:rPr>
            </w:pPr>
            <w:r w:rsidRPr="0017012A">
              <w:rPr>
                <w:bCs w:val="0"/>
              </w:rPr>
              <w:t>12,663</w:t>
            </w:r>
          </w:p>
        </w:tc>
        <w:tc>
          <w:tcPr>
            <w:tcW w:w="837" w:type="pct"/>
            <w:vAlign w:val="center"/>
          </w:tcPr>
          <w:p w14:paraId="171556C5" w14:textId="77777777" w:rsidR="000250EF" w:rsidRPr="0017012A" w:rsidRDefault="000250EF" w:rsidP="00A77ABE">
            <w:pPr>
              <w:pStyle w:val="TableText0"/>
              <w:keepLines/>
              <w:widowControl w:val="0"/>
              <w:jc w:val="center"/>
              <w:rPr>
                <w:bCs w:val="0"/>
              </w:rPr>
            </w:pPr>
            <w:r w:rsidRPr="0017012A">
              <w:rPr>
                <w:bCs w:val="0"/>
              </w:rPr>
              <w:t>0.30</w:t>
            </w:r>
          </w:p>
        </w:tc>
      </w:tr>
      <w:tr w:rsidR="000250EF" w:rsidRPr="004E375B" w14:paraId="0B8D6C43" w14:textId="77777777" w:rsidTr="009A477A">
        <w:tc>
          <w:tcPr>
            <w:tcW w:w="2591" w:type="pct"/>
            <w:gridSpan w:val="3"/>
            <w:vAlign w:val="center"/>
          </w:tcPr>
          <w:p w14:paraId="49056810" w14:textId="77777777" w:rsidR="000250EF" w:rsidRPr="004E375B" w:rsidRDefault="000250EF" w:rsidP="00A77ABE">
            <w:pPr>
              <w:pStyle w:val="TableText0"/>
              <w:keepLines/>
              <w:widowControl w:val="0"/>
            </w:pPr>
            <w:r w:rsidRPr="004E375B">
              <w:rPr>
                <w:bCs w:val="0"/>
              </w:rPr>
              <w:t>Incremental cost/extra QALY gained</w:t>
            </w:r>
            <w:r w:rsidRPr="004E375B" w:rsidDel="00CD36E4">
              <w:rPr>
                <w:bCs w:val="0"/>
              </w:rPr>
              <w:t xml:space="preserve"> </w:t>
            </w:r>
          </w:p>
        </w:tc>
        <w:tc>
          <w:tcPr>
            <w:tcW w:w="866" w:type="pct"/>
            <w:vAlign w:val="center"/>
          </w:tcPr>
          <w:p w14:paraId="6F760E8B" w14:textId="191019C8" w:rsidR="000250EF" w:rsidRPr="0017012A" w:rsidRDefault="00E343DA" w:rsidP="00A77ABE">
            <w:pPr>
              <w:pStyle w:val="TableText0"/>
              <w:keepLines/>
              <w:widowControl w:val="0"/>
              <w:jc w:val="center"/>
              <w:rPr>
                <w:bCs w:val="0"/>
              </w:rPr>
            </w:pPr>
            <w:r w:rsidRPr="0017012A">
              <w:rPr>
                <w:bCs w:val="0"/>
              </w:rPr>
              <w:t>Dominant</w:t>
            </w:r>
          </w:p>
        </w:tc>
        <w:tc>
          <w:tcPr>
            <w:tcW w:w="706" w:type="pct"/>
            <w:vAlign w:val="center"/>
          </w:tcPr>
          <w:p w14:paraId="1F18D772" w14:textId="77777777" w:rsidR="000250EF" w:rsidRPr="0017012A" w:rsidRDefault="000250EF" w:rsidP="00A77ABE">
            <w:pPr>
              <w:pStyle w:val="TableText0"/>
              <w:keepLines/>
              <w:widowControl w:val="0"/>
              <w:jc w:val="center"/>
              <w:rPr>
                <w:bCs w:val="0"/>
              </w:rPr>
            </w:pPr>
          </w:p>
        </w:tc>
        <w:tc>
          <w:tcPr>
            <w:tcW w:w="837" w:type="pct"/>
            <w:vAlign w:val="center"/>
          </w:tcPr>
          <w:p w14:paraId="170DE817" w14:textId="7BD5845C" w:rsidR="000250EF" w:rsidRPr="0017012A" w:rsidRDefault="00E343DA" w:rsidP="00A77ABE">
            <w:pPr>
              <w:pStyle w:val="TableText0"/>
              <w:keepLines/>
              <w:widowControl w:val="0"/>
              <w:jc w:val="center"/>
              <w:rPr>
                <w:bCs w:val="0"/>
              </w:rPr>
            </w:pPr>
            <w:r w:rsidRPr="0017012A">
              <w:rPr>
                <w:bCs w:val="0"/>
              </w:rPr>
              <w:t>Dominant</w:t>
            </w:r>
          </w:p>
        </w:tc>
      </w:tr>
    </w:tbl>
    <w:p w14:paraId="4B7EF8C4" w14:textId="1FB048A9" w:rsidR="000250EF" w:rsidRDefault="000250EF" w:rsidP="00A77ABE">
      <w:pPr>
        <w:pStyle w:val="FooterTableFigure"/>
        <w:keepNext/>
        <w:keepLines/>
        <w:widowControl w:val="0"/>
      </w:pPr>
      <w:r>
        <w:t xml:space="preserve">Source: </w:t>
      </w:r>
      <w:r w:rsidRPr="00127EDD">
        <w:t>Table 3.</w:t>
      </w:r>
      <w:r>
        <w:t>8</w:t>
      </w:r>
      <w:r w:rsidRPr="00127EDD">
        <w:t>.</w:t>
      </w:r>
      <w:r>
        <w:t>1</w:t>
      </w:r>
      <w:r w:rsidRPr="00127EDD">
        <w:t xml:space="preserve"> p49</w:t>
      </w:r>
      <w:r>
        <w:t xml:space="preserve">2, Table 3.8.2 p492, Table 3.8.5 p494, and Table 3.8.6 p495 </w:t>
      </w:r>
      <w:r w:rsidRPr="00127EDD">
        <w:t>of the submission</w:t>
      </w:r>
      <w:r>
        <w:t xml:space="preserve">. </w:t>
      </w:r>
    </w:p>
    <w:p w14:paraId="611A5A68" w14:textId="48E042E0" w:rsidR="000250EF" w:rsidRDefault="000250EF" w:rsidP="00A77ABE">
      <w:pPr>
        <w:pStyle w:val="FooterTableFigure"/>
        <w:keepNext/>
        <w:keepLines/>
        <w:widowControl w:val="0"/>
      </w:pPr>
      <w:r>
        <w:t>Abbreviations: 13vPCV</w:t>
      </w:r>
      <w:r w:rsidR="04E7E57E">
        <w:t xml:space="preserve">, </w:t>
      </w:r>
      <w:r>
        <w:t xml:space="preserve">13 valent pneumococcal conjugate </w:t>
      </w:r>
      <w:proofErr w:type="gramStart"/>
      <w:r>
        <w:t>vaccine</w:t>
      </w:r>
      <w:proofErr w:type="gramEnd"/>
      <w:r>
        <w:t>; 15vPCV</w:t>
      </w:r>
      <w:r w:rsidR="02B856F4">
        <w:t xml:space="preserve">, </w:t>
      </w:r>
      <w:r>
        <w:t>15 valent pneumococcal conjugate vaccine; 20vPCV</w:t>
      </w:r>
      <w:r w:rsidR="0ACF5DD4">
        <w:t xml:space="preserve">, </w:t>
      </w:r>
      <w:r>
        <w:t>20 valent pneumococcal conjugate vaccine; 23vPPV</w:t>
      </w:r>
      <w:r w:rsidR="0380ED97">
        <w:t xml:space="preserve">, </w:t>
      </w:r>
      <w:r>
        <w:t>23 valent pneumococcal polysaccharide vaccine; QALY</w:t>
      </w:r>
      <w:r w:rsidR="4CCDA00A">
        <w:t xml:space="preserve">, </w:t>
      </w:r>
      <w:r>
        <w:t>Quality-adjusted life-year</w:t>
      </w:r>
    </w:p>
    <w:p w14:paraId="1BB67EE5" w14:textId="0167521C" w:rsidR="00CD61EA" w:rsidRPr="00683533" w:rsidRDefault="00CD61EA" w:rsidP="00A77ABE">
      <w:pPr>
        <w:pStyle w:val="FooterTableFigure"/>
        <w:keepNext/>
        <w:keepLines/>
        <w:widowControl w:val="0"/>
        <w:rPr>
          <w:iCs/>
        </w:rPr>
      </w:pPr>
      <w:r w:rsidRPr="00683533">
        <w:rPr>
          <w:iCs/>
        </w:rPr>
        <w:t>a Dominant ICER indicates that 20vPCV dominates comparator through being more effective and less costly.</w:t>
      </w:r>
    </w:p>
    <w:p w14:paraId="5E727027" w14:textId="0CFDDFF9" w:rsidR="004E375B" w:rsidRDefault="00CD61EA" w:rsidP="00A77ABE">
      <w:pPr>
        <w:pStyle w:val="FooterTableFigure"/>
        <w:keepNext/>
        <w:keepLines/>
        <w:widowControl w:val="0"/>
      </w:pPr>
      <w:r>
        <w:t>b</w:t>
      </w:r>
      <w:r w:rsidR="004E375B" w:rsidRPr="004E375B">
        <w:t xml:space="preserve"> Compiled during the evaluation based on information sourced from the Excel sheet ‘Prevenar </w:t>
      </w:r>
      <w:proofErr w:type="gramStart"/>
      <w:r w:rsidR="004E375B" w:rsidRPr="004E375B">
        <w:t>At</w:t>
      </w:r>
      <w:proofErr w:type="gramEnd"/>
      <w:r w:rsidR="006A31A8">
        <w:t xml:space="preserve"> </w:t>
      </w:r>
      <w:r w:rsidR="004E375B" w:rsidRPr="004E375B">
        <w:t>Risk 18-69’</w:t>
      </w:r>
    </w:p>
    <w:p w14:paraId="133BED06" w14:textId="53952F81" w:rsidR="00C1364B" w:rsidRPr="00683533" w:rsidRDefault="00A018B7" w:rsidP="00C1364B">
      <w:pPr>
        <w:pStyle w:val="3-BodyText"/>
        <w:rPr>
          <w:iCs/>
        </w:rPr>
      </w:pPr>
      <w:r w:rsidRPr="00711703">
        <w:fldChar w:fldCharType="begin"/>
      </w:r>
      <w:r w:rsidRPr="00711703">
        <w:instrText xml:space="preserve"> REF _Ref113694839 \h </w:instrText>
      </w:r>
      <w:r>
        <w:instrText xml:space="preserve"> \* MERGEFORMAT </w:instrText>
      </w:r>
      <w:r w:rsidRPr="00711703">
        <w:fldChar w:fldCharType="separate"/>
      </w:r>
      <w:r w:rsidR="00137984" w:rsidRPr="00137984">
        <w:t>Table 17</w:t>
      </w:r>
      <w:r w:rsidRPr="00711703">
        <w:fldChar w:fldCharType="end"/>
      </w:r>
      <w:r w:rsidRPr="0076267C">
        <w:t xml:space="preserve"> </w:t>
      </w:r>
      <w:r>
        <w:t>presents</w:t>
      </w:r>
      <w:r w:rsidRPr="0076267C">
        <w:t xml:space="preserve"> the results from the economic evaluation</w:t>
      </w:r>
      <w:r w:rsidR="00C1364B">
        <w:t xml:space="preserve"> for the expanded population</w:t>
      </w:r>
      <w:r w:rsidRPr="0076267C">
        <w:t>.</w:t>
      </w:r>
      <w:r w:rsidR="00C1364B">
        <w:t xml:space="preserve"> </w:t>
      </w:r>
      <w:r w:rsidR="00C1364B" w:rsidRPr="00683533">
        <w:rPr>
          <w:iCs/>
        </w:rPr>
        <w:t>For Indigenous adults aged 25-49 years the model assumed that the 20 serotypes would cover 72% of pneumococcal cases (</w:t>
      </w:r>
      <w:r w:rsidR="00C1364B" w:rsidRPr="00683533">
        <w:rPr>
          <w:iCs/>
        </w:rPr>
        <w:fldChar w:fldCharType="begin"/>
      </w:r>
      <w:r w:rsidR="00C1364B" w:rsidRPr="00683533">
        <w:rPr>
          <w:iCs/>
        </w:rPr>
        <w:instrText xml:space="preserve"> REF _Ref116561383 \h  \* MERGEFORMAT </w:instrText>
      </w:r>
      <w:r w:rsidR="00C1364B" w:rsidRPr="00683533">
        <w:rPr>
          <w:iCs/>
        </w:rPr>
      </w:r>
      <w:r w:rsidR="00C1364B" w:rsidRPr="00683533">
        <w:rPr>
          <w:iCs/>
        </w:rPr>
        <w:fldChar w:fldCharType="separate"/>
      </w:r>
      <w:r w:rsidR="00137984" w:rsidRPr="00137984">
        <w:t>Table 10</w:t>
      </w:r>
      <w:r w:rsidR="00C1364B" w:rsidRPr="00683533">
        <w:rPr>
          <w:iCs/>
        </w:rPr>
        <w:fldChar w:fldCharType="end"/>
      </w:r>
      <w:r w:rsidR="00C1364B" w:rsidRPr="00683533">
        <w:rPr>
          <w:iCs/>
        </w:rPr>
        <w:t>) and this results in:</w:t>
      </w:r>
    </w:p>
    <w:p w14:paraId="7D00CD07" w14:textId="041F917D" w:rsidR="00C1364B" w:rsidRPr="00683533" w:rsidRDefault="00C1364B" w:rsidP="00227608">
      <w:pPr>
        <w:pStyle w:val="3-BodyText"/>
        <w:numPr>
          <w:ilvl w:val="0"/>
          <w:numId w:val="32"/>
        </w:numPr>
        <w:ind w:left="1134"/>
        <w:rPr>
          <w:iCs/>
        </w:rPr>
      </w:pPr>
      <w:r w:rsidRPr="00683533">
        <w:rPr>
          <w:iCs/>
        </w:rPr>
        <w:t>A reduction in bacteraemia events of</w:t>
      </w:r>
      <w:r w:rsidR="00517AAF" w:rsidRPr="00683533">
        <w:rPr>
          <w:iCs/>
        </w:rPr>
        <w:t xml:space="preserve"> </w:t>
      </w:r>
      <w:r w:rsidR="005A4853" w:rsidRPr="00683533">
        <w:rPr>
          <w:iCs/>
        </w:rPr>
        <w:t>1.93</w:t>
      </w:r>
      <w:r w:rsidRPr="00683533">
        <w:rPr>
          <w:iCs/>
        </w:rPr>
        <w:t xml:space="preserve"> per 1,000 people </w:t>
      </w:r>
      <w:proofErr w:type="gramStart"/>
      <w:r w:rsidRPr="00683533">
        <w:rPr>
          <w:iCs/>
        </w:rPr>
        <w:t>vaccinated</w:t>
      </w:r>
      <w:r w:rsidR="002723CC">
        <w:rPr>
          <w:iCs/>
        </w:rPr>
        <w:t>;</w:t>
      </w:r>
      <w:proofErr w:type="gramEnd"/>
    </w:p>
    <w:p w14:paraId="22C67B2F" w14:textId="4A1D29D3" w:rsidR="00C1364B" w:rsidRPr="00683533" w:rsidRDefault="00C1364B" w:rsidP="00227608">
      <w:pPr>
        <w:pStyle w:val="3-BodyText"/>
        <w:numPr>
          <w:ilvl w:val="0"/>
          <w:numId w:val="32"/>
        </w:numPr>
        <w:ind w:left="1134"/>
        <w:rPr>
          <w:iCs/>
        </w:rPr>
      </w:pPr>
      <w:r w:rsidRPr="00683533">
        <w:rPr>
          <w:iCs/>
        </w:rPr>
        <w:t xml:space="preserve">A reduction in meningitis events of </w:t>
      </w:r>
      <w:r w:rsidR="005A4853" w:rsidRPr="00683533">
        <w:rPr>
          <w:iCs/>
        </w:rPr>
        <w:t>0.00</w:t>
      </w:r>
      <w:r w:rsidRPr="00683533">
        <w:rPr>
          <w:iCs/>
        </w:rPr>
        <w:t xml:space="preserve"> per 1,000 people </w:t>
      </w:r>
      <w:proofErr w:type="gramStart"/>
      <w:r w:rsidRPr="00683533">
        <w:rPr>
          <w:iCs/>
        </w:rPr>
        <w:t>vaccinated</w:t>
      </w:r>
      <w:r w:rsidR="002723CC">
        <w:rPr>
          <w:iCs/>
        </w:rPr>
        <w:t>;</w:t>
      </w:r>
      <w:proofErr w:type="gramEnd"/>
    </w:p>
    <w:p w14:paraId="33707472" w14:textId="0C6016C2" w:rsidR="00C1364B" w:rsidRPr="00683533" w:rsidRDefault="00C1364B" w:rsidP="00227608">
      <w:pPr>
        <w:pStyle w:val="3-BodyText"/>
        <w:numPr>
          <w:ilvl w:val="0"/>
          <w:numId w:val="32"/>
        </w:numPr>
        <w:ind w:left="1134"/>
        <w:rPr>
          <w:iCs/>
        </w:rPr>
      </w:pPr>
      <w:r w:rsidRPr="00683533">
        <w:rPr>
          <w:iCs/>
        </w:rPr>
        <w:t xml:space="preserve">A reduction in PNE GP visits or hospital admissions of </w:t>
      </w:r>
      <w:r w:rsidR="005A4853" w:rsidRPr="00683533">
        <w:rPr>
          <w:iCs/>
        </w:rPr>
        <w:t>1.82</w:t>
      </w:r>
      <w:r w:rsidRPr="00683533">
        <w:rPr>
          <w:iCs/>
        </w:rPr>
        <w:t xml:space="preserve"> per 1,000 people </w:t>
      </w:r>
      <w:proofErr w:type="gramStart"/>
      <w:r w:rsidRPr="00683533">
        <w:rPr>
          <w:iCs/>
        </w:rPr>
        <w:t>vaccinated</w:t>
      </w:r>
      <w:r w:rsidR="002723CC">
        <w:rPr>
          <w:iCs/>
        </w:rPr>
        <w:t>;</w:t>
      </w:r>
      <w:proofErr w:type="gramEnd"/>
      <w:r w:rsidR="002723CC">
        <w:rPr>
          <w:iCs/>
        </w:rPr>
        <w:t xml:space="preserve"> and</w:t>
      </w:r>
    </w:p>
    <w:p w14:paraId="7C2FFFFE" w14:textId="32C2A13D" w:rsidR="00C1364B" w:rsidRPr="00683533" w:rsidRDefault="00C1364B" w:rsidP="00227608">
      <w:pPr>
        <w:pStyle w:val="3-BodyText"/>
        <w:numPr>
          <w:ilvl w:val="0"/>
          <w:numId w:val="32"/>
        </w:numPr>
        <w:ind w:left="1134"/>
        <w:rPr>
          <w:iCs/>
        </w:rPr>
      </w:pPr>
      <w:r w:rsidRPr="00683533">
        <w:rPr>
          <w:iCs/>
        </w:rPr>
        <w:t xml:space="preserve">The cost </w:t>
      </w:r>
      <w:r w:rsidR="005A4853" w:rsidRPr="00683533">
        <w:rPr>
          <w:iCs/>
        </w:rPr>
        <w:t>saving associated with avoiding</w:t>
      </w:r>
      <w:r w:rsidRPr="00683533">
        <w:rPr>
          <w:iCs/>
        </w:rPr>
        <w:t xml:space="preserve"> the above events is $</w:t>
      </w:r>
      <w:r w:rsidR="006A414A" w:rsidRPr="00137984">
        <w:rPr>
          <w:iCs/>
          <w:color w:val="000000"/>
          <w:w w:val="15"/>
          <w:shd w:val="solid" w:color="000000" w:fill="000000"/>
          <w:fitText w:val="-20" w:id="-1303201023"/>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23"/>
          <w14:textFill>
            <w14:solidFill>
              <w14:srgbClr w14:val="000000">
                <w14:alpha w14:val="100000"/>
              </w14:srgbClr>
            </w14:solidFill>
          </w14:textFill>
        </w:rPr>
        <w:t>|</w:t>
      </w:r>
      <w:r w:rsidR="005A4853" w:rsidRPr="00683533">
        <w:rPr>
          <w:iCs/>
        </w:rPr>
        <w:t xml:space="preserve">. The additional </w:t>
      </w:r>
      <w:r w:rsidRPr="00683533">
        <w:rPr>
          <w:iCs/>
        </w:rPr>
        <w:t xml:space="preserve">cost for the 20vPCV vaccine </w:t>
      </w:r>
      <w:r w:rsidR="005A4853" w:rsidRPr="00683533">
        <w:rPr>
          <w:iCs/>
        </w:rPr>
        <w:t xml:space="preserve">is </w:t>
      </w:r>
      <w:r w:rsidRPr="00683533">
        <w:rPr>
          <w:iCs/>
        </w:rPr>
        <w:t>$</w:t>
      </w:r>
      <w:r w:rsidR="006A414A" w:rsidRPr="00137984">
        <w:rPr>
          <w:iCs/>
          <w:color w:val="000000"/>
          <w:w w:val="15"/>
          <w:shd w:val="solid" w:color="000000" w:fill="000000"/>
          <w:fitText w:val="-20" w:id="-1303201022"/>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201022"/>
          <w14:textFill>
            <w14:solidFill>
              <w14:srgbClr w14:val="000000">
                <w14:alpha w14:val="100000"/>
              </w14:srgbClr>
            </w14:solidFill>
          </w14:textFill>
        </w:rPr>
        <w:t>|</w:t>
      </w:r>
      <w:r w:rsidRPr="00683533">
        <w:rPr>
          <w:iCs/>
        </w:rPr>
        <w:t xml:space="preserve"> per 1,000 people (</w:t>
      </w:r>
      <w:r w:rsidRPr="00683533">
        <w:rPr>
          <w:iCs/>
        </w:rPr>
        <w:fldChar w:fldCharType="begin"/>
      </w:r>
      <w:r w:rsidRPr="00683533">
        <w:rPr>
          <w:iCs/>
        </w:rPr>
        <w:instrText xml:space="preserve"> REF _Ref112657930 \h  \* MERGEFORMAT </w:instrText>
      </w:r>
      <w:r w:rsidRPr="00683533">
        <w:rPr>
          <w:iCs/>
        </w:rPr>
      </w:r>
      <w:r w:rsidRPr="00683533">
        <w:rPr>
          <w:iCs/>
        </w:rPr>
        <w:fldChar w:fldCharType="separate"/>
      </w:r>
      <w:r w:rsidR="00137984" w:rsidRPr="00137984">
        <w:rPr>
          <w:iCs/>
        </w:rPr>
        <w:t>Table 13</w:t>
      </w:r>
      <w:r w:rsidRPr="00683533">
        <w:rPr>
          <w:iCs/>
        </w:rPr>
        <w:fldChar w:fldCharType="end"/>
      </w:r>
      <w:r w:rsidRPr="00683533">
        <w:rPr>
          <w:iCs/>
        </w:rPr>
        <w:t>)</w:t>
      </w:r>
      <w:r w:rsidR="005A4853" w:rsidRPr="00683533">
        <w:rPr>
          <w:iCs/>
        </w:rPr>
        <w:t>.</w:t>
      </w:r>
      <w:r w:rsidRPr="00683533">
        <w:rPr>
          <w:iCs/>
        </w:rPr>
        <w:t xml:space="preserve">  </w:t>
      </w:r>
    </w:p>
    <w:p w14:paraId="00132368" w14:textId="46F821AE" w:rsidR="007D4D11" w:rsidRPr="009B3484" w:rsidRDefault="007D4D11" w:rsidP="001F74EA">
      <w:pPr>
        <w:keepNext/>
        <w:spacing w:line="259" w:lineRule="auto"/>
        <w:jc w:val="left"/>
        <w:rPr>
          <w:rStyle w:val="CommentReference"/>
          <w:b w:val="0"/>
          <w:bCs w:val="0"/>
          <w:snapToGrid w:val="0"/>
        </w:rPr>
      </w:pPr>
      <w:bookmarkStart w:id="109" w:name="_Ref112657999"/>
      <w:bookmarkStart w:id="110" w:name="_Ref113694839"/>
      <w:r w:rsidRPr="009B3484">
        <w:rPr>
          <w:rStyle w:val="CommentReference"/>
        </w:rPr>
        <w:t xml:space="preserve">Table </w:t>
      </w:r>
      <w:r w:rsidRPr="009B3484">
        <w:rPr>
          <w:rStyle w:val="CommentReference"/>
          <w:b w:val="0"/>
          <w:bCs w:val="0"/>
        </w:rPr>
        <w:fldChar w:fldCharType="begin"/>
      </w:r>
      <w:r w:rsidRPr="009B3484">
        <w:rPr>
          <w:rStyle w:val="CommentReference"/>
        </w:rPr>
        <w:instrText xml:space="preserve"> SEQ Table \* ARABIC </w:instrText>
      </w:r>
      <w:r w:rsidRPr="009B3484">
        <w:rPr>
          <w:rStyle w:val="CommentReference"/>
          <w:b w:val="0"/>
          <w:bCs w:val="0"/>
        </w:rPr>
        <w:fldChar w:fldCharType="separate"/>
      </w:r>
      <w:r w:rsidR="00137984">
        <w:rPr>
          <w:rStyle w:val="CommentReference"/>
          <w:noProof/>
        </w:rPr>
        <w:t>17</w:t>
      </w:r>
      <w:r w:rsidRPr="009B3484">
        <w:rPr>
          <w:rStyle w:val="CommentReference"/>
          <w:b w:val="0"/>
          <w:bCs w:val="0"/>
        </w:rPr>
        <w:fldChar w:fldCharType="end"/>
      </w:r>
      <w:bookmarkEnd w:id="108"/>
      <w:bookmarkEnd w:id="109"/>
      <w:bookmarkEnd w:id="110"/>
      <w:r w:rsidRPr="009B3484">
        <w:rPr>
          <w:rStyle w:val="CommentReference"/>
        </w:rPr>
        <w:t>: Results of the economic evaluation for Indigenous adults</w:t>
      </w:r>
      <w:r w:rsidR="002723CC">
        <w:rPr>
          <w:rStyle w:val="CommentReference"/>
        </w:rPr>
        <w:t xml:space="preserve"> aged</w:t>
      </w:r>
      <w:r w:rsidRPr="009B3484">
        <w:rPr>
          <w:rStyle w:val="CommentReference"/>
        </w:rPr>
        <w:t xml:space="preserve"> 25-49 years</w:t>
      </w:r>
      <w:r w:rsidR="001F74EA">
        <w:rPr>
          <w:rStyle w:val="CommentReference"/>
        </w:rPr>
        <w:t>, per 1,000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96"/>
        <w:gridCol w:w="2124"/>
        <w:gridCol w:w="1643"/>
        <w:gridCol w:w="2254"/>
      </w:tblGrid>
      <w:tr w:rsidR="007D4D11" w:rsidRPr="0096092B" w14:paraId="43BDA426" w14:textId="77777777" w:rsidTr="009A477A">
        <w:trPr>
          <w:tblHeader/>
        </w:trPr>
        <w:tc>
          <w:tcPr>
            <w:tcW w:w="1661" w:type="pct"/>
          </w:tcPr>
          <w:p w14:paraId="7941F610" w14:textId="77777777" w:rsidR="007D4D11" w:rsidRPr="0096092B" w:rsidRDefault="007D4D11" w:rsidP="009A477A">
            <w:pPr>
              <w:pStyle w:val="FooterTableFigure"/>
              <w:widowControl w:val="0"/>
              <w:spacing w:after="0"/>
              <w:jc w:val="left"/>
              <w:rPr>
                <w:b/>
                <w:sz w:val="20"/>
                <w:lang w:val="en-US"/>
              </w:rPr>
            </w:pPr>
            <w:r w:rsidRPr="0096092B">
              <w:rPr>
                <w:b/>
                <w:sz w:val="20"/>
                <w:lang w:val="en-US"/>
              </w:rPr>
              <w:t>Component</w:t>
            </w:r>
          </w:p>
        </w:tc>
        <w:tc>
          <w:tcPr>
            <w:tcW w:w="1178" w:type="pct"/>
          </w:tcPr>
          <w:p w14:paraId="7289C73C" w14:textId="1D7B25B6" w:rsidR="007D4D11" w:rsidRPr="0096092B" w:rsidRDefault="007D4D11" w:rsidP="009A477A">
            <w:pPr>
              <w:pStyle w:val="FooterTableFigure"/>
              <w:widowControl w:val="0"/>
              <w:spacing w:after="0"/>
              <w:jc w:val="center"/>
              <w:rPr>
                <w:b/>
                <w:sz w:val="20"/>
                <w:lang w:val="en-US"/>
              </w:rPr>
            </w:pPr>
            <w:r w:rsidRPr="0096092B">
              <w:rPr>
                <w:b/>
                <w:sz w:val="20"/>
                <w:lang w:val="en-US"/>
              </w:rPr>
              <w:t>20</w:t>
            </w:r>
            <w:r>
              <w:rPr>
                <w:b/>
                <w:sz w:val="20"/>
                <w:lang w:val="en-US"/>
              </w:rPr>
              <w:t>v</w:t>
            </w:r>
            <w:r w:rsidRPr="0096092B">
              <w:rPr>
                <w:b/>
                <w:sz w:val="20"/>
                <w:lang w:val="en-US"/>
              </w:rPr>
              <w:t>PCV</w:t>
            </w:r>
          </w:p>
        </w:tc>
        <w:tc>
          <w:tcPr>
            <w:tcW w:w="911" w:type="pct"/>
          </w:tcPr>
          <w:p w14:paraId="2AAD475A" w14:textId="1F6AEF60" w:rsidR="007D4D11" w:rsidRPr="0096092B" w:rsidRDefault="007D4D11" w:rsidP="009A477A">
            <w:pPr>
              <w:pStyle w:val="FooterTableFigure"/>
              <w:widowControl w:val="0"/>
              <w:spacing w:after="0"/>
              <w:jc w:val="center"/>
              <w:rPr>
                <w:b/>
                <w:sz w:val="20"/>
                <w:lang w:val="en-US"/>
              </w:rPr>
            </w:pPr>
            <w:r>
              <w:rPr>
                <w:b/>
                <w:sz w:val="20"/>
                <w:lang w:val="en-US"/>
              </w:rPr>
              <w:t>Placebo</w:t>
            </w:r>
          </w:p>
        </w:tc>
        <w:tc>
          <w:tcPr>
            <w:tcW w:w="1250" w:type="pct"/>
          </w:tcPr>
          <w:p w14:paraId="19338015" w14:textId="77777777" w:rsidR="002723CC" w:rsidRDefault="007D4D11" w:rsidP="009A477A">
            <w:pPr>
              <w:pStyle w:val="FooterTableFigure"/>
              <w:widowControl w:val="0"/>
              <w:spacing w:after="0"/>
              <w:jc w:val="center"/>
              <w:rPr>
                <w:b/>
                <w:sz w:val="20"/>
                <w:lang w:val="en-US"/>
              </w:rPr>
            </w:pPr>
            <w:r w:rsidRPr="0096092B">
              <w:rPr>
                <w:b/>
                <w:sz w:val="20"/>
                <w:lang w:val="en-US"/>
              </w:rPr>
              <w:t xml:space="preserve">Increment </w:t>
            </w:r>
          </w:p>
          <w:p w14:paraId="54971997" w14:textId="5BD5192B" w:rsidR="007D4D11" w:rsidRPr="0096092B" w:rsidRDefault="007D4D11" w:rsidP="009A477A">
            <w:pPr>
              <w:pStyle w:val="FooterTableFigure"/>
              <w:widowControl w:val="0"/>
              <w:spacing w:after="0"/>
              <w:jc w:val="center"/>
              <w:rPr>
                <w:b/>
                <w:sz w:val="20"/>
                <w:lang w:val="en-US"/>
              </w:rPr>
            </w:pPr>
            <w:r w:rsidRPr="0096092B">
              <w:rPr>
                <w:b/>
                <w:sz w:val="20"/>
                <w:lang w:val="en-US"/>
              </w:rPr>
              <w:t>(20</w:t>
            </w:r>
            <w:r>
              <w:rPr>
                <w:b/>
                <w:sz w:val="20"/>
                <w:lang w:val="en-US"/>
              </w:rPr>
              <w:t>v</w:t>
            </w:r>
            <w:r w:rsidRPr="0096092B">
              <w:rPr>
                <w:b/>
                <w:sz w:val="20"/>
                <w:lang w:val="en-US"/>
              </w:rPr>
              <w:t xml:space="preserve">PCV vs </w:t>
            </w:r>
            <w:r>
              <w:rPr>
                <w:b/>
                <w:sz w:val="20"/>
                <w:lang w:val="en-US"/>
              </w:rPr>
              <w:t>Placebo</w:t>
            </w:r>
            <w:r w:rsidRPr="0096092B">
              <w:rPr>
                <w:b/>
                <w:sz w:val="20"/>
                <w:lang w:val="en-US"/>
              </w:rPr>
              <w:t>)</w:t>
            </w:r>
          </w:p>
        </w:tc>
      </w:tr>
      <w:tr w:rsidR="007D4D11" w:rsidRPr="0096092B" w14:paraId="5B6A0E40" w14:textId="77777777" w:rsidTr="009A477A">
        <w:tc>
          <w:tcPr>
            <w:tcW w:w="1661" w:type="pct"/>
          </w:tcPr>
          <w:p w14:paraId="5D4F2E07" w14:textId="77777777" w:rsidR="007D4D11" w:rsidRPr="0096092B" w:rsidRDefault="007D4D11" w:rsidP="009A477A">
            <w:pPr>
              <w:pStyle w:val="FooterTableFigure"/>
              <w:widowControl w:val="0"/>
              <w:spacing w:after="0"/>
              <w:jc w:val="left"/>
              <w:rPr>
                <w:sz w:val="20"/>
              </w:rPr>
            </w:pPr>
            <w:r w:rsidRPr="0096092B">
              <w:rPr>
                <w:sz w:val="20"/>
              </w:rPr>
              <w:t>Costs</w:t>
            </w:r>
          </w:p>
        </w:tc>
        <w:tc>
          <w:tcPr>
            <w:tcW w:w="1178" w:type="pct"/>
          </w:tcPr>
          <w:p w14:paraId="41A5B5C8" w14:textId="0A240C12" w:rsidR="007D4D11" w:rsidRPr="0096092B" w:rsidRDefault="007D4D11" w:rsidP="009A477A">
            <w:pPr>
              <w:pStyle w:val="FooterTableFigure"/>
              <w:widowControl w:val="0"/>
              <w:spacing w:after="0"/>
              <w:jc w:val="center"/>
              <w:rPr>
                <w:sz w:val="20"/>
              </w:rPr>
            </w:pPr>
            <w:r w:rsidRPr="0096092B">
              <w:rPr>
                <w:sz w:val="20"/>
              </w:rPr>
              <w:t>$</w:t>
            </w:r>
            <w:r w:rsidR="006A414A" w:rsidRPr="006A414A">
              <w:rPr>
                <w:color w:val="000000"/>
                <w:sz w:val="20"/>
                <w:shd w:val="solid" w:color="000000" w:fill="000000"/>
                <w14:textFill>
                  <w14:solidFill>
                    <w14:srgbClr w14:val="000000">
                      <w14:alpha w14:val="100000"/>
                    </w14:srgbClr>
                  </w14:solidFill>
                </w14:textFill>
              </w:rPr>
              <w:t>|</w:t>
            </w:r>
          </w:p>
        </w:tc>
        <w:tc>
          <w:tcPr>
            <w:tcW w:w="911" w:type="pct"/>
          </w:tcPr>
          <w:p w14:paraId="0D3BA16F" w14:textId="77777777" w:rsidR="007D4D11" w:rsidRPr="0096092B" w:rsidRDefault="007D4D11" w:rsidP="009A477A">
            <w:pPr>
              <w:pStyle w:val="FooterTableFigure"/>
              <w:widowControl w:val="0"/>
              <w:spacing w:after="0"/>
              <w:jc w:val="center"/>
              <w:rPr>
                <w:sz w:val="20"/>
              </w:rPr>
            </w:pPr>
            <w:r w:rsidRPr="0096092B">
              <w:rPr>
                <w:sz w:val="20"/>
              </w:rPr>
              <w:t>$</w:t>
            </w:r>
            <w:r>
              <w:rPr>
                <w:sz w:val="20"/>
              </w:rPr>
              <w:t>74,120</w:t>
            </w:r>
          </w:p>
        </w:tc>
        <w:tc>
          <w:tcPr>
            <w:tcW w:w="1250" w:type="pct"/>
          </w:tcPr>
          <w:p w14:paraId="43ACE8C1" w14:textId="08A7C234" w:rsidR="007D4D11" w:rsidRPr="0096092B" w:rsidRDefault="007D4D11" w:rsidP="009A477A">
            <w:pPr>
              <w:pStyle w:val="FooterTableFigure"/>
              <w:widowControl w:val="0"/>
              <w:spacing w:after="0"/>
              <w:jc w:val="center"/>
              <w:rPr>
                <w:sz w:val="20"/>
              </w:rPr>
            </w:pPr>
            <w:r w:rsidRPr="0096092B">
              <w:rPr>
                <w:sz w:val="20"/>
              </w:rPr>
              <w:t>$</w:t>
            </w:r>
            <w:r w:rsidR="006A414A" w:rsidRPr="006A414A">
              <w:rPr>
                <w:color w:val="000000"/>
                <w:sz w:val="20"/>
                <w:shd w:val="solid" w:color="000000" w:fill="000000"/>
                <w14:textFill>
                  <w14:solidFill>
                    <w14:srgbClr w14:val="000000">
                      <w14:alpha w14:val="100000"/>
                    </w14:srgbClr>
                  </w14:solidFill>
                </w14:textFill>
              </w:rPr>
              <w:t>|</w:t>
            </w:r>
          </w:p>
        </w:tc>
      </w:tr>
      <w:tr w:rsidR="007D4D11" w:rsidRPr="0096092B" w14:paraId="723B1B98" w14:textId="77777777" w:rsidTr="009A477A">
        <w:tc>
          <w:tcPr>
            <w:tcW w:w="1661" w:type="pct"/>
          </w:tcPr>
          <w:p w14:paraId="0EB19ACC" w14:textId="1C21E5D6" w:rsidR="007D4D11" w:rsidRPr="0096092B" w:rsidRDefault="00F97015" w:rsidP="009A477A">
            <w:pPr>
              <w:pStyle w:val="FooterTableFigure"/>
              <w:widowControl w:val="0"/>
              <w:spacing w:after="0"/>
              <w:jc w:val="left"/>
              <w:rPr>
                <w:sz w:val="20"/>
              </w:rPr>
            </w:pPr>
            <w:r w:rsidRPr="00F97015">
              <w:rPr>
                <w:sz w:val="20"/>
              </w:rPr>
              <w:t>Years of life lived</w:t>
            </w:r>
          </w:p>
        </w:tc>
        <w:tc>
          <w:tcPr>
            <w:tcW w:w="1178" w:type="pct"/>
          </w:tcPr>
          <w:p w14:paraId="4E8C4D04" w14:textId="77777777" w:rsidR="007D4D11" w:rsidRPr="0096092B" w:rsidRDefault="007D4D11" w:rsidP="009A477A">
            <w:pPr>
              <w:pStyle w:val="FooterTableFigure"/>
              <w:widowControl w:val="0"/>
              <w:spacing w:after="0"/>
              <w:jc w:val="center"/>
              <w:rPr>
                <w:sz w:val="20"/>
              </w:rPr>
            </w:pPr>
            <w:r>
              <w:rPr>
                <w:sz w:val="20"/>
              </w:rPr>
              <w:t>10,205</w:t>
            </w:r>
          </w:p>
        </w:tc>
        <w:tc>
          <w:tcPr>
            <w:tcW w:w="911" w:type="pct"/>
          </w:tcPr>
          <w:p w14:paraId="7773622C" w14:textId="77777777" w:rsidR="007D4D11" w:rsidRPr="0096092B" w:rsidRDefault="007D4D11" w:rsidP="009A477A">
            <w:pPr>
              <w:pStyle w:val="FooterTableFigure"/>
              <w:widowControl w:val="0"/>
              <w:spacing w:after="0"/>
              <w:jc w:val="center"/>
              <w:rPr>
                <w:sz w:val="20"/>
              </w:rPr>
            </w:pPr>
            <w:r>
              <w:rPr>
                <w:sz w:val="20"/>
              </w:rPr>
              <w:t>10,204</w:t>
            </w:r>
          </w:p>
        </w:tc>
        <w:tc>
          <w:tcPr>
            <w:tcW w:w="1250" w:type="pct"/>
          </w:tcPr>
          <w:p w14:paraId="208A3C61" w14:textId="77777777" w:rsidR="007D4D11" w:rsidRPr="0096092B" w:rsidRDefault="007D4D11" w:rsidP="009A477A">
            <w:pPr>
              <w:pStyle w:val="FooterTableFigure"/>
              <w:widowControl w:val="0"/>
              <w:spacing w:after="0"/>
              <w:jc w:val="center"/>
              <w:rPr>
                <w:sz w:val="20"/>
              </w:rPr>
            </w:pPr>
            <w:r>
              <w:rPr>
                <w:sz w:val="20"/>
              </w:rPr>
              <w:t>0.60</w:t>
            </w:r>
          </w:p>
        </w:tc>
      </w:tr>
      <w:tr w:rsidR="007D4D11" w:rsidRPr="0096092B" w14:paraId="321D1204" w14:textId="77777777" w:rsidTr="009A477A">
        <w:tc>
          <w:tcPr>
            <w:tcW w:w="3750" w:type="pct"/>
            <w:gridSpan w:val="3"/>
          </w:tcPr>
          <w:p w14:paraId="609E858F" w14:textId="5374D061" w:rsidR="007D4D11" w:rsidRPr="0096092B" w:rsidRDefault="007D4D11" w:rsidP="009A477A">
            <w:pPr>
              <w:pStyle w:val="FooterTableFigure"/>
              <w:widowControl w:val="0"/>
              <w:spacing w:after="0"/>
              <w:jc w:val="left"/>
              <w:rPr>
                <w:sz w:val="20"/>
              </w:rPr>
            </w:pPr>
            <w:r w:rsidRPr="0096092B">
              <w:rPr>
                <w:sz w:val="20"/>
              </w:rPr>
              <w:lastRenderedPageBreak/>
              <w:t>Incremental cost/</w:t>
            </w:r>
            <w:r w:rsidR="00F97015" w:rsidRPr="00F97015">
              <w:rPr>
                <w:sz w:val="20"/>
              </w:rPr>
              <w:t>extra year of life lived</w:t>
            </w:r>
          </w:p>
        </w:tc>
        <w:tc>
          <w:tcPr>
            <w:tcW w:w="1250" w:type="pct"/>
          </w:tcPr>
          <w:p w14:paraId="3C76BC28" w14:textId="2A03C339" w:rsidR="007D4D11" w:rsidRPr="00D944B2" w:rsidRDefault="007D4D11" w:rsidP="009A477A">
            <w:pPr>
              <w:pStyle w:val="FooterTableFigure"/>
              <w:widowControl w:val="0"/>
              <w:spacing w:after="0"/>
              <w:jc w:val="center"/>
              <w:rPr>
                <w:b/>
                <w:bCs/>
                <w:sz w:val="20"/>
                <w:vertAlign w:val="superscript"/>
              </w:rPr>
            </w:pPr>
            <w:r w:rsidRPr="00C86428">
              <w:rPr>
                <w:b/>
                <w:bCs/>
                <w:sz w:val="20"/>
              </w:rPr>
              <w:t>$</w:t>
            </w:r>
            <w:r w:rsidR="006A414A" w:rsidRPr="006A414A">
              <w:rPr>
                <w:b/>
                <w:bCs/>
                <w:color w:val="000000"/>
                <w:sz w:val="20"/>
                <w:shd w:val="solid" w:color="000000" w:fill="000000"/>
                <w14:textFill>
                  <w14:solidFill>
                    <w14:srgbClr w14:val="000000">
                      <w14:alpha w14:val="100000"/>
                    </w14:srgbClr>
                  </w14:solidFill>
                </w14:textFill>
              </w:rPr>
              <w:t>|</w:t>
            </w:r>
            <w:r w:rsidR="00D944B2">
              <w:rPr>
                <w:b/>
                <w:bCs/>
                <w:sz w:val="20"/>
                <w:vertAlign w:val="superscript"/>
              </w:rPr>
              <w:t>1</w:t>
            </w:r>
          </w:p>
        </w:tc>
      </w:tr>
      <w:tr w:rsidR="007D4D11" w:rsidRPr="0096092B" w14:paraId="36C05CE0" w14:textId="77777777" w:rsidTr="009A477A">
        <w:tc>
          <w:tcPr>
            <w:tcW w:w="1661" w:type="pct"/>
          </w:tcPr>
          <w:p w14:paraId="2048E1DF" w14:textId="77777777" w:rsidR="007D4D11" w:rsidRPr="0096092B" w:rsidRDefault="007D4D11" w:rsidP="009A477A">
            <w:pPr>
              <w:pStyle w:val="FooterTableFigure"/>
              <w:widowControl w:val="0"/>
              <w:spacing w:after="0"/>
              <w:jc w:val="left"/>
              <w:rPr>
                <w:sz w:val="20"/>
              </w:rPr>
            </w:pPr>
            <w:r w:rsidRPr="0096092B">
              <w:rPr>
                <w:sz w:val="20"/>
              </w:rPr>
              <w:t>QALY</w:t>
            </w:r>
          </w:p>
        </w:tc>
        <w:tc>
          <w:tcPr>
            <w:tcW w:w="1178" w:type="pct"/>
          </w:tcPr>
          <w:p w14:paraId="270DE741" w14:textId="77777777" w:rsidR="007D4D11" w:rsidRPr="0096092B" w:rsidRDefault="007D4D11" w:rsidP="009A477A">
            <w:pPr>
              <w:pStyle w:val="FooterTableFigure"/>
              <w:widowControl w:val="0"/>
              <w:spacing w:after="0"/>
              <w:jc w:val="center"/>
              <w:rPr>
                <w:sz w:val="20"/>
              </w:rPr>
            </w:pPr>
            <w:r>
              <w:rPr>
                <w:sz w:val="20"/>
              </w:rPr>
              <w:t>9,191</w:t>
            </w:r>
          </w:p>
        </w:tc>
        <w:tc>
          <w:tcPr>
            <w:tcW w:w="911" w:type="pct"/>
          </w:tcPr>
          <w:p w14:paraId="5B6D67C7" w14:textId="77777777" w:rsidR="007D4D11" w:rsidRPr="0096092B" w:rsidRDefault="007D4D11" w:rsidP="009A477A">
            <w:pPr>
              <w:pStyle w:val="FooterTableFigure"/>
              <w:widowControl w:val="0"/>
              <w:spacing w:after="0"/>
              <w:jc w:val="center"/>
              <w:rPr>
                <w:sz w:val="20"/>
              </w:rPr>
            </w:pPr>
            <w:r>
              <w:rPr>
                <w:sz w:val="20"/>
              </w:rPr>
              <w:t>9,190</w:t>
            </w:r>
          </w:p>
        </w:tc>
        <w:tc>
          <w:tcPr>
            <w:tcW w:w="1250" w:type="pct"/>
          </w:tcPr>
          <w:p w14:paraId="0F331BDB" w14:textId="77777777" w:rsidR="007D4D11" w:rsidRPr="0096092B" w:rsidRDefault="007D4D11" w:rsidP="009A477A">
            <w:pPr>
              <w:pStyle w:val="FooterTableFigure"/>
              <w:widowControl w:val="0"/>
              <w:spacing w:after="0"/>
              <w:jc w:val="center"/>
              <w:rPr>
                <w:sz w:val="20"/>
              </w:rPr>
            </w:pPr>
            <w:r>
              <w:rPr>
                <w:sz w:val="20"/>
              </w:rPr>
              <w:t>0.53</w:t>
            </w:r>
          </w:p>
        </w:tc>
      </w:tr>
      <w:tr w:rsidR="007D4D11" w:rsidRPr="0096092B" w14:paraId="5E2DDFB3" w14:textId="77777777" w:rsidTr="009A477A">
        <w:tc>
          <w:tcPr>
            <w:tcW w:w="3750" w:type="pct"/>
            <w:gridSpan w:val="3"/>
          </w:tcPr>
          <w:p w14:paraId="0CB7DFAF" w14:textId="77777777" w:rsidR="007D4D11" w:rsidRPr="0096092B" w:rsidRDefault="007D4D11" w:rsidP="009A477A">
            <w:pPr>
              <w:pStyle w:val="FooterTableFigure"/>
              <w:widowControl w:val="0"/>
              <w:spacing w:after="0"/>
              <w:jc w:val="left"/>
              <w:rPr>
                <w:sz w:val="20"/>
              </w:rPr>
            </w:pPr>
            <w:r w:rsidRPr="0096092B">
              <w:rPr>
                <w:sz w:val="20"/>
              </w:rPr>
              <w:t>Incremental cost/extra QALY gained</w:t>
            </w:r>
          </w:p>
        </w:tc>
        <w:tc>
          <w:tcPr>
            <w:tcW w:w="1250" w:type="pct"/>
          </w:tcPr>
          <w:p w14:paraId="050CFC0B" w14:textId="1FA87ADD" w:rsidR="007D4D11" w:rsidRPr="0096092B" w:rsidRDefault="007D4D11" w:rsidP="009A477A">
            <w:pPr>
              <w:pStyle w:val="FooterTableFigure"/>
              <w:widowControl w:val="0"/>
              <w:spacing w:after="0"/>
              <w:jc w:val="center"/>
              <w:rPr>
                <w:b/>
                <w:bCs/>
                <w:sz w:val="20"/>
              </w:rPr>
            </w:pPr>
            <w:r w:rsidRPr="00F93C9D">
              <w:rPr>
                <w:b/>
                <w:bCs/>
                <w:sz w:val="20"/>
              </w:rPr>
              <w:t>$</w:t>
            </w:r>
            <w:r w:rsidR="006A414A" w:rsidRPr="006A414A">
              <w:rPr>
                <w:b/>
                <w:bCs/>
                <w:color w:val="000000"/>
                <w:sz w:val="20"/>
                <w:shd w:val="solid" w:color="000000" w:fill="000000"/>
                <w14:textFill>
                  <w14:solidFill>
                    <w14:srgbClr w14:val="000000">
                      <w14:alpha w14:val="100000"/>
                    </w14:srgbClr>
                  </w14:solidFill>
                </w14:textFill>
              </w:rPr>
              <w:t>|</w:t>
            </w:r>
            <w:r w:rsidR="00D944B2">
              <w:rPr>
                <w:b/>
                <w:bCs/>
                <w:sz w:val="20"/>
                <w:vertAlign w:val="superscript"/>
              </w:rPr>
              <w:t>1</w:t>
            </w:r>
          </w:p>
        </w:tc>
      </w:tr>
    </w:tbl>
    <w:p w14:paraId="20EBCE97" w14:textId="77777777" w:rsidR="007D4D11" w:rsidRPr="00D1001A" w:rsidRDefault="007D4D11" w:rsidP="007D4D11">
      <w:pPr>
        <w:pStyle w:val="FooterTableFigure"/>
        <w:widowControl w:val="0"/>
      </w:pPr>
      <w:r w:rsidRPr="00D1001A">
        <w:t>Source: Table 3.8.4, p493 and Table 3.8.8, p495 of the submission</w:t>
      </w:r>
    </w:p>
    <w:p w14:paraId="1161344D" w14:textId="2436613B" w:rsidR="007D4D11" w:rsidRDefault="007D4D11" w:rsidP="00D944B2">
      <w:pPr>
        <w:pStyle w:val="FooterTableFigure"/>
        <w:widowControl w:val="0"/>
        <w:spacing w:after="0"/>
      </w:pPr>
      <w:r w:rsidRPr="007A2B77">
        <w:t>Abbreviations: 20PCV</w:t>
      </w:r>
      <w:r w:rsidR="2BBB5C50">
        <w:t xml:space="preserve">, </w:t>
      </w:r>
      <w:r w:rsidRPr="007A2B77">
        <w:t xml:space="preserve">20-valent pneumococcal conjugate vaccine; </w:t>
      </w:r>
      <w:r w:rsidRPr="009A2D35">
        <w:t>QALY</w:t>
      </w:r>
      <w:r w:rsidR="0A423E25">
        <w:t xml:space="preserve">, </w:t>
      </w:r>
      <w:r w:rsidRPr="009A2D35">
        <w:t xml:space="preserve">Quality-adjusted life-year; </w:t>
      </w:r>
      <w:proofErr w:type="spellStart"/>
      <w:r w:rsidRPr="009A2D35">
        <w:t>YoLS</w:t>
      </w:r>
      <w:proofErr w:type="spellEnd"/>
      <w:r w:rsidR="7D28E82F">
        <w:t xml:space="preserve">, </w:t>
      </w:r>
      <w:r w:rsidRPr="009A2D35">
        <w:t>Years of life saved</w:t>
      </w:r>
    </w:p>
    <w:p w14:paraId="45AD5F0C" w14:textId="77777777" w:rsidR="00D944B2" w:rsidRDefault="00D944B2" w:rsidP="00D944B2">
      <w:pPr>
        <w:rPr>
          <w:rFonts w:ascii="Arial Narrow" w:hAnsi="Arial Narrow"/>
          <w:i/>
          <w:sz w:val="18"/>
          <w:szCs w:val="18"/>
        </w:rPr>
      </w:pPr>
      <w:r>
        <w:rPr>
          <w:rFonts w:ascii="Arial Narrow" w:hAnsi="Arial Narrow"/>
          <w:i/>
          <w:sz w:val="18"/>
          <w:szCs w:val="18"/>
        </w:rPr>
        <w:t xml:space="preserve">The redacted values correspond to the following ranges: </w:t>
      </w:r>
    </w:p>
    <w:p w14:paraId="27242381" w14:textId="17CD479B" w:rsidR="00D944B2" w:rsidRDefault="00D944B2" w:rsidP="00D944B2">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D944B2">
        <w:rPr>
          <w:rFonts w:ascii="Arial Narrow" w:hAnsi="Arial Narrow"/>
          <w:i/>
          <w:sz w:val="18"/>
          <w:szCs w:val="18"/>
        </w:rPr>
        <w:t>$25,000 to &lt; $35,000</w:t>
      </w:r>
    </w:p>
    <w:p w14:paraId="553CE641" w14:textId="42FD3269" w:rsidR="00D944B2" w:rsidRPr="00D944B2" w:rsidRDefault="00D944B2" w:rsidP="00D944B2">
      <w:pPr>
        <w:spacing w:after="120"/>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D944B2">
        <w:rPr>
          <w:rFonts w:ascii="Arial Narrow" w:hAnsi="Arial Narrow"/>
          <w:i/>
          <w:sz w:val="18"/>
          <w:szCs w:val="18"/>
        </w:rPr>
        <w:t>$35,000 to &lt; $45,000</w:t>
      </w:r>
    </w:p>
    <w:p w14:paraId="7B2C7ED1" w14:textId="5AF5AE14" w:rsidR="00B15976" w:rsidRPr="00B47A9D" w:rsidRDefault="000250EF" w:rsidP="00D944B2">
      <w:pPr>
        <w:pStyle w:val="3-BodyText"/>
        <w:rPr>
          <w:iCs/>
        </w:rPr>
      </w:pPr>
      <w:r w:rsidRPr="00BD1102">
        <w:t xml:space="preserve">The </w:t>
      </w:r>
      <w:r w:rsidRPr="00F2769B">
        <w:t xml:space="preserve">results of key univariate sensitivity analyses are summarised in </w:t>
      </w:r>
      <w:r w:rsidR="00D923F0" w:rsidRPr="00F2769B">
        <w:fldChar w:fldCharType="begin"/>
      </w:r>
      <w:r w:rsidR="00D923F0" w:rsidRPr="00F2769B">
        <w:instrText xml:space="preserve"> REF _Ref112658017 \h </w:instrText>
      </w:r>
      <w:r w:rsidR="00F2769B" w:rsidRPr="00F2769B">
        <w:instrText xml:space="preserve"> \* MERGEFORMAT </w:instrText>
      </w:r>
      <w:r w:rsidR="00D923F0" w:rsidRPr="00F2769B">
        <w:fldChar w:fldCharType="separate"/>
      </w:r>
      <w:r w:rsidR="00137984" w:rsidRPr="0006615A">
        <w:t xml:space="preserve">Table </w:t>
      </w:r>
      <w:r w:rsidR="00137984">
        <w:t>18</w:t>
      </w:r>
      <w:r w:rsidR="00D923F0" w:rsidRPr="00F2769B">
        <w:fldChar w:fldCharType="end"/>
      </w:r>
      <w:r w:rsidRPr="00F2769B">
        <w:t xml:space="preserve"> and</w:t>
      </w:r>
      <w:r w:rsidR="00F2769B" w:rsidRPr="00F2769B">
        <w:t xml:space="preserve"> </w:t>
      </w:r>
      <w:r w:rsidR="00F2769B" w:rsidRPr="00F2769B">
        <w:fldChar w:fldCharType="begin"/>
      </w:r>
      <w:r w:rsidR="00F2769B" w:rsidRPr="00F2769B">
        <w:instrText xml:space="preserve"> REF _Ref116486395 \h  \* MERGEFORMAT </w:instrText>
      </w:r>
      <w:r w:rsidR="00F2769B" w:rsidRPr="00F2769B">
        <w:fldChar w:fldCharType="separate"/>
      </w:r>
      <w:r w:rsidR="00137984" w:rsidRPr="00137984">
        <w:t>Table 19</w:t>
      </w:r>
      <w:r w:rsidR="00F2769B" w:rsidRPr="00F2769B">
        <w:fldChar w:fldCharType="end"/>
      </w:r>
      <w:r w:rsidR="00F2769B" w:rsidRPr="00F2769B">
        <w:t>.</w:t>
      </w:r>
      <w:r w:rsidR="00023FBE">
        <w:t xml:space="preserve"> </w:t>
      </w:r>
      <w:r w:rsidR="00321731" w:rsidRPr="00683533">
        <w:rPr>
          <w:iCs/>
        </w:rPr>
        <w:t>T</w:t>
      </w:r>
      <w:r w:rsidR="00930AF1" w:rsidRPr="00683533">
        <w:rPr>
          <w:iCs/>
        </w:rPr>
        <w:t>he</w:t>
      </w:r>
      <w:r w:rsidR="00674061">
        <w:rPr>
          <w:iCs/>
        </w:rPr>
        <w:t xml:space="preserve"> </w:t>
      </w:r>
      <w:r w:rsidR="00552430" w:rsidRPr="00683533">
        <w:rPr>
          <w:iCs/>
        </w:rPr>
        <w:t>ICER</w:t>
      </w:r>
      <w:r w:rsidR="00321731" w:rsidRPr="00683533">
        <w:rPr>
          <w:iCs/>
        </w:rPr>
        <w:t xml:space="preserve"> </w:t>
      </w:r>
      <w:r w:rsidR="00023FBE" w:rsidRPr="00683533">
        <w:rPr>
          <w:iCs/>
        </w:rPr>
        <w:t>for</w:t>
      </w:r>
      <w:r w:rsidR="00321731" w:rsidRPr="00683533">
        <w:rPr>
          <w:iCs/>
        </w:rPr>
        <w:t xml:space="preserve"> </w:t>
      </w:r>
      <w:r w:rsidR="00B15976" w:rsidRPr="00683533">
        <w:rPr>
          <w:iCs/>
        </w:rPr>
        <w:t xml:space="preserve">the </w:t>
      </w:r>
      <w:r w:rsidR="00321731" w:rsidRPr="00683533">
        <w:rPr>
          <w:iCs/>
        </w:rPr>
        <w:t>sensitivity analyses</w:t>
      </w:r>
      <w:r w:rsidR="00B15976" w:rsidRPr="00683533">
        <w:rPr>
          <w:iCs/>
        </w:rPr>
        <w:t xml:space="preserve"> remained</w:t>
      </w:r>
      <w:r w:rsidR="00552430" w:rsidRPr="00683533">
        <w:rPr>
          <w:iCs/>
        </w:rPr>
        <w:t xml:space="preserve"> </w:t>
      </w:r>
      <w:r w:rsidR="00321731" w:rsidRPr="00683533">
        <w:rPr>
          <w:iCs/>
        </w:rPr>
        <w:t>‘</w:t>
      </w:r>
      <w:r w:rsidR="00552430" w:rsidRPr="00683533">
        <w:rPr>
          <w:iCs/>
        </w:rPr>
        <w:t>dominant</w:t>
      </w:r>
      <w:r w:rsidR="00321731" w:rsidRPr="00683533">
        <w:rPr>
          <w:iCs/>
        </w:rPr>
        <w:t>’</w:t>
      </w:r>
      <w:r w:rsidR="00552430" w:rsidRPr="00683533">
        <w:rPr>
          <w:iCs/>
        </w:rPr>
        <w:t xml:space="preserve"> (20vPCV more effective and less costly) </w:t>
      </w:r>
      <w:r w:rsidR="00893C42" w:rsidRPr="00683533">
        <w:rPr>
          <w:iCs/>
        </w:rPr>
        <w:t>for the</w:t>
      </w:r>
      <w:r w:rsidR="00552430" w:rsidRPr="00683533">
        <w:rPr>
          <w:iCs/>
        </w:rPr>
        <w:t xml:space="preserve"> comparison </w:t>
      </w:r>
      <w:r w:rsidR="00893C42" w:rsidRPr="00683533">
        <w:rPr>
          <w:iCs/>
        </w:rPr>
        <w:t>to</w:t>
      </w:r>
      <w:r w:rsidR="00552430" w:rsidRPr="00683533">
        <w:rPr>
          <w:iCs/>
        </w:rPr>
        <w:t xml:space="preserve"> 13vPCV</w:t>
      </w:r>
      <w:r w:rsidR="00B15976" w:rsidRPr="00683533">
        <w:rPr>
          <w:iCs/>
        </w:rPr>
        <w:t xml:space="preserve"> and 15vPCV for the existing NIP populations</w:t>
      </w:r>
      <w:r w:rsidR="00321731" w:rsidRPr="00683533">
        <w:rPr>
          <w:iCs/>
        </w:rPr>
        <w:t xml:space="preserve">, </w:t>
      </w:r>
      <w:r w:rsidR="00B15976" w:rsidRPr="00683533">
        <w:rPr>
          <w:iCs/>
        </w:rPr>
        <w:t xml:space="preserve">with the exception of the scenario of a </w:t>
      </w:r>
      <w:proofErr w:type="gramStart"/>
      <w:r w:rsidR="00B15976" w:rsidRPr="00683533">
        <w:rPr>
          <w:iCs/>
        </w:rPr>
        <w:t>5 year</w:t>
      </w:r>
      <w:proofErr w:type="gramEnd"/>
      <w:r w:rsidR="00B15976" w:rsidRPr="00683533">
        <w:rPr>
          <w:iCs/>
        </w:rPr>
        <w:t xml:space="preserve"> time horizon for the at-risk adults aged 18-69 years population (</w:t>
      </w:r>
      <w:r w:rsidR="00D944B2" w:rsidRPr="00D944B2">
        <w:rPr>
          <w:iCs/>
        </w:rPr>
        <w:t>$35,000 to &lt; $45,000</w:t>
      </w:r>
      <w:r w:rsidR="00B15976" w:rsidRPr="00683533">
        <w:rPr>
          <w:iCs/>
        </w:rPr>
        <w:t xml:space="preserve">/QALY for the comparison with 13vPCV and </w:t>
      </w:r>
      <w:r w:rsidR="00D944B2" w:rsidRPr="00D944B2">
        <w:rPr>
          <w:iCs/>
        </w:rPr>
        <w:t>$155,000 to &lt; $255,000</w:t>
      </w:r>
      <w:r w:rsidR="00B15976" w:rsidRPr="00B47A9D">
        <w:rPr>
          <w:iCs/>
        </w:rPr>
        <w:t>/QALY for the comparison with 15vPCV).</w:t>
      </w:r>
      <w:r w:rsidR="00023FBE" w:rsidRPr="00B47A9D">
        <w:rPr>
          <w:iCs/>
        </w:rPr>
        <w:t xml:space="preserve"> The </w:t>
      </w:r>
      <w:r w:rsidR="00674061" w:rsidRPr="00B47A9D">
        <w:rPr>
          <w:iCs/>
        </w:rPr>
        <w:t xml:space="preserve">PBAC noted that the </w:t>
      </w:r>
      <w:r w:rsidR="00023FBE" w:rsidRPr="00B47A9D">
        <w:rPr>
          <w:iCs/>
        </w:rPr>
        <w:t xml:space="preserve">ICER for the expanded population was sensitive to the model time horizon and assumptions regarding efficacy waning. The </w:t>
      </w:r>
      <w:r w:rsidR="007217D8" w:rsidRPr="00B47A9D">
        <w:rPr>
          <w:iCs/>
        </w:rPr>
        <w:t xml:space="preserve">ICER </w:t>
      </w:r>
      <w:r w:rsidR="00023FBE" w:rsidRPr="00B47A9D">
        <w:rPr>
          <w:iCs/>
        </w:rPr>
        <w:t xml:space="preserve">increased </w:t>
      </w:r>
      <w:r w:rsidR="007217D8" w:rsidRPr="00B47A9D">
        <w:rPr>
          <w:iCs/>
        </w:rPr>
        <w:t xml:space="preserve">from </w:t>
      </w:r>
      <w:r w:rsidR="00D944B2" w:rsidRPr="00D944B2">
        <w:rPr>
          <w:iCs/>
        </w:rPr>
        <w:t>$35,000 to &lt; $45,000</w:t>
      </w:r>
      <w:r w:rsidR="00D944B2">
        <w:rPr>
          <w:iCs/>
        </w:rPr>
        <w:t xml:space="preserve"> </w:t>
      </w:r>
      <w:r w:rsidR="00023FBE" w:rsidRPr="00B47A9D">
        <w:rPr>
          <w:iCs/>
        </w:rPr>
        <w:t xml:space="preserve">to </w:t>
      </w:r>
      <w:r w:rsidR="00D944B2" w:rsidRPr="00B47A9D">
        <w:rPr>
          <w:iCs/>
        </w:rPr>
        <w:t>$355,000 to &lt; $455,000</w:t>
      </w:r>
      <w:r w:rsidR="00023FBE" w:rsidRPr="00B47A9D">
        <w:rPr>
          <w:iCs/>
        </w:rPr>
        <w:t xml:space="preserve">/QALY if the time horizon was reduced to 5 years and to </w:t>
      </w:r>
      <w:r w:rsidR="00D944B2" w:rsidRPr="00D944B2">
        <w:rPr>
          <w:iCs/>
        </w:rPr>
        <w:t>$75,000 to &lt; $95,000</w:t>
      </w:r>
      <w:r w:rsidR="00023FBE" w:rsidRPr="00B47A9D">
        <w:rPr>
          <w:iCs/>
        </w:rPr>
        <w:t xml:space="preserve">/QALY if the vaccine was assumed to have no effect from year 10. </w:t>
      </w:r>
    </w:p>
    <w:p w14:paraId="4DA07AFC" w14:textId="012A5DC1" w:rsidR="006A31A8" w:rsidRPr="00683533" w:rsidRDefault="006A31A8" w:rsidP="00036C51">
      <w:pPr>
        <w:pStyle w:val="3-BodyText"/>
        <w:rPr>
          <w:iCs/>
        </w:rPr>
      </w:pPr>
      <w:bookmarkStart w:id="111" w:name="_Ref116655786"/>
      <w:r w:rsidRPr="00683533">
        <w:rPr>
          <w:iCs/>
        </w:rPr>
        <w:t xml:space="preserve">The ESC noted that ATAGI suggested </w:t>
      </w:r>
      <w:proofErr w:type="gramStart"/>
      <w:r w:rsidRPr="00683533">
        <w:rPr>
          <w:iCs/>
        </w:rPr>
        <w:t>a number of</w:t>
      </w:r>
      <w:proofErr w:type="gramEnd"/>
      <w:r w:rsidRPr="00683533">
        <w:rPr>
          <w:iCs/>
        </w:rPr>
        <w:t xml:space="preserve"> sensitivity analyses that were not addressed in the submission, these included:</w:t>
      </w:r>
      <w:bookmarkEnd w:id="111"/>
    </w:p>
    <w:p w14:paraId="1B5461D9" w14:textId="45F21563" w:rsidR="00B44877" w:rsidRPr="00683533" w:rsidRDefault="005D158E" w:rsidP="00227608">
      <w:pPr>
        <w:pStyle w:val="3-BodyText"/>
        <w:numPr>
          <w:ilvl w:val="0"/>
          <w:numId w:val="32"/>
        </w:numPr>
        <w:ind w:left="1134"/>
        <w:rPr>
          <w:iCs/>
        </w:rPr>
      </w:pPr>
      <w:r w:rsidRPr="00683533">
        <w:rPr>
          <w:iCs/>
        </w:rPr>
        <w:t>R</w:t>
      </w:r>
      <w:r w:rsidR="006A31A8" w:rsidRPr="00683533">
        <w:rPr>
          <w:iCs/>
        </w:rPr>
        <w:t xml:space="preserve">emoval of </w:t>
      </w:r>
      <w:r w:rsidR="00921617" w:rsidRPr="00683533">
        <w:rPr>
          <w:iCs/>
        </w:rPr>
        <w:t xml:space="preserve">23vPPV </w:t>
      </w:r>
      <w:r w:rsidR="006A31A8" w:rsidRPr="00683533">
        <w:rPr>
          <w:iCs/>
        </w:rPr>
        <w:t>doses from the schedule</w:t>
      </w:r>
      <w:r w:rsidR="00B44877" w:rsidRPr="00683533">
        <w:rPr>
          <w:iCs/>
        </w:rPr>
        <w:t xml:space="preserve">: </w:t>
      </w:r>
      <w:r w:rsidR="00B44877" w:rsidRPr="00B44877">
        <w:t>‘</w:t>
      </w:r>
      <w:r w:rsidR="00B44877" w:rsidRPr="00683533">
        <w:rPr>
          <w:iCs/>
        </w:rPr>
        <w:t xml:space="preserve">ATAGI recommend thorough exploration of the proposal to remove the doses of 23vPPV from the schedule’ (p66, </w:t>
      </w:r>
      <w:r w:rsidR="000C165F" w:rsidRPr="00683533">
        <w:rPr>
          <w:iCs/>
        </w:rPr>
        <w:t>Prevenar 20,</w:t>
      </w:r>
      <w:r w:rsidR="000C165F" w:rsidRPr="004E375B">
        <w:t xml:space="preserve"> </w:t>
      </w:r>
      <w:r w:rsidR="00B44877" w:rsidRPr="00683533">
        <w:rPr>
          <w:iCs/>
        </w:rPr>
        <w:t>ATAGI pre-submission advice</w:t>
      </w:r>
      <w:r w:rsidR="00F137BC" w:rsidRPr="00683533">
        <w:rPr>
          <w:iCs/>
        </w:rPr>
        <w:t xml:space="preserve"> to PBAC</w:t>
      </w:r>
      <w:r w:rsidR="00B44877" w:rsidRPr="00683533">
        <w:rPr>
          <w:iCs/>
        </w:rPr>
        <w:t>, April 2022</w:t>
      </w:r>
      <w:proofErr w:type="gramStart"/>
      <w:r w:rsidR="00B44877" w:rsidRPr="00683533">
        <w:rPr>
          <w:iCs/>
        </w:rPr>
        <w:t>)</w:t>
      </w:r>
      <w:r w:rsidR="006A31A8" w:rsidRPr="00683533">
        <w:rPr>
          <w:iCs/>
        </w:rPr>
        <w:t>;</w:t>
      </w:r>
      <w:proofErr w:type="gramEnd"/>
    </w:p>
    <w:p w14:paraId="15F9A06F" w14:textId="732B494F" w:rsidR="00BB10EC" w:rsidRPr="00683533" w:rsidRDefault="00B44877" w:rsidP="00227608">
      <w:pPr>
        <w:pStyle w:val="3-BodyText"/>
        <w:numPr>
          <w:ilvl w:val="0"/>
          <w:numId w:val="32"/>
        </w:numPr>
        <w:ind w:left="1134"/>
        <w:rPr>
          <w:iCs/>
        </w:rPr>
      </w:pPr>
      <w:r w:rsidRPr="00683533">
        <w:rPr>
          <w:iCs/>
        </w:rPr>
        <w:t xml:space="preserve">Variation to the proportion of CAP due to pneumococcal: </w:t>
      </w:r>
      <w:r w:rsidR="005958CB" w:rsidRPr="00683533">
        <w:rPr>
          <w:iCs/>
        </w:rPr>
        <w:t>‘</w:t>
      </w:r>
      <w:r w:rsidRPr="00683533">
        <w:rPr>
          <w:iCs/>
        </w:rPr>
        <w:t>As a sensitivity analysis, apply the incidence rate ratio seen for IPD for Aboriginal and Torres Strait Islander people and non-Indigenous people to pneumococcal CAP rates for each age group to calculate rates for Indigenous people.</w:t>
      </w:r>
      <w:r w:rsidR="005958CB" w:rsidRPr="00683533">
        <w:rPr>
          <w:iCs/>
        </w:rPr>
        <w:t>’</w:t>
      </w:r>
      <w:r w:rsidRPr="00683533">
        <w:rPr>
          <w:iCs/>
        </w:rPr>
        <w:t xml:space="preserve"> (p68, </w:t>
      </w:r>
      <w:r w:rsidR="000C165F" w:rsidRPr="00683533">
        <w:rPr>
          <w:iCs/>
        </w:rPr>
        <w:t>Prevenar 20,</w:t>
      </w:r>
      <w:r w:rsidR="000C165F" w:rsidRPr="004E375B">
        <w:t xml:space="preserve"> </w:t>
      </w:r>
      <w:r w:rsidRPr="00683533">
        <w:rPr>
          <w:iCs/>
        </w:rPr>
        <w:t>ATAGI pre-submission advice</w:t>
      </w:r>
      <w:r w:rsidR="00F137BC" w:rsidRPr="00683533">
        <w:rPr>
          <w:iCs/>
        </w:rPr>
        <w:t xml:space="preserve"> to PBAC</w:t>
      </w:r>
      <w:r w:rsidRPr="00683533">
        <w:rPr>
          <w:iCs/>
        </w:rPr>
        <w:t>, April 2022</w:t>
      </w:r>
      <w:proofErr w:type="gramStart"/>
      <w:r w:rsidRPr="00683533">
        <w:rPr>
          <w:iCs/>
        </w:rPr>
        <w:t>)</w:t>
      </w:r>
      <w:r w:rsidR="00BB10EC" w:rsidRPr="00683533">
        <w:rPr>
          <w:iCs/>
        </w:rPr>
        <w:t>;</w:t>
      </w:r>
      <w:proofErr w:type="gramEnd"/>
    </w:p>
    <w:p w14:paraId="3E6A8ECB" w14:textId="5EA84D70" w:rsidR="006A31A8" w:rsidRPr="00683533" w:rsidRDefault="00390F00" w:rsidP="00227608">
      <w:pPr>
        <w:pStyle w:val="3-BodyText"/>
        <w:numPr>
          <w:ilvl w:val="0"/>
          <w:numId w:val="32"/>
        </w:numPr>
        <w:ind w:left="1134"/>
        <w:rPr>
          <w:iCs/>
          <w:lang w:val="en-GB"/>
        </w:rPr>
      </w:pPr>
      <w:r w:rsidRPr="00683533">
        <w:rPr>
          <w:iCs/>
        </w:rPr>
        <w:t>Variation to</w:t>
      </w:r>
      <w:r w:rsidR="005958CB" w:rsidRPr="00683533">
        <w:rPr>
          <w:iCs/>
        </w:rPr>
        <w:t xml:space="preserve"> the proportion of</w:t>
      </w:r>
      <w:r w:rsidR="008261A7" w:rsidRPr="00683533">
        <w:rPr>
          <w:iCs/>
        </w:rPr>
        <w:t xml:space="preserve"> </w:t>
      </w:r>
      <w:r w:rsidR="006A31A8" w:rsidRPr="00683533">
        <w:rPr>
          <w:iCs/>
        </w:rPr>
        <w:t>GP CAP</w:t>
      </w:r>
      <w:r w:rsidR="008261A7" w:rsidRPr="00683533">
        <w:rPr>
          <w:iCs/>
        </w:rPr>
        <w:t xml:space="preserve"> </w:t>
      </w:r>
      <w:r w:rsidR="005958CB" w:rsidRPr="00683533">
        <w:rPr>
          <w:iCs/>
        </w:rPr>
        <w:t>due to pneumococcal</w:t>
      </w:r>
      <w:r w:rsidRPr="00683533">
        <w:rPr>
          <w:iCs/>
        </w:rPr>
        <w:t xml:space="preserve">: </w:t>
      </w:r>
      <w:r w:rsidRPr="00683533">
        <w:rPr>
          <w:iCs/>
          <w:lang w:val="en-GB"/>
        </w:rPr>
        <w:t xml:space="preserve">‘Note the percentage of GP CAP caused by pneumococcus may be less than that in hospitalised cases (20.6%). The lower (13.8%) calculated CI should be used as a sensitivity analyses’ (p68, </w:t>
      </w:r>
      <w:r w:rsidR="000C165F" w:rsidRPr="00683533">
        <w:rPr>
          <w:iCs/>
        </w:rPr>
        <w:t>Prevenar 20,</w:t>
      </w:r>
      <w:r w:rsidR="000C165F" w:rsidRPr="004E375B">
        <w:t xml:space="preserve"> </w:t>
      </w:r>
      <w:r w:rsidRPr="00683533">
        <w:rPr>
          <w:iCs/>
          <w:lang w:val="en-GB"/>
        </w:rPr>
        <w:t>ATAGI pre-submission advice</w:t>
      </w:r>
      <w:r w:rsidR="00F137BC" w:rsidRPr="00683533">
        <w:rPr>
          <w:iCs/>
          <w:lang w:val="en-GB"/>
        </w:rPr>
        <w:t xml:space="preserve"> to PBAC</w:t>
      </w:r>
      <w:r w:rsidRPr="00683533">
        <w:rPr>
          <w:iCs/>
          <w:lang w:val="en-GB"/>
        </w:rPr>
        <w:t>, April 2022</w:t>
      </w:r>
      <w:proofErr w:type="gramStart"/>
      <w:r w:rsidRPr="00683533">
        <w:rPr>
          <w:iCs/>
          <w:lang w:val="en-GB"/>
        </w:rPr>
        <w:t>)</w:t>
      </w:r>
      <w:r w:rsidR="005B51BD" w:rsidRPr="00683533">
        <w:rPr>
          <w:iCs/>
          <w:lang w:val="en-GB"/>
        </w:rPr>
        <w:t>;</w:t>
      </w:r>
      <w:proofErr w:type="gramEnd"/>
    </w:p>
    <w:p w14:paraId="4DD6FEBB" w14:textId="65272B16" w:rsidR="0015465F" w:rsidRPr="00683533" w:rsidRDefault="0015465F" w:rsidP="00227608">
      <w:pPr>
        <w:pStyle w:val="3-BodyText"/>
        <w:numPr>
          <w:ilvl w:val="0"/>
          <w:numId w:val="32"/>
        </w:numPr>
        <w:ind w:left="1134"/>
        <w:rPr>
          <w:iCs/>
        </w:rPr>
      </w:pPr>
      <w:r w:rsidRPr="00683533">
        <w:rPr>
          <w:iCs/>
        </w:rPr>
        <w:t xml:space="preserve">Variation to vaccine efficacy for unmatched serotypes: </w:t>
      </w:r>
      <w:r w:rsidR="00C02C93" w:rsidRPr="00683533">
        <w:rPr>
          <w:iCs/>
        </w:rPr>
        <w:t xml:space="preserve">‘Overall CAPITA estimates should be used as the base case, with the lower and upper CIs of the estimates for VT IPD and VT non-invasive CAP from CAPITA for a sensitivity analysis. The same VE estimates should be applied to all non-PCV13 serotypes contained in PCV15 and PCV20. Suggest exploring reduced efficacy for ST8, </w:t>
      </w:r>
      <w:proofErr w:type="gramStart"/>
      <w:r w:rsidR="00C02C93" w:rsidRPr="00683533">
        <w:rPr>
          <w:iCs/>
        </w:rPr>
        <w:t>e.g.</w:t>
      </w:r>
      <w:proofErr w:type="gramEnd"/>
      <w:r w:rsidR="00C02C93" w:rsidRPr="00683533">
        <w:rPr>
          <w:iCs/>
        </w:rPr>
        <w:t xml:space="preserve"> 50%*75% for IPD and 50%*45% for CAP)’ (p69, </w:t>
      </w:r>
      <w:r w:rsidR="000C165F" w:rsidRPr="00683533">
        <w:rPr>
          <w:iCs/>
        </w:rPr>
        <w:t>Prevenar 20,</w:t>
      </w:r>
      <w:r w:rsidR="000C165F" w:rsidRPr="004E375B">
        <w:t xml:space="preserve"> </w:t>
      </w:r>
      <w:r w:rsidR="00C02C93" w:rsidRPr="00683533">
        <w:rPr>
          <w:iCs/>
        </w:rPr>
        <w:t>ATAGI pre-submission advice</w:t>
      </w:r>
      <w:r w:rsidR="00F137BC" w:rsidRPr="00683533">
        <w:rPr>
          <w:iCs/>
        </w:rPr>
        <w:t xml:space="preserve"> to PBAC</w:t>
      </w:r>
      <w:r w:rsidR="00C02C93" w:rsidRPr="00683533">
        <w:rPr>
          <w:iCs/>
        </w:rPr>
        <w:t>, April 2022);</w:t>
      </w:r>
    </w:p>
    <w:p w14:paraId="0587F720" w14:textId="447D4938" w:rsidR="006A31A8" w:rsidRPr="00683533" w:rsidRDefault="00176DBD" w:rsidP="00227608">
      <w:pPr>
        <w:pStyle w:val="3-BodyText"/>
        <w:numPr>
          <w:ilvl w:val="0"/>
          <w:numId w:val="32"/>
        </w:numPr>
        <w:ind w:left="1134"/>
        <w:rPr>
          <w:iCs/>
        </w:rPr>
      </w:pPr>
      <w:r w:rsidRPr="00683533">
        <w:rPr>
          <w:iCs/>
        </w:rPr>
        <w:lastRenderedPageBreak/>
        <w:t>Reduced</w:t>
      </w:r>
      <w:r w:rsidR="0015465F" w:rsidRPr="00683533">
        <w:rPr>
          <w:iCs/>
        </w:rPr>
        <w:t xml:space="preserve"> vaccine</w:t>
      </w:r>
      <w:r w:rsidR="006A31A8" w:rsidRPr="00683533">
        <w:rPr>
          <w:iCs/>
        </w:rPr>
        <w:t xml:space="preserve"> efficacy for serotype</w:t>
      </w:r>
      <w:r w:rsidR="005D158E" w:rsidRPr="00683533">
        <w:rPr>
          <w:iCs/>
        </w:rPr>
        <w:t xml:space="preserve"> 3</w:t>
      </w:r>
      <w:r w:rsidRPr="00683533">
        <w:rPr>
          <w:iCs/>
        </w:rPr>
        <w:t xml:space="preserve">: ‘For ST3: For all PCV a VE of 26% (based on </w:t>
      </w:r>
      <w:proofErr w:type="spellStart"/>
      <w:r w:rsidRPr="00683533">
        <w:rPr>
          <w:iCs/>
        </w:rPr>
        <w:t>Pilshvili</w:t>
      </w:r>
      <w:proofErr w:type="spellEnd"/>
      <w:r w:rsidRPr="00683533">
        <w:rPr>
          <w:iCs/>
        </w:rPr>
        <w:t xml:space="preserve"> 2018) should be used as the base case for IPD, with a range from 0% to 75% (from </w:t>
      </w:r>
      <w:proofErr w:type="spellStart"/>
      <w:r w:rsidRPr="00683533">
        <w:rPr>
          <w:iCs/>
        </w:rPr>
        <w:t>CAPiTA</w:t>
      </w:r>
      <w:proofErr w:type="spellEnd"/>
      <w:r w:rsidRPr="00683533">
        <w:rPr>
          <w:iCs/>
        </w:rPr>
        <w:t xml:space="preserve">). This was recommended in the V114 (15vPCV) advice, with a base case of 26%*0.45/0.75 (15.6%) for CAP, with a range from 0% to 45% for sensitivity analyses.’ (p69, </w:t>
      </w:r>
      <w:r w:rsidR="000C165F" w:rsidRPr="00683533">
        <w:rPr>
          <w:iCs/>
        </w:rPr>
        <w:t>Prevenar 20,</w:t>
      </w:r>
      <w:r w:rsidR="000C165F" w:rsidRPr="004E375B">
        <w:t xml:space="preserve"> </w:t>
      </w:r>
      <w:r w:rsidRPr="00683533">
        <w:rPr>
          <w:iCs/>
        </w:rPr>
        <w:t>ATAGI pre-submission advice</w:t>
      </w:r>
      <w:r w:rsidR="00F137BC" w:rsidRPr="00683533">
        <w:rPr>
          <w:iCs/>
        </w:rPr>
        <w:t xml:space="preserve"> to PBAC</w:t>
      </w:r>
      <w:r w:rsidRPr="00683533">
        <w:rPr>
          <w:iCs/>
        </w:rPr>
        <w:t xml:space="preserve">, April 2022); and </w:t>
      </w:r>
    </w:p>
    <w:p w14:paraId="15431437" w14:textId="156EBF70" w:rsidR="006A31A8" w:rsidRPr="00683533" w:rsidRDefault="006A31A8" w:rsidP="00227608">
      <w:pPr>
        <w:pStyle w:val="3-BodyText"/>
        <w:numPr>
          <w:ilvl w:val="0"/>
          <w:numId w:val="32"/>
        </w:numPr>
        <w:ind w:left="1134"/>
        <w:rPr>
          <w:iCs/>
        </w:rPr>
      </w:pPr>
      <w:r w:rsidRPr="00683533">
        <w:rPr>
          <w:iCs/>
        </w:rPr>
        <w:t>V</w:t>
      </w:r>
      <w:r w:rsidR="0015465F" w:rsidRPr="00683533">
        <w:rPr>
          <w:iCs/>
        </w:rPr>
        <w:t>ariation to v</w:t>
      </w:r>
      <w:r w:rsidRPr="00683533">
        <w:rPr>
          <w:iCs/>
        </w:rPr>
        <w:t xml:space="preserve">accine </w:t>
      </w:r>
      <w:r w:rsidR="008261A7" w:rsidRPr="00683533">
        <w:rPr>
          <w:iCs/>
        </w:rPr>
        <w:t>uptake</w:t>
      </w:r>
      <w:r w:rsidR="0089447A" w:rsidRPr="00683533">
        <w:rPr>
          <w:iCs/>
        </w:rPr>
        <w:t xml:space="preserve">: ‘Among non-Indigenous adults ≥65 years, the assumed uptake of 53% is applied to the forecasted number of persons turning 65 each year. This uptake rate is obtained from the advice provided by ATAGI in June 2018. No sensitivity analysis was proposed in the Request, but the October 2014 ATAGI advice, where a number of these estimates were first provided, suggests 35% to 75%.’ (p71-72, </w:t>
      </w:r>
      <w:r w:rsidR="000C165F" w:rsidRPr="00683533">
        <w:rPr>
          <w:iCs/>
        </w:rPr>
        <w:t>Prevenar 20,</w:t>
      </w:r>
      <w:r w:rsidR="000C165F" w:rsidRPr="004E375B">
        <w:t xml:space="preserve"> </w:t>
      </w:r>
      <w:r w:rsidR="0089447A" w:rsidRPr="00683533">
        <w:rPr>
          <w:iCs/>
        </w:rPr>
        <w:t>ATAGI pre-submission advice</w:t>
      </w:r>
      <w:r w:rsidR="00F137BC" w:rsidRPr="00683533">
        <w:rPr>
          <w:iCs/>
        </w:rPr>
        <w:t xml:space="preserve"> to PBAC</w:t>
      </w:r>
      <w:r w:rsidR="0089447A" w:rsidRPr="00683533">
        <w:rPr>
          <w:iCs/>
        </w:rPr>
        <w:t>, April 2022).</w:t>
      </w:r>
    </w:p>
    <w:p w14:paraId="405F8E12" w14:textId="0A5ECB1B" w:rsidR="007D4D11" w:rsidRPr="0006615A" w:rsidRDefault="007D4D11" w:rsidP="005655B7">
      <w:pPr>
        <w:pStyle w:val="Caption"/>
        <w:rPr>
          <w:color w:val="3366FF"/>
        </w:rPr>
      </w:pPr>
      <w:bookmarkStart w:id="112" w:name="_Ref112658017"/>
      <w:r w:rsidRPr="0006615A">
        <w:lastRenderedPageBreak/>
        <w:t xml:space="preserve">Table </w:t>
      </w:r>
      <w:r w:rsidRPr="0006615A">
        <w:fldChar w:fldCharType="begin"/>
      </w:r>
      <w:r w:rsidRPr="0006615A">
        <w:instrText>SEQ Table \* ARABIC</w:instrText>
      </w:r>
      <w:r w:rsidRPr="0006615A">
        <w:fldChar w:fldCharType="separate"/>
      </w:r>
      <w:r w:rsidR="00137984">
        <w:rPr>
          <w:noProof/>
        </w:rPr>
        <w:t>18</w:t>
      </w:r>
      <w:r w:rsidRPr="0006615A">
        <w:fldChar w:fldCharType="end"/>
      </w:r>
      <w:bookmarkEnd w:id="112"/>
      <w:r w:rsidRPr="0006615A">
        <w:t>:</w:t>
      </w:r>
      <w:r w:rsidRPr="0006615A">
        <w:rPr>
          <w:rStyle w:val="CommentReference"/>
          <w:szCs w:val="24"/>
        </w:rPr>
        <w:t xml:space="preserve"> </w:t>
      </w:r>
      <w:r w:rsidRPr="0006615A">
        <w:rPr>
          <w:rStyle w:val="CommentReference"/>
          <w:b/>
          <w:bCs/>
          <w:szCs w:val="24"/>
        </w:rPr>
        <w:t>Sensitivity analyses</w:t>
      </w:r>
      <w:r w:rsidRPr="0006615A">
        <w:rPr>
          <w:b w:val="0"/>
          <w:bCs w:val="0"/>
        </w:rPr>
        <w:t xml:space="preserve"> </w:t>
      </w:r>
      <w:r w:rsidRPr="0006615A">
        <w:t xml:space="preserve">for non-Indigenous adults aged </w:t>
      </w:r>
      <w:r w:rsidR="0053475F" w:rsidRPr="0006615A">
        <w:t xml:space="preserve">≥ </w:t>
      </w:r>
      <w:r w:rsidRPr="0006615A">
        <w:t>70 years, Indigenous Australians aged ≥ 50 years, and at-risk adults aged 18-69</w:t>
      </w:r>
    </w:p>
    <w:tbl>
      <w:tblPr>
        <w:tblStyle w:val="TableGridbeth1"/>
        <w:tblW w:w="5000" w:type="pct"/>
        <w:tblLayout w:type="fixed"/>
        <w:tblLook w:val="04A0" w:firstRow="1" w:lastRow="0" w:firstColumn="1" w:lastColumn="0" w:noHBand="0" w:noVBand="1"/>
      </w:tblPr>
      <w:tblGrid>
        <w:gridCol w:w="3114"/>
        <w:gridCol w:w="985"/>
        <w:gridCol w:w="985"/>
        <w:gridCol w:w="16"/>
        <w:gridCol w:w="968"/>
        <w:gridCol w:w="983"/>
        <w:gridCol w:w="985"/>
        <w:gridCol w:w="41"/>
        <w:gridCol w:w="940"/>
      </w:tblGrid>
      <w:tr w:rsidR="0017012A" w:rsidRPr="0006615A" w14:paraId="771D2DF4" w14:textId="77777777" w:rsidTr="00E5290F">
        <w:trPr>
          <w:trHeight w:val="255"/>
        </w:trPr>
        <w:tc>
          <w:tcPr>
            <w:tcW w:w="1727" w:type="pct"/>
            <w:vMerge w:val="restart"/>
          </w:tcPr>
          <w:p w14:paraId="77E2A6B5" w14:textId="77777777" w:rsidR="0017012A" w:rsidRPr="0006615A" w:rsidRDefault="0017012A" w:rsidP="00CC71B0">
            <w:pPr>
              <w:keepNext/>
              <w:keepLines/>
              <w:rPr>
                <w:rFonts w:ascii="Arial Narrow" w:eastAsia="Arial Narrow" w:hAnsi="Arial Narrow" w:cs="Arial Narrow"/>
                <w:b/>
                <w:bCs/>
                <w:color w:val="000000" w:themeColor="text1"/>
                <w:sz w:val="20"/>
                <w:szCs w:val="20"/>
              </w:rPr>
            </w:pPr>
          </w:p>
          <w:p w14:paraId="4D225EE5" w14:textId="77777777" w:rsidR="0017012A" w:rsidRPr="0006615A" w:rsidRDefault="0017012A" w:rsidP="00CC71B0">
            <w:pPr>
              <w:keepNext/>
              <w:keepLines/>
              <w:rPr>
                <w:rFonts w:ascii="Arial Narrow" w:eastAsia="Arial Narrow" w:hAnsi="Arial Narrow" w:cs="Arial Narrow"/>
                <w:b/>
                <w:bCs/>
                <w:color w:val="000000" w:themeColor="text1"/>
                <w:sz w:val="20"/>
                <w:szCs w:val="20"/>
              </w:rPr>
            </w:pPr>
          </w:p>
          <w:p w14:paraId="3A9F5BD2" w14:textId="77777777" w:rsidR="0017012A" w:rsidRPr="0006615A" w:rsidRDefault="0017012A" w:rsidP="00CC71B0">
            <w:pPr>
              <w:keepNext/>
              <w:keepLines/>
              <w:rPr>
                <w:sz w:val="20"/>
                <w:szCs w:val="20"/>
              </w:rPr>
            </w:pPr>
            <w:r w:rsidRPr="0006615A">
              <w:rPr>
                <w:rFonts w:ascii="Arial Narrow" w:eastAsia="Arial Narrow" w:hAnsi="Arial Narrow" w:cs="Arial Narrow"/>
                <w:b/>
                <w:bCs/>
                <w:color w:val="000000" w:themeColor="text1"/>
                <w:sz w:val="20"/>
                <w:szCs w:val="20"/>
              </w:rPr>
              <w:t>Variation to input variable</w:t>
            </w:r>
          </w:p>
        </w:tc>
        <w:tc>
          <w:tcPr>
            <w:tcW w:w="1637" w:type="pct"/>
            <w:gridSpan w:val="4"/>
          </w:tcPr>
          <w:p w14:paraId="0E925EF5" w14:textId="77777777" w:rsidR="0017012A" w:rsidRPr="0006615A" w:rsidRDefault="0017012A" w:rsidP="00CC71B0">
            <w:pPr>
              <w:keepNext/>
              <w:keepLines/>
              <w:jc w:val="center"/>
              <w:rPr>
                <w:rFonts w:ascii="Arial Narrow" w:eastAsia="Arial Narrow" w:hAnsi="Arial Narrow" w:cs="Arial Narrow"/>
                <w:b/>
                <w:color w:val="000000" w:themeColor="text1"/>
                <w:sz w:val="20"/>
                <w:szCs w:val="20"/>
              </w:rPr>
            </w:pPr>
            <w:r w:rsidRPr="0006615A">
              <w:rPr>
                <w:rFonts w:ascii="Arial Narrow" w:eastAsia="Arial Narrow" w:hAnsi="Arial Narrow" w:cs="Arial Narrow"/>
                <w:b/>
                <w:bCs/>
                <w:color w:val="000000" w:themeColor="text1"/>
                <w:sz w:val="20"/>
                <w:szCs w:val="20"/>
              </w:rPr>
              <w:t>20vPCV vs 13vPCV</w:t>
            </w:r>
          </w:p>
        </w:tc>
        <w:tc>
          <w:tcPr>
            <w:tcW w:w="1636" w:type="pct"/>
            <w:gridSpan w:val="4"/>
          </w:tcPr>
          <w:p w14:paraId="2051A46A" w14:textId="77777777" w:rsidR="0017012A" w:rsidRPr="0006615A" w:rsidRDefault="0017012A" w:rsidP="00CC71B0">
            <w:pPr>
              <w:keepNext/>
              <w:keepLines/>
              <w:jc w:val="center"/>
              <w:rPr>
                <w:sz w:val="20"/>
                <w:szCs w:val="20"/>
              </w:rPr>
            </w:pPr>
            <w:r w:rsidRPr="0006615A">
              <w:rPr>
                <w:rFonts w:ascii="Arial Narrow" w:eastAsia="Arial Narrow" w:hAnsi="Arial Narrow" w:cs="Arial Narrow"/>
                <w:b/>
                <w:bCs/>
                <w:color w:val="000000" w:themeColor="text1"/>
                <w:sz w:val="20"/>
                <w:szCs w:val="20"/>
              </w:rPr>
              <w:t>20vPCV vs 15vPCV</w:t>
            </w:r>
          </w:p>
        </w:tc>
      </w:tr>
      <w:tr w:rsidR="0017012A" w:rsidRPr="00683533" w14:paraId="7E2E5530" w14:textId="77777777" w:rsidTr="00E5290F">
        <w:trPr>
          <w:trHeight w:val="255"/>
        </w:trPr>
        <w:tc>
          <w:tcPr>
            <w:tcW w:w="1727" w:type="pct"/>
            <w:vMerge/>
          </w:tcPr>
          <w:p w14:paraId="3578D35E" w14:textId="77777777" w:rsidR="0017012A" w:rsidRPr="00683533" w:rsidRDefault="0017012A" w:rsidP="00CC71B0">
            <w:pPr>
              <w:keepNext/>
              <w:keepLines/>
              <w:rPr>
                <w:sz w:val="20"/>
                <w:szCs w:val="20"/>
              </w:rPr>
            </w:pPr>
          </w:p>
        </w:tc>
        <w:tc>
          <w:tcPr>
            <w:tcW w:w="1101" w:type="pct"/>
            <w:gridSpan w:val="3"/>
          </w:tcPr>
          <w:p w14:paraId="77517C03" w14:textId="77777777" w:rsidR="0017012A" w:rsidRPr="00683533" w:rsidRDefault="0017012A" w:rsidP="00CC71B0">
            <w:pPr>
              <w:keepNext/>
              <w:keepLines/>
              <w:jc w:val="center"/>
              <w:rPr>
                <w:rFonts w:ascii="Arial Narrow" w:eastAsia="Arial Narrow" w:hAnsi="Arial Narrow" w:cs="Arial Narrow"/>
                <w:b/>
                <w:bCs/>
                <w:iCs/>
                <w:color w:val="000000" w:themeColor="text1"/>
                <w:sz w:val="20"/>
                <w:szCs w:val="20"/>
              </w:rPr>
            </w:pPr>
            <w:r w:rsidRPr="00683533">
              <w:rPr>
                <w:rFonts w:ascii="Arial Narrow" w:eastAsia="Arial Narrow" w:hAnsi="Arial Narrow" w:cs="Arial Narrow"/>
                <w:b/>
                <w:bCs/>
                <w:iCs/>
                <w:color w:val="000000" w:themeColor="text1"/>
                <w:sz w:val="20"/>
                <w:szCs w:val="20"/>
              </w:rPr>
              <w:t xml:space="preserve">Incremental </w:t>
            </w:r>
          </w:p>
        </w:tc>
        <w:tc>
          <w:tcPr>
            <w:tcW w:w="537" w:type="pct"/>
          </w:tcPr>
          <w:p w14:paraId="0C0F6825" w14:textId="77777777" w:rsidR="0017012A" w:rsidRPr="00683533" w:rsidRDefault="0017012A" w:rsidP="00CC71B0">
            <w:pPr>
              <w:keepNext/>
              <w:keepLines/>
              <w:jc w:val="center"/>
              <w:rPr>
                <w:rFonts w:ascii="Arial Narrow" w:eastAsia="Arial Narrow" w:hAnsi="Arial Narrow" w:cs="Arial Narrow"/>
                <w:b/>
                <w:bCs/>
                <w:color w:val="000000" w:themeColor="text1"/>
                <w:sz w:val="20"/>
                <w:szCs w:val="20"/>
              </w:rPr>
            </w:pPr>
            <w:r w:rsidRPr="00683533">
              <w:rPr>
                <w:rFonts w:ascii="Arial Narrow" w:eastAsia="Arial Narrow" w:hAnsi="Arial Narrow" w:cs="Arial Narrow"/>
                <w:b/>
                <w:bCs/>
                <w:color w:val="000000" w:themeColor="text1"/>
                <w:sz w:val="20"/>
                <w:szCs w:val="20"/>
              </w:rPr>
              <w:t>ICER</w:t>
            </w:r>
          </w:p>
        </w:tc>
        <w:tc>
          <w:tcPr>
            <w:tcW w:w="1114" w:type="pct"/>
            <w:gridSpan w:val="3"/>
          </w:tcPr>
          <w:p w14:paraId="461AFA08" w14:textId="77777777" w:rsidR="0017012A" w:rsidRPr="00683533" w:rsidRDefault="0017012A" w:rsidP="00CC71B0">
            <w:pPr>
              <w:keepNext/>
              <w:keepLines/>
              <w:jc w:val="center"/>
              <w:rPr>
                <w:rFonts w:ascii="Arial Narrow" w:eastAsia="Arial Narrow" w:hAnsi="Arial Narrow" w:cs="Arial Narrow"/>
                <w:b/>
                <w:bCs/>
                <w:iCs/>
                <w:color w:val="000000" w:themeColor="text1"/>
                <w:sz w:val="20"/>
                <w:szCs w:val="20"/>
              </w:rPr>
            </w:pPr>
            <w:r w:rsidRPr="00683533">
              <w:rPr>
                <w:rFonts w:ascii="Arial Narrow" w:eastAsia="Arial Narrow" w:hAnsi="Arial Narrow" w:cs="Arial Narrow"/>
                <w:b/>
                <w:bCs/>
                <w:iCs/>
                <w:color w:val="000000" w:themeColor="text1"/>
                <w:sz w:val="20"/>
                <w:szCs w:val="20"/>
              </w:rPr>
              <w:t xml:space="preserve">Incremental </w:t>
            </w:r>
          </w:p>
        </w:tc>
        <w:tc>
          <w:tcPr>
            <w:tcW w:w="522" w:type="pct"/>
          </w:tcPr>
          <w:p w14:paraId="13F6CD4A" w14:textId="77777777" w:rsidR="0017012A" w:rsidRPr="00683533" w:rsidRDefault="0017012A" w:rsidP="00CC71B0">
            <w:pPr>
              <w:keepNext/>
              <w:keepLines/>
              <w:jc w:val="center"/>
              <w:rPr>
                <w:rFonts w:ascii="Arial Narrow" w:eastAsia="Arial Narrow" w:hAnsi="Arial Narrow" w:cs="Arial Narrow"/>
                <w:b/>
                <w:bCs/>
                <w:color w:val="000000" w:themeColor="text1"/>
                <w:sz w:val="20"/>
                <w:szCs w:val="20"/>
              </w:rPr>
            </w:pPr>
            <w:r w:rsidRPr="00683533">
              <w:rPr>
                <w:rFonts w:ascii="Arial Narrow" w:eastAsia="Arial Narrow" w:hAnsi="Arial Narrow" w:cs="Arial Narrow"/>
                <w:b/>
                <w:bCs/>
                <w:color w:val="000000" w:themeColor="text1"/>
                <w:sz w:val="20"/>
                <w:szCs w:val="20"/>
              </w:rPr>
              <w:t>ICER</w:t>
            </w:r>
          </w:p>
        </w:tc>
      </w:tr>
      <w:tr w:rsidR="0017012A" w:rsidRPr="00683533" w14:paraId="0752652C" w14:textId="77777777" w:rsidTr="00E5290F">
        <w:trPr>
          <w:trHeight w:val="255"/>
        </w:trPr>
        <w:tc>
          <w:tcPr>
            <w:tcW w:w="1727" w:type="pct"/>
            <w:vMerge/>
          </w:tcPr>
          <w:p w14:paraId="52871350" w14:textId="77777777" w:rsidR="0017012A" w:rsidRPr="00683533" w:rsidRDefault="0017012A" w:rsidP="00CC71B0">
            <w:pPr>
              <w:keepNext/>
              <w:keepLines/>
              <w:rPr>
                <w:sz w:val="20"/>
                <w:szCs w:val="20"/>
              </w:rPr>
            </w:pPr>
          </w:p>
        </w:tc>
        <w:tc>
          <w:tcPr>
            <w:tcW w:w="546" w:type="pct"/>
          </w:tcPr>
          <w:p w14:paraId="22FCCE17" w14:textId="7F840312" w:rsidR="0017012A" w:rsidRPr="00683533" w:rsidRDefault="0017012A" w:rsidP="00CC71B0">
            <w:pPr>
              <w:keepNext/>
              <w:keepLines/>
              <w:jc w:val="center"/>
              <w:rPr>
                <w:rFonts w:ascii="Arial Narrow" w:eastAsia="Arial Narrow" w:hAnsi="Arial Narrow" w:cs="Arial Narrow"/>
                <w:b/>
                <w:bCs/>
                <w:iCs/>
                <w:color w:val="000000" w:themeColor="text1"/>
                <w:sz w:val="20"/>
                <w:szCs w:val="20"/>
              </w:rPr>
            </w:pPr>
            <w:r w:rsidRPr="00683533">
              <w:rPr>
                <w:rFonts w:ascii="Arial Narrow" w:eastAsia="Arial Narrow" w:hAnsi="Arial Narrow" w:cs="Arial Narrow"/>
                <w:b/>
                <w:bCs/>
                <w:iCs/>
                <w:color w:val="000000" w:themeColor="text1"/>
                <w:sz w:val="20"/>
                <w:szCs w:val="20"/>
              </w:rPr>
              <w:t>Cost (</w:t>
            </w:r>
            <w:r w:rsidR="0006615A" w:rsidRPr="00683533">
              <w:rPr>
                <w:rFonts w:ascii="Arial Narrow" w:eastAsia="Arial Narrow" w:hAnsi="Arial Narrow" w:cs="Arial Narrow"/>
                <w:b/>
                <w:bCs/>
                <w:iCs/>
                <w:color w:val="000000" w:themeColor="text1"/>
                <w:sz w:val="20"/>
                <w:szCs w:val="20"/>
              </w:rPr>
              <w:t>$</w:t>
            </w:r>
            <w:r w:rsidRPr="00683533">
              <w:rPr>
                <w:rFonts w:ascii="Arial Narrow" w:eastAsia="Arial Narrow" w:hAnsi="Arial Narrow" w:cs="Arial Narrow"/>
                <w:b/>
                <w:bCs/>
                <w:iCs/>
                <w:color w:val="000000" w:themeColor="text1"/>
                <w:sz w:val="20"/>
                <w:szCs w:val="20"/>
              </w:rPr>
              <w:t>)</w:t>
            </w:r>
          </w:p>
        </w:tc>
        <w:tc>
          <w:tcPr>
            <w:tcW w:w="546" w:type="pct"/>
          </w:tcPr>
          <w:p w14:paraId="577AFCA8" w14:textId="77777777" w:rsidR="0017012A" w:rsidRPr="00683533" w:rsidRDefault="0017012A" w:rsidP="00CC71B0">
            <w:pPr>
              <w:keepNext/>
              <w:keepLines/>
              <w:jc w:val="center"/>
              <w:rPr>
                <w:rFonts w:ascii="Arial Narrow" w:eastAsia="Arial Narrow" w:hAnsi="Arial Narrow" w:cs="Arial Narrow"/>
                <w:b/>
                <w:bCs/>
                <w:iCs/>
                <w:color w:val="000000" w:themeColor="text1"/>
                <w:sz w:val="20"/>
                <w:szCs w:val="20"/>
              </w:rPr>
            </w:pPr>
            <w:r w:rsidRPr="00683533">
              <w:rPr>
                <w:rFonts w:ascii="Arial Narrow" w:eastAsia="Arial Narrow" w:hAnsi="Arial Narrow" w:cs="Arial Narrow"/>
                <w:b/>
                <w:bCs/>
                <w:iCs/>
                <w:color w:val="000000" w:themeColor="text1"/>
                <w:sz w:val="20"/>
                <w:szCs w:val="20"/>
              </w:rPr>
              <w:t>QALY</w:t>
            </w:r>
          </w:p>
        </w:tc>
        <w:tc>
          <w:tcPr>
            <w:tcW w:w="546" w:type="pct"/>
            <w:gridSpan w:val="2"/>
          </w:tcPr>
          <w:p w14:paraId="243B8AA1" w14:textId="28D5BD09" w:rsidR="0017012A" w:rsidRPr="00683533" w:rsidRDefault="0017012A" w:rsidP="00CC71B0">
            <w:pPr>
              <w:keepNext/>
              <w:keepLines/>
              <w:jc w:val="center"/>
              <w:rPr>
                <w:sz w:val="20"/>
                <w:szCs w:val="20"/>
              </w:rPr>
            </w:pPr>
            <w:r w:rsidRPr="00683533">
              <w:rPr>
                <w:rFonts w:ascii="Arial Narrow" w:eastAsia="Arial Narrow" w:hAnsi="Arial Narrow" w:cs="Arial Narrow"/>
                <w:b/>
                <w:bCs/>
                <w:color w:val="000000" w:themeColor="text1"/>
                <w:sz w:val="20"/>
                <w:szCs w:val="20"/>
              </w:rPr>
              <w:t>$/</w:t>
            </w:r>
            <w:proofErr w:type="spellStart"/>
            <w:r w:rsidRPr="00683533">
              <w:rPr>
                <w:rFonts w:ascii="Arial Narrow" w:eastAsia="Arial Narrow" w:hAnsi="Arial Narrow" w:cs="Arial Narrow"/>
                <w:b/>
                <w:bCs/>
                <w:color w:val="000000" w:themeColor="text1"/>
                <w:sz w:val="20"/>
                <w:szCs w:val="20"/>
              </w:rPr>
              <w:t>QALY</w:t>
            </w:r>
            <w:r w:rsidRPr="00683533">
              <w:rPr>
                <w:rFonts w:ascii="Arial Narrow" w:eastAsia="Arial Narrow" w:hAnsi="Arial Narrow" w:cs="Arial Narrow"/>
                <w:b/>
                <w:bCs/>
                <w:color w:val="000000" w:themeColor="text1"/>
                <w:sz w:val="20"/>
                <w:szCs w:val="20"/>
                <w:vertAlign w:val="superscript"/>
              </w:rPr>
              <w:t>a</w:t>
            </w:r>
            <w:proofErr w:type="spellEnd"/>
          </w:p>
        </w:tc>
        <w:tc>
          <w:tcPr>
            <w:tcW w:w="545" w:type="pct"/>
          </w:tcPr>
          <w:p w14:paraId="1B4214E9" w14:textId="16C468BC" w:rsidR="0017012A" w:rsidRPr="00683533" w:rsidRDefault="0017012A" w:rsidP="00CC71B0">
            <w:pPr>
              <w:keepNext/>
              <w:keepLines/>
              <w:jc w:val="center"/>
              <w:rPr>
                <w:rFonts w:ascii="Arial Narrow" w:eastAsia="Arial Narrow" w:hAnsi="Arial Narrow" w:cs="Arial Narrow"/>
                <w:b/>
                <w:bCs/>
                <w:iCs/>
                <w:color w:val="000000" w:themeColor="text1"/>
                <w:sz w:val="20"/>
                <w:szCs w:val="20"/>
              </w:rPr>
            </w:pPr>
            <w:r w:rsidRPr="00683533">
              <w:rPr>
                <w:rFonts w:ascii="Arial Narrow" w:eastAsia="Arial Narrow" w:hAnsi="Arial Narrow" w:cs="Arial Narrow"/>
                <w:b/>
                <w:bCs/>
                <w:iCs/>
                <w:color w:val="000000" w:themeColor="text1"/>
                <w:sz w:val="20"/>
                <w:szCs w:val="20"/>
              </w:rPr>
              <w:t>Cost (</w:t>
            </w:r>
            <w:r w:rsidR="0006615A" w:rsidRPr="00683533">
              <w:rPr>
                <w:rFonts w:ascii="Arial Narrow" w:eastAsia="Arial Narrow" w:hAnsi="Arial Narrow" w:cs="Arial Narrow"/>
                <w:b/>
                <w:bCs/>
                <w:iCs/>
                <w:color w:val="000000" w:themeColor="text1"/>
                <w:sz w:val="20"/>
                <w:szCs w:val="20"/>
              </w:rPr>
              <w:t>$</w:t>
            </w:r>
            <w:r w:rsidRPr="00683533">
              <w:rPr>
                <w:rFonts w:ascii="Arial Narrow" w:eastAsia="Arial Narrow" w:hAnsi="Arial Narrow" w:cs="Arial Narrow"/>
                <w:b/>
                <w:bCs/>
                <w:iCs/>
                <w:color w:val="000000" w:themeColor="text1"/>
                <w:sz w:val="20"/>
                <w:szCs w:val="20"/>
              </w:rPr>
              <w:t>)</w:t>
            </w:r>
          </w:p>
        </w:tc>
        <w:tc>
          <w:tcPr>
            <w:tcW w:w="546" w:type="pct"/>
          </w:tcPr>
          <w:p w14:paraId="512900FD" w14:textId="77777777" w:rsidR="0017012A" w:rsidRPr="00683533" w:rsidRDefault="0017012A" w:rsidP="00CC71B0">
            <w:pPr>
              <w:keepNext/>
              <w:keepLines/>
              <w:jc w:val="center"/>
              <w:rPr>
                <w:rFonts w:ascii="Arial Narrow" w:eastAsia="Arial Narrow" w:hAnsi="Arial Narrow" w:cs="Arial Narrow"/>
                <w:b/>
                <w:bCs/>
                <w:iCs/>
                <w:color w:val="000000" w:themeColor="text1"/>
                <w:sz w:val="20"/>
                <w:szCs w:val="20"/>
              </w:rPr>
            </w:pPr>
            <w:r w:rsidRPr="00683533">
              <w:rPr>
                <w:rFonts w:ascii="Arial Narrow" w:eastAsia="Arial Narrow" w:hAnsi="Arial Narrow" w:cs="Arial Narrow"/>
                <w:b/>
                <w:bCs/>
                <w:iCs/>
                <w:color w:val="000000" w:themeColor="text1"/>
                <w:sz w:val="20"/>
                <w:szCs w:val="20"/>
              </w:rPr>
              <w:t>QALY</w:t>
            </w:r>
          </w:p>
        </w:tc>
        <w:tc>
          <w:tcPr>
            <w:tcW w:w="545" w:type="pct"/>
            <w:gridSpan w:val="2"/>
          </w:tcPr>
          <w:p w14:paraId="2D17DBA7" w14:textId="2AC1D092" w:rsidR="0017012A" w:rsidRPr="00683533" w:rsidRDefault="0017012A" w:rsidP="00CC71B0">
            <w:pPr>
              <w:keepNext/>
              <w:keepLines/>
              <w:jc w:val="center"/>
              <w:rPr>
                <w:sz w:val="20"/>
                <w:szCs w:val="20"/>
              </w:rPr>
            </w:pPr>
            <w:r w:rsidRPr="00683533">
              <w:rPr>
                <w:rFonts w:ascii="Arial Narrow" w:eastAsia="Arial Narrow" w:hAnsi="Arial Narrow" w:cs="Arial Narrow"/>
                <w:b/>
                <w:bCs/>
                <w:color w:val="000000" w:themeColor="text1"/>
                <w:sz w:val="20"/>
                <w:szCs w:val="20"/>
              </w:rPr>
              <w:t>$/</w:t>
            </w:r>
            <w:proofErr w:type="spellStart"/>
            <w:r w:rsidRPr="00683533">
              <w:rPr>
                <w:rFonts w:ascii="Arial Narrow" w:eastAsia="Arial Narrow" w:hAnsi="Arial Narrow" w:cs="Arial Narrow"/>
                <w:b/>
                <w:bCs/>
                <w:color w:val="000000" w:themeColor="text1"/>
                <w:sz w:val="20"/>
                <w:szCs w:val="20"/>
              </w:rPr>
              <w:t>QALY</w:t>
            </w:r>
            <w:r w:rsidRPr="00683533">
              <w:rPr>
                <w:rFonts w:ascii="Arial Narrow" w:eastAsia="Arial Narrow" w:hAnsi="Arial Narrow" w:cs="Arial Narrow"/>
                <w:b/>
                <w:bCs/>
                <w:color w:val="000000" w:themeColor="text1"/>
                <w:sz w:val="20"/>
                <w:szCs w:val="20"/>
                <w:vertAlign w:val="superscript"/>
              </w:rPr>
              <w:t>a</w:t>
            </w:r>
            <w:proofErr w:type="spellEnd"/>
          </w:p>
        </w:tc>
      </w:tr>
      <w:tr w:rsidR="0017012A" w:rsidRPr="00683533" w14:paraId="3F7CF7FD" w14:textId="77777777" w:rsidTr="00E5290F">
        <w:trPr>
          <w:trHeight w:val="255"/>
        </w:trPr>
        <w:tc>
          <w:tcPr>
            <w:tcW w:w="1727" w:type="pct"/>
          </w:tcPr>
          <w:p w14:paraId="7EFFF1BE" w14:textId="77777777" w:rsidR="0017012A" w:rsidRPr="00683533" w:rsidRDefault="0017012A" w:rsidP="00CC71B0">
            <w:pPr>
              <w:keepNext/>
              <w:keepLines/>
              <w:rPr>
                <w:sz w:val="20"/>
                <w:szCs w:val="20"/>
                <w:vertAlign w:val="superscript"/>
              </w:rPr>
            </w:pPr>
            <w:r w:rsidRPr="00683533">
              <w:rPr>
                <w:rFonts w:ascii="Arial Narrow" w:eastAsia="Arial Narrow" w:hAnsi="Arial Narrow" w:cs="Arial Narrow"/>
                <w:b/>
                <w:bCs/>
                <w:color w:val="000000" w:themeColor="text1"/>
                <w:sz w:val="20"/>
                <w:szCs w:val="20"/>
              </w:rPr>
              <w:t xml:space="preserve">Base case for non-Indigenous adults aged ≥ 70 </w:t>
            </w:r>
            <w:proofErr w:type="spellStart"/>
            <w:r w:rsidRPr="00683533">
              <w:rPr>
                <w:rFonts w:ascii="Arial Narrow" w:eastAsia="Arial Narrow" w:hAnsi="Arial Narrow" w:cs="Arial Narrow"/>
                <w:b/>
                <w:bCs/>
                <w:color w:val="000000" w:themeColor="text1"/>
                <w:sz w:val="20"/>
                <w:szCs w:val="20"/>
              </w:rPr>
              <w:t>years</w:t>
            </w:r>
            <w:r w:rsidRPr="00683533">
              <w:rPr>
                <w:rFonts w:ascii="Arial Narrow" w:eastAsia="Arial Narrow" w:hAnsi="Arial Narrow" w:cs="Arial Narrow"/>
                <w:b/>
                <w:bCs/>
                <w:color w:val="000000" w:themeColor="text1"/>
                <w:sz w:val="20"/>
                <w:szCs w:val="20"/>
                <w:vertAlign w:val="superscript"/>
              </w:rPr>
              <w:t>b</w:t>
            </w:r>
            <w:proofErr w:type="spellEnd"/>
          </w:p>
        </w:tc>
        <w:tc>
          <w:tcPr>
            <w:tcW w:w="546" w:type="pct"/>
          </w:tcPr>
          <w:p w14:paraId="3BE9FF09" w14:textId="2A147E81" w:rsidR="0017012A" w:rsidRPr="00D944B2" w:rsidRDefault="0017012A" w:rsidP="00CC71B0">
            <w:pPr>
              <w:pStyle w:val="In-tableHeading"/>
              <w:keepLines/>
              <w:jc w:val="center"/>
              <w:rPr>
                <w:iCs/>
                <w:highlight w:val="darkGray"/>
              </w:rPr>
            </w:pPr>
            <w:r w:rsidRPr="00E5290F">
              <w:rPr>
                <w:iCs/>
              </w:rPr>
              <w:t>-</w:t>
            </w:r>
            <w:r w:rsidR="006A414A" w:rsidRPr="006A414A">
              <w:rPr>
                <w:iCs/>
                <w:color w:val="000000"/>
                <w:spacing w:val="50"/>
                <w:shd w:val="solid" w:color="000000" w:fill="000000"/>
                <w:fitText w:val="238" w:id="-1303201021"/>
                <w14:textFill>
                  <w14:solidFill>
                    <w14:srgbClr w14:val="000000">
                      <w14:alpha w14:val="100000"/>
                    </w14:srgbClr>
                  </w14:solidFill>
                </w14:textFill>
              </w:rPr>
              <w:t>||</w:t>
            </w:r>
            <w:r w:rsidR="006A414A" w:rsidRPr="006A414A">
              <w:rPr>
                <w:iCs/>
                <w:color w:val="000000"/>
                <w:spacing w:val="1"/>
                <w:shd w:val="solid" w:color="000000" w:fill="000000"/>
                <w:fitText w:val="238" w:id="-1303201021"/>
                <w14:textFill>
                  <w14:solidFill>
                    <w14:srgbClr w14:val="000000">
                      <w14:alpha w14:val="100000"/>
                    </w14:srgbClr>
                  </w14:solidFill>
                </w14:textFill>
              </w:rPr>
              <w:t>|</w:t>
            </w:r>
          </w:p>
        </w:tc>
        <w:tc>
          <w:tcPr>
            <w:tcW w:w="546" w:type="pct"/>
          </w:tcPr>
          <w:p w14:paraId="1AE9BD3C" w14:textId="77777777" w:rsidR="0017012A" w:rsidRPr="00683533" w:rsidRDefault="0017012A" w:rsidP="00CC71B0">
            <w:pPr>
              <w:pStyle w:val="In-tableHeading"/>
              <w:keepLines/>
              <w:jc w:val="center"/>
              <w:rPr>
                <w:iCs/>
              </w:rPr>
            </w:pPr>
            <w:r w:rsidRPr="00683533">
              <w:rPr>
                <w:iCs/>
              </w:rPr>
              <w:t>1.91</w:t>
            </w:r>
          </w:p>
        </w:tc>
        <w:tc>
          <w:tcPr>
            <w:tcW w:w="546" w:type="pct"/>
            <w:gridSpan w:val="2"/>
          </w:tcPr>
          <w:p w14:paraId="140D6CC8" w14:textId="77777777" w:rsidR="0017012A" w:rsidRPr="00683533" w:rsidRDefault="0017012A" w:rsidP="00CC71B0">
            <w:pPr>
              <w:pStyle w:val="In-tableHeading"/>
              <w:keepLines/>
              <w:jc w:val="center"/>
            </w:pPr>
            <w:r w:rsidRPr="00683533">
              <w:t>Dominant</w:t>
            </w:r>
          </w:p>
        </w:tc>
        <w:tc>
          <w:tcPr>
            <w:tcW w:w="545" w:type="pct"/>
          </w:tcPr>
          <w:p w14:paraId="62130128" w14:textId="7891A627" w:rsidR="0017012A" w:rsidRPr="00D944B2" w:rsidRDefault="0017012A" w:rsidP="00CC71B0">
            <w:pPr>
              <w:pStyle w:val="In-tableHeading"/>
              <w:keepLines/>
              <w:jc w:val="center"/>
              <w:rPr>
                <w:iCs/>
                <w:highlight w:val="darkGray"/>
              </w:rPr>
            </w:pPr>
            <w:r w:rsidRPr="00E5290F">
              <w:rPr>
                <w:iCs/>
              </w:rPr>
              <w:t>-</w:t>
            </w:r>
            <w:r w:rsidR="006A414A" w:rsidRPr="006A414A">
              <w:rPr>
                <w:iCs/>
                <w:color w:val="000000"/>
                <w:spacing w:val="50"/>
                <w:shd w:val="solid" w:color="000000" w:fill="000000"/>
                <w:fitText w:val="238" w:id="-1303201020"/>
                <w14:textFill>
                  <w14:solidFill>
                    <w14:srgbClr w14:val="000000">
                      <w14:alpha w14:val="100000"/>
                    </w14:srgbClr>
                  </w14:solidFill>
                </w14:textFill>
              </w:rPr>
              <w:t>||</w:t>
            </w:r>
            <w:r w:rsidR="006A414A" w:rsidRPr="006A414A">
              <w:rPr>
                <w:iCs/>
                <w:color w:val="000000"/>
                <w:spacing w:val="1"/>
                <w:shd w:val="solid" w:color="000000" w:fill="000000"/>
                <w:fitText w:val="238" w:id="-1303201020"/>
                <w14:textFill>
                  <w14:solidFill>
                    <w14:srgbClr w14:val="000000">
                      <w14:alpha w14:val="100000"/>
                    </w14:srgbClr>
                  </w14:solidFill>
                </w14:textFill>
              </w:rPr>
              <w:t>|</w:t>
            </w:r>
          </w:p>
        </w:tc>
        <w:tc>
          <w:tcPr>
            <w:tcW w:w="546" w:type="pct"/>
          </w:tcPr>
          <w:p w14:paraId="0E2046D5" w14:textId="77777777" w:rsidR="0017012A" w:rsidRPr="00683533" w:rsidRDefault="0017012A" w:rsidP="00CC71B0">
            <w:pPr>
              <w:pStyle w:val="In-tableHeading"/>
              <w:keepLines/>
              <w:jc w:val="center"/>
              <w:rPr>
                <w:iCs/>
              </w:rPr>
            </w:pPr>
            <w:r w:rsidRPr="00683533">
              <w:rPr>
                <w:iCs/>
              </w:rPr>
              <w:t>0.82</w:t>
            </w:r>
          </w:p>
        </w:tc>
        <w:tc>
          <w:tcPr>
            <w:tcW w:w="545" w:type="pct"/>
            <w:gridSpan w:val="2"/>
          </w:tcPr>
          <w:p w14:paraId="074A110E" w14:textId="77777777" w:rsidR="0017012A" w:rsidRPr="00683533" w:rsidRDefault="0017012A" w:rsidP="00CC71B0">
            <w:pPr>
              <w:pStyle w:val="In-tableHeading"/>
              <w:keepLines/>
              <w:jc w:val="center"/>
            </w:pPr>
            <w:r w:rsidRPr="00683533">
              <w:t>Dominant</w:t>
            </w:r>
          </w:p>
        </w:tc>
      </w:tr>
      <w:tr w:rsidR="0017012A" w:rsidRPr="00683533" w14:paraId="01A65E3D" w14:textId="77777777" w:rsidTr="00E5290F">
        <w:trPr>
          <w:trHeight w:val="255"/>
        </w:trPr>
        <w:tc>
          <w:tcPr>
            <w:tcW w:w="1727" w:type="pct"/>
          </w:tcPr>
          <w:p w14:paraId="38427DB3" w14:textId="77777777" w:rsidR="0017012A" w:rsidRPr="00683533" w:rsidRDefault="0017012A" w:rsidP="00CC71B0">
            <w:pPr>
              <w:pStyle w:val="TableText0"/>
              <w:keepLines/>
              <w:rPr>
                <w:vertAlign w:val="superscript"/>
              </w:rPr>
            </w:pPr>
            <w:r w:rsidRPr="00683533">
              <w:rPr>
                <w:rFonts w:eastAsia="Arial Narrow" w:cs="Arial Narrow"/>
                <w:color w:val="000000"/>
              </w:rPr>
              <w:t>CFR for pneumococcal hospitalisations: 3.8%</w:t>
            </w:r>
            <w:r w:rsidRPr="00683533">
              <w:rPr>
                <w:rFonts w:eastAsia="Arial Narrow" w:cs="Arial Narrow"/>
                <w:color w:val="000000"/>
                <w:vertAlign w:val="superscript"/>
              </w:rPr>
              <w:t>c</w:t>
            </w:r>
          </w:p>
        </w:tc>
        <w:tc>
          <w:tcPr>
            <w:tcW w:w="546" w:type="pct"/>
          </w:tcPr>
          <w:p w14:paraId="69DD1F3B" w14:textId="51FBEDAA" w:rsidR="0017012A" w:rsidRPr="00D944B2" w:rsidRDefault="0017012A" w:rsidP="00CC71B0">
            <w:pPr>
              <w:pStyle w:val="TableText0"/>
              <w:keepLines/>
              <w:jc w:val="center"/>
              <w:rPr>
                <w:rFonts w:eastAsia="Arial Narrow" w:cs="Arial Narrow"/>
                <w:iCs/>
                <w:highlight w:val="darkGray"/>
              </w:rPr>
            </w:pPr>
            <w:r w:rsidRPr="00E5290F">
              <w:rPr>
                <w:rFonts w:eastAsia="Arial Narrow" w:cs="Arial Narrow"/>
                <w:iCs/>
              </w:rPr>
              <w:t>-</w:t>
            </w:r>
            <w:r w:rsidR="006A414A" w:rsidRPr="006A414A">
              <w:rPr>
                <w:rFonts w:eastAsia="Arial Narrow" w:cs="Arial Narrow"/>
                <w:iCs/>
                <w:color w:val="000000"/>
                <w:spacing w:val="55"/>
                <w:shd w:val="solid" w:color="000000" w:fill="000000"/>
                <w:fitText w:val="238" w:id="-1303201019"/>
                <w14:textFill>
                  <w14:solidFill>
                    <w14:srgbClr w14:val="000000">
                      <w14:alpha w14:val="100000"/>
                    </w14:srgbClr>
                  </w14:solidFill>
                </w14:textFill>
              </w:rPr>
              <w:t>||</w:t>
            </w:r>
            <w:r w:rsidR="006A414A" w:rsidRPr="006A414A">
              <w:rPr>
                <w:rFonts w:eastAsia="Arial Narrow" w:cs="Arial Narrow"/>
                <w:iCs/>
                <w:color w:val="000000"/>
                <w:spacing w:val="1"/>
                <w:shd w:val="solid" w:color="000000" w:fill="000000"/>
                <w:fitText w:val="238" w:id="-1303201019"/>
                <w14:textFill>
                  <w14:solidFill>
                    <w14:srgbClr w14:val="000000">
                      <w14:alpha w14:val="100000"/>
                    </w14:srgbClr>
                  </w14:solidFill>
                </w14:textFill>
              </w:rPr>
              <w:t>|</w:t>
            </w:r>
          </w:p>
        </w:tc>
        <w:tc>
          <w:tcPr>
            <w:tcW w:w="546" w:type="pct"/>
          </w:tcPr>
          <w:p w14:paraId="63040727"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0.75</w:t>
            </w:r>
          </w:p>
        </w:tc>
        <w:tc>
          <w:tcPr>
            <w:tcW w:w="546" w:type="pct"/>
            <w:gridSpan w:val="2"/>
          </w:tcPr>
          <w:p w14:paraId="2C935283" w14:textId="77777777" w:rsidR="0017012A" w:rsidRPr="00683533" w:rsidRDefault="0017012A" w:rsidP="00CC71B0">
            <w:pPr>
              <w:pStyle w:val="TableText0"/>
              <w:keepLines/>
              <w:jc w:val="center"/>
            </w:pPr>
            <w:r w:rsidRPr="00683533">
              <w:t>Dominant</w:t>
            </w:r>
          </w:p>
        </w:tc>
        <w:tc>
          <w:tcPr>
            <w:tcW w:w="545" w:type="pct"/>
          </w:tcPr>
          <w:p w14:paraId="2AD14249" w14:textId="5C755D10" w:rsidR="0017012A" w:rsidRPr="00D944B2" w:rsidRDefault="0017012A" w:rsidP="00CC71B0">
            <w:pPr>
              <w:pStyle w:val="TableText0"/>
              <w:keepLines/>
              <w:jc w:val="center"/>
              <w:rPr>
                <w:rFonts w:eastAsia="Arial Narrow" w:cs="Arial Narrow"/>
                <w:iCs/>
                <w:highlight w:val="darkGray"/>
              </w:rPr>
            </w:pPr>
            <w:r w:rsidRPr="00E5290F">
              <w:rPr>
                <w:rFonts w:eastAsia="Arial Narrow" w:cs="Arial Narrow"/>
                <w:iCs/>
              </w:rPr>
              <w:t>-</w:t>
            </w:r>
            <w:r w:rsidR="006A414A" w:rsidRPr="006A414A">
              <w:rPr>
                <w:rFonts w:eastAsia="Arial Narrow" w:cs="Arial Narrow"/>
                <w:iCs/>
                <w:color w:val="000000"/>
                <w:spacing w:val="55"/>
                <w:shd w:val="solid" w:color="000000" w:fill="000000"/>
                <w:fitText w:val="238" w:id="-1303201018"/>
                <w14:textFill>
                  <w14:solidFill>
                    <w14:srgbClr w14:val="000000">
                      <w14:alpha w14:val="100000"/>
                    </w14:srgbClr>
                  </w14:solidFill>
                </w14:textFill>
              </w:rPr>
              <w:t>||</w:t>
            </w:r>
            <w:r w:rsidR="006A414A" w:rsidRPr="006A414A">
              <w:rPr>
                <w:rFonts w:eastAsia="Arial Narrow" w:cs="Arial Narrow"/>
                <w:iCs/>
                <w:color w:val="000000"/>
                <w:spacing w:val="1"/>
                <w:shd w:val="solid" w:color="000000" w:fill="000000"/>
                <w:fitText w:val="238" w:id="-1303201018"/>
                <w14:textFill>
                  <w14:solidFill>
                    <w14:srgbClr w14:val="000000">
                      <w14:alpha w14:val="100000"/>
                    </w14:srgbClr>
                  </w14:solidFill>
                </w14:textFill>
              </w:rPr>
              <w:t>|</w:t>
            </w:r>
          </w:p>
        </w:tc>
        <w:tc>
          <w:tcPr>
            <w:tcW w:w="546" w:type="pct"/>
          </w:tcPr>
          <w:p w14:paraId="38E8A411"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0.32</w:t>
            </w:r>
          </w:p>
        </w:tc>
        <w:tc>
          <w:tcPr>
            <w:tcW w:w="545" w:type="pct"/>
            <w:gridSpan w:val="2"/>
          </w:tcPr>
          <w:p w14:paraId="4FEAE6D5" w14:textId="77777777" w:rsidR="0017012A" w:rsidRPr="00683533" w:rsidRDefault="0017012A" w:rsidP="00CC71B0">
            <w:pPr>
              <w:pStyle w:val="TableText0"/>
              <w:keepLines/>
              <w:jc w:val="center"/>
            </w:pPr>
            <w:r w:rsidRPr="00683533">
              <w:t>Dominant</w:t>
            </w:r>
          </w:p>
        </w:tc>
      </w:tr>
      <w:tr w:rsidR="0017012A" w:rsidRPr="00683533" w14:paraId="385D05DA" w14:textId="77777777" w:rsidTr="00E5290F">
        <w:trPr>
          <w:trHeight w:val="255"/>
        </w:trPr>
        <w:tc>
          <w:tcPr>
            <w:tcW w:w="1727" w:type="pct"/>
          </w:tcPr>
          <w:p w14:paraId="6679EA01" w14:textId="77777777" w:rsidR="0017012A" w:rsidRPr="00683533" w:rsidRDefault="0017012A" w:rsidP="00CC71B0">
            <w:pPr>
              <w:pStyle w:val="TableText0"/>
              <w:keepLines/>
              <w:rPr>
                <w:vertAlign w:val="superscript"/>
              </w:rPr>
            </w:pPr>
            <w:r w:rsidRPr="00683533">
              <w:rPr>
                <w:rFonts w:eastAsia="Arial Narrow" w:cs="Arial Narrow"/>
                <w:color w:val="000000"/>
              </w:rPr>
              <w:t>CFR for pneumococcal hospitalisations: 20.5%</w:t>
            </w:r>
            <w:r w:rsidRPr="00683533">
              <w:rPr>
                <w:rFonts w:eastAsia="Arial Narrow" w:cs="Arial Narrow"/>
                <w:color w:val="000000"/>
                <w:vertAlign w:val="superscript"/>
              </w:rPr>
              <w:t>c</w:t>
            </w:r>
          </w:p>
        </w:tc>
        <w:tc>
          <w:tcPr>
            <w:tcW w:w="546" w:type="pct"/>
          </w:tcPr>
          <w:p w14:paraId="6E1309C5" w14:textId="2809C0DF" w:rsidR="0017012A" w:rsidRPr="00D944B2" w:rsidRDefault="0017012A" w:rsidP="00CC71B0">
            <w:pPr>
              <w:pStyle w:val="TableText0"/>
              <w:keepLines/>
              <w:jc w:val="center"/>
              <w:rPr>
                <w:rFonts w:eastAsia="Arial Narrow" w:cs="Arial Narrow"/>
                <w:iCs/>
                <w:highlight w:val="darkGray"/>
              </w:rPr>
            </w:pPr>
            <w:r w:rsidRPr="00E5290F">
              <w:rPr>
                <w:rFonts w:eastAsia="Arial Narrow" w:cs="Arial Narrow"/>
                <w:iCs/>
              </w:rPr>
              <w:t>-</w:t>
            </w:r>
            <w:r w:rsidR="006A414A" w:rsidRPr="006A414A">
              <w:rPr>
                <w:rFonts w:eastAsia="Arial Narrow" w:cs="Arial Narrow"/>
                <w:iCs/>
                <w:color w:val="000000"/>
                <w:spacing w:val="55"/>
                <w:shd w:val="solid" w:color="000000" w:fill="000000"/>
                <w:fitText w:val="238" w:id="-1303201017"/>
                <w14:textFill>
                  <w14:solidFill>
                    <w14:srgbClr w14:val="000000">
                      <w14:alpha w14:val="100000"/>
                    </w14:srgbClr>
                  </w14:solidFill>
                </w14:textFill>
              </w:rPr>
              <w:t>||</w:t>
            </w:r>
            <w:r w:rsidR="006A414A" w:rsidRPr="006A414A">
              <w:rPr>
                <w:rFonts w:eastAsia="Arial Narrow" w:cs="Arial Narrow"/>
                <w:iCs/>
                <w:color w:val="000000"/>
                <w:spacing w:val="1"/>
                <w:shd w:val="solid" w:color="000000" w:fill="000000"/>
                <w:fitText w:val="238" w:id="-1303201017"/>
                <w14:textFill>
                  <w14:solidFill>
                    <w14:srgbClr w14:val="000000">
                      <w14:alpha w14:val="100000"/>
                    </w14:srgbClr>
                  </w14:solidFill>
                </w14:textFill>
              </w:rPr>
              <w:t>|</w:t>
            </w:r>
          </w:p>
        </w:tc>
        <w:tc>
          <w:tcPr>
            <w:tcW w:w="546" w:type="pct"/>
          </w:tcPr>
          <w:p w14:paraId="6B6AB4F6"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3.24</w:t>
            </w:r>
          </w:p>
        </w:tc>
        <w:tc>
          <w:tcPr>
            <w:tcW w:w="546" w:type="pct"/>
            <w:gridSpan w:val="2"/>
          </w:tcPr>
          <w:p w14:paraId="77AD3EDE" w14:textId="77777777" w:rsidR="0017012A" w:rsidRPr="00683533" w:rsidRDefault="0017012A" w:rsidP="00CC71B0">
            <w:pPr>
              <w:pStyle w:val="TableText0"/>
              <w:keepLines/>
              <w:jc w:val="center"/>
            </w:pPr>
            <w:r w:rsidRPr="00683533">
              <w:t>Dominant</w:t>
            </w:r>
          </w:p>
        </w:tc>
        <w:tc>
          <w:tcPr>
            <w:tcW w:w="545" w:type="pct"/>
          </w:tcPr>
          <w:p w14:paraId="4C51D471" w14:textId="5BD2CE6E" w:rsidR="0017012A" w:rsidRPr="00D944B2" w:rsidRDefault="0017012A" w:rsidP="00CC71B0">
            <w:pPr>
              <w:pStyle w:val="TableText0"/>
              <w:keepLines/>
              <w:jc w:val="center"/>
              <w:rPr>
                <w:rFonts w:eastAsia="Arial Narrow" w:cs="Arial Narrow"/>
                <w:iCs/>
                <w:highlight w:val="darkGray"/>
              </w:rPr>
            </w:pPr>
            <w:r w:rsidRPr="00E5290F">
              <w:rPr>
                <w:rFonts w:eastAsia="Arial Narrow" w:cs="Arial Narrow"/>
                <w:iCs/>
              </w:rPr>
              <w:t>-</w:t>
            </w:r>
            <w:r w:rsidR="006A414A" w:rsidRPr="006A414A">
              <w:rPr>
                <w:rFonts w:eastAsia="Arial Narrow" w:cs="Arial Narrow"/>
                <w:iCs/>
                <w:color w:val="000000"/>
                <w:spacing w:val="55"/>
                <w:shd w:val="solid" w:color="000000" w:fill="000000"/>
                <w:fitText w:val="238" w:id="-1303201016"/>
                <w14:textFill>
                  <w14:solidFill>
                    <w14:srgbClr w14:val="000000">
                      <w14:alpha w14:val="100000"/>
                    </w14:srgbClr>
                  </w14:solidFill>
                </w14:textFill>
              </w:rPr>
              <w:t>||</w:t>
            </w:r>
            <w:r w:rsidR="006A414A" w:rsidRPr="006A414A">
              <w:rPr>
                <w:rFonts w:eastAsia="Arial Narrow" w:cs="Arial Narrow"/>
                <w:iCs/>
                <w:color w:val="000000"/>
                <w:spacing w:val="1"/>
                <w:shd w:val="solid" w:color="000000" w:fill="000000"/>
                <w:fitText w:val="238" w:id="-1303201016"/>
                <w14:textFill>
                  <w14:solidFill>
                    <w14:srgbClr w14:val="000000">
                      <w14:alpha w14:val="100000"/>
                    </w14:srgbClr>
                  </w14:solidFill>
                </w14:textFill>
              </w:rPr>
              <w:t>|</w:t>
            </w:r>
          </w:p>
        </w:tc>
        <w:tc>
          <w:tcPr>
            <w:tcW w:w="546" w:type="pct"/>
          </w:tcPr>
          <w:p w14:paraId="7A4FCE63"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1.39</w:t>
            </w:r>
          </w:p>
        </w:tc>
        <w:tc>
          <w:tcPr>
            <w:tcW w:w="545" w:type="pct"/>
            <w:gridSpan w:val="2"/>
          </w:tcPr>
          <w:p w14:paraId="62AD95E9" w14:textId="77777777" w:rsidR="0017012A" w:rsidRPr="00683533" w:rsidRDefault="0017012A" w:rsidP="00CC71B0">
            <w:pPr>
              <w:pStyle w:val="TableText0"/>
              <w:keepLines/>
              <w:jc w:val="center"/>
            </w:pPr>
            <w:r w:rsidRPr="00683533">
              <w:t>Dominant</w:t>
            </w:r>
          </w:p>
        </w:tc>
      </w:tr>
      <w:tr w:rsidR="0017012A" w:rsidRPr="00683533" w14:paraId="2AF78012" w14:textId="77777777" w:rsidTr="00E5290F">
        <w:trPr>
          <w:trHeight w:val="255"/>
        </w:trPr>
        <w:tc>
          <w:tcPr>
            <w:tcW w:w="1727" w:type="pct"/>
          </w:tcPr>
          <w:p w14:paraId="63B65FD9" w14:textId="77777777" w:rsidR="0017012A" w:rsidRPr="00683533" w:rsidRDefault="0017012A" w:rsidP="00CC71B0">
            <w:pPr>
              <w:pStyle w:val="TableText0"/>
              <w:keepLines/>
              <w:rPr>
                <w:rFonts w:eastAsia="Arial Narrow" w:cs="Arial Narrow"/>
                <w:color w:val="000000"/>
              </w:rPr>
            </w:pPr>
            <w:r w:rsidRPr="00683533">
              <w:t>Discount rate: 0%</w:t>
            </w:r>
            <w:r w:rsidRPr="00683533">
              <w:rPr>
                <w:vertAlign w:val="superscript"/>
              </w:rPr>
              <w:t>d</w:t>
            </w:r>
          </w:p>
        </w:tc>
        <w:tc>
          <w:tcPr>
            <w:tcW w:w="546" w:type="pct"/>
          </w:tcPr>
          <w:p w14:paraId="6687F7FF" w14:textId="23BDAA4A"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201015"/>
                <w14:textFill>
                  <w14:solidFill>
                    <w14:srgbClr w14:val="000000">
                      <w14:alpha w14:val="100000"/>
                    </w14:srgbClr>
                  </w14:solidFill>
                </w14:textFill>
              </w:rPr>
              <w:t>||</w:t>
            </w:r>
            <w:r w:rsidR="006A414A" w:rsidRPr="006A414A">
              <w:rPr>
                <w:iCs/>
                <w:color w:val="000000"/>
                <w:spacing w:val="1"/>
                <w:szCs w:val="20"/>
                <w:shd w:val="solid" w:color="000000" w:fill="000000"/>
                <w:fitText w:val="238" w:id="-1303201015"/>
                <w14:textFill>
                  <w14:solidFill>
                    <w14:srgbClr w14:val="000000">
                      <w14:alpha w14:val="100000"/>
                    </w14:srgbClr>
                  </w14:solidFill>
                </w14:textFill>
              </w:rPr>
              <w:t>|</w:t>
            </w:r>
          </w:p>
        </w:tc>
        <w:tc>
          <w:tcPr>
            <w:tcW w:w="546" w:type="pct"/>
          </w:tcPr>
          <w:p w14:paraId="0941EE9F" w14:textId="77777777" w:rsidR="0017012A" w:rsidRPr="00683533" w:rsidRDefault="0017012A" w:rsidP="00CC71B0">
            <w:pPr>
              <w:pStyle w:val="TableText0"/>
              <w:keepLines/>
              <w:jc w:val="center"/>
              <w:rPr>
                <w:iCs/>
                <w:szCs w:val="20"/>
              </w:rPr>
            </w:pPr>
            <w:r w:rsidRPr="00683533">
              <w:rPr>
                <w:iCs/>
                <w:szCs w:val="20"/>
              </w:rPr>
              <w:t>3.18</w:t>
            </w:r>
          </w:p>
        </w:tc>
        <w:tc>
          <w:tcPr>
            <w:tcW w:w="546" w:type="pct"/>
            <w:gridSpan w:val="2"/>
          </w:tcPr>
          <w:p w14:paraId="416BFC57" w14:textId="77777777" w:rsidR="0017012A" w:rsidRPr="00683533" w:rsidRDefault="0017012A" w:rsidP="00CC71B0">
            <w:pPr>
              <w:pStyle w:val="TableText0"/>
              <w:keepLines/>
              <w:jc w:val="center"/>
              <w:rPr>
                <w:rFonts w:eastAsia="Arial Narrow" w:cs="Arial Narrow"/>
              </w:rPr>
            </w:pPr>
            <w:r w:rsidRPr="00683533">
              <w:t>Dominant</w:t>
            </w:r>
          </w:p>
        </w:tc>
        <w:tc>
          <w:tcPr>
            <w:tcW w:w="545" w:type="pct"/>
          </w:tcPr>
          <w:p w14:paraId="66BC6062" w14:textId="2A38522B"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201014"/>
                <w14:textFill>
                  <w14:solidFill>
                    <w14:srgbClr w14:val="000000">
                      <w14:alpha w14:val="100000"/>
                    </w14:srgbClr>
                  </w14:solidFill>
                </w14:textFill>
              </w:rPr>
              <w:t>||</w:t>
            </w:r>
            <w:r w:rsidR="006A414A" w:rsidRPr="006A414A">
              <w:rPr>
                <w:iCs/>
                <w:color w:val="000000"/>
                <w:spacing w:val="1"/>
                <w:szCs w:val="20"/>
                <w:shd w:val="solid" w:color="000000" w:fill="000000"/>
                <w:fitText w:val="238" w:id="-1303201014"/>
                <w14:textFill>
                  <w14:solidFill>
                    <w14:srgbClr w14:val="000000">
                      <w14:alpha w14:val="100000"/>
                    </w14:srgbClr>
                  </w14:solidFill>
                </w14:textFill>
              </w:rPr>
              <w:t>|</w:t>
            </w:r>
          </w:p>
        </w:tc>
        <w:tc>
          <w:tcPr>
            <w:tcW w:w="546" w:type="pct"/>
          </w:tcPr>
          <w:p w14:paraId="63CA7414" w14:textId="77777777" w:rsidR="0017012A" w:rsidRPr="00683533" w:rsidRDefault="0017012A" w:rsidP="00CC71B0">
            <w:pPr>
              <w:pStyle w:val="TableText0"/>
              <w:keepLines/>
              <w:jc w:val="center"/>
              <w:rPr>
                <w:iCs/>
                <w:szCs w:val="20"/>
              </w:rPr>
            </w:pPr>
            <w:r w:rsidRPr="00683533">
              <w:rPr>
                <w:iCs/>
                <w:szCs w:val="20"/>
              </w:rPr>
              <w:t>1.36</w:t>
            </w:r>
          </w:p>
        </w:tc>
        <w:tc>
          <w:tcPr>
            <w:tcW w:w="545" w:type="pct"/>
            <w:gridSpan w:val="2"/>
          </w:tcPr>
          <w:p w14:paraId="68D4135B" w14:textId="77777777" w:rsidR="0017012A" w:rsidRPr="00683533" w:rsidRDefault="0017012A" w:rsidP="00CC71B0">
            <w:pPr>
              <w:pStyle w:val="TableText0"/>
              <w:keepLines/>
              <w:jc w:val="center"/>
              <w:rPr>
                <w:rFonts w:eastAsia="Arial Narrow" w:cs="Arial Narrow"/>
              </w:rPr>
            </w:pPr>
            <w:r w:rsidRPr="00683533">
              <w:t>Dominant</w:t>
            </w:r>
          </w:p>
        </w:tc>
      </w:tr>
      <w:tr w:rsidR="0017012A" w:rsidRPr="00683533" w14:paraId="43FED8DA" w14:textId="77777777" w:rsidTr="00E5290F">
        <w:trPr>
          <w:trHeight w:val="255"/>
        </w:trPr>
        <w:tc>
          <w:tcPr>
            <w:tcW w:w="1727" w:type="pct"/>
          </w:tcPr>
          <w:p w14:paraId="73F90F99" w14:textId="77777777" w:rsidR="0017012A" w:rsidRPr="00683533" w:rsidRDefault="0017012A" w:rsidP="00CC71B0">
            <w:pPr>
              <w:pStyle w:val="TableText0"/>
              <w:keepLines/>
              <w:rPr>
                <w:rFonts w:eastAsia="Arial Narrow" w:cs="Arial Narrow"/>
                <w:color w:val="000000"/>
                <w:vertAlign w:val="superscript"/>
              </w:rPr>
            </w:pPr>
            <w:r w:rsidRPr="00683533">
              <w:t>Discount rate: 3.5%</w:t>
            </w:r>
            <w:r w:rsidRPr="00683533">
              <w:rPr>
                <w:vertAlign w:val="superscript"/>
              </w:rPr>
              <w:t>d</w:t>
            </w:r>
          </w:p>
        </w:tc>
        <w:tc>
          <w:tcPr>
            <w:tcW w:w="546" w:type="pct"/>
          </w:tcPr>
          <w:p w14:paraId="34D8515A" w14:textId="5EE80D62"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201013"/>
                <w14:textFill>
                  <w14:solidFill>
                    <w14:srgbClr w14:val="000000">
                      <w14:alpha w14:val="100000"/>
                    </w14:srgbClr>
                  </w14:solidFill>
                </w14:textFill>
              </w:rPr>
              <w:t>||</w:t>
            </w:r>
            <w:r w:rsidR="006A414A" w:rsidRPr="006A414A">
              <w:rPr>
                <w:iCs/>
                <w:color w:val="000000"/>
                <w:spacing w:val="1"/>
                <w:szCs w:val="20"/>
                <w:shd w:val="solid" w:color="000000" w:fill="000000"/>
                <w:fitText w:val="238" w:id="-1303201013"/>
                <w14:textFill>
                  <w14:solidFill>
                    <w14:srgbClr w14:val="000000">
                      <w14:alpha w14:val="100000"/>
                    </w14:srgbClr>
                  </w14:solidFill>
                </w14:textFill>
              </w:rPr>
              <w:t>|</w:t>
            </w:r>
          </w:p>
        </w:tc>
        <w:tc>
          <w:tcPr>
            <w:tcW w:w="546" w:type="pct"/>
          </w:tcPr>
          <w:p w14:paraId="69B5AB68" w14:textId="77777777" w:rsidR="0017012A" w:rsidRPr="00683533" w:rsidRDefault="0017012A" w:rsidP="00CC71B0">
            <w:pPr>
              <w:pStyle w:val="TableText0"/>
              <w:keepLines/>
              <w:jc w:val="center"/>
              <w:rPr>
                <w:iCs/>
                <w:szCs w:val="20"/>
              </w:rPr>
            </w:pPr>
            <w:r w:rsidRPr="00683533">
              <w:rPr>
                <w:iCs/>
                <w:szCs w:val="20"/>
              </w:rPr>
              <w:t>2.20</w:t>
            </w:r>
          </w:p>
        </w:tc>
        <w:tc>
          <w:tcPr>
            <w:tcW w:w="546" w:type="pct"/>
            <w:gridSpan w:val="2"/>
          </w:tcPr>
          <w:p w14:paraId="797D9A15" w14:textId="77777777" w:rsidR="0017012A" w:rsidRPr="00683533" w:rsidRDefault="0017012A" w:rsidP="00CC71B0">
            <w:pPr>
              <w:pStyle w:val="TableText0"/>
              <w:keepLines/>
              <w:jc w:val="center"/>
              <w:rPr>
                <w:rFonts w:eastAsia="Arial Narrow" w:cs="Arial Narrow"/>
              </w:rPr>
            </w:pPr>
            <w:r w:rsidRPr="00683533">
              <w:t>Dominant</w:t>
            </w:r>
          </w:p>
        </w:tc>
        <w:tc>
          <w:tcPr>
            <w:tcW w:w="545" w:type="pct"/>
          </w:tcPr>
          <w:p w14:paraId="628D07A5" w14:textId="32A6DB8D"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201012"/>
                <w14:textFill>
                  <w14:solidFill>
                    <w14:srgbClr w14:val="000000">
                      <w14:alpha w14:val="100000"/>
                    </w14:srgbClr>
                  </w14:solidFill>
                </w14:textFill>
              </w:rPr>
              <w:t>||</w:t>
            </w:r>
            <w:r w:rsidR="006A414A" w:rsidRPr="006A414A">
              <w:rPr>
                <w:iCs/>
                <w:color w:val="000000"/>
                <w:spacing w:val="1"/>
                <w:szCs w:val="20"/>
                <w:shd w:val="solid" w:color="000000" w:fill="000000"/>
                <w:fitText w:val="238" w:id="-1303201012"/>
                <w14:textFill>
                  <w14:solidFill>
                    <w14:srgbClr w14:val="000000">
                      <w14:alpha w14:val="100000"/>
                    </w14:srgbClr>
                  </w14:solidFill>
                </w14:textFill>
              </w:rPr>
              <w:t>|</w:t>
            </w:r>
          </w:p>
        </w:tc>
        <w:tc>
          <w:tcPr>
            <w:tcW w:w="546" w:type="pct"/>
          </w:tcPr>
          <w:p w14:paraId="576B340F" w14:textId="77777777" w:rsidR="0017012A" w:rsidRPr="00683533" w:rsidRDefault="0017012A" w:rsidP="00CC71B0">
            <w:pPr>
              <w:pStyle w:val="TableText0"/>
              <w:keepLines/>
              <w:jc w:val="center"/>
              <w:rPr>
                <w:iCs/>
                <w:szCs w:val="20"/>
              </w:rPr>
            </w:pPr>
            <w:r w:rsidRPr="00683533">
              <w:rPr>
                <w:iCs/>
                <w:szCs w:val="20"/>
              </w:rPr>
              <w:t>0.94</w:t>
            </w:r>
          </w:p>
        </w:tc>
        <w:tc>
          <w:tcPr>
            <w:tcW w:w="545" w:type="pct"/>
            <w:gridSpan w:val="2"/>
          </w:tcPr>
          <w:p w14:paraId="46B90B99" w14:textId="77777777" w:rsidR="0017012A" w:rsidRPr="00683533" w:rsidRDefault="0017012A" w:rsidP="00CC71B0">
            <w:pPr>
              <w:pStyle w:val="TableText0"/>
              <w:keepLines/>
              <w:jc w:val="center"/>
              <w:rPr>
                <w:rFonts w:eastAsia="Arial Narrow" w:cs="Arial Narrow"/>
              </w:rPr>
            </w:pPr>
            <w:r w:rsidRPr="00683533">
              <w:t>Dominant</w:t>
            </w:r>
          </w:p>
        </w:tc>
      </w:tr>
      <w:tr w:rsidR="0017012A" w:rsidRPr="00683533" w14:paraId="320F7F8E" w14:textId="77777777" w:rsidTr="00E5290F">
        <w:trPr>
          <w:trHeight w:val="255"/>
        </w:trPr>
        <w:tc>
          <w:tcPr>
            <w:tcW w:w="1727" w:type="pct"/>
          </w:tcPr>
          <w:p w14:paraId="22D20F18" w14:textId="77777777" w:rsidR="0017012A" w:rsidRPr="00683533" w:rsidRDefault="0017012A" w:rsidP="00CC71B0">
            <w:pPr>
              <w:pStyle w:val="TableText0"/>
              <w:keepLines/>
              <w:rPr>
                <w:vertAlign w:val="superscript"/>
              </w:rPr>
            </w:pPr>
            <w:r w:rsidRPr="00683533">
              <w:t xml:space="preserve">Time horizon: 5 </w:t>
            </w:r>
            <w:proofErr w:type="spellStart"/>
            <w:r w:rsidRPr="00683533">
              <w:t>years</w:t>
            </w:r>
            <w:r w:rsidRPr="00683533">
              <w:rPr>
                <w:vertAlign w:val="superscript"/>
              </w:rPr>
              <w:t>d,e</w:t>
            </w:r>
            <w:proofErr w:type="spellEnd"/>
            <w:r w:rsidRPr="00683533">
              <w:rPr>
                <w:vertAlign w:val="superscript"/>
              </w:rPr>
              <w:t xml:space="preserve"> </w:t>
            </w:r>
          </w:p>
        </w:tc>
        <w:tc>
          <w:tcPr>
            <w:tcW w:w="546" w:type="pct"/>
          </w:tcPr>
          <w:p w14:paraId="6F99D4C5" w14:textId="1DF20BDE" w:rsidR="0017012A" w:rsidRPr="00D944B2" w:rsidRDefault="0017012A" w:rsidP="00CC71B0">
            <w:pPr>
              <w:pStyle w:val="TableText0"/>
              <w:keepLines/>
              <w:jc w:val="center"/>
              <w:rPr>
                <w:iCs/>
                <w:highlight w:val="darkGray"/>
              </w:rPr>
            </w:pPr>
            <w:r w:rsidRPr="00E5290F">
              <w:rPr>
                <w:iCs/>
              </w:rPr>
              <w:t>-</w:t>
            </w:r>
            <w:r w:rsidR="006A414A" w:rsidRPr="006A414A">
              <w:rPr>
                <w:iCs/>
                <w:color w:val="000000"/>
                <w:spacing w:val="55"/>
                <w:shd w:val="solid" w:color="000000" w:fill="000000"/>
                <w:fitText w:val="238" w:id="-1303201011"/>
                <w14:textFill>
                  <w14:solidFill>
                    <w14:srgbClr w14:val="000000">
                      <w14:alpha w14:val="100000"/>
                    </w14:srgbClr>
                  </w14:solidFill>
                </w14:textFill>
              </w:rPr>
              <w:t>||</w:t>
            </w:r>
            <w:r w:rsidR="006A414A" w:rsidRPr="006A414A">
              <w:rPr>
                <w:iCs/>
                <w:color w:val="000000"/>
                <w:spacing w:val="1"/>
                <w:shd w:val="solid" w:color="000000" w:fill="000000"/>
                <w:fitText w:val="238" w:id="-1303201011"/>
                <w14:textFill>
                  <w14:solidFill>
                    <w14:srgbClr w14:val="000000">
                      <w14:alpha w14:val="100000"/>
                    </w14:srgbClr>
                  </w14:solidFill>
                </w14:textFill>
              </w:rPr>
              <w:t>|</w:t>
            </w:r>
          </w:p>
        </w:tc>
        <w:tc>
          <w:tcPr>
            <w:tcW w:w="546" w:type="pct"/>
          </w:tcPr>
          <w:p w14:paraId="7B848D96" w14:textId="77777777" w:rsidR="0017012A" w:rsidRPr="00683533" w:rsidRDefault="0017012A" w:rsidP="00CC71B0">
            <w:pPr>
              <w:pStyle w:val="TableText0"/>
              <w:keepLines/>
              <w:jc w:val="center"/>
              <w:rPr>
                <w:iCs/>
              </w:rPr>
            </w:pPr>
            <w:r w:rsidRPr="00683533">
              <w:rPr>
                <w:iCs/>
              </w:rPr>
              <w:t>0.35</w:t>
            </w:r>
          </w:p>
        </w:tc>
        <w:tc>
          <w:tcPr>
            <w:tcW w:w="546" w:type="pct"/>
            <w:gridSpan w:val="2"/>
          </w:tcPr>
          <w:p w14:paraId="2738B5CB" w14:textId="77777777" w:rsidR="0017012A" w:rsidRPr="00683533" w:rsidRDefault="0017012A" w:rsidP="00CC71B0">
            <w:pPr>
              <w:pStyle w:val="TableText0"/>
              <w:keepLines/>
              <w:jc w:val="center"/>
              <w:rPr>
                <w:szCs w:val="20"/>
              </w:rPr>
            </w:pPr>
            <w:r w:rsidRPr="00683533">
              <w:t>Dominant</w:t>
            </w:r>
          </w:p>
        </w:tc>
        <w:tc>
          <w:tcPr>
            <w:tcW w:w="545" w:type="pct"/>
          </w:tcPr>
          <w:p w14:paraId="45A301CA" w14:textId="18432661" w:rsidR="0017012A" w:rsidRPr="00D944B2" w:rsidRDefault="0017012A" w:rsidP="00CC71B0">
            <w:pPr>
              <w:pStyle w:val="TableText0"/>
              <w:keepLines/>
              <w:jc w:val="center"/>
              <w:rPr>
                <w:iCs/>
                <w:szCs w:val="20"/>
                <w:highlight w:val="darkGray"/>
              </w:rPr>
            </w:pPr>
            <w:r w:rsidRPr="00E5290F">
              <w:rPr>
                <w:iCs/>
              </w:rPr>
              <w:t>-</w:t>
            </w:r>
            <w:r w:rsidR="006A414A" w:rsidRPr="006A414A">
              <w:rPr>
                <w:iCs/>
                <w:color w:val="000000"/>
                <w:spacing w:val="55"/>
                <w:shd w:val="solid" w:color="000000" w:fill="000000"/>
                <w:fitText w:val="238" w:id="-1303201010"/>
                <w14:textFill>
                  <w14:solidFill>
                    <w14:srgbClr w14:val="000000">
                      <w14:alpha w14:val="100000"/>
                    </w14:srgbClr>
                  </w14:solidFill>
                </w14:textFill>
              </w:rPr>
              <w:t>||</w:t>
            </w:r>
            <w:r w:rsidR="006A414A" w:rsidRPr="006A414A">
              <w:rPr>
                <w:iCs/>
                <w:color w:val="000000"/>
                <w:spacing w:val="1"/>
                <w:shd w:val="solid" w:color="000000" w:fill="000000"/>
                <w:fitText w:val="238" w:id="-1303201010"/>
                <w14:textFill>
                  <w14:solidFill>
                    <w14:srgbClr w14:val="000000">
                      <w14:alpha w14:val="100000"/>
                    </w14:srgbClr>
                  </w14:solidFill>
                </w14:textFill>
              </w:rPr>
              <w:t>|</w:t>
            </w:r>
          </w:p>
        </w:tc>
        <w:tc>
          <w:tcPr>
            <w:tcW w:w="546" w:type="pct"/>
          </w:tcPr>
          <w:p w14:paraId="19888272" w14:textId="77777777" w:rsidR="0017012A" w:rsidRPr="00683533" w:rsidRDefault="0017012A" w:rsidP="00CC71B0">
            <w:pPr>
              <w:pStyle w:val="TableText0"/>
              <w:keepLines/>
              <w:jc w:val="center"/>
              <w:rPr>
                <w:iCs/>
                <w:szCs w:val="20"/>
              </w:rPr>
            </w:pPr>
            <w:r w:rsidRPr="00683533">
              <w:rPr>
                <w:iCs/>
                <w:szCs w:val="20"/>
              </w:rPr>
              <w:t>0.15</w:t>
            </w:r>
          </w:p>
        </w:tc>
        <w:tc>
          <w:tcPr>
            <w:tcW w:w="545" w:type="pct"/>
            <w:gridSpan w:val="2"/>
          </w:tcPr>
          <w:p w14:paraId="2500FDA6" w14:textId="77777777" w:rsidR="0017012A" w:rsidRPr="00683533" w:rsidRDefault="0017012A" w:rsidP="00CC71B0">
            <w:pPr>
              <w:pStyle w:val="TableText0"/>
              <w:keepLines/>
              <w:jc w:val="center"/>
              <w:rPr>
                <w:szCs w:val="20"/>
              </w:rPr>
            </w:pPr>
            <w:r w:rsidRPr="00683533">
              <w:t>Dominant</w:t>
            </w:r>
          </w:p>
        </w:tc>
      </w:tr>
      <w:tr w:rsidR="0017012A" w:rsidRPr="00683533" w14:paraId="084C9E9F" w14:textId="77777777" w:rsidTr="00E5290F">
        <w:trPr>
          <w:trHeight w:val="255"/>
        </w:trPr>
        <w:tc>
          <w:tcPr>
            <w:tcW w:w="1727" w:type="pct"/>
          </w:tcPr>
          <w:p w14:paraId="179D318C" w14:textId="77777777" w:rsidR="0017012A" w:rsidRPr="00683533" w:rsidRDefault="0017012A" w:rsidP="00CC71B0">
            <w:pPr>
              <w:pStyle w:val="TableFigureHeading"/>
              <w:keepLines/>
              <w:rPr>
                <w:szCs w:val="20"/>
                <w:vertAlign w:val="superscript"/>
              </w:rPr>
            </w:pPr>
            <w:r w:rsidRPr="00683533">
              <w:t xml:space="preserve">Base case for Indigenous Australians aged ≥ 50 </w:t>
            </w:r>
            <w:proofErr w:type="spellStart"/>
            <w:r w:rsidRPr="00683533">
              <w:t>years</w:t>
            </w:r>
            <w:r w:rsidRPr="00683533">
              <w:rPr>
                <w:vertAlign w:val="superscript"/>
              </w:rPr>
              <w:t>f</w:t>
            </w:r>
            <w:proofErr w:type="spellEnd"/>
          </w:p>
        </w:tc>
        <w:tc>
          <w:tcPr>
            <w:tcW w:w="546" w:type="pct"/>
          </w:tcPr>
          <w:p w14:paraId="04827BDD" w14:textId="1D6ECA55" w:rsidR="0017012A" w:rsidRPr="00D944B2" w:rsidRDefault="0017012A" w:rsidP="00CC71B0">
            <w:pPr>
              <w:pStyle w:val="TableText0"/>
              <w:keepLines/>
              <w:jc w:val="center"/>
              <w:rPr>
                <w:b/>
                <w:bCs w:val="0"/>
                <w:iCs/>
                <w:highlight w:val="darkGray"/>
              </w:rPr>
            </w:pPr>
            <w:r w:rsidRPr="00E5290F">
              <w:rPr>
                <w:b/>
                <w:bCs w:val="0"/>
                <w:iCs/>
              </w:rPr>
              <w:t>-</w:t>
            </w:r>
            <w:r w:rsidR="006A414A" w:rsidRPr="006A414A">
              <w:rPr>
                <w:b/>
                <w:bCs w:val="0"/>
                <w:iCs/>
                <w:color w:val="000000"/>
                <w:spacing w:val="50"/>
                <w:shd w:val="solid" w:color="000000" w:fill="000000"/>
                <w:fitText w:val="238" w:id="-1303201009"/>
                <w14:textFill>
                  <w14:solidFill>
                    <w14:srgbClr w14:val="000000">
                      <w14:alpha w14:val="100000"/>
                    </w14:srgbClr>
                  </w14:solidFill>
                </w14:textFill>
              </w:rPr>
              <w:t>||</w:t>
            </w:r>
            <w:r w:rsidR="006A414A" w:rsidRPr="006A414A">
              <w:rPr>
                <w:b/>
                <w:bCs w:val="0"/>
                <w:iCs/>
                <w:color w:val="000000"/>
                <w:spacing w:val="1"/>
                <w:shd w:val="solid" w:color="000000" w:fill="000000"/>
                <w:fitText w:val="238" w:id="-1303201009"/>
                <w14:textFill>
                  <w14:solidFill>
                    <w14:srgbClr w14:val="000000">
                      <w14:alpha w14:val="100000"/>
                    </w14:srgbClr>
                  </w14:solidFill>
                </w14:textFill>
              </w:rPr>
              <w:t>|</w:t>
            </w:r>
          </w:p>
        </w:tc>
        <w:tc>
          <w:tcPr>
            <w:tcW w:w="546" w:type="pct"/>
          </w:tcPr>
          <w:p w14:paraId="1CD68303" w14:textId="77777777" w:rsidR="0017012A" w:rsidRPr="00683533" w:rsidRDefault="0017012A" w:rsidP="00CC71B0">
            <w:pPr>
              <w:pStyle w:val="TableText0"/>
              <w:keepLines/>
              <w:jc w:val="center"/>
              <w:rPr>
                <w:b/>
                <w:bCs w:val="0"/>
                <w:iCs/>
              </w:rPr>
            </w:pPr>
            <w:r w:rsidRPr="00683533">
              <w:rPr>
                <w:b/>
                <w:bCs w:val="0"/>
                <w:iCs/>
              </w:rPr>
              <w:t>3.18</w:t>
            </w:r>
          </w:p>
        </w:tc>
        <w:tc>
          <w:tcPr>
            <w:tcW w:w="546" w:type="pct"/>
            <w:gridSpan w:val="2"/>
          </w:tcPr>
          <w:p w14:paraId="6C6CC6A1" w14:textId="77777777" w:rsidR="0017012A" w:rsidRPr="00683533" w:rsidRDefault="0017012A" w:rsidP="00CC71B0">
            <w:pPr>
              <w:pStyle w:val="TableText0"/>
              <w:keepLines/>
              <w:jc w:val="center"/>
              <w:rPr>
                <w:b/>
                <w:bCs w:val="0"/>
              </w:rPr>
            </w:pPr>
            <w:r w:rsidRPr="00683533">
              <w:t>Dominant</w:t>
            </w:r>
          </w:p>
        </w:tc>
        <w:tc>
          <w:tcPr>
            <w:tcW w:w="545" w:type="pct"/>
          </w:tcPr>
          <w:p w14:paraId="240D05B4" w14:textId="453BE40E" w:rsidR="0017012A" w:rsidRPr="00D944B2" w:rsidRDefault="0017012A" w:rsidP="00CC71B0">
            <w:pPr>
              <w:pStyle w:val="TableText0"/>
              <w:keepLines/>
              <w:jc w:val="center"/>
              <w:rPr>
                <w:b/>
                <w:bCs w:val="0"/>
                <w:iCs/>
                <w:highlight w:val="darkGray"/>
              </w:rPr>
            </w:pPr>
            <w:r w:rsidRPr="00E5290F">
              <w:rPr>
                <w:b/>
                <w:bCs w:val="0"/>
                <w:iCs/>
              </w:rPr>
              <w:t>-</w:t>
            </w:r>
            <w:r w:rsidR="006A414A" w:rsidRPr="006A414A">
              <w:rPr>
                <w:b/>
                <w:bCs w:val="0"/>
                <w:iCs/>
                <w:color w:val="000000"/>
                <w:spacing w:val="50"/>
                <w:shd w:val="solid" w:color="000000" w:fill="000000"/>
                <w:fitText w:val="238" w:id="-1303201008"/>
                <w14:textFill>
                  <w14:solidFill>
                    <w14:srgbClr w14:val="000000">
                      <w14:alpha w14:val="100000"/>
                    </w14:srgbClr>
                  </w14:solidFill>
                </w14:textFill>
              </w:rPr>
              <w:t>||</w:t>
            </w:r>
            <w:r w:rsidR="006A414A" w:rsidRPr="006A414A">
              <w:rPr>
                <w:b/>
                <w:bCs w:val="0"/>
                <w:iCs/>
                <w:color w:val="000000"/>
                <w:spacing w:val="1"/>
                <w:shd w:val="solid" w:color="000000" w:fill="000000"/>
                <w:fitText w:val="238" w:id="-1303201008"/>
                <w14:textFill>
                  <w14:solidFill>
                    <w14:srgbClr w14:val="000000">
                      <w14:alpha w14:val="100000"/>
                    </w14:srgbClr>
                  </w14:solidFill>
                </w14:textFill>
              </w:rPr>
              <w:t>|</w:t>
            </w:r>
          </w:p>
        </w:tc>
        <w:tc>
          <w:tcPr>
            <w:tcW w:w="546" w:type="pct"/>
          </w:tcPr>
          <w:p w14:paraId="22A07D92" w14:textId="77777777" w:rsidR="0017012A" w:rsidRPr="00683533" w:rsidRDefault="0017012A" w:rsidP="00CC71B0">
            <w:pPr>
              <w:pStyle w:val="TableText0"/>
              <w:keepLines/>
              <w:jc w:val="center"/>
              <w:rPr>
                <w:b/>
                <w:bCs w:val="0"/>
                <w:iCs/>
              </w:rPr>
            </w:pPr>
            <w:r w:rsidRPr="00683533">
              <w:rPr>
                <w:b/>
                <w:bCs w:val="0"/>
                <w:iCs/>
              </w:rPr>
              <w:t>2.02</w:t>
            </w:r>
          </w:p>
        </w:tc>
        <w:tc>
          <w:tcPr>
            <w:tcW w:w="545" w:type="pct"/>
            <w:gridSpan w:val="2"/>
          </w:tcPr>
          <w:p w14:paraId="01FDFFD7" w14:textId="77777777" w:rsidR="0017012A" w:rsidRPr="00683533" w:rsidRDefault="0017012A" w:rsidP="00CC71B0">
            <w:pPr>
              <w:pStyle w:val="TableText0"/>
              <w:keepLines/>
              <w:jc w:val="center"/>
              <w:rPr>
                <w:b/>
                <w:bCs w:val="0"/>
              </w:rPr>
            </w:pPr>
            <w:r w:rsidRPr="00683533">
              <w:t>Dominant</w:t>
            </w:r>
          </w:p>
        </w:tc>
      </w:tr>
      <w:tr w:rsidR="0017012A" w:rsidRPr="00683533" w14:paraId="191944FE" w14:textId="77777777" w:rsidTr="00E5290F">
        <w:trPr>
          <w:trHeight w:val="255"/>
        </w:trPr>
        <w:tc>
          <w:tcPr>
            <w:tcW w:w="1727" w:type="pct"/>
          </w:tcPr>
          <w:p w14:paraId="7E6DE020" w14:textId="77777777" w:rsidR="0017012A" w:rsidRPr="00683533" w:rsidRDefault="0017012A" w:rsidP="00CC71B0">
            <w:pPr>
              <w:pStyle w:val="TableText0"/>
              <w:keepLines/>
              <w:rPr>
                <w:szCs w:val="20"/>
                <w:vertAlign w:val="superscript"/>
              </w:rPr>
            </w:pPr>
            <w:r w:rsidRPr="00683533">
              <w:rPr>
                <w:rFonts w:eastAsia="Arial Narrow" w:cs="Arial Narrow"/>
                <w:color w:val="000000"/>
              </w:rPr>
              <w:t>CFR for pneumococcal hospitalisations: 3.8%</w:t>
            </w:r>
            <w:r w:rsidRPr="00683533">
              <w:rPr>
                <w:rFonts w:eastAsia="Arial Narrow" w:cs="Arial Narrow"/>
                <w:color w:val="000000"/>
                <w:vertAlign w:val="superscript"/>
              </w:rPr>
              <w:t>c</w:t>
            </w:r>
          </w:p>
        </w:tc>
        <w:tc>
          <w:tcPr>
            <w:tcW w:w="546" w:type="pct"/>
          </w:tcPr>
          <w:p w14:paraId="583C1C75" w14:textId="3C415286" w:rsidR="0017012A" w:rsidRPr="00D944B2" w:rsidRDefault="0017012A" w:rsidP="00CC71B0">
            <w:pPr>
              <w:pStyle w:val="TableText0"/>
              <w:keepLines/>
              <w:jc w:val="center"/>
              <w:rPr>
                <w:rFonts w:eastAsia="Arial Narrow" w:cs="Arial Narrow"/>
                <w:iCs/>
                <w:highlight w:val="darkGray"/>
              </w:rPr>
            </w:pPr>
            <w:r w:rsidRPr="00E5290F">
              <w:rPr>
                <w:rFonts w:eastAsia="Arial Narrow" w:cs="Arial Narrow"/>
                <w:iCs/>
              </w:rPr>
              <w:t>-</w:t>
            </w:r>
            <w:r w:rsidR="006A414A" w:rsidRPr="006A414A">
              <w:rPr>
                <w:rFonts w:eastAsia="Arial Narrow" w:cs="Arial Narrow"/>
                <w:iCs/>
                <w:color w:val="000000"/>
                <w:spacing w:val="55"/>
                <w:shd w:val="solid" w:color="000000" w:fill="000000"/>
                <w:fitText w:val="238" w:id="-1303201024"/>
                <w14:textFill>
                  <w14:solidFill>
                    <w14:srgbClr w14:val="000000">
                      <w14:alpha w14:val="100000"/>
                    </w14:srgbClr>
                  </w14:solidFill>
                </w14:textFill>
              </w:rPr>
              <w:t>||</w:t>
            </w:r>
            <w:r w:rsidR="006A414A" w:rsidRPr="006A414A">
              <w:rPr>
                <w:rFonts w:eastAsia="Arial Narrow" w:cs="Arial Narrow"/>
                <w:iCs/>
                <w:color w:val="000000"/>
                <w:spacing w:val="1"/>
                <w:shd w:val="solid" w:color="000000" w:fill="000000"/>
                <w:fitText w:val="238" w:id="-1303201024"/>
                <w14:textFill>
                  <w14:solidFill>
                    <w14:srgbClr w14:val="000000">
                      <w14:alpha w14:val="100000"/>
                    </w14:srgbClr>
                  </w14:solidFill>
                </w14:textFill>
              </w:rPr>
              <w:t>|</w:t>
            </w:r>
          </w:p>
        </w:tc>
        <w:tc>
          <w:tcPr>
            <w:tcW w:w="546" w:type="pct"/>
          </w:tcPr>
          <w:p w14:paraId="151C9457"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2.02</w:t>
            </w:r>
          </w:p>
        </w:tc>
        <w:tc>
          <w:tcPr>
            <w:tcW w:w="546" w:type="pct"/>
            <w:gridSpan w:val="2"/>
          </w:tcPr>
          <w:p w14:paraId="04738D4C" w14:textId="77777777" w:rsidR="0017012A" w:rsidRPr="00683533" w:rsidRDefault="0017012A" w:rsidP="00CC71B0">
            <w:pPr>
              <w:pStyle w:val="TableText0"/>
              <w:keepLines/>
              <w:jc w:val="center"/>
            </w:pPr>
            <w:r w:rsidRPr="00683533">
              <w:t>Dominant</w:t>
            </w:r>
          </w:p>
        </w:tc>
        <w:tc>
          <w:tcPr>
            <w:tcW w:w="545" w:type="pct"/>
          </w:tcPr>
          <w:p w14:paraId="60005F38" w14:textId="5F276B1F" w:rsidR="0017012A" w:rsidRPr="00D944B2" w:rsidRDefault="0017012A" w:rsidP="00CC71B0">
            <w:pPr>
              <w:pStyle w:val="TableText0"/>
              <w:keepLines/>
              <w:jc w:val="center"/>
              <w:rPr>
                <w:rFonts w:eastAsia="Arial Narrow" w:cs="Arial Narrow"/>
                <w:iCs/>
                <w:highlight w:val="darkGray"/>
              </w:rPr>
            </w:pPr>
            <w:r w:rsidRPr="00E5290F">
              <w:rPr>
                <w:rFonts w:eastAsia="Arial Narrow" w:cs="Arial Narrow"/>
                <w:iCs/>
              </w:rPr>
              <w:t>-</w:t>
            </w:r>
            <w:r w:rsidR="006A414A" w:rsidRPr="006A414A">
              <w:rPr>
                <w:rFonts w:eastAsia="Arial Narrow" w:cs="Arial Narrow"/>
                <w:iCs/>
                <w:color w:val="000000"/>
                <w:spacing w:val="55"/>
                <w:shd w:val="solid" w:color="000000" w:fill="000000"/>
                <w:fitText w:val="238" w:id="-1303201023"/>
                <w14:textFill>
                  <w14:solidFill>
                    <w14:srgbClr w14:val="000000">
                      <w14:alpha w14:val="100000"/>
                    </w14:srgbClr>
                  </w14:solidFill>
                </w14:textFill>
              </w:rPr>
              <w:t>||</w:t>
            </w:r>
            <w:r w:rsidR="006A414A" w:rsidRPr="006A414A">
              <w:rPr>
                <w:rFonts w:eastAsia="Arial Narrow" w:cs="Arial Narrow"/>
                <w:iCs/>
                <w:color w:val="000000"/>
                <w:spacing w:val="1"/>
                <w:shd w:val="solid" w:color="000000" w:fill="000000"/>
                <w:fitText w:val="238" w:id="-1303201023"/>
                <w14:textFill>
                  <w14:solidFill>
                    <w14:srgbClr w14:val="000000">
                      <w14:alpha w14:val="100000"/>
                    </w14:srgbClr>
                  </w14:solidFill>
                </w14:textFill>
              </w:rPr>
              <w:t>|</w:t>
            </w:r>
          </w:p>
        </w:tc>
        <w:tc>
          <w:tcPr>
            <w:tcW w:w="546" w:type="pct"/>
          </w:tcPr>
          <w:p w14:paraId="0951D38B"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1.28</w:t>
            </w:r>
          </w:p>
        </w:tc>
        <w:tc>
          <w:tcPr>
            <w:tcW w:w="545" w:type="pct"/>
            <w:gridSpan w:val="2"/>
          </w:tcPr>
          <w:p w14:paraId="232D3A10" w14:textId="77777777" w:rsidR="0017012A" w:rsidRPr="00683533" w:rsidRDefault="0017012A" w:rsidP="00CC71B0">
            <w:pPr>
              <w:pStyle w:val="TableText0"/>
              <w:keepLines/>
              <w:jc w:val="center"/>
            </w:pPr>
            <w:r w:rsidRPr="00683533">
              <w:t>Dominant</w:t>
            </w:r>
          </w:p>
        </w:tc>
      </w:tr>
      <w:tr w:rsidR="0017012A" w:rsidRPr="00683533" w14:paraId="1A9752B2" w14:textId="77777777" w:rsidTr="00E5290F">
        <w:trPr>
          <w:trHeight w:val="255"/>
        </w:trPr>
        <w:tc>
          <w:tcPr>
            <w:tcW w:w="1727" w:type="pct"/>
          </w:tcPr>
          <w:p w14:paraId="79787B31" w14:textId="77777777" w:rsidR="0017012A" w:rsidRPr="00683533" w:rsidRDefault="0017012A" w:rsidP="00CC71B0">
            <w:pPr>
              <w:pStyle w:val="TableText0"/>
              <w:keepLines/>
              <w:rPr>
                <w:szCs w:val="20"/>
                <w:vertAlign w:val="superscript"/>
              </w:rPr>
            </w:pPr>
            <w:r w:rsidRPr="00683533">
              <w:rPr>
                <w:rFonts w:eastAsia="Arial Narrow" w:cs="Arial Narrow"/>
                <w:color w:val="000000"/>
              </w:rPr>
              <w:t>CFR for pneumococcal hospitalisations: 20.5%</w:t>
            </w:r>
            <w:r w:rsidRPr="00683533">
              <w:rPr>
                <w:rFonts w:eastAsia="Arial Narrow" w:cs="Arial Narrow"/>
                <w:color w:val="000000"/>
                <w:vertAlign w:val="superscript"/>
              </w:rPr>
              <w:t>c</w:t>
            </w:r>
          </w:p>
        </w:tc>
        <w:tc>
          <w:tcPr>
            <w:tcW w:w="546" w:type="pct"/>
          </w:tcPr>
          <w:p w14:paraId="1E1B0C7A" w14:textId="47D7CA85" w:rsidR="0017012A" w:rsidRPr="00D944B2" w:rsidRDefault="0017012A" w:rsidP="00CC71B0">
            <w:pPr>
              <w:pStyle w:val="TableText0"/>
              <w:keepLines/>
              <w:jc w:val="center"/>
              <w:rPr>
                <w:rFonts w:eastAsia="Arial Narrow" w:cs="Arial Narrow"/>
                <w:iCs/>
                <w:highlight w:val="darkGray"/>
              </w:rPr>
            </w:pPr>
            <w:r w:rsidRPr="00E5290F">
              <w:rPr>
                <w:rFonts w:eastAsia="Arial Narrow" w:cs="Arial Narrow"/>
                <w:iCs/>
              </w:rPr>
              <w:t>-</w:t>
            </w:r>
            <w:r w:rsidR="006A414A" w:rsidRPr="006A414A">
              <w:rPr>
                <w:rFonts w:eastAsia="Arial Narrow" w:cs="Arial Narrow"/>
                <w:iCs/>
                <w:color w:val="000000"/>
                <w:spacing w:val="55"/>
                <w:shd w:val="solid" w:color="000000" w:fill="000000"/>
                <w:fitText w:val="238" w:id="-1303201022"/>
                <w14:textFill>
                  <w14:solidFill>
                    <w14:srgbClr w14:val="000000">
                      <w14:alpha w14:val="100000"/>
                    </w14:srgbClr>
                  </w14:solidFill>
                </w14:textFill>
              </w:rPr>
              <w:t>||</w:t>
            </w:r>
            <w:r w:rsidR="006A414A" w:rsidRPr="006A414A">
              <w:rPr>
                <w:rFonts w:eastAsia="Arial Narrow" w:cs="Arial Narrow"/>
                <w:iCs/>
                <w:color w:val="000000"/>
                <w:spacing w:val="1"/>
                <w:shd w:val="solid" w:color="000000" w:fill="000000"/>
                <w:fitText w:val="238" w:id="-1303201022"/>
                <w14:textFill>
                  <w14:solidFill>
                    <w14:srgbClr w14:val="000000">
                      <w14:alpha w14:val="100000"/>
                    </w14:srgbClr>
                  </w14:solidFill>
                </w14:textFill>
              </w:rPr>
              <w:t>|</w:t>
            </w:r>
          </w:p>
        </w:tc>
        <w:tc>
          <w:tcPr>
            <w:tcW w:w="546" w:type="pct"/>
          </w:tcPr>
          <w:p w14:paraId="0EBA5999"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6.43</w:t>
            </w:r>
          </w:p>
        </w:tc>
        <w:tc>
          <w:tcPr>
            <w:tcW w:w="546" w:type="pct"/>
            <w:gridSpan w:val="2"/>
          </w:tcPr>
          <w:p w14:paraId="1E0BFBAE" w14:textId="77777777" w:rsidR="0017012A" w:rsidRPr="00683533" w:rsidRDefault="0017012A" w:rsidP="00CC71B0">
            <w:pPr>
              <w:pStyle w:val="TableText0"/>
              <w:keepLines/>
              <w:jc w:val="center"/>
            </w:pPr>
            <w:r w:rsidRPr="00683533">
              <w:t>Dominant</w:t>
            </w:r>
          </w:p>
        </w:tc>
        <w:tc>
          <w:tcPr>
            <w:tcW w:w="545" w:type="pct"/>
          </w:tcPr>
          <w:p w14:paraId="4CC3056C" w14:textId="52935E6B" w:rsidR="0017012A" w:rsidRPr="00D944B2" w:rsidRDefault="0017012A" w:rsidP="00CC71B0">
            <w:pPr>
              <w:pStyle w:val="TableText0"/>
              <w:keepLines/>
              <w:jc w:val="center"/>
              <w:rPr>
                <w:rFonts w:eastAsia="Arial Narrow" w:cs="Arial Narrow"/>
                <w:iCs/>
                <w:highlight w:val="darkGray"/>
              </w:rPr>
            </w:pPr>
            <w:r w:rsidRPr="00E5290F">
              <w:rPr>
                <w:rFonts w:eastAsia="Arial Narrow" w:cs="Arial Narrow"/>
                <w:iCs/>
              </w:rPr>
              <w:t>-</w:t>
            </w:r>
            <w:r w:rsidR="006A414A" w:rsidRPr="006A414A">
              <w:rPr>
                <w:rFonts w:eastAsia="Arial Narrow" w:cs="Arial Narrow"/>
                <w:iCs/>
                <w:color w:val="000000"/>
                <w:spacing w:val="55"/>
                <w:shd w:val="solid" w:color="000000" w:fill="000000"/>
                <w:fitText w:val="238" w:id="-1303201021"/>
                <w14:textFill>
                  <w14:solidFill>
                    <w14:srgbClr w14:val="000000">
                      <w14:alpha w14:val="100000"/>
                    </w14:srgbClr>
                  </w14:solidFill>
                </w14:textFill>
              </w:rPr>
              <w:t>||</w:t>
            </w:r>
            <w:r w:rsidR="006A414A" w:rsidRPr="006A414A">
              <w:rPr>
                <w:rFonts w:eastAsia="Arial Narrow" w:cs="Arial Narrow"/>
                <w:iCs/>
                <w:color w:val="000000"/>
                <w:spacing w:val="1"/>
                <w:shd w:val="solid" w:color="000000" w:fill="000000"/>
                <w:fitText w:val="238" w:id="-1303201021"/>
                <w14:textFill>
                  <w14:solidFill>
                    <w14:srgbClr w14:val="000000">
                      <w14:alpha w14:val="100000"/>
                    </w14:srgbClr>
                  </w14:solidFill>
                </w14:textFill>
              </w:rPr>
              <w:t>|</w:t>
            </w:r>
          </w:p>
        </w:tc>
        <w:tc>
          <w:tcPr>
            <w:tcW w:w="546" w:type="pct"/>
          </w:tcPr>
          <w:p w14:paraId="70B3D773"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4.07</w:t>
            </w:r>
          </w:p>
        </w:tc>
        <w:tc>
          <w:tcPr>
            <w:tcW w:w="545" w:type="pct"/>
            <w:gridSpan w:val="2"/>
          </w:tcPr>
          <w:p w14:paraId="3E5D411A" w14:textId="77777777" w:rsidR="0017012A" w:rsidRPr="00683533" w:rsidRDefault="0017012A" w:rsidP="00CC71B0">
            <w:pPr>
              <w:pStyle w:val="TableText0"/>
              <w:keepLines/>
              <w:jc w:val="center"/>
            </w:pPr>
            <w:r w:rsidRPr="00683533">
              <w:t>Dominant</w:t>
            </w:r>
          </w:p>
        </w:tc>
      </w:tr>
      <w:tr w:rsidR="0017012A" w:rsidRPr="00683533" w14:paraId="0C9A3A4F" w14:textId="77777777" w:rsidTr="00E5290F">
        <w:trPr>
          <w:trHeight w:val="264"/>
        </w:trPr>
        <w:tc>
          <w:tcPr>
            <w:tcW w:w="1727" w:type="pct"/>
            <w:noWrap/>
            <w:hideMark/>
          </w:tcPr>
          <w:p w14:paraId="3A4C3EBF" w14:textId="77777777" w:rsidR="0017012A" w:rsidRPr="00683533" w:rsidRDefault="0017012A" w:rsidP="00CC71B0">
            <w:pPr>
              <w:pStyle w:val="TableText0"/>
              <w:keepLines/>
              <w:rPr>
                <w:vertAlign w:val="superscript"/>
              </w:rPr>
            </w:pPr>
            <w:r w:rsidRPr="00683533">
              <w:t>Discount rate: 0%</w:t>
            </w:r>
            <w:r w:rsidRPr="00683533">
              <w:rPr>
                <w:vertAlign w:val="superscript"/>
              </w:rPr>
              <w:t>d</w:t>
            </w:r>
          </w:p>
        </w:tc>
        <w:tc>
          <w:tcPr>
            <w:tcW w:w="546" w:type="pct"/>
          </w:tcPr>
          <w:p w14:paraId="1A0FF530" w14:textId="386F21C5" w:rsidR="0017012A" w:rsidRPr="00D944B2" w:rsidRDefault="0017012A" w:rsidP="00CC71B0">
            <w:pPr>
              <w:pStyle w:val="TableText0"/>
              <w:keepLines/>
              <w:jc w:val="center"/>
              <w:rPr>
                <w:iCs/>
                <w:highlight w:val="darkGray"/>
              </w:rPr>
            </w:pPr>
            <w:r w:rsidRPr="00E5290F">
              <w:rPr>
                <w:iCs/>
              </w:rPr>
              <w:t>-</w:t>
            </w:r>
            <w:r w:rsidR="006A414A" w:rsidRPr="006A414A">
              <w:rPr>
                <w:iCs/>
                <w:color w:val="000000"/>
                <w:spacing w:val="55"/>
                <w:shd w:val="solid" w:color="000000" w:fill="000000"/>
                <w:fitText w:val="238" w:id="-1303201020"/>
                <w14:textFill>
                  <w14:solidFill>
                    <w14:srgbClr w14:val="000000">
                      <w14:alpha w14:val="100000"/>
                    </w14:srgbClr>
                  </w14:solidFill>
                </w14:textFill>
              </w:rPr>
              <w:t>||</w:t>
            </w:r>
            <w:r w:rsidR="006A414A" w:rsidRPr="006A414A">
              <w:rPr>
                <w:iCs/>
                <w:color w:val="000000"/>
                <w:spacing w:val="1"/>
                <w:shd w:val="solid" w:color="000000" w:fill="000000"/>
                <w:fitText w:val="238" w:id="-1303201020"/>
                <w14:textFill>
                  <w14:solidFill>
                    <w14:srgbClr w14:val="000000">
                      <w14:alpha w14:val="100000"/>
                    </w14:srgbClr>
                  </w14:solidFill>
                </w14:textFill>
              </w:rPr>
              <w:t>|</w:t>
            </w:r>
          </w:p>
        </w:tc>
        <w:tc>
          <w:tcPr>
            <w:tcW w:w="546" w:type="pct"/>
          </w:tcPr>
          <w:p w14:paraId="713DF712" w14:textId="77777777" w:rsidR="0017012A" w:rsidRPr="00683533" w:rsidRDefault="0017012A" w:rsidP="00CC71B0">
            <w:pPr>
              <w:pStyle w:val="TableText0"/>
              <w:keepLines/>
              <w:jc w:val="center"/>
              <w:rPr>
                <w:iCs/>
              </w:rPr>
            </w:pPr>
            <w:r w:rsidRPr="00683533">
              <w:rPr>
                <w:iCs/>
              </w:rPr>
              <w:t>7.76</w:t>
            </w:r>
          </w:p>
        </w:tc>
        <w:tc>
          <w:tcPr>
            <w:tcW w:w="546" w:type="pct"/>
            <w:gridSpan w:val="2"/>
            <w:noWrap/>
            <w:hideMark/>
          </w:tcPr>
          <w:p w14:paraId="713C5610" w14:textId="77777777" w:rsidR="0017012A" w:rsidRPr="00683533" w:rsidRDefault="0017012A" w:rsidP="00CC71B0">
            <w:pPr>
              <w:pStyle w:val="TableText0"/>
              <w:keepLines/>
              <w:jc w:val="center"/>
            </w:pPr>
            <w:r w:rsidRPr="00683533">
              <w:t>Dominant</w:t>
            </w:r>
          </w:p>
        </w:tc>
        <w:tc>
          <w:tcPr>
            <w:tcW w:w="545" w:type="pct"/>
          </w:tcPr>
          <w:p w14:paraId="32BE8CA3" w14:textId="3FE87058" w:rsidR="0017012A" w:rsidRPr="00D944B2" w:rsidRDefault="0017012A" w:rsidP="00CC71B0">
            <w:pPr>
              <w:pStyle w:val="TableText0"/>
              <w:keepLines/>
              <w:jc w:val="center"/>
              <w:rPr>
                <w:iCs/>
                <w:highlight w:val="darkGray"/>
              </w:rPr>
            </w:pPr>
            <w:r w:rsidRPr="00E5290F">
              <w:rPr>
                <w:iCs/>
              </w:rPr>
              <w:t>-</w:t>
            </w:r>
            <w:r w:rsidR="006A414A" w:rsidRPr="006A414A">
              <w:rPr>
                <w:iCs/>
                <w:color w:val="000000"/>
                <w:spacing w:val="55"/>
                <w:shd w:val="solid" w:color="000000" w:fill="000000"/>
                <w:fitText w:val="238" w:id="-1303201019"/>
                <w14:textFill>
                  <w14:solidFill>
                    <w14:srgbClr w14:val="000000">
                      <w14:alpha w14:val="100000"/>
                    </w14:srgbClr>
                  </w14:solidFill>
                </w14:textFill>
              </w:rPr>
              <w:t>||</w:t>
            </w:r>
            <w:r w:rsidR="006A414A" w:rsidRPr="006A414A">
              <w:rPr>
                <w:iCs/>
                <w:color w:val="000000"/>
                <w:spacing w:val="1"/>
                <w:shd w:val="solid" w:color="000000" w:fill="000000"/>
                <w:fitText w:val="238" w:id="-1303201019"/>
                <w14:textFill>
                  <w14:solidFill>
                    <w14:srgbClr w14:val="000000">
                      <w14:alpha w14:val="100000"/>
                    </w14:srgbClr>
                  </w14:solidFill>
                </w14:textFill>
              </w:rPr>
              <w:t>|</w:t>
            </w:r>
          </w:p>
        </w:tc>
        <w:tc>
          <w:tcPr>
            <w:tcW w:w="546" w:type="pct"/>
          </w:tcPr>
          <w:p w14:paraId="5326278C" w14:textId="77777777" w:rsidR="0017012A" w:rsidRPr="00683533" w:rsidRDefault="0017012A" w:rsidP="00CC71B0">
            <w:pPr>
              <w:pStyle w:val="TableText0"/>
              <w:keepLines/>
              <w:jc w:val="center"/>
              <w:rPr>
                <w:iCs/>
              </w:rPr>
            </w:pPr>
            <w:r w:rsidRPr="00683533">
              <w:rPr>
                <w:iCs/>
              </w:rPr>
              <w:t>4.91</w:t>
            </w:r>
          </w:p>
        </w:tc>
        <w:tc>
          <w:tcPr>
            <w:tcW w:w="545" w:type="pct"/>
            <w:gridSpan w:val="2"/>
            <w:noWrap/>
            <w:hideMark/>
          </w:tcPr>
          <w:p w14:paraId="79C819FF" w14:textId="77777777" w:rsidR="0017012A" w:rsidRPr="00683533" w:rsidRDefault="0017012A" w:rsidP="00CC71B0">
            <w:pPr>
              <w:pStyle w:val="TableText0"/>
              <w:keepLines/>
              <w:jc w:val="center"/>
            </w:pPr>
            <w:r w:rsidRPr="00683533">
              <w:t>Dominant</w:t>
            </w:r>
          </w:p>
        </w:tc>
      </w:tr>
      <w:tr w:rsidR="0017012A" w:rsidRPr="00683533" w14:paraId="79AE4B15" w14:textId="77777777" w:rsidTr="00E5290F">
        <w:trPr>
          <w:trHeight w:val="264"/>
        </w:trPr>
        <w:tc>
          <w:tcPr>
            <w:tcW w:w="1727" w:type="pct"/>
            <w:noWrap/>
            <w:hideMark/>
          </w:tcPr>
          <w:p w14:paraId="13BBA71E" w14:textId="77777777" w:rsidR="0017012A" w:rsidRPr="00683533" w:rsidRDefault="0017012A" w:rsidP="00CC71B0">
            <w:pPr>
              <w:pStyle w:val="TableText0"/>
              <w:keepLines/>
              <w:rPr>
                <w:vertAlign w:val="superscript"/>
              </w:rPr>
            </w:pPr>
            <w:r w:rsidRPr="00683533">
              <w:t>Discount rate: 3.5%</w:t>
            </w:r>
            <w:r w:rsidRPr="00683533">
              <w:rPr>
                <w:vertAlign w:val="superscript"/>
              </w:rPr>
              <w:t>d</w:t>
            </w:r>
          </w:p>
        </w:tc>
        <w:tc>
          <w:tcPr>
            <w:tcW w:w="546" w:type="pct"/>
          </w:tcPr>
          <w:p w14:paraId="2106E924" w14:textId="4CEDD826" w:rsidR="0017012A" w:rsidRPr="00D944B2" w:rsidRDefault="0017012A" w:rsidP="00CC71B0">
            <w:pPr>
              <w:pStyle w:val="TableText0"/>
              <w:keepLines/>
              <w:jc w:val="center"/>
              <w:rPr>
                <w:iCs/>
                <w:highlight w:val="darkGray"/>
              </w:rPr>
            </w:pPr>
            <w:r w:rsidRPr="00E5290F">
              <w:rPr>
                <w:iCs/>
              </w:rPr>
              <w:t>-</w:t>
            </w:r>
            <w:r w:rsidR="006A414A" w:rsidRPr="006A414A">
              <w:rPr>
                <w:iCs/>
                <w:color w:val="000000"/>
                <w:spacing w:val="55"/>
                <w:shd w:val="solid" w:color="000000" w:fill="000000"/>
                <w:fitText w:val="238" w:id="-1303201018"/>
                <w14:textFill>
                  <w14:solidFill>
                    <w14:srgbClr w14:val="000000">
                      <w14:alpha w14:val="100000"/>
                    </w14:srgbClr>
                  </w14:solidFill>
                </w14:textFill>
              </w:rPr>
              <w:t>||</w:t>
            </w:r>
            <w:r w:rsidR="006A414A" w:rsidRPr="006A414A">
              <w:rPr>
                <w:iCs/>
                <w:color w:val="000000"/>
                <w:spacing w:val="1"/>
                <w:shd w:val="solid" w:color="000000" w:fill="000000"/>
                <w:fitText w:val="238" w:id="-1303201018"/>
                <w14:textFill>
                  <w14:solidFill>
                    <w14:srgbClr w14:val="000000">
                      <w14:alpha w14:val="100000"/>
                    </w14:srgbClr>
                  </w14:solidFill>
                </w14:textFill>
              </w:rPr>
              <w:t>|</w:t>
            </w:r>
          </w:p>
        </w:tc>
        <w:tc>
          <w:tcPr>
            <w:tcW w:w="546" w:type="pct"/>
          </w:tcPr>
          <w:p w14:paraId="212AC93F" w14:textId="77777777" w:rsidR="0017012A" w:rsidRPr="00683533" w:rsidRDefault="0017012A" w:rsidP="00CC71B0">
            <w:pPr>
              <w:pStyle w:val="TableText0"/>
              <w:keepLines/>
              <w:jc w:val="center"/>
              <w:rPr>
                <w:iCs/>
              </w:rPr>
            </w:pPr>
            <w:r w:rsidRPr="00683533">
              <w:rPr>
                <w:iCs/>
              </w:rPr>
              <w:t>4.06</w:t>
            </w:r>
          </w:p>
        </w:tc>
        <w:tc>
          <w:tcPr>
            <w:tcW w:w="546" w:type="pct"/>
            <w:gridSpan w:val="2"/>
            <w:noWrap/>
            <w:hideMark/>
          </w:tcPr>
          <w:p w14:paraId="01772E16" w14:textId="77777777" w:rsidR="0017012A" w:rsidRPr="00683533" w:rsidRDefault="0017012A" w:rsidP="00CC71B0">
            <w:pPr>
              <w:pStyle w:val="TableText0"/>
              <w:keepLines/>
              <w:jc w:val="center"/>
            </w:pPr>
            <w:r w:rsidRPr="00683533">
              <w:t>Dominant</w:t>
            </w:r>
          </w:p>
        </w:tc>
        <w:tc>
          <w:tcPr>
            <w:tcW w:w="545" w:type="pct"/>
          </w:tcPr>
          <w:p w14:paraId="542FBE4F" w14:textId="124E493F" w:rsidR="0017012A" w:rsidRPr="00D944B2" w:rsidRDefault="0017012A" w:rsidP="00CC71B0">
            <w:pPr>
              <w:pStyle w:val="TableText0"/>
              <w:keepLines/>
              <w:jc w:val="center"/>
              <w:rPr>
                <w:iCs/>
                <w:highlight w:val="darkGray"/>
              </w:rPr>
            </w:pPr>
            <w:r w:rsidRPr="00E5290F">
              <w:rPr>
                <w:iCs/>
              </w:rPr>
              <w:t>-</w:t>
            </w:r>
            <w:r w:rsidR="006A414A" w:rsidRPr="006A414A">
              <w:rPr>
                <w:iCs/>
                <w:color w:val="000000"/>
                <w:spacing w:val="55"/>
                <w:shd w:val="solid" w:color="000000" w:fill="000000"/>
                <w:fitText w:val="238" w:id="-1303201017"/>
                <w14:textFill>
                  <w14:solidFill>
                    <w14:srgbClr w14:val="000000">
                      <w14:alpha w14:val="100000"/>
                    </w14:srgbClr>
                  </w14:solidFill>
                </w14:textFill>
              </w:rPr>
              <w:t>||</w:t>
            </w:r>
            <w:r w:rsidR="006A414A" w:rsidRPr="006A414A">
              <w:rPr>
                <w:iCs/>
                <w:color w:val="000000"/>
                <w:spacing w:val="1"/>
                <w:shd w:val="solid" w:color="000000" w:fill="000000"/>
                <w:fitText w:val="238" w:id="-1303201017"/>
                <w14:textFill>
                  <w14:solidFill>
                    <w14:srgbClr w14:val="000000">
                      <w14:alpha w14:val="100000"/>
                    </w14:srgbClr>
                  </w14:solidFill>
                </w14:textFill>
              </w:rPr>
              <w:t>|</w:t>
            </w:r>
          </w:p>
        </w:tc>
        <w:tc>
          <w:tcPr>
            <w:tcW w:w="546" w:type="pct"/>
          </w:tcPr>
          <w:p w14:paraId="46A4BF02" w14:textId="77777777" w:rsidR="0017012A" w:rsidRPr="00683533" w:rsidRDefault="0017012A" w:rsidP="00CC71B0">
            <w:pPr>
              <w:pStyle w:val="TableText0"/>
              <w:keepLines/>
              <w:jc w:val="center"/>
              <w:rPr>
                <w:iCs/>
              </w:rPr>
            </w:pPr>
            <w:r w:rsidRPr="00683533">
              <w:rPr>
                <w:iCs/>
              </w:rPr>
              <w:t>2.57</w:t>
            </w:r>
          </w:p>
        </w:tc>
        <w:tc>
          <w:tcPr>
            <w:tcW w:w="545" w:type="pct"/>
            <w:gridSpan w:val="2"/>
            <w:noWrap/>
            <w:hideMark/>
          </w:tcPr>
          <w:p w14:paraId="39407AA8" w14:textId="77777777" w:rsidR="0017012A" w:rsidRPr="00683533" w:rsidRDefault="0017012A" w:rsidP="00CC71B0">
            <w:pPr>
              <w:pStyle w:val="TableText0"/>
              <w:keepLines/>
              <w:jc w:val="center"/>
            </w:pPr>
            <w:r w:rsidRPr="00683533">
              <w:t>Dominant</w:t>
            </w:r>
          </w:p>
        </w:tc>
      </w:tr>
      <w:tr w:rsidR="0017012A" w:rsidRPr="00683533" w14:paraId="76D9D4EA" w14:textId="77777777" w:rsidTr="00E5290F">
        <w:trPr>
          <w:trHeight w:val="264"/>
        </w:trPr>
        <w:tc>
          <w:tcPr>
            <w:tcW w:w="1727" w:type="pct"/>
            <w:noWrap/>
          </w:tcPr>
          <w:p w14:paraId="2E834C7B" w14:textId="77777777" w:rsidR="0017012A" w:rsidRPr="00683533" w:rsidRDefault="0017012A" w:rsidP="00CC71B0">
            <w:pPr>
              <w:pStyle w:val="TableText0"/>
              <w:keepLines/>
            </w:pPr>
            <w:r w:rsidRPr="00683533">
              <w:rPr>
                <w:szCs w:val="20"/>
              </w:rPr>
              <w:t xml:space="preserve">Time horizon: 5 </w:t>
            </w:r>
            <w:proofErr w:type="spellStart"/>
            <w:r w:rsidRPr="00683533">
              <w:rPr>
                <w:szCs w:val="20"/>
              </w:rPr>
              <w:t>years</w:t>
            </w:r>
            <w:r w:rsidRPr="00683533">
              <w:rPr>
                <w:vertAlign w:val="superscript"/>
              </w:rPr>
              <w:t>d,e</w:t>
            </w:r>
            <w:proofErr w:type="spellEnd"/>
          </w:p>
        </w:tc>
        <w:tc>
          <w:tcPr>
            <w:tcW w:w="546" w:type="pct"/>
          </w:tcPr>
          <w:p w14:paraId="7E19DB3A" w14:textId="6A5B33F9" w:rsidR="0017012A" w:rsidRPr="00D944B2" w:rsidRDefault="0017012A" w:rsidP="00CC71B0">
            <w:pPr>
              <w:pStyle w:val="TableText0"/>
              <w:keepLines/>
              <w:jc w:val="center"/>
              <w:rPr>
                <w:iCs/>
                <w:highlight w:val="darkGray"/>
              </w:rPr>
            </w:pPr>
            <w:r w:rsidRPr="00E5290F">
              <w:rPr>
                <w:iCs/>
              </w:rPr>
              <w:t>-</w:t>
            </w:r>
            <w:r w:rsidR="006A414A" w:rsidRPr="006A414A">
              <w:rPr>
                <w:iCs/>
                <w:color w:val="000000"/>
                <w:spacing w:val="55"/>
                <w:shd w:val="solid" w:color="000000" w:fill="000000"/>
                <w:fitText w:val="238" w:id="-1303201016"/>
                <w14:textFill>
                  <w14:solidFill>
                    <w14:srgbClr w14:val="000000">
                      <w14:alpha w14:val="100000"/>
                    </w14:srgbClr>
                  </w14:solidFill>
                </w14:textFill>
              </w:rPr>
              <w:t>||</w:t>
            </w:r>
            <w:r w:rsidR="006A414A" w:rsidRPr="006A414A">
              <w:rPr>
                <w:iCs/>
                <w:color w:val="000000"/>
                <w:spacing w:val="1"/>
                <w:shd w:val="solid" w:color="000000" w:fill="000000"/>
                <w:fitText w:val="238" w:id="-1303201016"/>
                <w14:textFill>
                  <w14:solidFill>
                    <w14:srgbClr w14:val="000000">
                      <w14:alpha w14:val="100000"/>
                    </w14:srgbClr>
                  </w14:solidFill>
                </w14:textFill>
              </w:rPr>
              <w:t>|</w:t>
            </w:r>
          </w:p>
        </w:tc>
        <w:tc>
          <w:tcPr>
            <w:tcW w:w="546" w:type="pct"/>
          </w:tcPr>
          <w:p w14:paraId="40FC4A63" w14:textId="77777777" w:rsidR="0017012A" w:rsidRPr="00683533" w:rsidRDefault="0017012A" w:rsidP="00CC71B0">
            <w:pPr>
              <w:pStyle w:val="TableText0"/>
              <w:keepLines/>
              <w:jc w:val="center"/>
              <w:rPr>
                <w:iCs/>
              </w:rPr>
            </w:pPr>
            <w:r w:rsidRPr="00683533">
              <w:rPr>
                <w:iCs/>
              </w:rPr>
              <w:t>0.18</w:t>
            </w:r>
          </w:p>
        </w:tc>
        <w:tc>
          <w:tcPr>
            <w:tcW w:w="546" w:type="pct"/>
            <w:gridSpan w:val="2"/>
            <w:noWrap/>
          </w:tcPr>
          <w:p w14:paraId="29BE9DCB" w14:textId="77777777" w:rsidR="0017012A" w:rsidRPr="00683533" w:rsidRDefault="0017012A" w:rsidP="00CC71B0">
            <w:pPr>
              <w:pStyle w:val="TableText0"/>
              <w:keepLines/>
              <w:jc w:val="center"/>
            </w:pPr>
            <w:r w:rsidRPr="00683533">
              <w:t>Dominant</w:t>
            </w:r>
          </w:p>
        </w:tc>
        <w:tc>
          <w:tcPr>
            <w:tcW w:w="545" w:type="pct"/>
          </w:tcPr>
          <w:p w14:paraId="10B848D2" w14:textId="22363B57" w:rsidR="0017012A" w:rsidRPr="00D944B2" w:rsidRDefault="0017012A" w:rsidP="00CC71B0">
            <w:pPr>
              <w:pStyle w:val="TableText0"/>
              <w:keepLines/>
              <w:jc w:val="center"/>
              <w:rPr>
                <w:iCs/>
                <w:highlight w:val="darkGray"/>
              </w:rPr>
            </w:pPr>
            <w:r w:rsidRPr="00E5290F">
              <w:rPr>
                <w:iCs/>
              </w:rPr>
              <w:t>-</w:t>
            </w:r>
            <w:r w:rsidR="006A414A" w:rsidRPr="006A414A">
              <w:rPr>
                <w:iCs/>
                <w:color w:val="000000"/>
                <w:spacing w:val="55"/>
                <w:shd w:val="solid" w:color="000000" w:fill="000000"/>
                <w:fitText w:val="238" w:id="-1303201015"/>
                <w14:textFill>
                  <w14:solidFill>
                    <w14:srgbClr w14:val="000000">
                      <w14:alpha w14:val="100000"/>
                    </w14:srgbClr>
                  </w14:solidFill>
                </w14:textFill>
              </w:rPr>
              <w:t>||</w:t>
            </w:r>
            <w:r w:rsidR="006A414A" w:rsidRPr="006A414A">
              <w:rPr>
                <w:iCs/>
                <w:color w:val="000000"/>
                <w:spacing w:val="1"/>
                <w:shd w:val="solid" w:color="000000" w:fill="000000"/>
                <w:fitText w:val="238" w:id="-1303201015"/>
                <w14:textFill>
                  <w14:solidFill>
                    <w14:srgbClr w14:val="000000">
                      <w14:alpha w14:val="100000"/>
                    </w14:srgbClr>
                  </w14:solidFill>
                </w14:textFill>
              </w:rPr>
              <w:t>|</w:t>
            </w:r>
          </w:p>
        </w:tc>
        <w:tc>
          <w:tcPr>
            <w:tcW w:w="546" w:type="pct"/>
          </w:tcPr>
          <w:p w14:paraId="08CE4C20" w14:textId="77777777" w:rsidR="0017012A" w:rsidRPr="00683533" w:rsidRDefault="0017012A" w:rsidP="00CC71B0">
            <w:pPr>
              <w:pStyle w:val="TableText0"/>
              <w:keepLines/>
              <w:jc w:val="center"/>
              <w:rPr>
                <w:iCs/>
              </w:rPr>
            </w:pPr>
            <w:r w:rsidRPr="00683533">
              <w:rPr>
                <w:iCs/>
              </w:rPr>
              <w:t>0.11</w:t>
            </w:r>
          </w:p>
        </w:tc>
        <w:tc>
          <w:tcPr>
            <w:tcW w:w="545" w:type="pct"/>
            <w:gridSpan w:val="2"/>
            <w:noWrap/>
          </w:tcPr>
          <w:p w14:paraId="6D4B2510" w14:textId="77777777" w:rsidR="0017012A" w:rsidRPr="00683533" w:rsidRDefault="0017012A" w:rsidP="00CC71B0">
            <w:pPr>
              <w:pStyle w:val="TableText0"/>
              <w:keepLines/>
              <w:jc w:val="center"/>
            </w:pPr>
            <w:r w:rsidRPr="00683533">
              <w:t>Dominant</w:t>
            </w:r>
          </w:p>
        </w:tc>
      </w:tr>
      <w:tr w:rsidR="0017012A" w:rsidRPr="00683533" w14:paraId="6017576A" w14:textId="77777777" w:rsidTr="00E5290F">
        <w:trPr>
          <w:trHeight w:val="255"/>
        </w:trPr>
        <w:tc>
          <w:tcPr>
            <w:tcW w:w="1727" w:type="pct"/>
          </w:tcPr>
          <w:p w14:paraId="1DCA09D3" w14:textId="77777777" w:rsidR="0017012A" w:rsidRPr="00683533" w:rsidRDefault="0017012A" w:rsidP="00CC71B0">
            <w:pPr>
              <w:pStyle w:val="In-tableHeading"/>
              <w:keepLines/>
              <w:rPr>
                <w:szCs w:val="20"/>
                <w:vertAlign w:val="superscript"/>
              </w:rPr>
            </w:pPr>
            <w:r w:rsidRPr="00683533">
              <w:t>Base case for at-risk adults aged 18-69</w:t>
            </w:r>
            <w:proofErr w:type="gramStart"/>
            <w:r w:rsidRPr="00683533">
              <w:rPr>
                <w:vertAlign w:val="superscript"/>
              </w:rPr>
              <w:t>g,h</w:t>
            </w:r>
            <w:proofErr w:type="gramEnd"/>
          </w:p>
        </w:tc>
        <w:tc>
          <w:tcPr>
            <w:tcW w:w="546" w:type="pct"/>
          </w:tcPr>
          <w:p w14:paraId="6AE79E05" w14:textId="44C697F2" w:rsidR="0017012A" w:rsidRPr="00D944B2" w:rsidRDefault="0017012A" w:rsidP="00CC71B0">
            <w:pPr>
              <w:pStyle w:val="In-tableHeading"/>
              <w:keepLines/>
              <w:jc w:val="center"/>
              <w:rPr>
                <w:iCs/>
                <w:highlight w:val="darkGray"/>
              </w:rPr>
            </w:pPr>
            <w:r w:rsidRPr="00E5290F">
              <w:rPr>
                <w:iCs/>
              </w:rPr>
              <w:t>-</w:t>
            </w:r>
            <w:r w:rsidR="006A414A" w:rsidRPr="006A414A">
              <w:rPr>
                <w:iCs/>
                <w:color w:val="000000"/>
                <w:spacing w:val="50"/>
                <w:shd w:val="solid" w:color="000000" w:fill="000000"/>
                <w:fitText w:val="238" w:id="-1303201014"/>
                <w14:textFill>
                  <w14:solidFill>
                    <w14:srgbClr w14:val="000000">
                      <w14:alpha w14:val="100000"/>
                    </w14:srgbClr>
                  </w14:solidFill>
                </w14:textFill>
              </w:rPr>
              <w:t>||</w:t>
            </w:r>
            <w:r w:rsidR="006A414A" w:rsidRPr="006A414A">
              <w:rPr>
                <w:iCs/>
                <w:color w:val="000000"/>
                <w:spacing w:val="1"/>
                <w:shd w:val="solid" w:color="000000" w:fill="000000"/>
                <w:fitText w:val="238" w:id="-1303201014"/>
                <w14:textFill>
                  <w14:solidFill>
                    <w14:srgbClr w14:val="000000">
                      <w14:alpha w14:val="100000"/>
                    </w14:srgbClr>
                  </w14:solidFill>
                </w14:textFill>
              </w:rPr>
              <w:t>|</w:t>
            </w:r>
          </w:p>
        </w:tc>
        <w:tc>
          <w:tcPr>
            <w:tcW w:w="546" w:type="pct"/>
          </w:tcPr>
          <w:p w14:paraId="52A612C3" w14:textId="77777777" w:rsidR="0017012A" w:rsidRPr="00683533" w:rsidRDefault="0017012A" w:rsidP="00CC71B0">
            <w:pPr>
              <w:pStyle w:val="In-tableHeading"/>
              <w:keepLines/>
              <w:jc w:val="center"/>
              <w:rPr>
                <w:iCs/>
              </w:rPr>
            </w:pPr>
            <w:r w:rsidRPr="00683533">
              <w:rPr>
                <w:iCs/>
              </w:rPr>
              <w:t>0.56</w:t>
            </w:r>
          </w:p>
        </w:tc>
        <w:tc>
          <w:tcPr>
            <w:tcW w:w="546" w:type="pct"/>
            <w:gridSpan w:val="2"/>
          </w:tcPr>
          <w:p w14:paraId="482AA0E0" w14:textId="77777777" w:rsidR="0017012A" w:rsidRPr="00683533" w:rsidRDefault="0017012A" w:rsidP="00CC71B0">
            <w:pPr>
              <w:pStyle w:val="In-tableHeading"/>
              <w:keepLines/>
              <w:jc w:val="center"/>
            </w:pPr>
            <w:r w:rsidRPr="00683533">
              <w:t>Dominant</w:t>
            </w:r>
          </w:p>
        </w:tc>
        <w:tc>
          <w:tcPr>
            <w:tcW w:w="545" w:type="pct"/>
          </w:tcPr>
          <w:p w14:paraId="266A89A4" w14:textId="2A2F8D5B" w:rsidR="0017012A" w:rsidRPr="00D944B2" w:rsidRDefault="0017012A" w:rsidP="00CC71B0">
            <w:pPr>
              <w:pStyle w:val="In-tableHeading"/>
              <w:keepLines/>
              <w:jc w:val="center"/>
              <w:rPr>
                <w:iCs/>
                <w:highlight w:val="darkGray"/>
              </w:rPr>
            </w:pPr>
            <w:r w:rsidRPr="00E5290F">
              <w:rPr>
                <w:iCs/>
              </w:rPr>
              <w:t>-</w:t>
            </w:r>
            <w:r w:rsidR="006A414A" w:rsidRPr="006A414A">
              <w:rPr>
                <w:iCs/>
                <w:color w:val="000000"/>
                <w:spacing w:val="50"/>
                <w:shd w:val="solid" w:color="000000" w:fill="000000"/>
                <w:fitText w:val="238" w:id="-1303201013"/>
                <w14:textFill>
                  <w14:solidFill>
                    <w14:srgbClr w14:val="000000">
                      <w14:alpha w14:val="100000"/>
                    </w14:srgbClr>
                  </w14:solidFill>
                </w14:textFill>
              </w:rPr>
              <w:t>||</w:t>
            </w:r>
            <w:r w:rsidR="006A414A" w:rsidRPr="006A414A">
              <w:rPr>
                <w:iCs/>
                <w:color w:val="000000"/>
                <w:spacing w:val="1"/>
                <w:shd w:val="solid" w:color="000000" w:fill="000000"/>
                <w:fitText w:val="238" w:id="-1303201013"/>
                <w14:textFill>
                  <w14:solidFill>
                    <w14:srgbClr w14:val="000000">
                      <w14:alpha w14:val="100000"/>
                    </w14:srgbClr>
                  </w14:solidFill>
                </w14:textFill>
              </w:rPr>
              <w:t>|</w:t>
            </w:r>
          </w:p>
        </w:tc>
        <w:tc>
          <w:tcPr>
            <w:tcW w:w="546" w:type="pct"/>
          </w:tcPr>
          <w:p w14:paraId="602F315E" w14:textId="77777777" w:rsidR="0017012A" w:rsidRPr="00683533" w:rsidRDefault="0017012A" w:rsidP="00CC71B0">
            <w:pPr>
              <w:pStyle w:val="In-tableHeading"/>
              <w:keepLines/>
              <w:jc w:val="center"/>
              <w:rPr>
                <w:iCs/>
              </w:rPr>
            </w:pPr>
            <w:r w:rsidRPr="00683533">
              <w:rPr>
                <w:iCs/>
              </w:rPr>
              <w:t>0.30</w:t>
            </w:r>
          </w:p>
        </w:tc>
        <w:tc>
          <w:tcPr>
            <w:tcW w:w="545" w:type="pct"/>
            <w:gridSpan w:val="2"/>
          </w:tcPr>
          <w:p w14:paraId="0D85C65B" w14:textId="77777777" w:rsidR="0017012A" w:rsidRPr="00683533" w:rsidRDefault="0017012A" w:rsidP="00CC71B0">
            <w:pPr>
              <w:pStyle w:val="In-tableHeading"/>
              <w:keepLines/>
              <w:jc w:val="center"/>
            </w:pPr>
            <w:r w:rsidRPr="00683533">
              <w:t>Dominant</w:t>
            </w:r>
          </w:p>
        </w:tc>
      </w:tr>
      <w:tr w:rsidR="0017012A" w:rsidRPr="00683533" w14:paraId="2CFFAE49" w14:textId="77777777" w:rsidTr="00E5290F">
        <w:trPr>
          <w:trHeight w:val="255"/>
        </w:trPr>
        <w:tc>
          <w:tcPr>
            <w:tcW w:w="1727" w:type="pct"/>
          </w:tcPr>
          <w:p w14:paraId="7A816CD9" w14:textId="77777777" w:rsidR="0017012A" w:rsidRPr="00683533" w:rsidRDefault="0017012A" w:rsidP="00CC71B0">
            <w:pPr>
              <w:pStyle w:val="TableText0"/>
              <w:keepLines/>
              <w:rPr>
                <w:vertAlign w:val="superscript"/>
              </w:rPr>
            </w:pPr>
            <w:r w:rsidRPr="00683533">
              <w:rPr>
                <w:rFonts w:eastAsia="Arial Narrow" w:cs="Arial Narrow"/>
                <w:color w:val="000000"/>
              </w:rPr>
              <w:t>CFR for pneumococcal hospitalisations: 3.8%</w:t>
            </w:r>
            <w:r w:rsidRPr="00683533">
              <w:rPr>
                <w:rFonts w:eastAsia="Arial Narrow" w:cs="Arial Narrow"/>
                <w:color w:val="000000"/>
                <w:vertAlign w:val="superscript"/>
              </w:rPr>
              <w:t xml:space="preserve"> </w:t>
            </w:r>
            <w:proofErr w:type="spellStart"/>
            <w:r w:rsidRPr="00683533">
              <w:rPr>
                <w:rFonts w:eastAsia="Arial Narrow" w:cs="Arial Narrow"/>
                <w:color w:val="000000"/>
                <w:vertAlign w:val="superscript"/>
              </w:rPr>
              <w:t>c,h</w:t>
            </w:r>
            <w:proofErr w:type="spellEnd"/>
          </w:p>
        </w:tc>
        <w:tc>
          <w:tcPr>
            <w:tcW w:w="546" w:type="pct"/>
          </w:tcPr>
          <w:p w14:paraId="5239BDE3" w14:textId="73F61EA2" w:rsidR="0017012A" w:rsidRPr="00D944B2" w:rsidRDefault="0017012A" w:rsidP="00CC71B0">
            <w:pPr>
              <w:pStyle w:val="TableText0"/>
              <w:keepLines/>
              <w:jc w:val="center"/>
              <w:rPr>
                <w:rFonts w:eastAsia="MS Gothic" w:cs="Times New Roman"/>
                <w:iCs/>
                <w:highlight w:val="darkGray"/>
              </w:rPr>
            </w:pPr>
            <w:r w:rsidRPr="00E5290F">
              <w:rPr>
                <w:rFonts w:eastAsia="MS Gothic" w:cs="Times New Roman"/>
                <w:iCs/>
              </w:rPr>
              <w:t>-</w:t>
            </w:r>
            <w:r w:rsidR="006A414A" w:rsidRPr="006A414A">
              <w:rPr>
                <w:rFonts w:eastAsia="MS Gothic" w:cs="Times New Roman"/>
                <w:iCs/>
                <w:color w:val="000000"/>
                <w:spacing w:val="55"/>
                <w:shd w:val="solid" w:color="000000" w:fill="000000"/>
                <w:fitText w:val="238" w:id="-1303201012"/>
                <w14:textFill>
                  <w14:solidFill>
                    <w14:srgbClr w14:val="000000">
                      <w14:alpha w14:val="100000"/>
                    </w14:srgbClr>
                  </w14:solidFill>
                </w14:textFill>
              </w:rPr>
              <w:t>||</w:t>
            </w:r>
            <w:r w:rsidR="006A414A" w:rsidRPr="006A414A">
              <w:rPr>
                <w:rFonts w:eastAsia="MS Gothic" w:cs="Times New Roman"/>
                <w:iCs/>
                <w:color w:val="000000"/>
                <w:spacing w:val="1"/>
                <w:shd w:val="solid" w:color="000000" w:fill="000000"/>
                <w:fitText w:val="238" w:id="-1303201012"/>
                <w14:textFill>
                  <w14:solidFill>
                    <w14:srgbClr w14:val="000000">
                      <w14:alpha w14:val="100000"/>
                    </w14:srgbClr>
                  </w14:solidFill>
                </w14:textFill>
              </w:rPr>
              <w:t>|</w:t>
            </w:r>
          </w:p>
        </w:tc>
        <w:tc>
          <w:tcPr>
            <w:tcW w:w="546" w:type="pct"/>
          </w:tcPr>
          <w:p w14:paraId="0C368D74" w14:textId="77777777" w:rsidR="0017012A" w:rsidRPr="00683533" w:rsidRDefault="0017012A" w:rsidP="00CC71B0">
            <w:pPr>
              <w:pStyle w:val="TableText0"/>
              <w:keepLines/>
              <w:jc w:val="center"/>
              <w:rPr>
                <w:rFonts w:eastAsia="MS Gothic" w:cs="Times New Roman"/>
                <w:iCs/>
              </w:rPr>
            </w:pPr>
            <w:r w:rsidRPr="00683533">
              <w:rPr>
                <w:rFonts w:eastAsia="MS Gothic" w:cs="Times New Roman"/>
                <w:iCs/>
              </w:rPr>
              <w:t>0.55</w:t>
            </w:r>
          </w:p>
        </w:tc>
        <w:tc>
          <w:tcPr>
            <w:tcW w:w="546" w:type="pct"/>
            <w:gridSpan w:val="2"/>
          </w:tcPr>
          <w:p w14:paraId="23DD4268" w14:textId="77777777" w:rsidR="0017012A" w:rsidRPr="00683533" w:rsidRDefault="0017012A" w:rsidP="00CC71B0">
            <w:pPr>
              <w:pStyle w:val="TableText0"/>
              <w:keepLines/>
              <w:jc w:val="center"/>
              <w:rPr>
                <w:szCs w:val="20"/>
              </w:rPr>
            </w:pPr>
            <w:r w:rsidRPr="00683533">
              <w:t>Dominant</w:t>
            </w:r>
          </w:p>
        </w:tc>
        <w:tc>
          <w:tcPr>
            <w:tcW w:w="545" w:type="pct"/>
          </w:tcPr>
          <w:p w14:paraId="7A494A26" w14:textId="18BED6AA" w:rsidR="0017012A" w:rsidRPr="00D944B2" w:rsidRDefault="0017012A" w:rsidP="00CC71B0">
            <w:pPr>
              <w:pStyle w:val="TableText0"/>
              <w:keepLines/>
              <w:jc w:val="center"/>
              <w:rPr>
                <w:rFonts w:eastAsia="MS Gothic" w:cs="Times New Roman"/>
                <w:iCs/>
                <w:highlight w:val="darkGray"/>
              </w:rPr>
            </w:pPr>
            <w:r w:rsidRPr="00E5290F">
              <w:rPr>
                <w:rFonts w:eastAsia="MS Gothic" w:cs="Times New Roman"/>
                <w:iCs/>
              </w:rPr>
              <w:t>-</w:t>
            </w:r>
            <w:r w:rsidR="006A414A" w:rsidRPr="006A414A">
              <w:rPr>
                <w:rFonts w:eastAsia="MS Gothic" w:cs="Times New Roman"/>
                <w:iCs/>
                <w:color w:val="000000"/>
                <w:spacing w:val="55"/>
                <w:shd w:val="solid" w:color="000000" w:fill="000000"/>
                <w:fitText w:val="238" w:id="-1303201011"/>
                <w14:textFill>
                  <w14:solidFill>
                    <w14:srgbClr w14:val="000000">
                      <w14:alpha w14:val="100000"/>
                    </w14:srgbClr>
                  </w14:solidFill>
                </w14:textFill>
              </w:rPr>
              <w:t>||</w:t>
            </w:r>
            <w:r w:rsidR="006A414A" w:rsidRPr="006A414A">
              <w:rPr>
                <w:rFonts w:eastAsia="MS Gothic" w:cs="Times New Roman"/>
                <w:iCs/>
                <w:color w:val="000000"/>
                <w:spacing w:val="1"/>
                <w:shd w:val="solid" w:color="000000" w:fill="000000"/>
                <w:fitText w:val="238" w:id="-1303201011"/>
                <w14:textFill>
                  <w14:solidFill>
                    <w14:srgbClr w14:val="000000">
                      <w14:alpha w14:val="100000"/>
                    </w14:srgbClr>
                  </w14:solidFill>
                </w14:textFill>
              </w:rPr>
              <w:t>|</w:t>
            </w:r>
          </w:p>
        </w:tc>
        <w:tc>
          <w:tcPr>
            <w:tcW w:w="546" w:type="pct"/>
          </w:tcPr>
          <w:p w14:paraId="68AE80C0" w14:textId="77777777" w:rsidR="0017012A" w:rsidRPr="00683533" w:rsidRDefault="0017012A" w:rsidP="00CC71B0">
            <w:pPr>
              <w:pStyle w:val="TableText0"/>
              <w:keepLines/>
              <w:jc w:val="center"/>
              <w:rPr>
                <w:rFonts w:eastAsia="MS Gothic" w:cs="Times New Roman"/>
                <w:iCs/>
              </w:rPr>
            </w:pPr>
            <w:r w:rsidRPr="00683533">
              <w:rPr>
                <w:rFonts w:eastAsia="MS Gothic" w:cs="Times New Roman"/>
                <w:iCs/>
              </w:rPr>
              <w:t>0.29</w:t>
            </w:r>
          </w:p>
        </w:tc>
        <w:tc>
          <w:tcPr>
            <w:tcW w:w="545" w:type="pct"/>
            <w:gridSpan w:val="2"/>
          </w:tcPr>
          <w:p w14:paraId="098E23CA" w14:textId="77777777" w:rsidR="0017012A" w:rsidRPr="00683533" w:rsidRDefault="0017012A" w:rsidP="00CC71B0">
            <w:pPr>
              <w:pStyle w:val="TableText0"/>
              <w:keepLines/>
              <w:jc w:val="center"/>
              <w:rPr>
                <w:szCs w:val="20"/>
              </w:rPr>
            </w:pPr>
            <w:r w:rsidRPr="00683533">
              <w:t>Dominant</w:t>
            </w:r>
          </w:p>
        </w:tc>
      </w:tr>
      <w:tr w:rsidR="0017012A" w:rsidRPr="00683533" w14:paraId="45AFC46F" w14:textId="77777777" w:rsidTr="00E5290F">
        <w:trPr>
          <w:trHeight w:val="255"/>
        </w:trPr>
        <w:tc>
          <w:tcPr>
            <w:tcW w:w="1727" w:type="pct"/>
          </w:tcPr>
          <w:p w14:paraId="67CDFF4F" w14:textId="77777777" w:rsidR="0017012A" w:rsidRPr="00683533" w:rsidRDefault="0017012A" w:rsidP="00CC71B0">
            <w:pPr>
              <w:pStyle w:val="TableText0"/>
              <w:keepLines/>
              <w:rPr>
                <w:vertAlign w:val="superscript"/>
              </w:rPr>
            </w:pPr>
            <w:r w:rsidRPr="00683533">
              <w:rPr>
                <w:rFonts w:eastAsia="Arial Narrow" w:cs="Arial Narrow"/>
                <w:color w:val="000000"/>
              </w:rPr>
              <w:t>CFR for pneumococcal hospitalisations: 20.5%</w:t>
            </w:r>
            <w:r w:rsidRPr="00683533">
              <w:rPr>
                <w:rFonts w:eastAsia="Arial Narrow" w:cs="Arial Narrow"/>
                <w:color w:val="000000"/>
                <w:vertAlign w:val="superscript"/>
              </w:rPr>
              <w:t xml:space="preserve"> </w:t>
            </w:r>
            <w:proofErr w:type="spellStart"/>
            <w:r w:rsidRPr="00683533">
              <w:rPr>
                <w:rFonts w:eastAsia="Arial Narrow" w:cs="Arial Narrow"/>
                <w:color w:val="000000"/>
                <w:vertAlign w:val="superscript"/>
              </w:rPr>
              <w:t>c,h</w:t>
            </w:r>
            <w:proofErr w:type="spellEnd"/>
          </w:p>
        </w:tc>
        <w:tc>
          <w:tcPr>
            <w:tcW w:w="546" w:type="pct"/>
          </w:tcPr>
          <w:p w14:paraId="64C85CE7" w14:textId="1B869319" w:rsidR="0017012A" w:rsidRPr="00D944B2" w:rsidRDefault="0017012A" w:rsidP="00CC71B0">
            <w:pPr>
              <w:pStyle w:val="TableText0"/>
              <w:keepLines/>
              <w:jc w:val="center"/>
              <w:rPr>
                <w:rFonts w:eastAsia="MS Gothic" w:cs="Times New Roman"/>
                <w:iCs/>
                <w:highlight w:val="darkGray"/>
              </w:rPr>
            </w:pPr>
            <w:r w:rsidRPr="00E5290F">
              <w:rPr>
                <w:rFonts w:eastAsia="MS Gothic" w:cs="Times New Roman"/>
                <w:iCs/>
              </w:rPr>
              <w:t>-</w:t>
            </w:r>
            <w:r w:rsidR="006A414A" w:rsidRPr="006A414A">
              <w:rPr>
                <w:rFonts w:eastAsia="MS Gothic" w:cs="Times New Roman"/>
                <w:iCs/>
                <w:color w:val="000000"/>
                <w:spacing w:val="55"/>
                <w:shd w:val="solid" w:color="000000" w:fill="000000"/>
                <w:fitText w:val="238" w:id="-1303201010"/>
                <w14:textFill>
                  <w14:solidFill>
                    <w14:srgbClr w14:val="000000">
                      <w14:alpha w14:val="100000"/>
                    </w14:srgbClr>
                  </w14:solidFill>
                </w14:textFill>
              </w:rPr>
              <w:t>||</w:t>
            </w:r>
            <w:r w:rsidR="006A414A" w:rsidRPr="006A414A">
              <w:rPr>
                <w:rFonts w:eastAsia="MS Gothic" w:cs="Times New Roman"/>
                <w:iCs/>
                <w:color w:val="000000"/>
                <w:spacing w:val="1"/>
                <w:shd w:val="solid" w:color="000000" w:fill="000000"/>
                <w:fitText w:val="238" w:id="-1303201010"/>
                <w14:textFill>
                  <w14:solidFill>
                    <w14:srgbClr w14:val="000000">
                      <w14:alpha w14:val="100000"/>
                    </w14:srgbClr>
                  </w14:solidFill>
                </w14:textFill>
              </w:rPr>
              <w:t>|</w:t>
            </w:r>
          </w:p>
        </w:tc>
        <w:tc>
          <w:tcPr>
            <w:tcW w:w="546" w:type="pct"/>
          </w:tcPr>
          <w:p w14:paraId="75A0F6A3" w14:textId="77777777" w:rsidR="0017012A" w:rsidRPr="00683533" w:rsidRDefault="0017012A" w:rsidP="00CC71B0">
            <w:pPr>
              <w:pStyle w:val="TableText0"/>
              <w:keepLines/>
              <w:jc w:val="center"/>
              <w:rPr>
                <w:rFonts w:eastAsia="MS Gothic" w:cs="Times New Roman"/>
                <w:iCs/>
              </w:rPr>
            </w:pPr>
            <w:r w:rsidRPr="00683533">
              <w:rPr>
                <w:rFonts w:eastAsia="MS Gothic" w:cs="Times New Roman"/>
                <w:iCs/>
              </w:rPr>
              <w:t>1.90</w:t>
            </w:r>
          </w:p>
        </w:tc>
        <w:tc>
          <w:tcPr>
            <w:tcW w:w="546" w:type="pct"/>
            <w:gridSpan w:val="2"/>
          </w:tcPr>
          <w:p w14:paraId="3B22BA8F" w14:textId="77777777" w:rsidR="0017012A" w:rsidRPr="00683533" w:rsidRDefault="0017012A" w:rsidP="00CC71B0">
            <w:pPr>
              <w:pStyle w:val="TableText0"/>
              <w:keepLines/>
              <w:jc w:val="center"/>
              <w:rPr>
                <w:szCs w:val="20"/>
              </w:rPr>
            </w:pPr>
            <w:r w:rsidRPr="00683533">
              <w:t>Dominant</w:t>
            </w:r>
          </w:p>
        </w:tc>
        <w:tc>
          <w:tcPr>
            <w:tcW w:w="545" w:type="pct"/>
          </w:tcPr>
          <w:p w14:paraId="3E5BD6CB" w14:textId="682022A4" w:rsidR="0017012A" w:rsidRPr="00D944B2" w:rsidRDefault="0017012A" w:rsidP="00CC71B0">
            <w:pPr>
              <w:pStyle w:val="TableText0"/>
              <w:keepLines/>
              <w:jc w:val="center"/>
              <w:rPr>
                <w:rFonts w:eastAsia="MS Gothic" w:cs="Times New Roman"/>
                <w:iCs/>
                <w:highlight w:val="darkGray"/>
              </w:rPr>
            </w:pPr>
            <w:r w:rsidRPr="00E5290F">
              <w:rPr>
                <w:rFonts w:eastAsia="MS Gothic" w:cs="Times New Roman"/>
                <w:iCs/>
              </w:rPr>
              <w:t>-</w:t>
            </w:r>
            <w:r w:rsidR="006A414A" w:rsidRPr="006A414A">
              <w:rPr>
                <w:rFonts w:eastAsia="MS Gothic" w:cs="Times New Roman"/>
                <w:iCs/>
                <w:color w:val="000000"/>
                <w:spacing w:val="55"/>
                <w:shd w:val="solid" w:color="000000" w:fill="000000"/>
                <w:fitText w:val="238" w:id="-1303201009"/>
                <w14:textFill>
                  <w14:solidFill>
                    <w14:srgbClr w14:val="000000">
                      <w14:alpha w14:val="100000"/>
                    </w14:srgbClr>
                  </w14:solidFill>
                </w14:textFill>
              </w:rPr>
              <w:t>||</w:t>
            </w:r>
            <w:r w:rsidR="006A414A" w:rsidRPr="006A414A">
              <w:rPr>
                <w:rFonts w:eastAsia="MS Gothic" w:cs="Times New Roman"/>
                <w:iCs/>
                <w:color w:val="000000"/>
                <w:spacing w:val="1"/>
                <w:shd w:val="solid" w:color="000000" w:fill="000000"/>
                <w:fitText w:val="238" w:id="-1303201009"/>
                <w14:textFill>
                  <w14:solidFill>
                    <w14:srgbClr w14:val="000000">
                      <w14:alpha w14:val="100000"/>
                    </w14:srgbClr>
                  </w14:solidFill>
                </w14:textFill>
              </w:rPr>
              <w:t>|</w:t>
            </w:r>
          </w:p>
        </w:tc>
        <w:tc>
          <w:tcPr>
            <w:tcW w:w="546" w:type="pct"/>
          </w:tcPr>
          <w:p w14:paraId="644BF13A" w14:textId="77777777" w:rsidR="0017012A" w:rsidRPr="00683533" w:rsidRDefault="0017012A" w:rsidP="00CC71B0">
            <w:pPr>
              <w:pStyle w:val="TableText0"/>
              <w:keepLines/>
              <w:jc w:val="center"/>
              <w:rPr>
                <w:rFonts w:eastAsia="MS Gothic" w:cs="Times New Roman"/>
                <w:iCs/>
              </w:rPr>
            </w:pPr>
            <w:r w:rsidRPr="00683533">
              <w:rPr>
                <w:rFonts w:eastAsia="MS Gothic" w:cs="Times New Roman"/>
                <w:iCs/>
              </w:rPr>
              <w:t>1.02</w:t>
            </w:r>
          </w:p>
        </w:tc>
        <w:tc>
          <w:tcPr>
            <w:tcW w:w="545" w:type="pct"/>
            <w:gridSpan w:val="2"/>
          </w:tcPr>
          <w:p w14:paraId="507222D9" w14:textId="77777777" w:rsidR="0017012A" w:rsidRPr="00683533" w:rsidRDefault="0017012A" w:rsidP="00CC71B0">
            <w:pPr>
              <w:pStyle w:val="TableText0"/>
              <w:keepLines/>
              <w:jc w:val="center"/>
              <w:rPr>
                <w:szCs w:val="20"/>
              </w:rPr>
            </w:pPr>
            <w:r w:rsidRPr="00683533">
              <w:t>Dominant</w:t>
            </w:r>
          </w:p>
        </w:tc>
      </w:tr>
      <w:tr w:rsidR="0017012A" w:rsidRPr="00683533" w14:paraId="71063D22" w14:textId="77777777" w:rsidTr="00E5290F">
        <w:trPr>
          <w:trHeight w:val="255"/>
        </w:trPr>
        <w:tc>
          <w:tcPr>
            <w:tcW w:w="1727" w:type="pct"/>
          </w:tcPr>
          <w:p w14:paraId="030FBBDB" w14:textId="77777777" w:rsidR="0017012A" w:rsidRPr="00683533" w:rsidRDefault="0017012A" w:rsidP="00CC71B0">
            <w:pPr>
              <w:pStyle w:val="TableText0"/>
              <w:keepLines/>
              <w:rPr>
                <w:rFonts w:eastAsia="Arial Narrow" w:cs="Arial Narrow"/>
                <w:color w:val="000000"/>
                <w:vertAlign w:val="superscript"/>
              </w:rPr>
            </w:pPr>
            <w:r w:rsidRPr="00683533">
              <w:t>Discount rate: 0%</w:t>
            </w:r>
            <w:r w:rsidRPr="00683533">
              <w:rPr>
                <w:vertAlign w:val="superscript"/>
              </w:rPr>
              <w:t>d</w:t>
            </w:r>
          </w:p>
        </w:tc>
        <w:tc>
          <w:tcPr>
            <w:tcW w:w="546" w:type="pct"/>
          </w:tcPr>
          <w:p w14:paraId="0DA678C2" w14:textId="1B033B3C"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201008"/>
                <w14:textFill>
                  <w14:solidFill>
                    <w14:srgbClr w14:val="000000">
                      <w14:alpha w14:val="100000"/>
                    </w14:srgbClr>
                  </w14:solidFill>
                </w14:textFill>
              </w:rPr>
              <w:t>||</w:t>
            </w:r>
            <w:r w:rsidR="006A414A" w:rsidRPr="006A414A">
              <w:rPr>
                <w:iCs/>
                <w:color w:val="000000"/>
                <w:spacing w:val="1"/>
                <w:szCs w:val="20"/>
                <w:shd w:val="solid" w:color="000000" w:fill="000000"/>
                <w:fitText w:val="238" w:id="-1303201008"/>
                <w14:textFill>
                  <w14:solidFill>
                    <w14:srgbClr w14:val="000000">
                      <w14:alpha w14:val="100000"/>
                    </w14:srgbClr>
                  </w14:solidFill>
                </w14:textFill>
              </w:rPr>
              <w:t>|</w:t>
            </w:r>
          </w:p>
        </w:tc>
        <w:tc>
          <w:tcPr>
            <w:tcW w:w="546" w:type="pct"/>
          </w:tcPr>
          <w:p w14:paraId="467366CC" w14:textId="77777777" w:rsidR="0017012A" w:rsidRPr="00683533" w:rsidRDefault="0017012A" w:rsidP="00CC71B0">
            <w:pPr>
              <w:pStyle w:val="TableText0"/>
              <w:keepLines/>
              <w:jc w:val="center"/>
              <w:rPr>
                <w:iCs/>
                <w:szCs w:val="20"/>
              </w:rPr>
            </w:pPr>
            <w:r w:rsidRPr="00683533">
              <w:rPr>
                <w:iCs/>
                <w:szCs w:val="20"/>
              </w:rPr>
              <w:t>1.46</w:t>
            </w:r>
          </w:p>
        </w:tc>
        <w:tc>
          <w:tcPr>
            <w:tcW w:w="546" w:type="pct"/>
            <w:gridSpan w:val="2"/>
          </w:tcPr>
          <w:p w14:paraId="543B730E" w14:textId="77777777" w:rsidR="0017012A" w:rsidRPr="00683533" w:rsidRDefault="0017012A" w:rsidP="00CC71B0">
            <w:pPr>
              <w:pStyle w:val="TableText0"/>
              <w:keepLines/>
              <w:jc w:val="center"/>
              <w:rPr>
                <w:rFonts w:eastAsia="MS Gothic" w:cs="Times New Roman"/>
              </w:rPr>
            </w:pPr>
            <w:r w:rsidRPr="00683533">
              <w:t>Dominant</w:t>
            </w:r>
          </w:p>
        </w:tc>
        <w:tc>
          <w:tcPr>
            <w:tcW w:w="545" w:type="pct"/>
          </w:tcPr>
          <w:p w14:paraId="07B9BCDA" w14:textId="5D7356FA"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201024"/>
                <w14:textFill>
                  <w14:solidFill>
                    <w14:srgbClr w14:val="000000">
                      <w14:alpha w14:val="100000"/>
                    </w14:srgbClr>
                  </w14:solidFill>
                </w14:textFill>
              </w:rPr>
              <w:t>||</w:t>
            </w:r>
            <w:r w:rsidR="006A414A" w:rsidRPr="006A414A">
              <w:rPr>
                <w:iCs/>
                <w:color w:val="000000"/>
                <w:spacing w:val="1"/>
                <w:szCs w:val="20"/>
                <w:shd w:val="solid" w:color="000000" w:fill="000000"/>
                <w:fitText w:val="238" w:id="-1303201024"/>
                <w14:textFill>
                  <w14:solidFill>
                    <w14:srgbClr w14:val="000000">
                      <w14:alpha w14:val="100000"/>
                    </w14:srgbClr>
                  </w14:solidFill>
                </w14:textFill>
              </w:rPr>
              <w:t>|</w:t>
            </w:r>
          </w:p>
        </w:tc>
        <w:tc>
          <w:tcPr>
            <w:tcW w:w="546" w:type="pct"/>
          </w:tcPr>
          <w:p w14:paraId="7B8EA5B9" w14:textId="77777777" w:rsidR="0017012A" w:rsidRPr="00683533" w:rsidRDefault="0017012A" w:rsidP="00CC71B0">
            <w:pPr>
              <w:pStyle w:val="TableText0"/>
              <w:keepLines/>
              <w:jc w:val="center"/>
              <w:rPr>
                <w:iCs/>
                <w:szCs w:val="20"/>
              </w:rPr>
            </w:pPr>
            <w:r w:rsidRPr="00683533">
              <w:rPr>
                <w:iCs/>
                <w:szCs w:val="20"/>
              </w:rPr>
              <w:t>0.78</w:t>
            </w:r>
          </w:p>
        </w:tc>
        <w:tc>
          <w:tcPr>
            <w:tcW w:w="545" w:type="pct"/>
            <w:gridSpan w:val="2"/>
          </w:tcPr>
          <w:p w14:paraId="2A78A2B2" w14:textId="77777777" w:rsidR="0017012A" w:rsidRPr="00683533" w:rsidRDefault="0017012A" w:rsidP="00CC71B0">
            <w:pPr>
              <w:pStyle w:val="TableText0"/>
              <w:keepLines/>
              <w:jc w:val="center"/>
              <w:rPr>
                <w:rFonts w:eastAsia="MS Gothic" w:cs="Times New Roman"/>
              </w:rPr>
            </w:pPr>
            <w:r w:rsidRPr="00683533">
              <w:t>Dominant</w:t>
            </w:r>
          </w:p>
        </w:tc>
      </w:tr>
      <w:tr w:rsidR="0017012A" w:rsidRPr="00683533" w14:paraId="2876CC07" w14:textId="77777777" w:rsidTr="006A414A">
        <w:trPr>
          <w:trHeight w:val="255"/>
        </w:trPr>
        <w:tc>
          <w:tcPr>
            <w:tcW w:w="1727" w:type="pct"/>
          </w:tcPr>
          <w:p w14:paraId="17644394" w14:textId="77777777" w:rsidR="0017012A" w:rsidRPr="00683533" w:rsidRDefault="0017012A" w:rsidP="00CC71B0">
            <w:pPr>
              <w:pStyle w:val="TableText0"/>
              <w:keepLines/>
              <w:rPr>
                <w:rFonts w:eastAsia="Arial Narrow" w:cs="Arial Narrow"/>
                <w:color w:val="000000"/>
              </w:rPr>
            </w:pPr>
            <w:r w:rsidRPr="00683533">
              <w:t>Discount rate: 3.5%</w:t>
            </w:r>
            <w:r w:rsidRPr="00683533">
              <w:rPr>
                <w:vertAlign w:val="superscript"/>
              </w:rPr>
              <w:t>d</w:t>
            </w:r>
          </w:p>
        </w:tc>
        <w:tc>
          <w:tcPr>
            <w:tcW w:w="546" w:type="pct"/>
          </w:tcPr>
          <w:p w14:paraId="7C8152EA" w14:textId="0E9CB7FC"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199744"/>
                <w14:textFill>
                  <w14:solidFill>
                    <w14:srgbClr w14:val="000000">
                      <w14:alpha w14:val="100000"/>
                    </w14:srgbClr>
                  </w14:solidFill>
                </w14:textFill>
              </w:rPr>
              <w:t>||</w:t>
            </w:r>
            <w:r w:rsidR="006A414A" w:rsidRPr="006A414A">
              <w:rPr>
                <w:iCs/>
                <w:color w:val="000000"/>
                <w:spacing w:val="1"/>
                <w:szCs w:val="20"/>
                <w:shd w:val="solid" w:color="000000" w:fill="000000"/>
                <w:fitText w:val="238" w:id="-1303199744"/>
                <w14:textFill>
                  <w14:solidFill>
                    <w14:srgbClr w14:val="000000">
                      <w14:alpha w14:val="100000"/>
                    </w14:srgbClr>
                  </w14:solidFill>
                </w14:textFill>
              </w:rPr>
              <w:t>|</w:t>
            </w:r>
          </w:p>
        </w:tc>
        <w:tc>
          <w:tcPr>
            <w:tcW w:w="546" w:type="pct"/>
          </w:tcPr>
          <w:p w14:paraId="0856C629" w14:textId="77777777" w:rsidR="0017012A" w:rsidRPr="00683533" w:rsidRDefault="0017012A" w:rsidP="00CC71B0">
            <w:pPr>
              <w:pStyle w:val="TableText0"/>
              <w:keepLines/>
              <w:jc w:val="center"/>
              <w:rPr>
                <w:iCs/>
                <w:szCs w:val="20"/>
              </w:rPr>
            </w:pPr>
            <w:r w:rsidRPr="00683533">
              <w:rPr>
                <w:iCs/>
                <w:szCs w:val="20"/>
              </w:rPr>
              <w:t>0.72</w:t>
            </w:r>
          </w:p>
        </w:tc>
        <w:tc>
          <w:tcPr>
            <w:tcW w:w="546" w:type="pct"/>
            <w:gridSpan w:val="2"/>
          </w:tcPr>
          <w:p w14:paraId="03FCBCC9" w14:textId="77777777" w:rsidR="0017012A" w:rsidRPr="00683533" w:rsidRDefault="0017012A" w:rsidP="00CC71B0">
            <w:pPr>
              <w:pStyle w:val="TableText0"/>
              <w:keepLines/>
              <w:jc w:val="center"/>
              <w:rPr>
                <w:rFonts w:eastAsia="MS Gothic" w:cs="Times New Roman"/>
              </w:rPr>
            </w:pPr>
            <w:r w:rsidRPr="00683533">
              <w:t>Dominant</w:t>
            </w:r>
          </w:p>
        </w:tc>
        <w:tc>
          <w:tcPr>
            <w:tcW w:w="545" w:type="pct"/>
            <w:tcBorders>
              <w:bottom w:val="single" w:sz="4" w:space="0" w:color="auto"/>
            </w:tcBorders>
          </w:tcPr>
          <w:p w14:paraId="11E30CBE" w14:textId="79DF31F6"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199743"/>
                <w14:textFill>
                  <w14:solidFill>
                    <w14:srgbClr w14:val="000000">
                      <w14:alpha w14:val="100000"/>
                    </w14:srgbClr>
                  </w14:solidFill>
                </w14:textFill>
              </w:rPr>
              <w:t>||</w:t>
            </w:r>
            <w:r w:rsidR="006A414A" w:rsidRPr="006A414A">
              <w:rPr>
                <w:iCs/>
                <w:color w:val="000000"/>
                <w:spacing w:val="1"/>
                <w:szCs w:val="20"/>
                <w:shd w:val="solid" w:color="000000" w:fill="000000"/>
                <w:fitText w:val="238" w:id="-1303199743"/>
                <w14:textFill>
                  <w14:solidFill>
                    <w14:srgbClr w14:val="000000">
                      <w14:alpha w14:val="100000"/>
                    </w14:srgbClr>
                  </w14:solidFill>
                </w14:textFill>
              </w:rPr>
              <w:t>|</w:t>
            </w:r>
          </w:p>
        </w:tc>
        <w:tc>
          <w:tcPr>
            <w:tcW w:w="546" w:type="pct"/>
          </w:tcPr>
          <w:p w14:paraId="4E6C7E75" w14:textId="77777777" w:rsidR="0017012A" w:rsidRPr="00683533" w:rsidRDefault="0017012A" w:rsidP="00CC71B0">
            <w:pPr>
              <w:pStyle w:val="TableText0"/>
              <w:keepLines/>
              <w:jc w:val="center"/>
              <w:rPr>
                <w:iCs/>
                <w:szCs w:val="20"/>
              </w:rPr>
            </w:pPr>
            <w:r w:rsidRPr="00683533">
              <w:rPr>
                <w:iCs/>
                <w:szCs w:val="20"/>
              </w:rPr>
              <w:t>0.39</w:t>
            </w:r>
          </w:p>
        </w:tc>
        <w:tc>
          <w:tcPr>
            <w:tcW w:w="545" w:type="pct"/>
            <w:gridSpan w:val="2"/>
          </w:tcPr>
          <w:p w14:paraId="333C3981" w14:textId="77777777" w:rsidR="0017012A" w:rsidRPr="00683533" w:rsidRDefault="0017012A" w:rsidP="00CC71B0">
            <w:pPr>
              <w:pStyle w:val="TableText0"/>
              <w:keepLines/>
              <w:jc w:val="center"/>
              <w:rPr>
                <w:rFonts w:eastAsia="MS Gothic" w:cs="Times New Roman"/>
              </w:rPr>
            </w:pPr>
            <w:r w:rsidRPr="00683533">
              <w:t>Dominant</w:t>
            </w:r>
          </w:p>
        </w:tc>
      </w:tr>
      <w:tr w:rsidR="0017012A" w:rsidRPr="00683533" w14:paraId="5DF7AF91" w14:textId="77777777" w:rsidTr="006A414A">
        <w:trPr>
          <w:trHeight w:val="255"/>
        </w:trPr>
        <w:tc>
          <w:tcPr>
            <w:tcW w:w="1727" w:type="pct"/>
          </w:tcPr>
          <w:p w14:paraId="707DEAED" w14:textId="77777777" w:rsidR="0017012A" w:rsidRPr="00683533" w:rsidRDefault="0017012A" w:rsidP="00CC71B0">
            <w:pPr>
              <w:pStyle w:val="TableText0"/>
              <w:keepLines/>
              <w:rPr>
                <w:szCs w:val="20"/>
                <w:vertAlign w:val="superscript"/>
              </w:rPr>
            </w:pPr>
            <w:r w:rsidRPr="00683533">
              <w:t>Waning efficacy for PCV: 0% for years 0-5, 50% for years 6-10, 100% for years &gt;10</w:t>
            </w:r>
            <w:r w:rsidRPr="00683533">
              <w:rPr>
                <w:vertAlign w:val="superscript"/>
              </w:rPr>
              <w:t>d</w:t>
            </w:r>
          </w:p>
        </w:tc>
        <w:tc>
          <w:tcPr>
            <w:tcW w:w="546" w:type="pct"/>
          </w:tcPr>
          <w:p w14:paraId="29AA83C1" w14:textId="74684183"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199742"/>
                <w14:textFill>
                  <w14:solidFill>
                    <w14:srgbClr w14:val="000000">
                      <w14:alpha w14:val="100000"/>
                    </w14:srgbClr>
                  </w14:solidFill>
                </w14:textFill>
              </w:rPr>
              <w:t>||</w:t>
            </w:r>
            <w:r w:rsidR="006A414A" w:rsidRPr="006A414A">
              <w:rPr>
                <w:iCs/>
                <w:color w:val="000000"/>
                <w:spacing w:val="1"/>
                <w:szCs w:val="20"/>
                <w:shd w:val="solid" w:color="000000" w:fill="000000"/>
                <w:fitText w:val="238" w:id="-1303199742"/>
                <w14:textFill>
                  <w14:solidFill>
                    <w14:srgbClr w14:val="000000">
                      <w14:alpha w14:val="100000"/>
                    </w14:srgbClr>
                  </w14:solidFill>
                </w14:textFill>
              </w:rPr>
              <w:t>|</w:t>
            </w:r>
          </w:p>
        </w:tc>
        <w:tc>
          <w:tcPr>
            <w:tcW w:w="546" w:type="pct"/>
          </w:tcPr>
          <w:p w14:paraId="0D8D4E1F" w14:textId="77777777" w:rsidR="0017012A" w:rsidRPr="00683533" w:rsidRDefault="0017012A" w:rsidP="00CC71B0">
            <w:pPr>
              <w:pStyle w:val="TableText0"/>
              <w:keepLines/>
              <w:jc w:val="center"/>
              <w:rPr>
                <w:iCs/>
                <w:szCs w:val="20"/>
              </w:rPr>
            </w:pPr>
            <w:r w:rsidRPr="00683533">
              <w:rPr>
                <w:iCs/>
                <w:szCs w:val="20"/>
              </w:rPr>
              <w:t>0.36</w:t>
            </w:r>
          </w:p>
        </w:tc>
        <w:tc>
          <w:tcPr>
            <w:tcW w:w="546" w:type="pct"/>
            <w:gridSpan w:val="2"/>
          </w:tcPr>
          <w:p w14:paraId="00FAA7EC" w14:textId="77777777" w:rsidR="0017012A" w:rsidRPr="00683533" w:rsidRDefault="0017012A" w:rsidP="00CC71B0">
            <w:pPr>
              <w:pStyle w:val="TableText0"/>
              <w:keepLines/>
              <w:jc w:val="center"/>
              <w:rPr>
                <w:szCs w:val="20"/>
              </w:rPr>
            </w:pPr>
            <w:r w:rsidRPr="00683533">
              <w:t>Dominant</w:t>
            </w:r>
          </w:p>
        </w:tc>
        <w:tc>
          <w:tcPr>
            <w:tcW w:w="545" w:type="pct"/>
            <w:shd w:val="solid" w:color="000000" w:fill="000000"/>
          </w:tcPr>
          <w:p w14:paraId="2B08C61A" w14:textId="2E470E67" w:rsidR="0017012A" w:rsidRPr="006A414A" w:rsidRDefault="006A414A" w:rsidP="00CC71B0">
            <w:pPr>
              <w:pStyle w:val="TableText0"/>
              <w:keepLines/>
              <w:jc w:val="center"/>
              <w:rPr>
                <w:iCs/>
                <w:szCs w:val="20"/>
              </w:rPr>
            </w:pPr>
            <w:r w:rsidRPr="006A414A">
              <w:rPr>
                <w:iCs/>
                <w:color w:val="000000"/>
                <w:spacing w:val="42"/>
                <w:szCs w:val="20"/>
                <w:fitText w:val="213" w:id="-1303199741"/>
                <w14:textFill>
                  <w14:solidFill>
                    <w14:srgbClr w14:val="000000">
                      <w14:alpha w14:val="100000"/>
                    </w14:srgbClr>
                  </w14:solidFill>
                </w14:textFill>
              </w:rPr>
              <w:t>||</w:t>
            </w:r>
            <w:r w:rsidRPr="006A414A">
              <w:rPr>
                <w:iCs/>
                <w:color w:val="000000"/>
                <w:spacing w:val="2"/>
                <w:szCs w:val="20"/>
                <w:fitText w:val="213" w:id="-1303199741"/>
                <w14:textFill>
                  <w14:solidFill>
                    <w14:srgbClr w14:val="000000">
                      <w14:alpha w14:val="100000"/>
                    </w14:srgbClr>
                  </w14:solidFill>
                </w14:textFill>
              </w:rPr>
              <w:t>|</w:t>
            </w:r>
          </w:p>
        </w:tc>
        <w:tc>
          <w:tcPr>
            <w:tcW w:w="546" w:type="pct"/>
          </w:tcPr>
          <w:p w14:paraId="0AA4A439" w14:textId="77777777" w:rsidR="0017012A" w:rsidRPr="00683533" w:rsidRDefault="0017012A" w:rsidP="00CC71B0">
            <w:pPr>
              <w:pStyle w:val="TableText0"/>
              <w:keepLines/>
              <w:jc w:val="center"/>
              <w:rPr>
                <w:iCs/>
                <w:szCs w:val="20"/>
              </w:rPr>
            </w:pPr>
            <w:r w:rsidRPr="00683533">
              <w:rPr>
                <w:iCs/>
                <w:szCs w:val="20"/>
              </w:rPr>
              <w:t>0.19</w:t>
            </w:r>
          </w:p>
        </w:tc>
        <w:tc>
          <w:tcPr>
            <w:tcW w:w="545" w:type="pct"/>
            <w:gridSpan w:val="2"/>
          </w:tcPr>
          <w:p w14:paraId="693CD657" w14:textId="77777777" w:rsidR="0017012A" w:rsidRPr="00683533" w:rsidRDefault="0017012A" w:rsidP="00CC71B0">
            <w:pPr>
              <w:pStyle w:val="TableText0"/>
              <w:keepLines/>
              <w:jc w:val="center"/>
              <w:rPr>
                <w:szCs w:val="20"/>
              </w:rPr>
            </w:pPr>
            <w:r w:rsidRPr="00683533">
              <w:t>Dominant</w:t>
            </w:r>
          </w:p>
        </w:tc>
      </w:tr>
      <w:tr w:rsidR="0017012A" w:rsidRPr="00683533" w14:paraId="029BA02A" w14:textId="77777777" w:rsidTr="00E5290F">
        <w:trPr>
          <w:trHeight w:val="255"/>
        </w:trPr>
        <w:tc>
          <w:tcPr>
            <w:tcW w:w="1727" w:type="pct"/>
          </w:tcPr>
          <w:p w14:paraId="02173BAD" w14:textId="77777777" w:rsidR="0017012A" w:rsidRPr="00683533" w:rsidRDefault="0017012A" w:rsidP="00CC71B0">
            <w:pPr>
              <w:pStyle w:val="TableText0"/>
              <w:keepLines/>
              <w:rPr>
                <w:vertAlign w:val="superscript"/>
              </w:rPr>
            </w:pPr>
            <w:r w:rsidRPr="00683533">
              <w:rPr>
                <w:szCs w:val="20"/>
              </w:rPr>
              <w:t>Relative vaccine efficacy: 100%</w:t>
            </w:r>
            <w:r w:rsidRPr="00683533">
              <w:rPr>
                <w:vertAlign w:val="superscript"/>
              </w:rPr>
              <w:t>d,i</w:t>
            </w:r>
          </w:p>
        </w:tc>
        <w:tc>
          <w:tcPr>
            <w:tcW w:w="546" w:type="pct"/>
          </w:tcPr>
          <w:p w14:paraId="505901D6" w14:textId="71064E54"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199740"/>
                <w14:textFill>
                  <w14:solidFill>
                    <w14:srgbClr w14:val="000000">
                      <w14:alpha w14:val="100000"/>
                    </w14:srgbClr>
                  </w14:solidFill>
                </w14:textFill>
              </w:rPr>
              <w:t>||</w:t>
            </w:r>
            <w:r w:rsidR="006A414A" w:rsidRPr="006A414A">
              <w:rPr>
                <w:iCs/>
                <w:color w:val="000000"/>
                <w:spacing w:val="1"/>
                <w:szCs w:val="20"/>
                <w:shd w:val="solid" w:color="000000" w:fill="000000"/>
                <w:fitText w:val="238" w:id="-1303199740"/>
                <w14:textFill>
                  <w14:solidFill>
                    <w14:srgbClr w14:val="000000">
                      <w14:alpha w14:val="100000"/>
                    </w14:srgbClr>
                  </w14:solidFill>
                </w14:textFill>
              </w:rPr>
              <w:t>|</w:t>
            </w:r>
          </w:p>
        </w:tc>
        <w:tc>
          <w:tcPr>
            <w:tcW w:w="546" w:type="pct"/>
          </w:tcPr>
          <w:p w14:paraId="01A84C1C" w14:textId="77777777" w:rsidR="0017012A" w:rsidRPr="00683533" w:rsidRDefault="0017012A" w:rsidP="00CC71B0">
            <w:pPr>
              <w:pStyle w:val="TableText0"/>
              <w:keepLines/>
              <w:jc w:val="center"/>
              <w:rPr>
                <w:iCs/>
                <w:szCs w:val="20"/>
              </w:rPr>
            </w:pPr>
            <w:r w:rsidRPr="00683533">
              <w:rPr>
                <w:iCs/>
                <w:szCs w:val="20"/>
              </w:rPr>
              <w:t>0.44</w:t>
            </w:r>
          </w:p>
        </w:tc>
        <w:tc>
          <w:tcPr>
            <w:tcW w:w="546" w:type="pct"/>
            <w:gridSpan w:val="2"/>
          </w:tcPr>
          <w:p w14:paraId="307C7EBA" w14:textId="77777777" w:rsidR="0017012A" w:rsidRPr="00683533" w:rsidRDefault="0017012A" w:rsidP="00CC71B0">
            <w:pPr>
              <w:pStyle w:val="TableText0"/>
              <w:keepLines/>
              <w:jc w:val="center"/>
              <w:rPr>
                <w:szCs w:val="20"/>
              </w:rPr>
            </w:pPr>
            <w:r w:rsidRPr="00683533">
              <w:t>Dominant</w:t>
            </w:r>
          </w:p>
        </w:tc>
        <w:tc>
          <w:tcPr>
            <w:tcW w:w="545" w:type="pct"/>
          </w:tcPr>
          <w:p w14:paraId="33167406" w14:textId="3CCF7696"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199739"/>
                <w14:textFill>
                  <w14:solidFill>
                    <w14:srgbClr w14:val="000000">
                      <w14:alpha w14:val="100000"/>
                    </w14:srgbClr>
                  </w14:solidFill>
                </w14:textFill>
              </w:rPr>
              <w:t>||</w:t>
            </w:r>
            <w:r w:rsidR="006A414A" w:rsidRPr="006A414A">
              <w:rPr>
                <w:iCs/>
                <w:color w:val="000000"/>
                <w:spacing w:val="1"/>
                <w:szCs w:val="20"/>
                <w:shd w:val="solid" w:color="000000" w:fill="000000"/>
                <w:fitText w:val="238" w:id="-1303199739"/>
                <w14:textFill>
                  <w14:solidFill>
                    <w14:srgbClr w14:val="000000">
                      <w14:alpha w14:val="100000"/>
                    </w14:srgbClr>
                  </w14:solidFill>
                </w14:textFill>
              </w:rPr>
              <w:t>|</w:t>
            </w:r>
          </w:p>
        </w:tc>
        <w:tc>
          <w:tcPr>
            <w:tcW w:w="546" w:type="pct"/>
          </w:tcPr>
          <w:p w14:paraId="7F6DCFF9" w14:textId="77777777" w:rsidR="0017012A" w:rsidRPr="00683533" w:rsidRDefault="0017012A" w:rsidP="00CC71B0">
            <w:pPr>
              <w:pStyle w:val="TableText0"/>
              <w:keepLines/>
              <w:jc w:val="center"/>
              <w:rPr>
                <w:iCs/>
                <w:szCs w:val="20"/>
              </w:rPr>
            </w:pPr>
            <w:r w:rsidRPr="00683533">
              <w:rPr>
                <w:iCs/>
                <w:szCs w:val="20"/>
              </w:rPr>
              <w:t>0.23</w:t>
            </w:r>
          </w:p>
        </w:tc>
        <w:tc>
          <w:tcPr>
            <w:tcW w:w="545" w:type="pct"/>
            <w:gridSpan w:val="2"/>
          </w:tcPr>
          <w:p w14:paraId="32D07816" w14:textId="77777777" w:rsidR="0017012A" w:rsidRPr="00683533" w:rsidRDefault="0017012A" w:rsidP="00CC71B0">
            <w:pPr>
              <w:pStyle w:val="TableText0"/>
              <w:keepLines/>
              <w:jc w:val="center"/>
              <w:rPr>
                <w:szCs w:val="20"/>
              </w:rPr>
            </w:pPr>
            <w:r w:rsidRPr="00683533">
              <w:t>Dominant</w:t>
            </w:r>
          </w:p>
        </w:tc>
      </w:tr>
      <w:tr w:rsidR="0017012A" w:rsidRPr="00683533" w14:paraId="6724BAB8" w14:textId="77777777" w:rsidTr="006A414A">
        <w:trPr>
          <w:trHeight w:val="255"/>
        </w:trPr>
        <w:tc>
          <w:tcPr>
            <w:tcW w:w="1727" w:type="pct"/>
          </w:tcPr>
          <w:p w14:paraId="275C1944" w14:textId="77777777" w:rsidR="0017012A" w:rsidRPr="00683533" w:rsidRDefault="0017012A" w:rsidP="00CC71B0">
            <w:pPr>
              <w:pStyle w:val="TableText0"/>
              <w:keepLines/>
              <w:rPr>
                <w:vertAlign w:val="superscript"/>
              </w:rPr>
            </w:pPr>
            <w:r w:rsidRPr="00683533">
              <w:rPr>
                <w:szCs w:val="20"/>
              </w:rPr>
              <w:t>Relative vaccine efficacy: 140%</w:t>
            </w:r>
            <w:r w:rsidRPr="00683533">
              <w:rPr>
                <w:vertAlign w:val="superscript"/>
              </w:rPr>
              <w:t>d,i</w:t>
            </w:r>
          </w:p>
        </w:tc>
        <w:tc>
          <w:tcPr>
            <w:tcW w:w="546" w:type="pct"/>
            <w:tcBorders>
              <w:bottom w:val="single" w:sz="4" w:space="0" w:color="auto"/>
            </w:tcBorders>
          </w:tcPr>
          <w:p w14:paraId="13420D6A" w14:textId="2E505102"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199738"/>
                <w14:textFill>
                  <w14:solidFill>
                    <w14:srgbClr w14:val="000000">
                      <w14:alpha w14:val="100000"/>
                    </w14:srgbClr>
                  </w14:solidFill>
                </w14:textFill>
              </w:rPr>
              <w:t>||</w:t>
            </w:r>
            <w:r w:rsidR="006A414A" w:rsidRPr="006A414A">
              <w:rPr>
                <w:iCs/>
                <w:color w:val="000000"/>
                <w:spacing w:val="1"/>
                <w:szCs w:val="20"/>
                <w:shd w:val="solid" w:color="000000" w:fill="000000"/>
                <w:fitText w:val="238" w:id="-1303199738"/>
                <w14:textFill>
                  <w14:solidFill>
                    <w14:srgbClr w14:val="000000">
                      <w14:alpha w14:val="100000"/>
                    </w14:srgbClr>
                  </w14:solidFill>
                </w14:textFill>
              </w:rPr>
              <w:t>|</w:t>
            </w:r>
          </w:p>
        </w:tc>
        <w:tc>
          <w:tcPr>
            <w:tcW w:w="546" w:type="pct"/>
          </w:tcPr>
          <w:p w14:paraId="68095F77" w14:textId="77777777" w:rsidR="0017012A" w:rsidRPr="00683533" w:rsidRDefault="0017012A" w:rsidP="00CC71B0">
            <w:pPr>
              <w:pStyle w:val="TableText0"/>
              <w:keepLines/>
              <w:jc w:val="center"/>
              <w:rPr>
                <w:iCs/>
                <w:szCs w:val="20"/>
              </w:rPr>
            </w:pPr>
            <w:r w:rsidRPr="00683533">
              <w:rPr>
                <w:iCs/>
                <w:szCs w:val="20"/>
              </w:rPr>
              <w:t>0.65</w:t>
            </w:r>
          </w:p>
        </w:tc>
        <w:tc>
          <w:tcPr>
            <w:tcW w:w="546" w:type="pct"/>
            <w:gridSpan w:val="2"/>
          </w:tcPr>
          <w:p w14:paraId="4AA04EC4" w14:textId="77777777" w:rsidR="0017012A" w:rsidRPr="00683533" w:rsidRDefault="0017012A" w:rsidP="00CC71B0">
            <w:pPr>
              <w:pStyle w:val="TableText0"/>
              <w:keepLines/>
              <w:jc w:val="center"/>
              <w:rPr>
                <w:szCs w:val="20"/>
              </w:rPr>
            </w:pPr>
            <w:r w:rsidRPr="00683533">
              <w:t>Dominant</w:t>
            </w:r>
          </w:p>
        </w:tc>
        <w:tc>
          <w:tcPr>
            <w:tcW w:w="545" w:type="pct"/>
            <w:tcBorders>
              <w:bottom w:val="single" w:sz="4" w:space="0" w:color="auto"/>
            </w:tcBorders>
          </w:tcPr>
          <w:p w14:paraId="02FA9CAF" w14:textId="7D149015" w:rsidR="0017012A" w:rsidRPr="00D944B2" w:rsidRDefault="0017012A" w:rsidP="00CC71B0">
            <w:pPr>
              <w:pStyle w:val="TableText0"/>
              <w:keepLines/>
              <w:jc w:val="center"/>
              <w:rPr>
                <w:iCs/>
                <w:szCs w:val="20"/>
                <w:highlight w:val="darkGray"/>
              </w:rPr>
            </w:pPr>
            <w:r w:rsidRPr="00E5290F">
              <w:rPr>
                <w:iCs/>
                <w:szCs w:val="20"/>
              </w:rPr>
              <w:t>-</w:t>
            </w:r>
            <w:r w:rsidR="006A414A" w:rsidRPr="006A414A">
              <w:rPr>
                <w:iCs/>
                <w:color w:val="000000"/>
                <w:spacing w:val="55"/>
                <w:szCs w:val="20"/>
                <w:shd w:val="solid" w:color="000000" w:fill="000000"/>
                <w:fitText w:val="238" w:id="-1303199737"/>
                <w14:textFill>
                  <w14:solidFill>
                    <w14:srgbClr w14:val="000000">
                      <w14:alpha w14:val="100000"/>
                    </w14:srgbClr>
                  </w14:solidFill>
                </w14:textFill>
              </w:rPr>
              <w:t>||</w:t>
            </w:r>
            <w:r w:rsidR="006A414A" w:rsidRPr="006A414A">
              <w:rPr>
                <w:iCs/>
                <w:color w:val="000000"/>
                <w:spacing w:val="1"/>
                <w:szCs w:val="20"/>
                <w:shd w:val="solid" w:color="000000" w:fill="000000"/>
                <w:fitText w:val="238" w:id="-1303199737"/>
                <w14:textFill>
                  <w14:solidFill>
                    <w14:srgbClr w14:val="000000">
                      <w14:alpha w14:val="100000"/>
                    </w14:srgbClr>
                  </w14:solidFill>
                </w14:textFill>
              </w:rPr>
              <w:t>|</w:t>
            </w:r>
          </w:p>
        </w:tc>
        <w:tc>
          <w:tcPr>
            <w:tcW w:w="546" w:type="pct"/>
          </w:tcPr>
          <w:p w14:paraId="63599321" w14:textId="77777777" w:rsidR="0017012A" w:rsidRPr="00683533" w:rsidRDefault="0017012A" w:rsidP="00CC71B0">
            <w:pPr>
              <w:pStyle w:val="TableText0"/>
              <w:keepLines/>
              <w:jc w:val="center"/>
              <w:rPr>
                <w:iCs/>
                <w:szCs w:val="20"/>
              </w:rPr>
            </w:pPr>
            <w:r w:rsidRPr="00683533">
              <w:rPr>
                <w:iCs/>
                <w:szCs w:val="20"/>
              </w:rPr>
              <w:t>0.35</w:t>
            </w:r>
          </w:p>
        </w:tc>
        <w:tc>
          <w:tcPr>
            <w:tcW w:w="545" w:type="pct"/>
            <w:gridSpan w:val="2"/>
          </w:tcPr>
          <w:p w14:paraId="7E6E439C" w14:textId="77777777" w:rsidR="0017012A" w:rsidRPr="00683533" w:rsidRDefault="0017012A" w:rsidP="00CC71B0">
            <w:pPr>
              <w:pStyle w:val="TableText0"/>
              <w:keepLines/>
              <w:jc w:val="center"/>
              <w:rPr>
                <w:szCs w:val="20"/>
              </w:rPr>
            </w:pPr>
            <w:r w:rsidRPr="00683533">
              <w:t>Dominant</w:t>
            </w:r>
          </w:p>
        </w:tc>
      </w:tr>
      <w:tr w:rsidR="0017012A" w:rsidRPr="00683533" w14:paraId="6DAB2CA7" w14:textId="77777777" w:rsidTr="006A414A">
        <w:trPr>
          <w:trHeight w:val="255"/>
        </w:trPr>
        <w:tc>
          <w:tcPr>
            <w:tcW w:w="1727" w:type="pct"/>
            <w:shd w:val="clear" w:color="auto" w:fill="auto"/>
          </w:tcPr>
          <w:p w14:paraId="071C1936" w14:textId="77777777" w:rsidR="0017012A" w:rsidRPr="00683533" w:rsidRDefault="0017012A" w:rsidP="00CC71B0">
            <w:pPr>
              <w:pStyle w:val="TableText0"/>
              <w:keepLines/>
              <w:rPr>
                <w:szCs w:val="20"/>
              </w:rPr>
            </w:pPr>
            <w:r w:rsidRPr="00683533">
              <w:rPr>
                <w:szCs w:val="20"/>
              </w:rPr>
              <w:t xml:space="preserve">Time horizon: 5 </w:t>
            </w:r>
            <w:proofErr w:type="spellStart"/>
            <w:r w:rsidRPr="00683533">
              <w:rPr>
                <w:szCs w:val="20"/>
              </w:rPr>
              <w:t>years</w:t>
            </w:r>
            <w:r w:rsidRPr="00683533">
              <w:rPr>
                <w:vertAlign w:val="superscript"/>
              </w:rPr>
              <w:t>d,e</w:t>
            </w:r>
            <w:proofErr w:type="spellEnd"/>
          </w:p>
        </w:tc>
        <w:tc>
          <w:tcPr>
            <w:tcW w:w="546" w:type="pct"/>
            <w:shd w:val="solid" w:color="000000" w:fill="000000"/>
          </w:tcPr>
          <w:p w14:paraId="5BFFE377" w14:textId="372F8929" w:rsidR="0017012A" w:rsidRPr="006A414A" w:rsidRDefault="006A414A" w:rsidP="00CC71B0">
            <w:pPr>
              <w:pStyle w:val="TableText0"/>
              <w:keepLines/>
              <w:jc w:val="center"/>
              <w:rPr>
                <w:iCs/>
                <w:szCs w:val="20"/>
              </w:rPr>
            </w:pPr>
            <w:r w:rsidRPr="006A414A">
              <w:rPr>
                <w:iCs/>
                <w:color w:val="000000"/>
                <w:spacing w:val="42"/>
                <w:szCs w:val="20"/>
                <w:fitText w:val="213" w:id="-1303199736"/>
                <w14:textFill>
                  <w14:solidFill>
                    <w14:srgbClr w14:val="000000">
                      <w14:alpha w14:val="100000"/>
                    </w14:srgbClr>
                  </w14:solidFill>
                </w14:textFill>
              </w:rPr>
              <w:t>||</w:t>
            </w:r>
            <w:r w:rsidRPr="006A414A">
              <w:rPr>
                <w:iCs/>
                <w:color w:val="000000"/>
                <w:spacing w:val="2"/>
                <w:szCs w:val="20"/>
                <w:fitText w:val="213" w:id="-1303199736"/>
                <w14:textFill>
                  <w14:solidFill>
                    <w14:srgbClr w14:val="000000">
                      <w14:alpha w14:val="100000"/>
                    </w14:srgbClr>
                  </w14:solidFill>
                </w14:textFill>
              </w:rPr>
              <w:t>|</w:t>
            </w:r>
          </w:p>
        </w:tc>
        <w:tc>
          <w:tcPr>
            <w:tcW w:w="546" w:type="pct"/>
            <w:shd w:val="clear" w:color="auto" w:fill="auto"/>
          </w:tcPr>
          <w:p w14:paraId="02C62493" w14:textId="77777777" w:rsidR="0017012A" w:rsidRPr="00683533" w:rsidRDefault="0017012A" w:rsidP="00CC71B0">
            <w:pPr>
              <w:pStyle w:val="TableText0"/>
              <w:keepLines/>
              <w:jc w:val="center"/>
              <w:rPr>
                <w:iCs/>
                <w:szCs w:val="20"/>
              </w:rPr>
            </w:pPr>
            <w:r w:rsidRPr="00683533">
              <w:rPr>
                <w:iCs/>
                <w:szCs w:val="20"/>
              </w:rPr>
              <w:t>0.04</w:t>
            </w:r>
          </w:p>
        </w:tc>
        <w:tc>
          <w:tcPr>
            <w:tcW w:w="546" w:type="pct"/>
            <w:gridSpan w:val="2"/>
            <w:shd w:val="clear" w:color="auto" w:fill="auto"/>
          </w:tcPr>
          <w:p w14:paraId="0675D4CD" w14:textId="2EC10598" w:rsidR="0017012A" w:rsidRPr="00D944B2" w:rsidRDefault="0017012A" w:rsidP="00CC71B0">
            <w:pPr>
              <w:pStyle w:val="TableText0"/>
              <w:keepLines/>
              <w:jc w:val="center"/>
              <w:rPr>
                <w:szCs w:val="20"/>
                <w:vertAlign w:val="superscript"/>
              </w:rPr>
            </w:pPr>
            <w:r w:rsidRPr="00683533">
              <w:rPr>
                <w:szCs w:val="20"/>
              </w:rPr>
              <w:t>$</w:t>
            </w:r>
            <w:r w:rsidR="006A414A" w:rsidRPr="006A414A">
              <w:rPr>
                <w:color w:val="000000"/>
                <w:spacing w:val="202"/>
                <w:szCs w:val="20"/>
                <w:shd w:val="solid" w:color="000000" w:fill="000000"/>
                <w:fitText w:val="288" w:id="-1303199735"/>
                <w14:textFill>
                  <w14:solidFill>
                    <w14:srgbClr w14:val="000000">
                      <w14:alpha w14:val="100000"/>
                    </w14:srgbClr>
                  </w14:solidFill>
                </w14:textFill>
              </w:rPr>
              <w:t>|</w:t>
            </w:r>
            <w:r w:rsidR="006A414A" w:rsidRPr="006A414A">
              <w:rPr>
                <w:color w:val="000000"/>
                <w:spacing w:val="1"/>
                <w:szCs w:val="20"/>
                <w:shd w:val="solid" w:color="000000" w:fill="000000"/>
                <w:fitText w:val="288" w:id="-1303199735"/>
                <w14:textFill>
                  <w14:solidFill>
                    <w14:srgbClr w14:val="000000">
                      <w14:alpha w14:val="100000"/>
                    </w14:srgbClr>
                  </w14:solidFill>
                </w14:textFill>
              </w:rPr>
              <w:t>|</w:t>
            </w:r>
            <w:r w:rsidR="00D944B2">
              <w:rPr>
                <w:szCs w:val="20"/>
                <w:vertAlign w:val="superscript"/>
              </w:rPr>
              <w:t>1</w:t>
            </w:r>
          </w:p>
        </w:tc>
        <w:tc>
          <w:tcPr>
            <w:tcW w:w="545" w:type="pct"/>
            <w:shd w:val="solid" w:color="000000" w:fill="000000"/>
          </w:tcPr>
          <w:p w14:paraId="71717531" w14:textId="02BB425D" w:rsidR="0017012A" w:rsidRPr="006A414A" w:rsidRDefault="006A414A" w:rsidP="00CC71B0">
            <w:pPr>
              <w:pStyle w:val="TableText0"/>
              <w:keepLines/>
              <w:jc w:val="center"/>
              <w:rPr>
                <w:iCs/>
                <w:szCs w:val="20"/>
              </w:rPr>
            </w:pPr>
            <w:r w:rsidRPr="006A414A">
              <w:rPr>
                <w:iCs/>
                <w:color w:val="000000"/>
                <w:spacing w:val="42"/>
                <w:szCs w:val="20"/>
                <w:fitText w:val="213" w:id="-1303199734"/>
                <w14:textFill>
                  <w14:solidFill>
                    <w14:srgbClr w14:val="000000">
                      <w14:alpha w14:val="100000"/>
                    </w14:srgbClr>
                  </w14:solidFill>
                </w14:textFill>
              </w:rPr>
              <w:t>||</w:t>
            </w:r>
            <w:r w:rsidRPr="006A414A">
              <w:rPr>
                <w:iCs/>
                <w:color w:val="000000"/>
                <w:spacing w:val="2"/>
                <w:szCs w:val="20"/>
                <w:fitText w:val="213" w:id="-1303199734"/>
                <w14:textFill>
                  <w14:solidFill>
                    <w14:srgbClr w14:val="000000">
                      <w14:alpha w14:val="100000"/>
                    </w14:srgbClr>
                  </w14:solidFill>
                </w14:textFill>
              </w:rPr>
              <w:t>|</w:t>
            </w:r>
          </w:p>
        </w:tc>
        <w:tc>
          <w:tcPr>
            <w:tcW w:w="546" w:type="pct"/>
            <w:shd w:val="clear" w:color="auto" w:fill="auto"/>
          </w:tcPr>
          <w:p w14:paraId="28A9DCE4" w14:textId="77777777" w:rsidR="0017012A" w:rsidRPr="00683533" w:rsidRDefault="0017012A" w:rsidP="00CC71B0">
            <w:pPr>
              <w:pStyle w:val="TableText0"/>
              <w:keepLines/>
              <w:jc w:val="center"/>
              <w:rPr>
                <w:iCs/>
                <w:szCs w:val="20"/>
              </w:rPr>
            </w:pPr>
            <w:r w:rsidRPr="00683533">
              <w:rPr>
                <w:iCs/>
                <w:szCs w:val="20"/>
              </w:rPr>
              <w:t>0.02</w:t>
            </w:r>
          </w:p>
        </w:tc>
        <w:tc>
          <w:tcPr>
            <w:tcW w:w="545" w:type="pct"/>
            <w:gridSpan w:val="2"/>
            <w:shd w:val="clear" w:color="auto" w:fill="auto"/>
          </w:tcPr>
          <w:p w14:paraId="178BEA60" w14:textId="2BE61717" w:rsidR="0017012A" w:rsidRPr="00D944B2" w:rsidRDefault="0017012A" w:rsidP="00CC71B0">
            <w:pPr>
              <w:pStyle w:val="TableText0"/>
              <w:keepLines/>
              <w:jc w:val="center"/>
              <w:rPr>
                <w:szCs w:val="20"/>
                <w:vertAlign w:val="superscript"/>
              </w:rPr>
            </w:pPr>
            <w:r w:rsidRPr="00683533">
              <w:rPr>
                <w:szCs w:val="20"/>
              </w:rPr>
              <w:t>$</w:t>
            </w:r>
            <w:r w:rsidR="006A414A" w:rsidRPr="006A414A">
              <w:rPr>
                <w:color w:val="000000"/>
                <w:spacing w:val="202"/>
                <w:szCs w:val="20"/>
                <w:shd w:val="solid" w:color="000000" w:fill="000000"/>
                <w:fitText w:val="288" w:id="-1303199733"/>
                <w14:textFill>
                  <w14:solidFill>
                    <w14:srgbClr w14:val="000000">
                      <w14:alpha w14:val="100000"/>
                    </w14:srgbClr>
                  </w14:solidFill>
                </w14:textFill>
              </w:rPr>
              <w:t>|</w:t>
            </w:r>
            <w:r w:rsidR="006A414A" w:rsidRPr="006A414A">
              <w:rPr>
                <w:color w:val="000000"/>
                <w:spacing w:val="1"/>
                <w:szCs w:val="20"/>
                <w:shd w:val="solid" w:color="000000" w:fill="000000"/>
                <w:fitText w:val="288" w:id="-1303199733"/>
                <w14:textFill>
                  <w14:solidFill>
                    <w14:srgbClr w14:val="000000">
                      <w14:alpha w14:val="100000"/>
                    </w14:srgbClr>
                  </w14:solidFill>
                </w14:textFill>
              </w:rPr>
              <w:t>|</w:t>
            </w:r>
            <w:r w:rsidR="00D944B2">
              <w:rPr>
                <w:szCs w:val="20"/>
                <w:vertAlign w:val="superscript"/>
              </w:rPr>
              <w:t>2</w:t>
            </w:r>
          </w:p>
        </w:tc>
      </w:tr>
    </w:tbl>
    <w:p w14:paraId="09596AC8" w14:textId="49B61D48" w:rsidR="007D4D11" w:rsidRDefault="007D4D11" w:rsidP="00E3405F">
      <w:pPr>
        <w:pStyle w:val="FooterTableFigure"/>
        <w:widowControl w:val="0"/>
      </w:pPr>
      <w:r>
        <w:t xml:space="preserve">Source: </w:t>
      </w:r>
      <w:r w:rsidRPr="0012533D">
        <w:t>Table</w:t>
      </w:r>
      <w:r>
        <w:t>s</w:t>
      </w:r>
      <w:r w:rsidRPr="0012533D">
        <w:t xml:space="preserve"> 3.9.1 </w:t>
      </w:r>
      <w:r>
        <w:t>and 3.9.2</w:t>
      </w:r>
      <w:r w:rsidR="001962C4">
        <w:t>,</w:t>
      </w:r>
      <w:r>
        <w:t xml:space="preserve"> </w:t>
      </w:r>
      <w:r w:rsidRPr="0012533D">
        <w:t>p498 of the submission</w:t>
      </w:r>
      <w:r w:rsidR="005655B7">
        <w:t xml:space="preserve"> </w:t>
      </w:r>
      <w:r>
        <w:t xml:space="preserve">and </w:t>
      </w:r>
      <w:r w:rsidRPr="00E3405F">
        <w:t xml:space="preserve">compiled during the evaluation from the </w:t>
      </w:r>
      <w:r w:rsidR="00660D27" w:rsidRPr="00E3405F">
        <w:t>E</w:t>
      </w:r>
      <w:r w:rsidR="009D46AB" w:rsidRPr="00E3405F">
        <w:t xml:space="preserve">xcel sheets </w:t>
      </w:r>
      <w:r w:rsidR="003E5619" w:rsidRPr="00E3405F">
        <w:t>‘</w:t>
      </w:r>
      <w:r w:rsidR="009D46AB" w:rsidRPr="00E3405F">
        <w:t>Prevenar 70</w:t>
      </w:r>
      <w:r w:rsidR="003E5619" w:rsidRPr="00E3405F">
        <w:t>’</w:t>
      </w:r>
      <w:r w:rsidR="009D46AB" w:rsidRPr="00E3405F">
        <w:t xml:space="preserve">, </w:t>
      </w:r>
      <w:r w:rsidR="003E5619" w:rsidRPr="00E3405F">
        <w:t>‘</w:t>
      </w:r>
      <w:r w:rsidR="009D46AB" w:rsidRPr="00E3405F">
        <w:t xml:space="preserve">Prevenar </w:t>
      </w:r>
      <w:proofErr w:type="spellStart"/>
      <w:r w:rsidR="009D46AB" w:rsidRPr="00E3405F">
        <w:t>AtRisk</w:t>
      </w:r>
      <w:proofErr w:type="spellEnd"/>
      <w:r w:rsidR="009D46AB" w:rsidRPr="00E3405F">
        <w:t xml:space="preserve"> 18-69</w:t>
      </w:r>
      <w:r w:rsidR="003E5619" w:rsidRPr="00E3405F">
        <w:t>’</w:t>
      </w:r>
      <w:r w:rsidR="009D46AB" w:rsidRPr="00E3405F">
        <w:t xml:space="preserve"> and </w:t>
      </w:r>
      <w:r w:rsidR="003E5619" w:rsidRPr="00E3405F">
        <w:t>‘</w:t>
      </w:r>
      <w:r w:rsidR="009D46AB" w:rsidRPr="00E3405F">
        <w:t xml:space="preserve">Prevenar </w:t>
      </w:r>
      <w:proofErr w:type="spellStart"/>
      <w:r w:rsidR="009D46AB" w:rsidRPr="00E3405F">
        <w:t>Indig</w:t>
      </w:r>
      <w:proofErr w:type="spellEnd"/>
      <w:r w:rsidR="009D46AB" w:rsidRPr="00E3405F">
        <w:t xml:space="preserve"> 50</w:t>
      </w:r>
      <w:r w:rsidR="003E5619" w:rsidRPr="00E3405F">
        <w:t>’</w:t>
      </w:r>
      <w:r w:rsidR="009D46AB" w:rsidRPr="00E3405F">
        <w:t xml:space="preserve"> during the evaluation</w:t>
      </w:r>
      <w:r w:rsidRPr="00E3405F">
        <w:t>.</w:t>
      </w:r>
      <w:r w:rsidR="00683533">
        <w:t xml:space="preserve"> Incremental costs and QALYs calculated during ESC evaluation.</w:t>
      </w:r>
    </w:p>
    <w:p w14:paraId="46623D44" w14:textId="39DAF522" w:rsidR="007D4D11" w:rsidRDefault="007D4D11" w:rsidP="00E3405F">
      <w:pPr>
        <w:pStyle w:val="FooterTableFigure"/>
        <w:widowControl w:val="0"/>
      </w:pPr>
      <w:r>
        <w:t>Abbreviations:</w:t>
      </w:r>
      <w:r w:rsidRPr="006C582A">
        <w:t>13vPCV</w:t>
      </w:r>
      <w:r w:rsidR="3ECDF1DB">
        <w:t xml:space="preserve">, </w:t>
      </w:r>
      <w:r w:rsidRPr="006C582A">
        <w:t>13</w:t>
      </w:r>
      <w:r w:rsidR="1638A53D">
        <w:t>-</w:t>
      </w:r>
      <w:r w:rsidRPr="006C582A">
        <w:t>valent pneumococcal conjugate vaccine; 15vPCV</w:t>
      </w:r>
      <w:r w:rsidR="1622AD1E">
        <w:t xml:space="preserve">, </w:t>
      </w:r>
      <w:r w:rsidRPr="006C582A">
        <w:t>15</w:t>
      </w:r>
      <w:r w:rsidR="65B1E8EB">
        <w:t>-</w:t>
      </w:r>
      <w:r w:rsidRPr="006C582A">
        <w:t>valent pneumococcal conjugate vaccine; 20vPCV</w:t>
      </w:r>
      <w:r w:rsidR="0CF7C297">
        <w:t xml:space="preserve">, </w:t>
      </w:r>
      <w:r w:rsidRPr="006C582A">
        <w:t>20</w:t>
      </w:r>
      <w:r w:rsidR="6176DEC9">
        <w:t>-</w:t>
      </w:r>
      <w:r w:rsidRPr="006C582A">
        <w:t xml:space="preserve">valent pneumococcal conjugate vaccine; </w:t>
      </w:r>
      <w:r w:rsidR="727BD99C">
        <w:t xml:space="preserve">CFR, case fatality rate; </w:t>
      </w:r>
      <w:r>
        <w:t>NIP</w:t>
      </w:r>
      <w:r w:rsidR="7DF5E0D8">
        <w:t xml:space="preserve">, </w:t>
      </w:r>
      <w:r>
        <w:t>National Immunisation Programme; PCV</w:t>
      </w:r>
      <w:r w:rsidR="3C778CB9">
        <w:t xml:space="preserve">, </w:t>
      </w:r>
      <w:r>
        <w:t xml:space="preserve">pneumococcal conjugate vaccine; </w:t>
      </w:r>
      <w:r w:rsidRPr="006C582A">
        <w:t>VE</w:t>
      </w:r>
      <w:r w:rsidR="1683B8FE">
        <w:t xml:space="preserve">, </w:t>
      </w:r>
      <w:r w:rsidRPr="006C582A">
        <w:t>vaccine effectiveness; QALY=Quality-adjusted life-year</w:t>
      </w:r>
    </w:p>
    <w:p w14:paraId="41D545E6" w14:textId="2FCDA007" w:rsidR="007D4D11" w:rsidRPr="00820871" w:rsidRDefault="007D4D11" w:rsidP="00E3405F">
      <w:pPr>
        <w:pStyle w:val="FooterTableFigure"/>
        <w:widowControl w:val="0"/>
      </w:pPr>
      <w:r w:rsidRPr="00E3405F">
        <w:t>a</w:t>
      </w:r>
      <w:r>
        <w:t xml:space="preserve"> </w:t>
      </w:r>
      <w:r w:rsidR="0017012A">
        <w:t>Dominant</w:t>
      </w:r>
      <w:r w:rsidR="0017012A" w:rsidRPr="00820871">
        <w:t xml:space="preserve"> ICER indicates that 20vPCV dominates comparator through being more effective and </w:t>
      </w:r>
      <w:r w:rsidR="00CD61EA" w:rsidRPr="00683533">
        <w:rPr>
          <w:iCs/>
        </w:rPr>
        <w:t>less costly.</w:t>
      </w:r>
    </w:p>
    <w:p w14:paraId="3AAFD39F" w14:textId="3AA3B335" w:rsidR="00887449" w:rsidRPr="00E3405F" w:rsidRDefault="007D4D11" w:rsidP="00E3405F">
      <w:pPr>
        <w:pStyle w:val="FooterTableFigure"/>
        <w:widowControl w:val="0"/>
      </w:pPr>
      <w:r w:rsidRPr="00E3405F">
        <w:t xml:space="preserve">b </w:t>
      </w:r>
      <w:r w:rsidR="00AF28C7" w:rsidRPr="00E3405F">
        <w:t>Base case</w:t>
      </w:r>
      <w:r w:rsidR="00887449" w:rsidRPr="00E3405F">
        <w:t xml:space="preserve"> used</w:t>
      </w:r>
      <w:r w:rsidR="00AF28C7" w:rsidRPr="00E3405F">
        <w:t xml:space="preserve"> </w:t>
      </w:r>
      <w:r w:rsidR="00887449" w:rsidRPr="00E3405F">
        <w:t xml:space="preserve">CRF </w:t>
      </w:r>
      <w:r w:rsidR="00F55A5C" w:rsidRPr="00E3405F">
        <w:t xml:space="preserve">varied </w:t>
      </w:r>
      <w:r w:rsidR="007C0D31" w:rsidRPr="00E3405F">
        <w:t xml:space="preserve">by age </w:t>
      </w:r>
      <w:r w:rsidR="00887449" w:rsidRPr="00E3405F">
        <w:t>(6.22% for ages 70-74, 9.09% for ages 75 to 84, and 16.35% for ages &gt;85); discount rate 5%; lifetime horizon to 100 years</w:t>
      </w:r>
      <w:r w:rsidR="00BB786E" w:rsidRPr="00E3405F">
        <w:t>.</w:t>
      </w:r>
    </w:p>
    <w:p w14:paraId="1ED18001" w14:textId="3293518F" w:rsidR="0068612A" w:rsidRPr="00E3405F" w:rsidRDefault="0068612A" w:rsidP="00E3405F">
      <w:pPr>
        <w:pStyle w:val="FooterTableFigure"/>
        <w:widowControl w:val="0"/>
      </w:pPr>
      <w:r w:rsidRPr="00E3405F">
        <w:t xml:space="preserve">c </w:t>
      </w:r>
      <w:r w:rsidR="006B277B" w:rsidRPr="00E3405F">
        <w:t xml:space="preserve">Variation </w:t>
      </w:r>
      <w:r w:rsidR="00C45036" w:rsidRPr="00E3405F">
        <w:t>to input</w:t>
      </w:r>
      <w:r w:rsidR="00621DA9" w:rsidRPr="00E3405F">
        <w:t xml:space="preserve"> as per ATAGI’s recommendations </w:t>
      </w:r>
      <w:r w:rsidR="00984C98" w:rsidRPr="00E3405F">
        <w:t>(ATAGI advice</w:t>
      </w:r>
      <w:r w:rsidR="00D0108A" w:rsidRPr="00E3405F">
        <w:t>,</w:t>
      </w:r>
      <w:r w:rsidR="00984C98" w:rsidRPr="00E3405F">
        <w:t xml:space="preserve"> February 2016).</w:t>
      </w:r>
    </w:p>
    <w:p w14:paraId="303CD3F0" w14:textId="351AC735" w:rsidR="00D935D8" w:rsidRPr="00E3405F" w:rsidRDefault="00A521B9" w:rsidP="00E3405F">
      <w:pPr>
        <w:pStyle w:val="FooterTableFigure"/>
        <w:widowControl w:val="0"/>
      </w:pPr>
      <w:r w:rsidRPr="00E3405F">
        <w:t xml:space="preserve">d </w:t>
      </w:r>
      <w:r w:rsidR="00D935D8" w:rsidRPr="00E3405F">
        <w:t>Conducted during the evaluation.</w:t>
      </w:r>
    </w:p>
    <w:p w14:paraId="6B40ACF3" w14:textId="753C2B79" w:rsidR="00A521B9" w:rsidRPr="00E3405F" w:rsidRDefault="00D935D8" w:rsidP="00E3405F">
      <w:pPr>
        <w:pStyle w:val="FooterTableFigure"/>
        <w:widowControl w:val="0"/>
      </w:pPr>
      <w:r w:rsidRPr="00E3405F">
        <w:t xml:space="preserve">e </w:t>
      </w:r>
      <w:r w:rsidR="00A521B9" w:rsidRPr="00E3405F">
        <w:t>Variation to input as per ATAGI’s recommendations (</w:t>
      </w:r>
      <w:r w:rsidR="00984C98" w:rsidRPr="00E3405F">
        <w:t>p70</w:t>
      </w:r>
      <w:r w:rsidR="00906813" w:rsidRPr="00E3405F">
        <w:t xml:space="preserve">, </w:t>
      </w:r>
      <w:r w:rsidR="00906813" w:rsidRPr="004E375B">
        <w:t xml:space="preserve">Prevenar 20, </w:t>
      </w:r>
      <w:r w:rsidR="00984C98" w:rsidRPr="00E3405F">
        <w:t>ATAGI pre-submission advice to PBAC, April 2022).</w:t>
      </w:r>
    </w:p>
    <w:p w14:paraId="1C23EFF3" w14:textId="30E4ABDC" w:rsidR="00246611" w:rsidRPr="00E3405F" w:rsidRDefault="00246611" w:rsidP="00E3405F">
      <w:pPr>
        <w:pStyle w:val="FooterTableFigure"/>
        <w:widowControl w:val="0"/>
      </w:pPr>
      <w:r w:rsidRPr="00E3405F">
        <w:t>f Base case used CRF varied by age (</w:t>
      </w:r>
      <w:r>
        <w:t>4.96</w:t>
      </w:r>
      <w:r w:rsidRPr="00883DC2">
        <w:t>%</w:t>
      </w:r>
      <w:r>
        <w:t xml:space="preserve"> for ages </w:t>
      </w:r>
      <w:r w:rsidRPr="00883DC2">
        <w:t>50-</w:t>
      </w:r>
      <w:r>
        <w:t>6</w:t>
      </w:r>
      <w:r w:rsidRPr="00883DC2">
        <w:t>4,</w:t>
      </w:r>
      <w:r>
        <w:t xml:space="preserve"> </w:t>
      </w:r>
      <w:r w:rsidRPr="00883DC2">
        <w:t>6.</w:t>
      </w:r>
      <w:r>
        <w:t>64</w:t>
      </w:r>
      <w:r w:rsidRPr="00883DC2">
        <w:t>%</w:t>
      </w:r>
      <w:r>
        <w:t xml:space="preserve"> for ages</w:t>
      </w:r>
      <w:r w:rsidRPr="00883DC2">
        <w:t xml:space="preserve"> 65-74, 9.</w:t>
      </w:r>
      <w:r>
        <w:t>53</w:t>
      </w:r>
      <w:r w:rsidRPr="00883DC2">
        <w:t>%</w:t>
      </w:r>
      <w:r>
        <w:t xml:space="preserve"> for ages </w:t>
      </w:r>
      <w:r w:rsidRPr="00883DC2">
        <w:t>75-84</w:t>
      </w:r>
      <w:r>
        <w:t>, a</w:t>
      </w:r>
      <w:r w:rsidRPr="00883DC2">
        <w:t>nd 16.</w:t>
      </w:r>
      <w:r>
        <w:t>75</w:t>
      </w:r>
      <w:r w:rsidRPr="00883DC2">
        <w:t>%</w:t>
      </w:r>
      <w:r>
        <w:t xml:space="preserve"> </w:t>
      </w:r>
      <w:r w:rsidRPr="00E3405F">
        <w:t>for ages &gt;85); discount rate 5%; lifetime horizon to 100 years.</w:t>
      </w:r>
    </w:p>
    <w:p w14:paraId="263EAA9B" w14:textId="3A577719" w:rsidR="00B50B55" w:rsidRPr="00E3405F" w:rsidRDefault="00B50B55" w:rsidP="00E3405F">
      <w:pPr>
        <w:pStyle w:val="FooterTableFigure"/>
        <w:widowControl w:val="0"/>
      </w:pPr>
      <w:r w:rsidRPr="00E3405F">
        <w:t>g Base case used CRF varied by age (</w:t>
      </w:r>
      <w:r w:rsidR="002F2B21" w:rsidRPr="00E3405F">
        <w:t xml:space="preserve">1.15% for ages 15-24, 1.62% for ages 25-34, </w:t>
      </w:r>
      <w:r w:rsidR="00186CF1" w:rsidRPr="00E3405F">
        <w:t xml:space="preserve">2.28% for ages </w:t>
      </w:r>
      <w:r w:rsidR="002F2B21" w:rsidRPr="00E3405F">
        <w:t xml:space="preserve">35-44, </w:t>
      </w:r>
      <w:r w:rsidR="00807778" w:rsidRPr="00E3405F">
        <w:t xml:space="preserve">4.96% for ages </w:t>
      </w:r>
      <w:r w:rsidR="002F2B21" w:rsidRPr="00E3405F">
        <w:t>45-64</w:t>
      </w:r>
      <w:r w:rsidR="00CD09AC" w:rsidRPr="00E3405F">
        <w:t>,</w:t>
      </w:r>
      <w:r w:rsidR="002F2B21" w:rsidRPr="00E3405F">
        <w:t xml:space="preserve"> and </w:t>
      </w:r>
      <w:r w:rsidR="00CD09AC" w:rsidRPr="00E3405F">
        <w:t xml:space="preserve">6.64% for ages </w:t>
      </w:r>
      <w:r w:rsidR="002F2B21" w:rsidRPr="00E3405F">
        <w:t>65-69</w:t>
      </w:r>
      <w:r w:rsidRPr="00E3405F">
        <w:t xml:space="preserve">); discount rate 5%; </w:t>
      </w:r>
      <w:r w:rsidR="00EA6355" w:rsidRPr="00E3405F">
        <w:t>waning efficacy for PCV (</w:t>
      </w:r>
      <w:r w:rsidR="00CD09AC" w:rsidRPr="00E3405F">
        <w:t>0% for years 0-5, 5</w:t>
      </w:r>
      <w:r w:rsidR="00CD17B3" w:rsidRPr="00E3405F">
        <w:t>.35</w:t>
      </w:r>
      <w:r w:rsidR="00CD09AC" w:rsidRPr="00E3405F">
        <w:t xml:space="preserve">% for years 6-10, 10% for years </w:t>
      </w:r>
      <w:r w:rsidR="00870237" w:rsidRPr="00E3405F">
        <w:t>11-15, and 15% for years &gt;16</w:t>
      </w:r>
      <w:r w:rsidR="00EA6355" w:rsidRPr="00E3405F">
        <w:t xml:space="preserve">), </w:t>
      </w:r>
      <w:r w:rsidR="00870237" w:rsidRPr="00E3405F">
        <w:t>r</w:t>
      </w:r>
      <w:r w:rsidR="00EA6355" w:rsidRPr="00E3405F">
        <w:t>elative vaccine efficacy of 12</w:t>
      </w:r>
      <w:r w:rsidR="00823E52" w:rsidRPr="00E3405F">
        <w:t xml:space="preserve">0%, </w:t>
      </w:r>
      <w:r w:rsidR="005B4B2F" w:rsidRPr="00E3405F">
        <w:t xml:space="preserve">up to </w:t>
      </w:r>
      <w:proofErr w:type="gramStart"/>
      <w:r w:rsidR="006E6205" w:rsidRPr="00E3405F">
        <w:t>52</w:t>
      </w:r>
      <w:r w:rsidR="00FD2B5E" w:rsidRPr="00E3405F">
        <w:t xml:space="preserve"> year</w:t>
      </w:r>
      <w:proofErr w:type="gramEnd"/>
      <w:r w:rsidR="00FD2B5E" w:rsidRPr="00E3405F">
        <w:t xml:space="preserve"> time </w:t>
      </w:r>
      <w:r w:rsidRPr="00E3405F">
        <w:t>horizon to 70 years.</w:t>
      </w:r>
    </w:p>
    <w:p w14:paraId="225FFB3A" w14:textId="3BFB7AEF" w:rsidR="007D4D11" w:rsidRPr="00E3405F" w:rsidRDefault="00B50B55" w:rsidP="00E3405F">
      <w:pPr>
        <w:pStyle w:val="FooterTableFigure"/>
        <w:widowControl w:val="0"/>
      </w:pPr>
      <w:r w:rsidRPr="00E3405F">
        <w:t>h</w:t>
      </w:r>
      <w:r w:rsidR="007D4D11" w:rsidRPr="00E3405F">
        <w:t xml:space="preserve"> Corrected during the evaluation</w:t>
      </w:r>
      <w:r w:rsidR="000012BF" w:rsidRPr="00E3405F">
        <w:t xml:space="preserve"> so that population distribution was taken from</w:t>
      </w:r>
      <w:r w:rsidR="0020657E" w:rsidRPr="00E3405F">
        <w:t xml:space="preserve"> ‘Pop’ instead of ‘</w:t>
      </w:r>
      <w:proofErr w:type="spellStart"/>
      <w:r w:rsidR="0020657E" w:rsidRPr="00E3405F">
        <w:t>IndigPop</w:t>
      </w:r>
      <w:proofErr w:type="spellEnd"/>
      <w:r w:rsidR="00090F34" w:rsidRPr="00E3405F">
        <w:t xml:space="preserve"> in Excel book ‘Prevenar</w:t>
      </w:r>
      <w:r w:rsidR="009E7B70" w:rsidRPr="00E3405F">
        <w:t xml:space="preserve"> </w:t>
      </w:r>
      <w:proofErr w:type="spellStart"/>
      <w:r w:rsidR="009E7B70" w:rsidRPr="00E3405F">
        <w:t>ATRisk</w:t>
      </w:r>
      <w:proofErr w:type="spellEnd"/>
      <w:r w:rsidR="009E7B70" w:rsidRPr="00E3405F">
        <w:t xml:space="preserve"> </w:t>
      </w:r>
      <w:r w:rsidR="009E7B70" w:rsidRPr="00E3405F">
        <w:lastRenderedPageBreak/>
        <w:t>18-69’</w:t>
      </w:r>
      <w:r w:rsidR="007D4D11" w:rsidRPr="00E3405F">
        <w:t>.</w:t>
      </w:r>
    </w:p>
    <w:p w14:paraId="182492B0" w14:textId="617841EC" w:rsidR="00F2769B" w:rsidRDefault="003E5619" w:rsidP="00D944B2">
      <w:pPr>
        <w:pStyle w:val="FooterTableFigure"/>
        <w:widowControl w:val="0"/>
        <w:spacing w:after="0"/>
      </w:pPr>
      <w:r w:rsidRPr="00E3405F">
        <w:t>I</w:t>
      </w:r>
      <w:r w:rsidR="00E059AA" w:rsidRPr="00E3405F">
        <w:t xml:space="preserve"> Variation to input as per ATAGI’s recommendations </w:t>
      </w:r>
      <w:r w:rsidR="00B07B93" w:rsidRPr="00E3405F">
        <w:t>(p66</w:t>
      </w:r>
      <w:r w:rsidR="00906813" w:rsidRPr="00E3405F">
        <w:t xml:space="preserve">, </w:t>
      </w:r>
      <w:r w:rsidR="00906813" w:rsidRPr="004E375B">
        <w:t xml:space="preserve">Prevenar 20, </w:t>
      </w:r>
      <w:r w:rsidR="00B07B93" w:rsidRPr="00E3405F">
        <w:t>ATAGI pre-submission advice to PBAC, April 2022).</w:t>
      </w:r>
    </w:p>
    <w:p w14:paraId="6F8C3AE9" w14:textId="77777777" w:rsidR="00D944B2" w:rsidRDefault="00D944B2" w:rsidP="00D944B2">
      <w:pPr>
        <w:rPr>
          <w:rFonts w:ascii="Arial Narrow" w:hAnsi="Arial Narrow"/>
          <w:i/>
          <w:sz w:val="18"/>
          <w:szCs w:val="18"/>
        </w:rPr>
      </w:pPr>
      <w:r>
        <w:rPr>
          <w:rFonts w:ascii="Arial Narrow" w:hAnsi="Arial Narrow"/>
          <w:i/>
          <w:sz w:val="18"/>
          <w:szCs w:val="18"/>
        </w:rPr>
        <w:t xml:space="preserve">The redacted values correspond to the following ranges: </w:t>
      </w:r>
    </w:p>
    <w:p w14:paraId="71BCEE75" w14:textId="4634C9E4" w:rsidR="00D944B2" w:rsidRDefault="00D944B2" w:rsidP="00D944B2">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D944B2">
        <w:rPr>
          <w:rFonts w:ascii="Arial Narrow" w:hAnsi="Arial Narrow"/>
          <w:i/>
          <w:sz w:val="18"/>
          <w:szCs w:val="18"/>
        </w:rPr>
        <w:t>$35,000 to &lt; $45,000</w:t>
      </w:r>
    </w:p>
    <w:p w14:paraId="5D85F2B1" w14:textId="752A67AA" w:rsidR="00D944B2" w:rsidRPr="00D944B2" w:rsidRDefault="00D944B2" w:rsidP="00D944B2">
      <w:pPr>
        <w:spacing w:after="120"/>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D944B2">
        <w:rPr>
          <w:rFonts w:ascii="Arial Narrow" w:hAnsi="Arial Narrow"/>
          <w:i/>
          <w:sz w:val="18"/>
          <w:szCs w:val="18"/>
        </w:rPr>
        <w:t>$155,000 to &lt; $255,000</w:t>
      </w:r>
    </w:p>
    <w:p w14:paraId="573596FE" w14:textId="42FD310B" w:rsidR="007D4D11" w:rsidRPr="00F2769B" w:rsidRDefault="00F2769B" w:rsidP="00E3405F">
      <w:pPr>
        <w:keepNext/>
        <w:spacing w:line="259" w:lineRule="auto"/>
        <w:jc w:val="left"/>
        <w:rPr>
          <w:rStyle w:val="CommentReference"/>
        </w:rPr>
      </w:pPr>
      <w:bookmarkStart w:id="113" w:name="_Ref116486395"/>
      <w:r w:rsidRPr="00F2769B">
        <w:rPr>
          <w:rStyle w:val="CommentReference"/>
        </w:rPr>
        <w:t xml:space="preserve">Table </w:t>
      </w:r>
      <w:r w:rsidRPr="00F2769B">
        <w:rPr>
          <w:rStyle w:val="CommentReference"/>
        </w:rPr>
        <w:fldChar w:fldCharType="begin"/>
      </w:r>
      <w:r w:rsidRPr="00F2769B">
        <w:rPr>
          <w:rStyle w:val="CommentReference"/>
        </w:rPr>
        <w:instrText xml:space="preserve"> SEQ Table \* ARABIC </w:instrText>
      </w:r>
      <w:r w:rsidRPr="00F2769B">
        <w:rPr>
          <w:rStyle w:val="CommentReference"/>
        </w:rPr>
        <w:fldChar w:fldCharType="separate"/>
      </w:r>
      <w:r w:rsidR="00137984">
        <w:rPr>
          <w:rStyle w:val="CommentReference"/>
          <w:noProof/>
        </w:rPr>
        <w:t>19</w:t>
      </w:r>
      <w:r w:rsidRPr="00F2769B">
        <w:rPr>
          <w:rStyle w:val="CommentReference"/>
        </w:rPr>
        <w:fldChar w:fldCharType="end"/>
      </w:r>
      <w:bookmarkEnd w:id="113"/>
      <w:r w:rsidRPr="00F2769B">
        <w:rPr>
          <w:rStyle w:val="CommentReference"/>
        </w:rPr>
        <w:t>:</w:t>
      </w:r>
      <w:r w:rsidRPr="7A875589">
        <w:rPr>
          <w:snapToGrid w:val="0"/>
          <w:lang w:eastAsia="en-US"/>
        </w:rPr>
        <w:t xml:space="preserve"> </w:t>
      </w:r>
      <w:r w:rsidR="007D4D11" w:rsidRPr="00F2769B">
        <w:rPr>
          <w:rStyle w:val="CommentReference"/>
        </w:rPr>
        <w:t>Sensitivity analysis for Indigenous Australians aged 25-49 years</w:t>
      </w:r>
      <w:r w:rsidR="00251857" w:rsidRPr="00F2769B">
        <w:rPr>
          <w:rStyle w:val="CommentReference"/>
        </w:rPr>
        <w:t xml:space="preserve"> for 20vPCV as compared </w:t>
      </w:r>
      <w:r w:rsidR="009830FE" w:rsidRPr="00F2769B">
        <w:rPr>
          <w:rStyle w:val="CommentReference"/>
        </w:rPr>
        <w:t>to placebo</w:t>
      </w:r>
      <w:r w:rsidR="00251857" w:rsidRPr="00F2769B">
        <w:rPr>
          <w:rStyle w:val="CommentReference"/>
        </w:rPr>
        <w:t>.</w:t>
      </w:r>
    </w:p>
    <w:tbl>
      <w:tblPr>
        <w:tblStyle w:val="TableGridbeth1"/>
        <w:tblW w:w="5000" w:type="pct"/>
        <w:tblLayout w:type="fixed"/>
        <w:tblLook w:val="04A0" w:firstRow="1" w:lastRow="0" w:firstColumn="1" w:lastColumn="0" w:noHBand="0" w:noVBand="1"/>
      </w:tblPr>
      <w:tblGrid>
        <w:gridCol w:w="3996"/>
        <w:gridCol w:w="1811"/>
        <w:gridCol w:w="1538"/>
        <w:gridCol w:w="1672"/>
      </w:tblGrid>
      <w:tr w:rsidR="0017012A" w:rsidRPr="00683533" w14:paraId="012B4DF1" w14:textId="77777777" w:rsidTr="006A414A">
        <w:trPr>
          <w:cantSplit/>
          <w:trHeight w:val="255"/>
          <w:tblHeader/>
        </w:trPr>
        <w:tc>
          <w:tcPr>
            <w:tcW w:w="2216" w:type="pct"/>
          </w:tcPr>
          <w:p w14:paraId="56585FC7" w14:textId="77777777" w:rsidR="0017012A" w:rsidRPr="00683533" w:rsidRDefault="0017012A" w:rsidP="00CC71B0">
            <w:pPr>
              <w:keepNext/>
              <w:keepLines/>
              <w:rPr>
                <w:sz w:val="20"/>
                <w:szCs w:val="20"/>
              </w:rPr>
            </w:pPr>
            <w:r w:rsidRPr="00683533">
              <w:rPr>
                <w:rFonts w:ascii="Arial Narrow" w:eastAsia="Arial Narrow" w:hAnsi="Arial Narrow" w:cs="Arial Narrow"/>
                <w:b/>
                <w:bCs/>
                <w:color w:val="000000" w:themeColor="text1"/>
                <w:sz w:val="20"/>
                <w:szCs w:val="20"/>
              </w:rPr>
              <w:t>Variation to input variable</w:t>
            </w:r>
          </w:p>
        </w:tc>
        <w:tc>
          <w:tcPr>
            <w:tcW w:w="1004" w:type="pct"/>
            <w:tcBorders>
              <w:bottom w:val="single" w:sz="4" w:space="0" w:color="auto"/>
            </w:tcBorders>
          </w:tcPr>
          <w:p w14:paraId="175F2BB0" w14:textId="647D9958" w:rsidR="0017012A" w:rsidRPr="00683533" w:rsidRDefault="0017012A" w:rsidP="00CC71B0">
            <w:pPr>
              <w:keepNext/>
              <w:keepLines/>
              <w:jc w:val="center"/>
              <w:rPr>
                <w:rFonts w:ascii="Arial Narrow" w:eastAsia="Arial Narrow" w:hAnsi="Arial Narrow" w:cs="Arial Narrow"/>
                <w:b/>
                <w:bCs/>
                <w:iCs/>
                <w:color w:val="000000" w:themeColor="text1"/>
                <w:sz w:val="20"/>
                <w:szCs w:val="20"/>
              </w:rPr>
            </w:pPr>
            <w:r w:rsidRPr="00683533">
              <w:rPr>
                <w:rFonts w:ascii="Arial Narrow" w:eastAsia="Arial Narrow" w:hAnsi="Arial Narrow" w:cs="Arial Narrow"/>
                <w:b/>
                <w:bCs/>
                <w:iCs/>
                <w:color w:val="000000" w:themeColor="text1"/>
                <w:sz w:val="20"/>
                <w:szCs w:val="20"/>
              </w:rPr>
              <w:t>Incremental cost</w:t>
            </w:r>
            <w:r w:rsidR="00D944B2">
              <w:rPr>
                <w:rFonts w:ascii="Arial Narrow" w:eastAsia="Arial Narrow" w:hAnsi="Arial Narrow" w:cs="Arial Narrow"/>
                <w:b/>
                <w:bCs/>
                <w:iCs/>
                <w:color w:val="000000" w:themeColor="text1"/>
                <w:sz w:val="20"/>
                <w:szCs w:val="20"/>
              </w:rPr>
              <w:t xml:space="preserve"> ($)</w:t>
            </w:r>
          </w:p>
        </w:tc>
        <w:tc>
          <w:tcPr>
            <w:tcW w:w="853" w:type="pct"/>
          </w:tcPr>
          <w:p w14:paraId="391BC2F9" w14:textId="77777777" w:rsidR="0017012A" w:rsidRPr="00683533" w:rsidRDefault="0017012A" w:rsidP="00CC71B0">
            <w:pPr>
              <w:keepNext/>
              <w:keepLines/>
              <w:jc w:val="center"/>
              <w:rPr>
                <w:rFonts w:ascii="Arial Narrow" w:eastAsia="Arial Narrow" w:hAnsi="Arial Narrow" w:cs="Arial Narrow"/>
                <w:b/>
                <w:bCs/>
                <w:iCs/>
                <w:color w:val="000000" w:themeColor="text1"/>
                <w:sz w:val="20"/>
                <w:szCs w:val="20"/>
              </w:rPr>
            </w:pPr>
            <w:r w:rsidRPr="00683533">
              <w:rPr>
                <w:rFonts w:ascii="Arial Narrow" w:eastAsia="Arial Narrow" w:hAnsi="Arial Narrow" w:cs="Arial Narrow"/>
                <w:b/>
                <w:bCs/>
                <w:iCs/>
                <w:color w:val="000000" w:themeColor="text1"/>
                <w:sz w:val="20"/>
                <w:szCs w:val="20"/>
              </w:rPr>
              <w:t>Incremental QALY</w:t>
            </w:r>
          </w:p>
        </w:tc>
        <w:tc>
          <w:tcPr>
            <w:tcW w:w="927" w:type="pct"/>
          </w:tcPr>
          <w:p w14:paraId="7913A198" w14:textId="77777777" w:rsidR="0017012A" w:rsidRPr="00683533" w:rsidRDefault="0017012A" w:rsidP="00CC71B0">
            <w:pPr>
              <w:keepNext/>
              <w:keepLines/>
              <w:jc w:val="center"/>
              <w:rPr>
                <w:sz w:val="20"/>
                <w:szCs w:val="20"/>
              </w:rPr>
            </w:pPr>
            <w:r w:rsidRPr="00683533">
              <w:rPr>
                <w:rFonts w:ascii="Arial Narrow" w:eastAsia="Arial Narrow" w:hAnsi="Arial Narrow" w:cs="Arial Narrow"/>
                <w:b/>
                <w:bCs/>
                <w:color w:val="000000" w:themeColor="text1"/>
                <w:sz w:val="20"/>
                <w:szCs w:val="20"/>
              </w:rPr>
              <w:t>$/QALY</w:t>
            </w:r>
          </w:p>
        </w:tc>
      </w:tr>
      <w:tr w:rsidR="0017012A" w:rsidRPr="00683533" w14:paraId="746A3001" w14:textId="77777777" w:rsidTr="006A414A">
        <w:trPr>
          <w:cantSplit/>
          <w:trHeight w:val="255"/>
          <w:tblHeader/>
        </w:trPr>
        <w:tc>
          <w:tcPr>
            <w:tcW w:w="2216" w:type="pct"/>
          </w:tcPr>
          <w:p w14:paraId="7559C4A1" w14:textId="77777777" w:rsidR="0017012A" w:rsidRPr="00683533" w:rsidRDefault="0017012A" w:rsidP="00CC71B0">
            <w:pPr>
              <w:keepNext/>
              <w:keepLines/>
              <w:rPr>
                <w:sz w:val="20"/>
                <w:szCs w:val="20"/>
                <w:vertAlign w:val="superscript"/>
              </w:rPr>
            </w:pPr>
            <w:r w:rsidRPr="00683533">
              <w:rPr>
                <w:rFonts w:ascii="Arial Narrow" w:eastAsia="Arial Narrow" w:hAnsi="Arial Narrow" w:cs="Arial Narrow"/>
                <w:b/>
                <w:bCs/>
                <w:color w:val="000000" w:themeColor="text1"/>
                <w:sz w:val="20"/>
                <w:szCs w:val="20"/>
              </w:rPr>
              <w:t xml:space="preserve">Base </w:t>
            </w:r>
            <w:proofErr w:type="spellStart"/>
            <w:r w:rsidRPr="00683533">
              <w:rPr>
                <w:rFonts w:ascii="Arial Narrow" w:eastAsia="Arial Narrow" w:hAnsi="Arial Narrow" w:cs="Arial Narrow"/>
                <w:b/>
                <w:bCs/>
                <w:color w:val="000000" w:themeColor="text1"/>
                <w:sz w:val="20"/>
                <w:szCs w:val="20"/>
              </w:rPr>
              <w:t>case</w:t>
            </w:r>
            <w:r w:rsidRPr="00683533">
              <w:rPr>
                <w:rFonts w:ascii="Arial Narrow" w:eastAsia="Arial Narrow" w:hAnsi="Arial Narrow" w:cs="Arial Narrow"/>
                <w:b/>
                <w:bCs/>
                <w:color w:val="000000" w:themeColor="text1"/>
                <w:sz w:val="20"/>
                <w:szCs w:val="20"/>
                <w:vertAlign w:val="superscript"/>
              </w:rPr>
              <w:t>a</w:t>
            </w:r>
            <w:proofErr w:type="spellEnd"/>
          </w:p>
        </w:tc>
        <w:tc>
          <w:tcPr>
            <w:tcW w:w="1004" w:type="pct"/>
            <w:tcBorders>
              <w:bottom w:val="single" w:sz="4" w:space="0" w:color="auto"/>
            </w:tcBorders>
            <w:shd w:val="solid" w:color="000000" w:fill="000000"/>
          </w:tcPr>
          <w:p w14:paraId="0FD94988" w14:textId="07E2656B" w:rsidR="0017012A" w:rsidRPr="006A414A" w:rsidRDefault="006A414A" w:rsidP="00CC71B0">
            <w:pPr>
              <w:keepNext/>
              <w:keepLines/>
              <w:jc w:val="center"/>
              <w:rPr>
                <w:rFonts w:ascii="Arial Narrow" w:eastAsia="Arial Narrow" w:hAnsi="Arial Narrow" w:cs="Arial Narrow"/>
                <w:b/>
                <w:bCs/>
                <w:iCs/>
                <w:sz w:val="20"/>
                <w:szCs w:val="20"/>
              </w:rPr>
            </w:pPr>
            <w:r w:rsidRPr="006A414A">
              <w:rPr>
                <w:rFonts w:ascii="Arial Narrow" w:eastAsia="Arial Narrow" w:hAnsi="Arial Narrow" w:cs="Arial Narrow"/>
                <w:b/>
                <w:bCs/>
                <w:iCs/>
                <w:color w:val="000000"/>
                <w:sz w:val="20"/>
                <w:szCs w:val="20"/>
                <w14:textFill>
                  <w14:solidFill>
                    <w14:srgbClr w14:val="000000">
                      <w14:alpha w14:val="100000"/>
                    </w14:srgbClr>
                  </w14:solidFill>
                </w14:textFill>
              </w:rPr>
              <w:t>|</w:t>
            </w:r>
          </w:p>
        </w:tc>
        <w:tc>
          <w:tcPr>
            <w:tcW w:w="853" w:type="pct"/>
          </w:tcPr>
          <w:p w14:paraId="1DE69AC9" w14:textId="77777777" w:rsidR="0017012A" w:rsidRPr="00683533" w:rsidRDefault="0017012A" w:rsidP="00CC71B0">
            <w:pPr>
              <w:keepNext/>
              <w:keepLines/>
              <w:jc w:val="center"/>
              <w:rPr>
                <w:rFonts w:ascii="Arial Narrow" w:eastAsia="Arial Narrow" w:hAnsi="Arial Narrow" w:cs="Arial Narrow"/>
                <w:b/>
                <w:bCs/>
                <w:iCs/>
                <w:sz w:val="20"/>
                <w:szCs w:val="20"/>
              </w:rPr>
            </w:pPr>
            <w:r w:rsidRPr="00683533">
              <w:rPr>
                <w:rFonts w:ascii="Arial Narrow" w:eastAsia="Arial Narrow" w:hAnsi="Arial Narrow" w:cs="Arial Narrow"/>
                <w:b/>
                <w:bCs/>
                <w:iCs/>
                <w:sz w:val="20"/>
                <w:szCs w:val="20"/>
              </w:rPr>
              <w:t>0.53</w:t>
            </w:r>
          </w:p>
        </w:tc>
        <w:tc>
          <w:tcPr>
            <w:tcW w:w="927" w:type="pct"/>
          </w:tcPr>
          <w:p w14:paraId="32CCC339" w14:textId="56A17876" w:rsidR="0017012A" w:rsidRPr="002B2524" w:rsidRDefault="006A414A" w:rsidP="00CC71B0">
            <w:pPr>
              <w:keepNext/>
              <w:keepLines/>
              <w:jc w:val="center"/>
              <w:rPr>
                <w:sz w:val="20"/>
                <w:szCs w:val="20"/>
                <w:highlight w:val="darkGray"/>
                <w:vertAlign w:val="superscript"/>
              </w:rPr>
            </w:pPr>
            <w:r w:rsidRPr="006A414A">
              <w:rPr>
                <w:rFonts w:ascii="Arial Narrow" w:eastAsia="Arial Narrow" w:hAnsi="Arial Narrow" w:cs="Arial Narrow"/>
                <w:b/>
                <w:bCs/>
                <w:color w:val="000000"/>
                <w:sz w:val="20"/>
                <w:szCs w:val="20"/>
                <w:shd w:val="solid" w:color="000000" w:fill="000000"/>
                <w14:textFill>
                  <w14:solidFill>
                    <w14:srgbClr w14:val="000000">
                      <w14:alpha w14:val="100000"/>
                    </w14:srgbClr>
                  </w14:solidFill>
                </w14:textFill>
              </w:rPr>
              <w:t>|</w:t>
            </w:r>
            <w:r w:rsidR="002B2524" w:rsidRPr="002B2524">
              <w:rPr>
                <w:rFonts w:ascii="Arial Narrow" w:eastAsia="Arial Narrow" w:hAnsi="Arial Narrow" w:cs="Arial Narrow"/>
                <w:b/>
                <w:bCs/>
                <w:sz w:val="20"/>
                <w:szCs w:val="20"/>
                <w:vertAlign w:val="superscript"/>
              </w:rPr>
              <w:t>1</w:t>
            </w:r>
          </w:p>
        </w:tc>
      </w:tr>
      <w:tr w:rsidR="0017012A" w:rsidRPr="00683533" w14:paraId="1F1965C4" w14:textId="77777777" w:rsidTr="006A414A">
        <w:trPr>
          <w:cantSplit/>
          <w:trHeight w:val="255"/>
          <w:tblHeader/>
        </w:trPr>
        <w:tc>
          <w:tcPr>
            <w:tcW w:w="2216" w:type="pct"/>
          </w:tcPr>
          <w:p w14:paraId="28C08F73" w14:textId="77777777" w:rsidR="0017012A" w:rsidRPr="00683533" w:rsidRDefault="0017012A" w:rsidP="00CC71B0">
            <w:pPr>
              <w:pStyle w:val="TableText0"/>
              <w:keepLines/>
              <w:rPr>
                <w:vertAlign w:val="superscript"/>
              </w:rPr>
            </w:pPr>
            <w:r w:rsidRPr="00683533">
              <w:rPr>
                <w:rFonts w:eastAsia="Arial Narrow" w:cs="Arial Narrow"/>
                <w:color w:val="000000"/>
              </w:rPr>
              <w:t>Incidence of IPD: - 20%</w:t>
            </w:r>
            <w:r w:rsidRPr="00683533">
              <w:rPr>
                <w:rFonts w:eastAsia="Arial Narrow" w:cs="Arial Narrow"/>
                <w:color w:val="000000"/>
                <w:vertAlign w:val="superscript"/>
              </w:rPr>
              <w:t>b</w:t>
            </w:r>
          </w:p>
        </w:tc>
        <w:tc>
          <w:tcPr>
            <w:tcW w:w="1004" w:type="pct"/>
            <w:tcBorders>
              <w:bottom w:val="single" w:sz="4" w:space="0" w:color="auto"/>
            </w:tcBorders>
            <w:shd w:val="solid" w:color="000000" w:fill="000000"/>
          </w:tcPr>
          <w:p w14:paraId="7E4BF6A1" w14:textId="36A54AC8" w:rsidR="0017012A" w:rsidRPr="006A414A" w:rsidRDefault="006A414A" w:rsidP="00CC71B0">
            <w:pPr>
              <w:pStyle w:val="TableText0"/>
              <w:keepLines/>
              <w:jc w:val="center"/>
              <w:rPr>
                <w:rFonts w:eastAsia="Arial Narrow" w:cs="Arial Narrow"/>
                <w:iCs/>
              </w:rPr>
            </w:pPr>
            <w:r w:rsidRPr="006A414A">
              <w:rPr>
                <w:rFonts w:eastAsia="Arial Narrow" w:cs="Arial Narrow"/>
                <w:iCs/>
                <w:color w:val="000000"/>
                <w14:textFill>
                  <w14:solidFill>
                    <w14:srgbClr w14:val="000000">
                      <w14:alpha w14:val="100000"/>
                    </w14:srgbClr>
                  </w14:solidFill>
                </w14:textFill>
              </w:rPr>
              <w:t>|</w:t>
            </w:r>
          </w:p>
        </w:tc>
        <w:tc>
          <w:tcPr>
            <w:tcW w:w="853" w:type="pct"/>
          </w:tcPr>
          <w:p w14:paraId="4341861C"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0.46</w:t>
            </w:r>
          </w:p>
        </w:tc>
        <w:tc>
          <w:tcPr>
            <w:tcW w:w="927" w:type="pct"/>
          </w:tcPr>
          <w:p w14:paraId="43C2B152" w14:textId="09A0AAEB" w:rsidR="0017012A" w:rsidRPr="00D944B2" w:rsidRDefault="006A414A" w:rsidP="00CC71B0">
            <w:pPr>
              <w:pStyle w:val="TableText0"/>
              <w:keepLines/>
              <w:jc w:val="center"/>
              <w:rPr>
                <w:iCs/>
                <w:highlight w:val="darkGray"/>
              </w:rPr>
            </w:pPr>
            <w:r w:rsidRPr="006A414A">
              <w:rPr>
                <w:rFonts w:eastAsia="Arial Narrow" w:cs="Arial Narrow"/>
                <w:color w:val="000000"/>
                <w:shd w:val="solid" w:color="000000" w:fill="000000"/>
                <w14:textFill>
                  <w14:solidFill>
                    <w14:srgbClr w14:val="000000">
                      <w14:alpha w14:val="100000"/>
                    </w14:srgbClr>
                  </w14:solidFill>
                </w14:textFill>
              </w:rPr>
              <w:t>|</w:t>
            </w:r>
            <w:r w:rsidR="002B2524">
              <w:rPr>
                <w:rFonts w:eastAsia="Arial Narrow" w:cs="Arial Narrow"/>
                <w:b/>
                <w:bCs w:val="0"/>
                <w:szCs w:val="20"/>
                <w:vertAlign w:val="superscript"/>
              </w:rPr>
              <w:t>2</w:t>
            </w:r>
          </w:p>
        </w:tc>
      </w:tr>
      <w:tr w:rsidR="0017012A" w:rsidRPr="00683533" w14:paraId="4321909F" w14:textId="77777777" w:rsidTr="006A414A">
        <w:trPr>
          <w:cantSplit/>
          <w:trHeight w:val="255"/>
          <w:tblHeader/>
        </w:trPr>
        <w:tc>
          <w:tcPr>
            <w:tcW w:w="2216" w:type="pct"/>
          </w:tcPr>
          <w:p w14:paraId="2C61D4EA" w14:textId="77777777" w:rsidR="0017012A" w:rsidRPr="00683533" w:rsidRDefault="0017012A" w:rsidP="00CC71B0">
            <w:pPr>
              <w:pStyle w:val="TableText0"/>
              <w:keepLines/>
              <w:rPr>
                <w:vertAlign w:val="superscript"/>
              </w:rPr>
            </w:pPr>
            <w:r w:rsidRPr="00683533">
              <w:rPr>
                <w:rFonts w:eastAsia="Arial Narrow" w:cs="Arial Narrow"/>
                <w:color w:val="000000"/>
              </w:rPr>
              <w:t>Incidence of IPD: + 20%</w:t>
            </w:r>
            <w:r w:rsidRPr="00683533">
              <w:rPr>
                <w:rFonts w:eastAsia="Arial Narrow" w:cs="Arial Narrow"/>
                <w:color w:val="000000"/>
                <w:vertAlign w:val="superscript"/>
              </w:rPr>
              <w:t>b</w:t>
            </w:r>
          </w:p>
        </w:tc>
        <w:tc>
          <w:tcPr>
            <w:tcW w:w="1004" w:type="pct"/>
            <w:tcBorders>
              <w:bottom w:val="single" w:sz="4" w:space="0" w:color="auto"/>
            </w:tcBorders>
            <w:shd w:val="solid" w:color="000000" w:fill="000000"/>
          </w:tcPr>
          <w:p w14:paraId="4031DE23" w14:textId="53C72EC3" w:rsidR="0017012A" w:rsidRPr="006A414A" w:rsidRDefault="006A414A" w:rsidP="00CC71B0">
            <w:pPr>
              <w:pStyle w:val="TableText0"/>
              <w:keepLines/>
              <w:jc w:val="center"/>
              <w:rPr>
                <w:rFonts w:eastAsia="Arial Narrow" w:cs="Arial Narrow"/>
                <w:iCs/>
              </w:rPr>
            </w:pPr>
            <w:r w:rsidRPr="006A414A">
              <w:rPr>
                <w:rFonts w:eastAsia="Arial Narrow" w:cs="Arial Narrow"/>
                <w:iCs/>
                <w:color w:val="000000"/>
                <w14:textFill>
                  <w14:solidFill>
                    <w14:srgbClr w14:val="000000">
                      <w14:alpha w14:val="100000"/>
                    </w14:srgbClr>
                  </w14:solidFill>
                </w14:textFill>
              </w:rPr>
              <w:t>|</w:t>
            </w:r>
          </w:p>
        </w:tc>
        <w:tc>
          <w:tcPr>
            <w:tcW w:w="853" w:type="pct"/>
          </w:tcPr>
          <w:p w14:paraId="5423C958"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0.61</w:t>
            </w:r>
          </w:p>
        </w:tc>
        <w:tc>
          <w:tcPr>
            <w:tcW w:w="927" w:type="pct"/>
          </w:tcPr>
          <w:p w14:paraId="7BF00CA2" w14:textId="7308571E" w:rsidR="0017012A" w:rsidRPr="00D944B2" w:rsidRDefault="006A414A" w:rsidP="00CC71B0">
            <w:pPr>
              <w:pStyle w:val="TableText0"/>
              <w:keepLines/>
              <w:jc w:val="center"/>
              <w:rPr>
                <w:iCs/>
                <w:highlight w:val="darkGray"/>
              </w:rPr>
            </w:pPr>
            <w:r w:rsidRPr="006A414A">
              <w:rPr>
                <w:rFonts w:eastAsia="Arial Narrow" w:cs="Arial Narrow"/>
                <w:color w:val="000000"/>
                <w:shd w:val="solid" w:color="000000" w:fill="000000"/>
                <w14:textFill>
                  <w14:solidFill>
                    <w14:srgbClr w14:val="000000">
                      <w14:alpha w14:val="100000"/>
                    </w14:srgbClr>
                  </w14:solidFill>
                </w14:textFill>
              </w:rPr>
              <w:t>|</w:t>
            </w:r>
            <w:r w:rsidR="002B2524">
              <w:rPr>
                <w:rFonts w:eastAsia="Arial Narrow" w:cs="Arial Narrow"/>
                <w:b/>
                <w:bCs w:val="0"/>
                <w:szCs w:val="20"/>
                <w:vertAlign w:val="superscript"/>
              </w:rPr>
              <w:t>3</w:t>
            </w:r>
          </w:p>
        </w:tc>
      </w:tr>
      <w:tr w:rsidR="0017012A" w:rsidRPr="00683533" w14:paraId="0D1EBD5B" w14:textId="77777777" w:rsidTr="006A414A">
        <w:trPr>
          <w:cantSplit/>
          <w:trHeight w:val="255"/>
          <w:tblHeader/>
        </w:trPr>
        <w:tc>
          <w:tcPr>
            <w:tcW w:w="2216" w:type="pct"/>
          </w:tcPr>
          <w:p w14:paraId="79B601A5" w14:textId="77777777" w:rsidR="0017012A" w:rsidRPr="00683533" w:rsidRDefault="0017012A" w:rsidP="00CC71B0">
            <w:pPr>
              <w:pStyle w:val="TableText0"/>
              <w:keepLines/>
              <w:rPr>
                <w:vertAlign w:val="superscript"/>
              </w:rPr>
            </w:pPr>
            <w:r w:rsidRPr="00683533">
              <w:rPr>
                <w:rFonts w:eastAsia="Arial Narrow" w:cs="Arial Narrow"/>
                <w:color w:val="000000"/>
              </w:rPr>
              <w:t>CFR for pneumococcal hospitalisations: 3.8%</w:t>
            </w:r>
            <w:r w:rsidRPr="00683533">
              <w:rPr>
                <w:rFonts w:eastAsia="Arial Narrow" w:cs="Arial Narrow"/>
                <w:color w:val="000000"/>
                <w:vertAlign w:val="superscript"/>
              </w:rPr>
              <w:t>c</w:t>
            </w:r>
          </w:p>
        </w:tc>
        <w:tc>
          <w:tcPr>
            <w:tcW w:w="1004" w:type="pct"/>
            <w:tcBorders>
              <w:bottom w:val="single" w:sz="4" w:space="0" w:color="auto"/>
            </w:tcBorders>
            <w:shd w:val="solid" w:color="000000" w:fill="000000"/>
          </w:tcPr>
          <w:p w14:paraId="566A07A2" w14:textId="5C3FE239" w:rsidR="0017012A" w:rsidRPr="006A414A" w:rsidRDefault="006A414A" w:rsidP="00CC71B0">
            <w:pPr>
              <w:pStyle w:val="TableText0"/>
              <w:keepLines/>
              <w:jc w:val="center"/>
              <w:rPr>
                <w:rFonts w:eastAsia="Arial Narrow" w:cs="Arial Narrow"/>
                <w:iCs/>
              </w:rPr>
            </w:pPr>
            <w:r w:rsidRPr="006A414A">
              <w:rPr>
                <w:rFonts w:eastAsia="Arial Narrow" w:cs="Arial Narrow"/>
                <w:iCs/>
                <w:color w:val="000000"/>
                <w14:textFill>
                  <w14:solidFill>
                    <w14:srgbClr w14:val="000000">
                      <w14:alpha w14:val="100000"/>
                    </w14:srgbClr>
                  </w14:solidFill>
                </w14:textFill>
              </w:rPr>
              <w:t>|</w:t>
            </w:r>
          </w:p>
        </w:tc>
        <w:tc>
          <w:tcPr>
            <w:tcW w:w="853" w:type="pct"/>
          </w:tcPr>
          <w:p w14:paraId="3CB3B2E2"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0.62</w:t>
            </w:r>
          </w:p>
        </w:tc>
        <w:tc>
          <w:tcPr>
            <w:tcW w:w="927" w:type="pct"/>
          </w:tcPr>
          <w:p w14:paraId="54E26A8E" w14:textId="4D3D0BB6" w:rsidR="0017012A" w:rsidRPr="00D944B2" w:rsidRDefault="006A414A" w:rsidP="00CC71B0">
            <w:pPr>
              <w:pStyle w:val="TableText0"/>
              <w:keepLines/>
              <w:jc w:val="center"/>
              <w:rPr>
                <w:iCs/>
                <w:highlight w:val="darkGray"/>
              </w:rPr>
            </w:pPr>
            <w:r w:rsidRPr="006A414A">
              <w:rPr>
                <w:rFonts w:eastAsia="Arial Narrow" w:cs="Arial Narrow"/>
                <w:color w:val="000000"/>
                <w:shd w:val="solid" w:color="000000" w:fill="000000"/>
                <w14:textFill>
                  <w14:solidFill>
                    <w14:srgbClr w14:val="000000">
                      <w14:alpha w14:val="100000"/>
                    </w14:srgbClr>
                  </w14:solidFill>
                </w14:textFill>
              </w:rPr>
              <w:t>|</w:t>
            </w:r>
            <w:r w:rsidR="002B2524">
              <w:rPr>
                <w:rFonts w:eastAsia="Arial Narrow" w:cs="Arial Narrow"/>
                <w:b/>
                <w:bCs w:val="0"/>
                <w:szCs w:val="20"/>
                <w:vertAlign w:val="superscript"/>
              </w:rPr>
              <w:t>3</w:t>
            </w:r>
          </w:p>
        </w:tc>
      </w:tr>
      <w:tr w:rsidR="0017012A" w:rsidRPr="00683533" w14:paraId="0C502470" w14:textId="77777777" w:rsidTr="006A414A">
        <w:trPr>
          <w:cantSplit/>
          <w:trHeight w:val="255"/>
          <w:tblHeader/>
        </w:trPr>
        <w:tc>
          <w:tcPr>
            <w:tcW w:w="2216" w:type="pct"/>
          </w:tcPr>
          <w:p w14:paraId="6F52F185" w14:textId="77777777" w:rsidR="0017012A" w:rsidRPr="00683533" w:rsidRDefault="0017012A" w:rsidP="00CC71B0">
            <w:pPr>
              <w:pStyle w:val="TableText0"/>
              <w:keepLines/>
              <w:rPr>
                <w:vertAlign w:val="superscript"/>
              </w:rPr>
            </w:pPr>
            <w:r w:rsidRPr="00683533">
              <w:rPr>
                <w:rFonts w:eastAsia="Arial Narrow" w:cs="Arial Narrow"/>
                <w:color w:val="000000"/>
              </w:rPr>
              <w:t>CFR for pneumococcal hospitalisations: 20.5%</w:t>
            </w:r>
            <w:r w:rsidRPr="00683533">
              <w:rPr>
                <w:rFonts w:eastAsia="Arial Narrow" w:cs="Arial Narrow"/>
                <w:color w:val="000000"/>
                <w:vertAlign w:val="superscript"/>
              </w:rPr>
              <w:t>c</w:t>
            </w:r>
          </w:p>
        </w:tc>
        <w:tc>
          <w:tcPr>
            <w:tcW w:w="1004" w:type="pct"/>
            <w:tcBorders>
              <w:bottom w:val="single" w:sz="4" w:space="0" w:color="auto"/>
            </w:tcBorders>
            <w:shd w:val="solid" w:color="000000" w:fill="000000"/>
          </w:tcPr>
          <w:p w14:paraId="5C0874A0" w14:textId="377152ED" w:rsidR="0017012A" w:rsidRPr="006A414A" w:rsidRDefault="006A414A" w:rsidP="00CC71B0">
            <w:pPr>
              <w:pStyle w:val="TableText0"/>
              <w:keepLines/>
              <w:jc w:val="center"/>
              <w:rPr>
                <w:rFonts w:eastAsia="Arial Narrow" w:cs="Arial Narrow"/>
                <w:iCs/>
              </w:rPr>
            </w:pPr>
            <w:r w:rsidRPr="006A414A">
              <w:rPr>
                <w:rFonts w:eastAsia="Arial Narrow" w:cs="Arial Narrow"/>
                <w:iCs/>
                <w:color w:val="000000"/>
                <w14:textFill>
                  <w14:solidFill>
                    <w14:srgbClr w14:val="000000">
                      <w14:alpha w14:val="100000"/>
                    </w14:srgbClr>
                  </w14:solidFill>
                </w14:textFill>
              </w:rPr>
              <w:t>|</w:t>
            </w:r>
          </w:p>
        </w:tc>
        <w:tc>
          <w:tcPr>
            <w:tcW w:w="853" w:type="pct"/>
          </w:tcPr>
          <w:p w14:paraId="4B6EFAF6" w14:textId="77777777" w:rsidR="0017012A" w:rsidRPr="00683533" w:rsidRDefault="0017012A" w:rsidP="00CC71B0">
            <w:pPr>
              <w:pStyle w:val="TableText0"/>
              <w:keepLines/>
              <w:jc w:val="center"/>
              <w:rPr>
                <w:rFonts w:eastAsia="Arial Narrow" w:cs="Arial Narrow"/>
                <w:iCs/>
              </w:rPr>
            </w:pPr>
            <w:r w:rsidRPr="00683533">
              <w:rPr>
                <w:rFonts w:eastAsia="Arial Narrow" w:cs="Arial Narrow"/>
                <w:iCs/>
              </w:rPr>
              <w:t>1.67</w:t>
            </w:r>
          </w:p>
        </w:tc>
        <w:tc>
          <w:tcPr>
            <w:tcW w:w="927" w:type="pct"/>
          </w:tcPr>
          <w:p w14:paraId="7B9E8B3A" w14:textId="52E7AF15" w:rsidR="0017012A" w:rsidRPr="00D944B2" w:rsidRDefault="006A414A" w:rsidP="00CC71B0">
            <w:pPr>
              <w:pStyle w:val="TableText0"/>
              <w:keepLines/>
              <w:jc w:val="center"/>
              <w:rPr>
                <w:iCs/>
                <w:highlight w:val="darkGray"/>
              </w:rPr>
            </w:pPr>
            <w:r w:rsidRPr="006A414A">
              <w:rPr>
                <w:rFonts w:eastAsia="Arial Narrow" w:cs="Arial Narrow"/>
                <w:color w:val="000000"/>
                <w:shd w:val="solid" w:color="000000" w:fill="000000"/>
                <w14:textFill>
                  <w14:solidFill>
                    <w14:srgbClr w14:val="000000">
                      <w14:alpha w14:val="100000"/>
                    </w14:srgbClr>
                  </w14:solidFill>
                </w14:textFill>
              </w:rPr>
              <w:t>|</w:t>
            </w:r>
            <w:r w:rsidR="002B2524">
              <w:rPr>
                <w:rFonts w:eastAsia="Arial Narrow" w:cs="Arial Narrow"/>
                <w:b/>
                <w:bCs w:val="0"/>
                <w:szCs w:val="20"/>
                <w:vertAlign w:val="superscript"/>
              </w:rPr>
              <w:t>4</w:t>
            </w:r>
          </w:p>
        </w:tc>
      </w:tr>
      <w:tr w:rsidR="0017012A" w:rsidRPr="00683533" w14:paraId="142399F7" w14:textId="77777777" w:rsidTr="006A414A">
        <w:trPr>
          <w:cantSplit/>
          <w:trHeight w:val="255"/>
          <w:tblHeader/>
        </w:trPr>
        <w:tc>
          <w:tcPr>
            <w:tcW w:w="2216" w:type="pct"/>
          </w:tcPr>
          <w:p w14:paraId="7992939B" w14:textId="77777777" w:rsidR="0017012A" w:rsidRPr="00683533" w:rsidRDefault="0017012A" w:rsidP="00CC71B0">
            <w:pPr>
              <w:pStyle w:val="TableText0"/>
              <w:keepLines/>
              <w:rPr>
                <w:rFonts w:eastAsia="Arial Narrow" w:cs="Arial Narrow"/>
                <w:iCs/>
                <w:vertAlign w:val="superscript"/>
              </w:rPr>
            </w:pPr>
            <w:r w:rsidRPr="00683533">
              <w:rPr>
                <w:iCs/>
                <w:szCs w:val="20"/>
              </w:rPr>
              <w:t>Discount rate: 0%</w:t>
            </w:r>
            <w:r w:rsidRPr="00683533">
              <w:rPr>
                <w:iCs/>
                <w:szCs w:val="20"/>
                <w:vertAlign w:val="superscript"/>
              </w:rPr>
              <w:t>d</w:t>
            </w:r>
          </w:p>
        </w:tc>
        <w:tc>
          <w:tcPr>
            <w:tcW w:w="1004" w:type="pct"/>
            <w:tcBorders>
              <w:bottom w:val="single" w:sz="4" w:space="0" w:color="auto"/>
            </w:tcBorders>
            <w:shd w:val="solid" w:color="000000" w:fill="000000"/>
          </w:tcPr>
          <w:p w14:paraId="0735A6FC" w14:textId="42DD53A0" w:rsidR="0017012A" w:rsidRPr="006A414A" w:rsidRDefault="006A414A" w:rsidP="00CC71B0">
            <w:pPr>
              <w:pStyle w:val="TableText0"/>
              <w:keepLines/>
              <w:jc w:val="center"/>
              <w:rPr>
                <w:iCs/>
                <w:szCs w:val="20"/>
              </w:rPr>
            </w:pPr>
            <w:r w:rsidRPr="006A414A">
              <w:rPr>
                <w:iCs/>
                <w:color w:val="000000"/>
                <w:szCs w:val="20"/>
                <w14:textFill>
                  <w14:solidFill>
                    <w14:srgbClr w14:val="000000">
                      <w14:alpha w14:val="100000"/>
                    </w14:srgbClr>
                  </w14:solidFill>
                </w14:textFill>
              </w:rPr>
              <w:t>|</w:t>
            </w:r>
          </w:p>
        </w:tc>
        <w:tc>
          <w:tcPr>
            <w:tcW w:w="853" w:type="pct"/>
          </w:tcPr>
          <w:p w14:paraId="3053C6D2" w14:textId="77777777" w:rsidR="0017012A" w:rsidRPr="00683533" w:rsidRDefault="0017012A" w:rsidP="00CC71B0">
            <w:pPr>
              <w:pStyle w:val="TableText0"/>
              <w:keepLines/>
              <w:jc w:val="center"/>
              <w:rPr>
                <w:iCs/>
                <w:szCs w:val="20"/>
              </w:rPr>
            </w:pPr>
            <w:r w:rsidRPr="00683533">
              <w:rPr>
                <w:iCs/>
                <w:szCs w:val="20"/>
              </w:rPr>
              <w:t>0.92</w:t>
            </w:r>
          </w:p>
        </w:tc>
        <w:tc>
          <w:tcPr>
            <w:tcW w:w="927" w:type="pct"/>
          </w:tcPr>
          <w:p w14:paraId="18FF45C0" w14:textId="07EEB324" w:rsidR="0017012A" w:rsidRPr="00D944B2" w:rsidRDefault="006A414A" w:rsidP="00CC71B0">
            <w:pPr>
              <w:pStyle w:val="TableText0"/>
              <w:keepLines/>
              <w:jc w:val="center"/>
              <w:rPr>
                <w:rFonts w:eastAsia="Arial Narrow" w:cs="Arial Narrow"/>
                <w:iCs/>
                <w:highlight w:val="darkGray"/>
              </w:rPr>
            </w:pPr>
            <w:r w:rsidRPr="006A414A">
              <w:rPr>
                <w:iCs/>
                <w:color w:val="000000"/>
                <w:szCs w:val="20"/>
                <w:shd w:val="solid" w:color="000000" w:fill="000000"/>
                <w14:textFill>
                  <w14:solidFill>
                    <w14:srgbClr w14:val="000000">
                      <w14:alpha w14:val="100000"/>
                    </w14:srgbClr>
                  </w14:solidFill>
                </w14:textFill>
              </w:rPr>
              <w:t>|</w:t>
            </w:r>
            <w:r w:rsidR="002B2524">
              <w:rPr>
                <w:rFonts w:eastAsia="Arial Narrow" w:cs="Arial Narrow"/>
                <w:b/>
                <w:bCs w:val="0"/>
                <w:szCs w:val="20"/>
                <w:vertAlign w:val="superscript"/>
              </w:rPr>
              <w:t>4</w:t>
            </w:r>
          </w:p>
        </w:tc>
      </w:tr>
      <w:tr w:rsidR="0017012A" w:rsidRPr="00683533" w14:paraId="2D14670E" w14:textId="77777777" w:rsidTr="006A414A">
        <w:trPr>
          <w:cantSplit/>
          <w:trHeight w:val="255"/>
          <w:tblHeader/>
        </w:trPr>
        <w:tc>
          <w:tcPr>
            <w:tcW w:w="2216" w:type="pct"/>
          </w:tcPr>
          <w:p w14:paraId="34D64996" w14:textId="77777777" w:rsidR="0017012A" w:rsidRPr="00683533" w:rsidRDefault="0017012A" w:rsidP="00CC71B0">
            <w:pPr>
              <w:pStyle w:val="TableText0"/>
              <w:keepLines/>
              <w:rPr>
                <w:rFonts w:eastAsia="Arial Narrow" w:cs="Arial Narrow"/>
                <w:iCs/>
                <w:vertAlign w:val="superscript"/>
              </w:rPr>
            </w:pPr>
            <w:r w:rsidRPr="00683533">
              <w:rPr>
                <w:iCs/>
                <w:szCs w:val="20"/>
              </w:rPr>
              <w:t>Discount rate: 3.5%</w:t>
            </w:r>
            <w:r w:rsidRPr="00683533">
              <w:rPr>
                <w:iCs/>
                <w:szCs w:val="20"/>
                <w:vertAlign w:val="superscript"/>
              </w:rPr>
              <w:t>d</w:t>
            </w:r>
          </w:p>
        </w:tc>
        <w:tc>
          <w:tcPr>
            <w:tcW w:w="1004" w:type="pct"/>
            <w:tcBorders>
              <w:bottom w:val="single" w:sz="4" w:space="0" w:color="auto"/>
            </w:tcBorders>
            <w:shd w:val="solid" w:color="000000" w:fill="000000"/>
          </w:tcPr>
          <w:p w14:paraId="1BD1C374" w14:textId="3748F505" w:rsidR="0017012A" w:rsidRPr="006A414A" w:rsidRDefault="006A414A" w:rsidP="00CC71B0">
            <w:pPr>
              <w:pStyle w:val="TableText0"/>
              <w:keepLines/>
              <w:jc w:val="center"/>
              <w:rPr>
                <w:iCs/>
                <w:szCs w:val="20"/>
              </w:rPr>
            </w:pPr>
            <w:r w:rsidRPr="006A414A">
              <w:rPr>
                <w:iCs/>
                <w:color w:val="000000"/>
                <w:szCs w:val="20"/>
                <w14:textFill>
                  <w14:solidFill>
                    <w14:srgbClr w14:val="000000">
                      <w14:alpha w14:val="100000"/>
                    </w14:srgbClr>
                  </w14:solidFill>
                </w14:textFill>
              </w:rPr>
              <w:t>|</w:t>
            </w:r>
          </w:p>
        </w:tc>
        <w:tc>
          <w:tcPr>
            <w:tcW w:w="853" w:type="pct"/>
          </w:tcPr>
          <w:p w14:paraId="59440950" w14:textId="77777777" w:rsidR="0017012A" w:rsidRPr="00683533" w:rsidRDefault="0017012A" w:rsidP="00CC71B0">
            <w:pPr>
              <w:pStyle w:val="TableText0"/>
              <w:keepLines/>
              <w:jc w:val="center"/>
              <w:rPr>
                <w:iCs/>
                <w:szCs w:val="20"/>
              </w:rPr>
            </w:pPr>
            <w:r w:rsidRPr="00683533">
              <w:rPr>
                <w:iCs/>
                <w:szCs w:val="20"/>
              </w:rPr>
              <w:t>0.62</w:t>
            </w:r>
          </w:p>
        </w:tc>
        <w:tc>
          <w:tcPr>
            <w:tcW w:w="927" w:type="pct"/>
          </w:tcPr>
          <w:p w14:paraId="2226298A" w14:textId="635DFCB9" w:rsidR="0017012A" w:rsidRPr="00D944B2" w:rsidRDefault="006A414A" w:rsidP="00CC71B0">
            <w:pPr>
              <w:pStyle w:val="TableText0"/>
              <w:keepLines/>
              <w:jc w:val="center"/>
              <w:rPr>
                <w:rFonts w:eastAsia="Arial Narrow" w:cs="Arial Narrow"/>
                <w:iCs/>
                <w:highlight w:val="darkGray"/>
              </w:rPr>
            </w:pPr>
            <w:r w:rsidRPr="006A414A">
              <w:rPr>
                <w:iCs/>
                <w:color w:val="000000"/>
                <w:szCs w:val="20"/>
                <w:shd w:val="solid" w:color="000000" w:fill="000000"/>
                <w14:textFill>
                  <w14:solidFill>
                    <w14:srgbClr w14:val="000000">
                      <w14:alpha w14:val="100000"/>
                    </w14:srgbClr>
                  </w14:solidFill>
                </w14:textFill>
              </w:rPr>
              <w:t>|</w:t>
            </w:r>
            <w:r w:rsidR="002B2524">
              <w:rPr>
                <w:rFonts w:eastAsia="Arial Narrow" w:cs="Arial Narrow"/>
                <w:b/>
                <w:bCs w:val="0"/>
                <w:szCs w:val="20"/>
                <w:vertAlign w:val="superscript"/>
              </w:rPr>
              <w:t>3</w:t>
            </w:r>
          </w:p>
        </w:tc>
      </w:tr>
      <w:tr w:rsidR="0017012A" w:rsidRPr="00683533" w14:paraId="0F6D8637" w14:textId="77777777" w:rsidTr="006A414A">
        <w:trPr>
          <w:cantSplit/>
          <w:trHeight w:val="255"/>
          <w:tblHeader/>
        </w:trPr>
        <w:tc>
          <w:tcPr>
            <w:tcW w:w="2216" w:type="pct"/>
          </w:tcPr>
          <w:p w14:paraId="02C2485A" w14:textId="77777777" w:rsidR="0017012A" w:rsidRPr="00683533" w:rsidRDefault="0017012A" w:rsidP="00CC71B0">
            <w:pPr>
              <w:pStyle w:val="TableText0"/>
              <w:keepLines/>
              <w:rPr>
                <w:iCs/>
                <w:szCs w:val="20"/>
                <w:vertAlign w:val="superscript"/>
              </w:rPr>
            </w:pPr>
            <w:r w:rsidRPr="00683533">
              <w:rPr>
                <w:iCs/>
              </w:rPr>
              <w:t>Waning efficacy for PCV: 0% for years 0-5, 50% for years 6-10, 100% for years &gt;10</w:t>
            </w:r>
            <w:r w:rsidRPr="00683533">
              <w:rPr>
                <w:iCs/>
                <w:vertAlign w:val="superscript"/>
              </w:rPr>
              <w:t>d</w:t>
            </w:r>
          </w:p>
        </w:tc>
        <w:tc>
          <w:tcPr>
            <w:tcW w:w="1004" w:type="pct"/>
            <w:tcBorders>
              <w:bottom w:val="single" w:sz="4" w:space="0" w:color="auto"/>
            </w:tcBorders>
            <w:shd w:val="solid" w:color="000000" w:fill="000000"/>
          </w:tcPr>
          <w:p w14:paraId="725E4403" w14:textId="28D86CE4" w:rsidR="0017012A" w:rsidRPr="006A414A" w:rsidRDefault="006A414A" w:rsidP="00CC71B0">
            <w:pPr>
              <w:pStyle w:val="TableText0"/>
              <w:keepLines/>
              <w:jc w:val="center"/>
              <w:rPr>
                <w:iCs/>
              </w:rPr>
            </w:pPr>
            <w:r w:rsidRPr="006A414A">
              <w:rPr>
                <w:iCs/>
                <w:color w:val="000000"/>
                <w14:textFill>
                  <w14:solidFill>
                    <w14:srgbClr w14:val="000000">
                      <w14:alpha w14:val="100000"/>
                    </w14:srgbClr>
                  </w14:solidFill>
                </w14:textFill>
              </w:rPr>
              <w:t>|</w:t>
            </w:r>
          </w:p>
        </w:tc>
        <w:tc>
          <w:tcPr>
            <w:tcW w:w="853" w:type="pct"/>
          </w:tcPr>
          <w:p w14:paraId="25642473" w14:textId="77777777" w:rsidR="0017012A" w:rsidRPr="00683533" w:rsidRDefault="0017012A" w:rsidP="00CC71B0">
            <w:pPr>
              <w:pStyle w:val="TableText0"/>
              <w:keepLines/>
              <w:jc w:val="center"/>
              <w:rPr>
                <w:iCs/>
              </w:rPr>
            </w:pPr>
            <w:r w:rsidRPr="00683533">
              <w:rPr>
                <w:iCs/>
              </w:rPr>
              <w:t>0.35</w:t>
            </w:r>
          </w:p>
        </w:tc>
        <w:tc>
          <w:tcPr>
            <w:tcW w:w="927" w:type="pct"/>
          </w:tcPr>
          <w:p w14:paraId="0DD715D7" w14:textId="48D233B7" w:rsidR="0017012A" w:rsidRPr="00D944B2" w:rsidRDefault="006A414A" w:rsidP="00CC71B0">
            <w:pPr>
              <w:pStyle w:val="TableText0"/>
              <w:keepLines/>
              <w:jc w:val="center"/>
              <w:rPr>
                <w:iCs/>
                <w:highlight w:val="darkGray"/>
              </w:rPr>
            </w:pPr>
            <w:r w:rsidRPr="006A414A">
              <w:rPr>
                <w:iCs/>
                <w:color w:val="000000"/>
                <w:shd w:val="solid" w:color="000000" w:fill="000000"/>
                <w14:textFill>
                  <w14:solidFill>
                    <w14:srgbClr w14:val="000000">
                      <w14:alpha w14:val="100000"/>
                    </w14:srgbClr>
                  </w14:solidFill>
                </w14:textFill>
              </w:rPr>
              <w:t>|</w:t>
            </w:r>
            <w:r w:rsidR="002B2524">
              <w:rPr>
                <w:rFonts w:eastAsia="Arial Narrow" w:cs="Arial Narrow"/>
                <w:b/>
                <w:bCs w:val="0"/>
                <w:szCs w:val="20"/>
                <w:vertAlign w:val="superscript"/>
              </w:rPr>
              <w:t>5</w:t>
            </w:r>
          </w:p>
        </w:tc>
      </w:tr>
      <w:tr w:rsidR="0017012A" w:rsidRPr="00683533" w14:paraId="715666F9" w14:textId="77777777" w:rsidTr="006A414A">
        <w:trPr>
          <w:cantSplit/>
          <w:trHeight w:val="255"/>
          <w:tblHeader/>
        </w:trPr>
        <w:tc>
          <w:tcPr>
            <w:tcW w:w="2216" w:type="pct"/>
          </w:tcPr>
          <w:p w14:paraId="77C2ACCA" w14:textId="77777777" w:rsidR="0017012A" w:rsidRPr="00683533" w:rsidRDefault="0017012A" w:rsidP="00CC71B0">
            <w:pPr>
              <w:pStyle w:val="TableText0"/>
              <w:keepLines/>
              <w:rPr>
                <w:iCs/>
                <w:szCs w:val="20"/>
                <w:vertAlign w:val="superscript"/>
              </w:rPr>
            </w:pPr>
            <w:r w:rsidRPr="00683533">
              <w:rPr>
                <w:iCs/>
              </w:rPr>
              <w:t>Serotype coverage for 20vPCV: 61%</w:t>
            </w:r>
            <w:r w:rsidRPr="00683533">
              <w:rPr>
                <w:iCs/>
                <w:vertAlign w:val="superscript"/>
              </w:rPr>
              <w:t>d</w:t>
            </w:r>
          </w:p>
        </w:tc>
        <w:tc>
          <w:tcPr>
            <w:tcW w:w="1004" w:type="pct"/>
            <w:tcBorders>
              <w:bottom w:val="single" w:sz="4" w:space="0" w:color="auto"/>
            </w:tcBorders>
            <w:shd w:val="solid" w:color="000000" w:fill="000000"/>
          </w:tcPr>
          <w:p w14:paraId="026BC629" w14:textId="3A7D8E12" w:rsidR="0017012A" w:rsidRPr="006A414A" w:rsidRDefault="006A414A" w:rsidP="00CC71B0">
            <w:pPr>
              <w:pStyle w:val="TableText0"/>
              <w:keepLines/>
              <w:jc w:val="center"/>
              <w:rPr>
                <w:iCs/>
              </w:rPr>
            </w:pPr>
            <w:r w:rsidRPr="006A414A">
              <w:rPr>
                <w:iCs/>
                <w:color w:val="000000"/>
                <w14:textFill>
                  <w14:solidFill>
                    <w14:srgbClr w14:val="000000">
                      <w14:alpha w14:val="100000"/>
                    </w14:srgbClr>
                  </w14:solidFill>
                </w14:textFill>
              </w:rPr>
              <w:t>|</w:t>
            </w:r>
          </w:p>
        </w:tc>
        <w:tc>
          <w:tcPr>
            <w:tcW w:w="853" w:type="pct"/>
          </w:tcPr>
          <w:p w14:paraId="7B9DC146" w14:textId="77777777" w:rsidR="0017012A" w:rsidRPr="00683533" w:rsidRDefault="0017012A" w:rsidP="00CC71B0">
            <w:pPr>
              <w:pStyle w:val="TableText0"/>
              <w:keepLines/>
              <w:jc w:val="center"/>
              <w:rPr>
                <w:iCs/>
              </w:rPr>
            </w:pPr>
            <w:r w:rsidRPr="00683533">
              <w:rPr>
                <w:iCs/>
              </w:rPr>
              <w:t>0.45</w:t>
            </w:r>
          </w:p>
        </w:tc>
        <w:tc>
          <w:tcPr>
            <w:tcW w:w="927" w:type="pct"/>
          </w:tcPr>
          <w:p w14:paraId="6E0C84FA" w14:textId="0BE2F710" w:rsidR="0017012A" w:rsidRPr="00D944B2" w:rsidRDefault="006A414A" w:rsidP="00CC71B0">
            <w:pPr>
              <w:pStyle w:val="TableText0"/>
              <w:keepLines/>
              <w:jc w:val="center"/>
              <w:rPr>
                <w:iCs/>
                <w:highlight w:val="darkGray"/>
              </w:rPr>
            </w:pPr>
            <w:r w:rsidRPr="006A414A">
              <w:rPr>
                <w:iCs/>
                <w:color w:val="000000"/>
                <w:shd w:val="solid" w:color="000000" w:fill="000000"/>
                <w14:textFill>
                  <w14:solidFill>
                    <w14:srgbClr w14:val="000000">
                      <w14:alpha w14:val="100000"/>
                    </w14:srgbClr>
                  </w14:solidFill>
                </w14:textFill>
              </w:rPr>
              <w:t>|</w:t>
            </w:r>
            <w:r w:rsidR="002B2524">
              <w:rPr>
                <w:rFonts w:eastAsia="Arial Narrow" w:cs="Arial Narrow"/>
                <w:b/>
                <w:bCs w:val="0"/>
                <w:szCs w:val="20"/>
                <w:vertAlign w:val="superscript"/>
              </w:rPr>
              <w:t>2</w:t>
            </w:r>
          </w:p>
        </w:tc>
      </w:tr>
      <w:tr w:rsidR="0017012A" w:rsidRPr="00683533" w14:paraId="49647C2F" w14:textId="77777777" w:rsidTr="006A414A">
        <w:trPr>
          <w:cantSplit/>
          <w:trHeight w:val="255"/>
          <w:tblHeader/>
        </w:trPr>
        <w:tc>
          <w:tcPr>
            <w:tcW w:w="2216" w:type="pct"/>
          </w:tcPr>
          <w:p w14:paraId="1AB95DEA" w14:textId="77777777" w:rsidR="0017012A" w:rsidRPr="00683533" w:rsidRDefault="0017012A" w:rsidP="00CC71B0">
            <w:pPr>
              <w:pStyle w:val="TableText0"/>
              <w:keepLines/>
              <w:rPr>
                <w:iCs/>
                <w:vertAlign w:val="superscript"/>
              </w:rPr>
            </w:pPr>
            <w:r w:rsidRPr="00683533">
              <w:rPr>
                <w:szCs w:val="20"/>
              </w:rPr>
              <w:t xml:space="preserve">Time horizon: 5 </w:t>
            </w:r>
            <w:proofErr w:type="spellStart"/>
            <w:r w:rsidRPr="00683533">
              <w:rPr>
                <w:szCs w:val="20"/>
              </w:rPr>
              <w:t>years</w:t>
            </w:r>
            <w:r w:rsidRPr="00683533">
              <w:rPr>
                <w:szCs w:val="20"/>
                <w:vertAlign w:val="superscript"/>
              </w:rPr>
              <w:t>d,e</w:t>
            </w:r>
            <w:proofErr w:type="spellEnd"/>
          </w:p>
        </w:tc>
        <w:tc>
          <w:tcPr>
            <w:tcW w:w="1004" w:type="pct"/>
            <w:tcBorders>
              <w:bottom w:val="single" w:sz="4" w:space="0" w:color="auto"/>
            </w:tcBorders>
            <w:shd w:val="solid" w:color="000000" w:fill="000000"/>
          </w:tcPr>
          <w:p w14:paraId="54548C6F" w14:textId="11B8845E" w:rsidR="0017012A" w:rsidRPr="006A414A" w:rsidRDefault="006A414A" w:rsidP="00CC71B0">
            <w:pPr>
              <w:pStyle w:val="TableText0"/>
              <w:keepLines/>
              <w:jc w:val="center"/>
              <w:rPr>
                <w:iCs/>
              </w:rPr>
            </w:pPr>
            <w:r w:rsidRPr="006A414A">
              <w:rPr>
                <w:iCs/>
                <w:color w:val="000000"/>
                <w14:textFill>
                  <w14:solidFill>
                    <w14:srgbClr w14:val="000000">
                      <w14:alpha w14:val="100000"/>
                    </w14:srgbClr>
                  </w14:solidFill>
                </w14:textFill>
              </w:rPr>
              <w:t>|</w:t>
            </w:r>
          </w:p>
        </w:tc>
        <w:tc>
          <w:tcPr>
            <w:tcW w:w="853" w:type="pct"/>
          </w:tcPr>
          <w:p w14:paraId="4A9C6187" w14:textId="77777777" w:rsidR="0017012A" w:rsidRPr="00683533" w:rsidRDefault="0017012A" w:rsidP="00CC71B0">
            <w:pPr>
              <w:pStyle w:val="TableText0"/>
              <w:keepLines/>
              <w:jc w:val="center"/>
              <w:rPr>
                <w:iCs/>
              </w:rPr>
            </w:pPr>
            <w:r w:rsidRPr="00683533">
              <w:rPr>
                <w:iCs/>
              </w:rPr>
              <w:t>0.09</w:t>
            </w:r>
          </w:p>
        </w:tc>
        <w:tc>
          <w:tcPr>
            <w:tcW w:w="927" w:type="pct"/>
          </w:tcPr>
          <w:p w14:paraId="6C5664C3" w14:textId="4080873E" w:rsidR="0017012A" w:rsidRPr="00D944B2" w:rsidRDefault="006A414A" w:rsidP="00CC71B0">
            <w:pPr>
              <w:pStyle w:val="TableText0"/>
              <w:keepLines/>
              <w:jc w:val="center"/>
              <w:rPr>
                <w:iCs/>
                <w:highlight w:val="darkGray"/>
              </w:rPr>
            </w:pPr>
            <w:r w:rsidRPr="006A414A">
              <w:rPr>
                <w:iCs/>
                <w:color w:val="000000"/>
                <w:shd w:val="solid" w:color="000000" w:fill="000000"/>
                <w14:textFill>
                  <w14:solidFill>
                    <w14:srgbClr w14:val="000000">
                      <w14:alpha w14:val="100000"/>
                    </w14:srgbClr>
                  </w14:solidFill>
                </w14:textFill>
              </w:rPr>
              <w:t>|</w:t>
            </w:r>
            <w:r w:rsidR="002B2524">
              <w:rPr>
                <w:rFonts w:eastAsia="Arial Narrow" w:cs="Arial Narrow"/>
                <w:b/>
                <w:bCs w:val="0"/>
                <w:szCs w:val="20"/>
                <w:vertAlign w:val="superscript"/>
              </w:rPr>
              <w:t>6</w:t>
            </w:r>
          </w:p>
        </w:tc>
      </w:tr>
      <w:tr w:rsidR="005E0960" w:rsidRPr="00683533" w14:paraId="30BC589E" w14:textId="77777777" w:rsidTr="006A414A">
        <w:trPr>
          <w:cantSplit/>
          <w:trHeight w:val="255"/>
          <w:tblHeader/>
        </w:trPr>
        <w:tc>
          <w:tcPr>
            <w:tcW w:w="2216" w:type="pct"/>
          </w:tcPr>
          <w:p w14:paraId="7B82E294" w14:textId="1DCEDC1D" w:rsidR="005E0960" w:rsidRPr="007A305D" w:rsidRDefault="00236199" w:rsidP="00CC71B0">
            <w:pPr>
              <w:pStyle w:val="TableText0"/>
              <w:keepLines/>
              <w:rPr>
                <w:szCs w:val="20"/>
                <w:vertAlign w:val="superscript"/>
              </w:rPr>
            </w:pPr>
            <w:r>
              <w:rPr>
                <w:szCs w:val="20"/>
              </w:rPr>
              <w:t>23vPPV booster</w:t>
            </w:r>
            <w:r w:rsidR="007A305D">
              <w:rPr>
                <w:szCs w:val="20"/>
              </w:rPr>
              <w:t xml:space="preserve"> x2</w:t>
            </w:r>
            <w:r w:rsidR="007A305D">
              <w:rPr>
                <w:szCs w:val="20"/>
                <w:vertAlign w:val="superscript"/>
              </w:rPr>
              <w:t>f</w:t>
            </w:r>
          </w:p>
        </w:tc>
        <w:tc>
          <w:tcPr>
            <w:tcW w:w="1004" w:type="pct"/>
            <w:tcBorders>
              <w:bottom w:val="single" w:sz="4" w:space="0" w:color="auto"/>
            </w:tcBorders>
            <w:shd w:val="solid" w:color="000000" w:fill="000000"/>
          </w:tcPr>
          <w:p w14:paraId="673B347C" w14:textId="367083C3" w:rsidR="005E0960" w:rsidRPr="006A414A" w:rsidRDefault="006A414A" w:rsidP="00CC71B0">
            <w:pPr>
              <w:pStyle w:val="TableText0"/>
              <w:keepLines/>
              <w:jc w:val="center"/>
              <w:rPr>
                <w:iCs/>
              </w:rPr>
            </w:pPr>
            <w:r w:rsidRPr="006A414A">
              <w:rPr>
                <w:iCs/>
                <w:color w:val="000000"/>
                <w14:textFill>
                  <w14:solidFill>
                    <w14:srgbClr w14:val="000000">
                      <w14:alpha w14:val="100000"/>
                    </w14:srgbClr>
                  </w14:solidFill>
                </w14:textFill>
              </w:rPr>
              <w:t>|</w:t>
            </w:r>
          </w:p>
        </w:tc>
        <w:tc>
          <w:tcPr>
            <w:tcW w:w="853" w:type="pct"/>
          </w:tcPr>
          <w:p w14:paraId="65596877" w14:textId="7CA5BB1C" w:rsidR="005E0960" w:rsidRPr="00683533" w:rsidRDefault="00236199" w:rsidP="00CC71B0">
            <w:pPr>
              <w:pStyle w:val="TableText0"/>
              <w:keepLines/>
              <w:jc w:val="center"/>
              <w:rPr>
                <w:iCs/>
              </w:rPr>
            </w:pPr>
            <w:r>
              <w:rPr>
                <w:iCs/>
              </w:rPr>
              <w:t>0.73</w:t>
            </w:r>
          </w:p>
        </w:tc>
        <w:tc>
          <w:tcPr>
            <w:tcW w:w="927" w:type="pct"/>
          </w:tcPr>
          <w:p w14:paraId="32097AE4" w14:textId="43759C82" w:rsidR="005E0960" w:rsidRPr="00D944B2" w:rsidRDefault="006A414A" w:rsidP="00CC71B0">
            <w:pPr>
              <w:pStyle w:val="TableText0"/>
              <w:keepLines/>
              <w:jc w:val="center"/>
              <w:rPr>
                <w:iCs/>
                <w:highlight w:val="darkGray"/>
              </w:rPr>
            </w:pPr>
            <w:r w:rsidRPr="006A414A">
              <w:rPr>
                <w:iCs/>
                <w:color w:val="000000"/>
                <w:shd w:val="solid" w:color="000000" w:fill="000000"/>
                <w14:textFill>
                  <w14:solidFill>
                    <w14:srgbClr w14:val="000000">
                      <w14:alpha w14:val="100000"/>
                    </w14:srgbClr>
                  </w14:solidFill>
                </w14:textFill>
              </w:rPr>
              <w:t>|</w:t>
            </w:r>
            <w:r w:rsidR="00D358DB">
              <w:rPr>
                <w:rFonts w:eastAsia="Arial Narrow" w:cs="Arial Narrow"/>
                <w:b/>
                <w:bCs w:val="0"/>
                <w:szCs w:val="20"/>
                <w:vertAlign w:val="superscript"/>
              </w:rPr>
              <w:t>7</w:t>
            </w:r>
          </w:p>
        </w:tc>
      </w:tr>
      <w:tr w:rsidR="00236199" w:rsidRPr="00683533" w14:paraId="4FFB758D" w14:textId="77777777" w:rsidTr="006A414A">
        <w:trPr>
          <w:cantSplit/>
          <w:trHeight w:val="255"/>
          <w:tblHeader/>
        </w:trPr>
        <w:tc>
          <w:tcPr>
            <w:tcW w:w="2216" w:type="pct"/>
          </w:tcPr>
          <w:p w14:paraId="793B498C" w14:textId="77777777" w:rsidR="007A305D" w:rsidRDefault="007A305D" w:rsidP="00CC71B0">
            <w:pPr>
              <w:pStyle w:val="TableText0"/>
              <w:keepLines/>
              <w:rPr>
                <w:szCs w:val="20"/>
              </w:rPr>
            </w:pPr>
            <w:r>
              <w:rPr>
                <w:szCs w:val="20"/>
              </w:rPr>
              <w:t xml:space="preserve">Multivariate analysis: </w:t>
            </w:r>
          </w:p>
          <w:p w14:paraId="0696DCAC" w14:textId="0AFB1AF1" w:rsidR="00236199" w:rsidRPr="00594F47" w:rsidRDefault="007A305D" w:rsidP="00CC71B0">
            <w:pPr>
              <w:pStyle w:val="TableText0"/>
              <w:keepLines/>
              <w:rPr>
                <w:szCs w:val="20"/>
                <w:vertAlign w:val="superscript"/>
              </w:rPr>
            </w:pPr>
            <w:r>
              <w:rPr>
                <w:szCs w:val="20"/>
              </w:rPr>
              <w:t>23vPPV booster x2 + 20vPCV price = $</w:t>
            </w:r>
            <w:r w:rsidR="006A414A" w:rsidRPr="006A414A">
              <w:rPr>
                <w:color w:val="000000"/>
                <w:spacing w:val="64"/>
                <w:szCs w:val="20"/>
                <w:shd w:val="solid" w:color="000000" w:fill="000000"/>
                <w:fitText w:val="363" w:id="-1303199732"/>
                <w14:textFill>
                  <w14:solidFill>
                    <w14:srgbClr w14:val="000000">
                      <w14:alpha w14:val="100000"/>
                    </w14:srgbClr>
                  </w14:solidFill>
                </w14:textFill>
              </w:rPr>
              <w:t>|||</w:t>
            </w:r>
            <w:r w:rsidR="006A414A" w:rsidRPr="006A414A">
              <w:rPr>
                <w:color w:val="000000"/>
                <w:spacing w:val="1"/>
                <w:szCs w:val="20"/>
                <w:shd w:val="solid" w:color="000000" w:fill="000000"/>
                <w:fitText w:val="363" w:id="-1303199732"/>
                <w14:textFill>
                  <w14:solidFill>
                    <w14:srgbClr w14:val="000000">
                      <w14:alpha w14:val="100000"/>
                    </w14:srgbClr>
                  </w14:solidFill>
                </w14:textFill>
              </w:rPr>
              <w:t>|</w:t>
            </w:r>
            <w:r w:rsidR="00594F47">
              <w:rPr>
                <w:szCs w:val="20"/>
                <w:vertAlign w:val="superscript"/>
              </w:rPr>
              <w:t>f</w:t>
            </w:r>
          </w:p>
        </w:tc>
        <w:tc>
          <w:tcPr>
            <w:tcW w:w="1004" w:type="pct"/>
            <w:shd w:val="solid" w:color="000000" w:fill="000000"/>
            <w:vAlign w:val="center"/>
          </w:tcPr>
          <w:p w14:paraId="649C6489" w14:textId="0277896D" w:rsidR="00236199" w:rsidRPr="006A414A" w:rsidRDefault="006A414A" w:rsidP="007A305D">
            <w:pPr>
              <w:pStyle w:val="TableText0"/>
              <w:keepLines/>
              <w:jc w:val="center"/>
              <w:rPr>
                <w:iCs/>
              </w:rPr>
            </w:pPr>
            <w:r w:rsidRPr="006A414A">
              <w:rPr>
                <w:iCs/>
                <w:color w:val="000000"/>
                <w14:textFill>
                  <w14:solidFill>
                    <w14:srgbClr w14:val="000000">
                      <w14:alpha w14:val="100000"/>
                    </w14:srgbClr>
                  </w14:solidFill>
                </w14:textFill>
              </w:rPr>
              <w:t>|</w:t>
            </w:r>
          </w:p>
        </w:tc>
        <w:tc>
          <w:tcPr>
            <w:tcW w:w="853" w:type="pct"/>
            <w:vAlign w:val="center"/>
          </w:tcPr>
          <w:p w14:paraId="5EC9C27F" w14:textId="3797EF22" w:rsidR="00236199" w:rsidRDefault="007A305D" w:rsidP="007A305D">
            <w:pPr>
              <w:pStyle w:val="TableText0"/>
              <w:keepLines/>
              <w:jc w:val="center"/>
              <w:rPr>
                <w:iCs/>
              </w:rPr>
            </w:pPr>
            <w:r>
              <w:rPr>
                <w:iCs/>
              </w:rPr>
              <w:t>0.73</w:t>
            </w:r>
          </w:p>
        </w:tc>
        <w:tc>
          <w:tcPr>
            <w:tcW w:w="927" w:type="pct"/>
            <w:vAlign w:val="center"/>
          </w:tcPr>
          <w:p w14:paraId="7D375D19" w14:textId="28011971" w:rsidR="00236199" w:rsidRPr="00D944B2" w:rsidRDefault="006A414A" w:rsidP="007A305D">
            <w:pPr>
              <w:pStyle w:val="TableText0"/>
              <w:keepLines/>
              <w:jc w:val="center"/>
              <w:rPr>
                <w:iCs/>
                <w:highlight w:val="darkGray"/>
              </w:rPr>
            </w:pPr>
            <w:r w:rsidRPr="006A414A">
              <w:rPr>
                <w:iCs/>
                <w:color w:val="000000"/>
                <w:shd w:val="solid" w:color="000000" w:fill="000000"/>
                <w14:textFill>
                  <w14:solidFill>
                    <w14:srgbClr w14:val="000000">
                      <w14:alpha w14:val="100000"/>
                    </w14:srgbClr>
                  </w14:solidFill>
                </w14:textFill>
              </w:rPr>
              <w:t>|</w:t>
            </w:r>
            <w:r w:rsidR="002B2524">
              <w:rPr>
                <w:rFonts w:eastAsia="Arial Narrow" w:cs="Arial Narrow"/>
                <w:b/>
                <w:bCs w:val="0"/>
                <w:szCs w:val="20"/>
                <w:vertAlign w:val="superscript"/>
              </w:rPr>
              <w:t>2</w:t>
            </w:r>
          </w:p>
        </w:tc>
      </w:tr>
    </w:tbl>
    <w:p w14:paraId="11748B39" w14:textId="4E5140EF" w:rsidR="007D4D11" w:rsidRDefault="007D4D11" w:rsidP="00E3405F">
      <w:pPr>
        <w:pStyle w:val="FooterTableFigure"/>
        <w:keepNext/>
      </w:pPr>
      <w:r>
        <w:t xml:space="preserve">Source: </w:t>
      </w:r>
      <w:r w:rsidRPr="004053DD">
        <w:t>Table 3.9.4, p499 of the submission</w:t>
      </w:r>
      <w:r>
        <w:t xml:space="preserve"> and </w:t>
      </w:r>
      <w:r w:rsidRPr="004E375B">
        <w:rPr>
          <w:iCs/>
        </w:rPr>
        <w:t xml:space="preserve">compiled during the evaluation from the Excel </w:t>
      </w:r>
      <w:r w:rsidR="00D13079" w:rsidRPr="004E375B">
        <w:rPr>
          <w:iCs/>
        </w:rPr>
        <w:t xml:space="preserve">sheet </w:t>
      </w:r>
      <w:r w:rsidR="003E5619" w:rsidRPr="004E375B">
        <w:rPr>
          <w:iCs/>
        </w:rPr>
        <w:t>‘</w:t>
      </w:r>
      <w:r w:rsidR="00D13079" w:rsidRPr="004E375B">
        <w:rPr>
          <w:iCs/>
        </w:rPr>
        <w:t xml:space="preserve">Prevenar </w:t>
      </w:r>
      <w:proofErr w:type="spellStart"/>
      <w:r w:rsidR="00D13079" w:rsidRPr="004E375B">
        <w:rPr>
          <w:iCs/>
        </w:rPr>
        <w:t>Indig</w:t>
      </w:r>
      <w:proofErr w:type="spellEnd"/>
      <w:r w:rsidR="00D13079" w:rsidRPr="004E375B">
        <w:rPr>
          <w:iCs/>
        </w:rPr>
        <w:t xml:space="preserve"> 25-49</w:t>
      </w:r>
      <w:r w:rsidR="003E5619" w:rsidRPr="004E375B">
        <w:rPr>
          <w:iCs/>
        </w:rPr>
        <w:t>’</w:t>
      </w:r>
      <w:r w:rsidR="00683533">
        <w:rPr>
          <w:iCs/>
        </w:rPr>
        <w:t>. Incremental costs and QALYs calculated during ESC evaluation.</w:t>
      </w:r>
    </w:p>
    <w:p w14:paraId="3F0DB936" w14:textId="4131C364" w:rsidR="007D4D11" w:rsidRDefault="007D4D11" w:rsidP="00E3405F">
      <w:pPr>
        <w:pStyle w:val="FooterTableFigure"/>
        <w:keepNext/>
      </w:pPr>
      <w:r>
        <w:t>Abbreviations:</w:t>
      </w:r>
      <w:r w:rsidRPr="005655B7">
        <w:t xml:space="preserve"> </w:t>
      </w:r>
      <w:r>
        <w:t>20vPCV</w:t>
      </w:r>
      <w:r w:rsidR="71F06AA8">
        <w:t xml:space="preserve">, </w:t>
      </w:r>
      <w:r>
        <w:t xml:space="preserve">20 valent pneumococcal conjugate </w:t>
      </w:r>
      <w:proofErr w:type="gramStart"/>
      <w:r>
        <w:t>vaccine</w:t>
      </w:r>
      <w:proofErr w:type="gramEnd"/>
      <w:r w:rsidRPr="003F1B29">
        <w:t xml:space="preserve">; </w:t>
      </w:r>
      <w:r w:rsidRPr="006226C6">
        <w:t>CFR</w:t>
      </w:r>
      <w:r w:rsidR="0D56F01C" w:rsidRPr="006226C6">
        <w:t xml:space="preserve">, </w:t>
      </w:r>
      <w:r w:rsidRPr="006226C6">
        <w:t xml:space="preserve">case fatality rate; </w:t>
      </w:r>
      <w:r w:rsidRPr="00E21EA9">
        <w:t>PCV</w:t>
      </w:r>
      <w:r w:rsidR="04391685" w:rsidRPr="00E21EA9">
        <w:t xml:space="preserve">, </w:t>
      </w:r>
      <w:r w:rsidRPr="00E21EA9">
        <w:t>pneumococcal conjugate vaccine</w:t>
      </w:r>
      <w:r>
        <w:t>; QALY</w:t>
      </w:r>
      <w:r w:rsidR="26A46696">
        <w:t xml:space="preserve">, </w:t>
      </w:r>
      <w:r>
        <w:t>Quality-adjusted life-year</w:t>
      </w:r>
    </w:p>
    <w:p w14:paraId="7CB69721" w14:textId="2119CFDE" w:rsidR="000406F1" w:rsidRPr="005E0960" w:rsidRDefault="007D4D11" w:rsidP="00E3405F">
      <w:pPr>
        <w:pStyle w:val="FooterTableFigure"/>
        <w:keepNext/>
        <w:rPr>
          <w:iCs/>
        </w:rPr>
      </w:pPr>
      <w:r w:rsidRPr="005E0960">
        <w:rPr>
          <w:rFonts w:eastAsia="Calibri"/>
        </w:rPr>
        <w:t xml:space="preserve">a </w:t>
      </w:r>
      <w:r w:rsidR="00615DAD" w:rsidRPr="005E0960">
        <w:rPr>
          <w:rFonts w:eastAsia="Calibri"/>
          <w:iCs/>
          <w:szCs w:val="20"/>
        </w:rPr>
        <w:t>Base case used Incidence of IPD o</w:t>
      </w:r>
      <w:r w:rsidR="0090285D" w:rsidRPr="005E0960">
        <w:rPr>
          <w:rFonts w:eastAsia="Calibri"/>
          <w:iCs/>
          <w:szCs w:val="20"/>
        </w:rPr>
        <w:t>f</w:t>
      </w:r>
      <w:r w:rsidR="00F45E6F" w:rsidRPr="005E0960">
        <w:rPr>
          <w:rFonts w:eastAsia="Calibri"/>
          <w:iCs/>
          <w:szCs w:val="20"/>
        </w:rPr>
        <w:t xml:space="preserve"> 34.0</w:t>
      </w:r>
      <w:r w:rsidR="0090285D" w:rsidRPr="005E0960">
        <w:rPr>
          <w:rFonts w:eastAsia="Calibri"/>
          <w:iCs/>
          <w:szCs w:val="20"/>
        </w:rPr>
        <w:t>,</w:t>
      </w:r>
      <w:r w:rsidR="00F45E6F" w:rsidRPr="005E0960">
        <w:rPr>
          <w:rFonts w:eastAsia="Calibri"/>
          <w:iCs/>
          <w:szCs w:val="20"/>
        </w:rPr>
        <w:t xml:space="preserve"> </w:t>
      </w:r>
      <w:r w:rsidR="00615DAD" w:rsidRPr="005E0960">
        <w:rPr>
          <w:rFonts w:eastAsia="Calibri"/>
          <w:iCs/>
          <w:szCs w:val="20"/>
        </w:rPr>
        <w:t>CRF varied by age (</w:t>
      </w:r>
      <w:r w:rsidR="00F45E6F" w:rsidRPr="005E0960">
        <w:t xml:space="preserve">1.62% for ages 25-34, </w:t>
      </w:r>
      <w:r w:rsidR="003420C0" w:rsidRPr="005E0960">
        <w:t xml:space="preserve">2.28% for ages </w:t>
      </w:r>
      <w:r w:rsidR="00F45E6F" w:rsidRPr="005E0960">
        <w:t>35-</w:t>
      </w:r>
      <w:r w:rsidR="00964373" w:rsidRPr="005E0960">
        <w:t>44</w:t>
      </w:r>
      <w:r w:rsidR="00831BD9" w:rsidRPr="005E0960">
        <w:t>,</w:t>
      </w:r>
      <w:r w:rsidR="00F45E6F" w:rsidRPr="005E0960">
        <w:t xml:space="preserve"> and </w:t>
      </w:r>
      <w:r w:rsidR="00831BD9" w:rsidRPr="005E0960">
        <w:t xml:space="preserve">4.96% for ages </w:t>
      </w:r>
      <w:r w:rsidR="00F45E6F" w:rsidRPr="005E0960">
        <w:t>45-49</w:t>
      </w:r>
      <w:r w:rsidR="00615DAD" w:rsidRPr="005E0960">
        <w:rPr>
          <w:iCs/>
        </w:rPr>
        <w:t xml:space="preserve">); discount rate 5%; waning efficacy for PCV (0% for years 0-5, 5.35% for years 6-10, 10% for years 11-15, and 15% for years </w:t>
      </w:r>
      <w:r w:rsidR="00615DAD" w:rsidRPr="005E0960">
        <w:rPr>
          <w:iCs/>
          <w:u w:val="single"/>
        </w:rPr>
        <w:t>&gt;</w:t>
      </w:r>
      <w:r w:rsidR="005E0960">
        <w:rPr>
          <w:iCs/>
          <w:u w:val="single"/>
        </w:rPr>
        <w:t xml:space="preserve"> </w:t>
      </w:r>
      <w:r w:rsidR="00615DAD" w:rsidRPr="005E0960">
        <w:rPr>
          <w:iCs/>
        </w:rPr>
        <w:t xml:space="preserve">16), </w:t>
      </w:r>
      <w:r w:rsidR="00CF6B14" w:rsidRPr="005E0960">
        <w:rPr>
          <w:iCs/>
        </w:rPr>
        <w:t xml:space="preserve">serotype coverage for 20vPCV of </w:t>
      </w:r>
      <w:r w:rsidR="00904480" w:rsidRPr="005E0960">
        <w:rPr>
          <w:iCs/>
        </w:rPr>
        <w:t>72%</w:t>
      </w:r>
      <w:r w:rsidR="00615DAD" w:rsidRPr="005E0960">
        <w:rPr>
          <w:iCs/>
        </w:rPr>
        <w:t xml:space="preserve">, up to </w:t>
      </w:r>
      <w:proofErr w:type="gramStart"/>
      <w:r w:rsidR="00904480" w:rsidRPr="005E0960">
        <w:rPr>
          <w:iCs/>
        </w:rPr>
        <w:t>23</w:t>
      </w:r>
      <w:r w:rsidR="00615DAD" w:rsidRPr="005E0960">
        <w:rPr>
          <w:iCs/>
        </w:rPr>
        <w:t xml:space="preserve"> year</w:t>
      </w:r>
      <w:proofErr w:type="gramEnd"/>
      <w:r w:rsidR="00615DAD" w:rsidRPr="005E0960">
        <w:rPr>
          <w:iCs/>
        </w:rPr>
        <w:t xml:space="preserve"> time horizon to </w:t>
      </w:r>
      <w:r w:rsidR="00CC7202" w:rsidRPr="005E0960">
        <w:rPr>
          <w:iCs/>
        </w:rPr>
        <w:t>50</w:t>
      </w:r>
      <w:r w:rsidR="00615DAD" w:rsidRPr="005E0960">
        <w:rPr>
          <w:iCs/>
        </w:rPr>
        <w:t xml:space="preserve"> years.</w:t>
      </w:r>
    </w:p>
    <w:p w14:paraId="6E31872C" w14:textId="2BC2EB25" w:rsidR="00826ADA" w:rsidRPr="005E0960" w:rsidRDefault="00826ADA" w:rsidP="00E3405F">
      <w:pPr>
        <w:pStyle w:val="FooterTableFigure"/>
        <w:keepNext/>
        <w:rPr>
          <w:iCs/>
        </w:rPr>
      </w:pPr>
      <w:r w:rsidRPr="005E0960">
        <w:t xml:space="preserve">b </w:t>
      </w:r>
      <w:r w:rsidRPr="005E0960">
        <w:rPr>
          <w:iCs/>
        </w:rPr>
        <w:t>Variation to input as per ATAGI’s recommendations (p67</w:t>
      </w:r>
      <w:r w:rsidR="00906813" w:rsidRPr="005E0960">
        <w:rPr>
          <w:iCs/>
        </w:rPr>
        <w:t xml:space="preserve">, </w:t>
      </w:r>
      <w:r w:rsidR="00906813" w:rsidRPr="005E0960">
        <w:t>Prevenar 20,</w:t>
      </w:r>
      <w:r w:rsidRPr="005E0960">
        <w:rPr>
          <w:iCs/>
        </w:rPr>
        <w:t xml:space="preserve"> ATAGI pre-submission advice to PBAC, April 2022).</w:t>
      </w:r>
    </w:p>
    <w:p w14:paraId="01F28BDB" w14:textId="77777777" w:rsidR="00826ADA" w:rsidRPr="005E0960" w:rsidRDefault="00826ADA" w:rsidP="00E3405F">
      <w:pPr>
        <w:pStyle w:val="FooterTableFigure"/>
        <w:keepNext/>
        <w:keepLines/>
        <w:rPr>
          <w:iCs/>
        </w:rPr>
      </w:pPr>
      <w:r w:rsidRPr="005E0960">
        <w:rPr>
          <w:iCs/>
        </w:rPr>
        <w:t>c Variation to input as per ATAGI’s recommendations (ATAGI advice, February 2016).</w:t>
      </w:r>
    </w:p>
    <w:p w14:paraId="0C872C9B" w14:textId="1622D843" w:rsidR="007D4D11" w:rsidRPr="005E0960" w:rsidRDefault="004D73F1" w:rsidP="00E3405F">
      <w:pPr>
        <w:pStyle w:val="FooterTableFigure"/>
        <w:keepNext/>
        <w:keepLines/>
        <w:rPr>
          <w:rFonts w:eastAsia="Calibri"/>
        </w:rPr>
      </w:pPr>
      <w:r w:rsidRPr="005E0960">
        <w:rPr>
          <w:iCs/>
        </w:rPr>
        <w:t xml:space="preserve">d </w:t>
      </w:r>
      <w:r w:rsidR="007D4D11" w:rsidRPr="005E0960">
        <w:rPr>
          <w:rFonts w:eastAsia="Calibri"/>
          <w:iCs/>
        </w:rPr>
        <w:t xml:space="preserve">Conducted during </w:t>
      </w:r>
      <w:r w:rsidRPr="005E0960">
        <w:rPr>
          <w:rFonts w:eastAsia="Calibri"/>
          <w:iCs/>
        </w:rPr>
        <w:t xml:space="preserve">the </w:t>
      </w:r>
      <w:r w:rsidR="007D4D11" w:rsidRPr="005E0960">
        <w:rPr>
          <w:rFonts w:eastAsia="Calibri"/>
          <w:iCs/>
        </w:rPr>
        <w:t>evaluation.</w:t>
      </w:r>
      <w:r w:rsidR="007D4D11" w:rsidRPr="005E0960">
        <w:rPr>
          <w:rFonts w:eastAsia="Calibri"/>
        </w:rPr>
        <w:t xml:space="preserve"> </w:t>
      </w:r>
    </w:p>
    <w:p w14:paraId="4D5A26D5" w14:textId="6A2E43AA" w:rsidR="00E41987" w:rsidRDefault="00E41987" w:rsidP="00E3405F">
      <w:pPr>
        <w:pStyle w:val="FooterTableFigure"/>
        <w:keepNext/>
        <w:keepLines/>
        <w:rPr>
          <w:iCs/>
        </w:rPr>
      </w:pPr>
      <w:r w:rsidRPr="005E0960">
        <w:rPr>
          <w:iCs/>
        </w:rPr>
        <w:t>e Variation</w:t>
      </w:r>
      <w:r w:rsidRPr="004E375B">
        <w:rPr>
          <w:iCs/>
        </w:rPr>
        <w:t xml:space="preserve"> to input as per ATAGI’s recommendations (p70</w:t>
      </w:r>
      <w:r w:rsidR="00906813" w:rsidRPr="004E375B">
        <w:rPr>
          <w:iCs/>
        </w:rPr>
        <w:t xml:space="preserve">, </w:t>
      </w:r>
      <w:r w:rsidR="00906813" w:rsidRPr="004E375B">
        <w:t xml:space="preserve">Prevenar 20, </w:t>
      </w:r>
      <w:r w:rsidRPr="004E375B">
        <w:rPr>
          <w:iCs/>
        </w:rPr>
        <w:t>ATAGI pre-submission advice to PBAC, April 2022).</w:t>
      </w:r>
    </w:p>
    <w:p w14:paraId="0BE6C3C7" w14:textId="07B218BA" w:rsidR="007A305D" w:rsidRDefault="007A305D" w:rsidP="002B2524">
      <w:pPr>
        <w:pStyle w:val="FooterTableFigure"/>
        <w:keepNext/>
        <w:keepLines/>
        <w:spacing w:after="0"/>
        <w:rPr>
          <w:iCs/>
        </w:rPr>
      </w:pPr>
      <w:r>
        <w:rPr>
          <w:iCs/>
        </w:rPr>
        <w:t xml:space="preserve">f Provided in the pre-PBAC response. </w:t>
      </w:r>
      <w:r w:rsidR="00B84420">
        <w:rPr>
          <w:iCs/>
        </w:rPr>
        <w:t xml:space="preserve">Incremental cost calculated </w:t>
      </w:r>
      <w:r w:rsidR="00B84420" w:rsidRPr="00083F5D">
        <w:rPr>
          <w:iCs/>
        </w:rPr>
        <w:t>as $</w:t>
      </w:r>
      <w:r w:rsidR="006A414A" w:rsidRPr="006A414A">
        <w:rPr>
          <w:iCs/>
          <w:color w:val="000000"/>
          <w:spacing w:val="13"/>
          <w:shd w:val="solid" w:color="000000" w:fill="000000"/>
          <w:fitText w:val="305" w:id="-1303199731"/>
          <w14:textFill>
            <w14:solidFill>
              <w14:srgbClr w14:val="000000">
                <w14:alpha w14:val="100000"/>
              </w14:srgbClr>
            </w14:solidFill>
          </w14:textFill>
        </w:rPr>
        <w:t>||  |</w:t>
      </w:r>
      <w:r w:rsidR="006A414A" w:rsidRPr="006A414A">
        <w:rPr>
          <w:iCs/>
          <w:color w:val="000000"/>
          <w:spacing w:val="5"/>
          <w:shd w:val="solid" w:color="000000" w:fill="000000"/>
          <w:fitText w:val="305" w:id="-1303199731"/>
          <w14:textFill>
            <w14:solidFill>
              <w14:srgbClr w14:val="000000">
                <w14:alpha w14:val="100000"/>
              </w14:srgbClr>
            </w14:solidFill>
          </w14:textFill>
        </w:rPr>
        <w:t>|</w:t>
      </w:r>
      <w:r w:rsidR="00B84420" w:rsidRPr="00083F5D">
        <w:rPr>
          <w:iCs/>
        </w:rPr>
        <w:t xml:space="preserve"> - $</w:t>
      </w:r>
      <w:r w:rsidR="00886DF4" w:rsidRPr="00886DF4">
        <w:rPr>
          <w:iCs/>
          <w:color w:val="000000"/>
          <w:spacing w:val="35"/>
          <w:shd w:val="solid" w:color="000000" w:fill="000000"/>
          <w:fitText w:val="265" w:id="-1300592896"/>
          <w14:textFill>
            <w14:solidFill>
              <w14:srgbClr w14:val="000000">
                <w14:alpha w14:val="100000"/>
              </w14:srgbClr>
            </w14:solidFill>
          </w14:textFill>
        </w:rPr>
        <w:t xml:space="preserve">|  </w:t>
      </w:r>
      <w:r w:rsidR="00886DF4" w:rsidRPr="00886DF4">
        <w:rPr>
          <w:iCs/>
          <w:color w:val="000000"/>
          <w:spacing w:val="2"/>
          <w:shd w:val="solid" w:color="000000" w:fill="000000"/>
          <w:fitText w:val="265" w:id="-1300592896"/>
          <w14:textFill>
            <w14:solidFill>
              <w14:srgbClr w14:val="000000">
                <w14:alpha w14:val="100000"/>
              </w14:srgbClr>
            </w14:solidFill>
          </w14:textFill>
        </w:rPr>
        <w:t>|</w:t>
      </w:r>
      <w:r w:rsidR="00886DF4">
        <w:rPr>
          <w:iCs/>
        </w:rPr>
        <w:t xml:space="preserve"> </w:t>
      </w:r>
      <w:r w:rsidR="00B84420">
        <w:rPr>
          <w:iCs/>
        </w:rPr>
        <w:t>(the difference in the cost of the vaccine).</w:t>
      </w:r>
    </w:p>
    <w:p w14:paraId="22B57D8D" w14:textId="77777777" w:rsidR="002B2524" w:rsidRDefault="002B2524" w:rsidP="002B2524">
      <w:pPr>
        <w:rPr>
          <w:rFonts w:ascii="Arial Narrow" w:hAnsi="Arial Narrow"/>
          <w:i/>
          <w:sz w:val="18"/>
          <w:szCs w:val="18"/>
        </w:rPr>
      </w:pPr>
      <w:r>
        <w:rPr>
          <w:rFonts w:ascii="Arial Narrow" w:hAnsi="Arial Narrow"/>
          <w:i/>
          <w:sz w:val="18"/>
          <w:szCs w:val="18"/>
        </w:rPr>
        <w:t xml:space="preserve">The redacted values correspond to the following ranges: </w:t>
      </w:r>
    </w:p>
    <w:p w14:paraId="279E5514" w14:textId="4B374919" w:rsidR="002B2524" w:rsidRDefault="002B2524" w:rsidP="002B2524">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2B2524">
        <w:rPr>
          <w:rFonts w:ascii="Arial Narrow" w:hAnsi="Arial Narrow"/>
          <w:i/>
          <w:sz w:val="18"/>
          <w:szCs w:val="18"/>
        </w:rPr>
        <w:t>$35,000 to &lt; $45,000</w:t>
      </w:r>
    </w:p>
    <w:p w14:paraId="0032A55B" w14:textId="58C77617" w:rsidR="002B2524" w:rsidRDefault="002B2524" w:rsidP="002B2524">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2B2524">
        <w:rPr>
          <w:rFonts w:ascii="Arial Narrow" w:hAnsi="Arial Narrow"/>
          <w:i/>
          <w:sz w:val="18"/>
          <w:szCs w:val="18"/>
        </w:rPr>
        <w:t>$45,000 to &lt; $55,000</w:t>
      </w:r>
    </w:p>
    <w:p w14:paraId="31FE334E" w14:textId="4E383A30" w:rsidR="002B2524" w:rsidRDefault="002B2524" w:rsidP="002B2524">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2B2524">
        <w:rPr>
          <w:rFonts w:ascii="Arial Narrow" w:hAnsi="Arial Narrow"/>
          <w:i/>
          <w:sz w:val="18"/>
          <w:szCs w:val="18"/>
        </w:rPr>
        <w:t>$25,000 to &lt; $35,000</w:t>
      </w:r>
    </w:p>
    <w:p w14:paraId="0003075D" w14:textId="2498F6C8" w:rsidR="002B2524" w:rsidRDefault="002B2524" w:rsidP="002B252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2B2524">
        <w:rPr>
          <w:rFonts w:ascii="Arial Narrow" w:hAnsi="Arial Narrow"/>
          <w:i/>
          <w:sz w:val="18"/>
          <w:szCs w:val="18"/>
        </w:rPr>
        <w:t>$5,000 to &lt; $15,000</w:t>
      </w:r>
    </w:p>
    <w:p w14:paraId="0F3E3C5A" w14:textId="5B09AD67" w:rsidR="002B2524" w:rsidRDefault="002B2524" w:rsidP="002B2524">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2B2524">
        <w:rPr>
          <w:rFonts w:ascii="Arial Narrow" w:hAnsi="Arial Narrow"/>
          <w:i/>
          <w:sz w:val="18"/>
          <w:szCs w:val="18"/>
        </w:rPr>
        <w:t>$75,000 to &lt; $95,000</w:t>
      </w:r>
    </w:p>
    <w:p w14:paraId="619DF9B3" w14:textId="3824477E" w:rsidR="002B2524" w:rsidRDefault="002B2524" w:rsidP="002B2524">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2B2524">
        <w:rPr>
          <w:rFonts w:ascii="Arial Narrow" w:hAnsi="Arial Narrow"/>
          <w:i/>
          <w:sz w:val="18"/>
          <w:szCs w:val="18"/>
        </w:rPr>
        <w:t>$355,000 to &lt; $455,000</w:t>
      </w:r>
    </w:p>
    <w:p w14:paraId="1D5A8968" w14:textId="7993E9BE" w:rsidR="002B2524" w:rsidRPr="002B2524" w:rsidRDefault="002B2524" w:rsidP="002B2524">
      <w:pPr>
        <w:spacing w:after="120"/>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D358DB" w:rsidRPr="00D358DB">
        <w:rPr>
          <w:rFonts w:ascii="Arial Narrow" w:hAnsi="Arial Narrow"/>
          <w:i/>
          <w:sz w:val="18"/>
          <w:szCs w:val="18"/>
        </w:rPr>
        <w:t>$55,000 to &lt; $75,000</w:t>
      </w:r>
    </w:p>
    <w:p w14:paraId="54AE9419" w14:textId="419AE22F" w:rsidR="001D6E21" w:rsidRPr="00B47A9D" w:rsidRDefault="00B711DF" w:rsidP="00D358DB">
      <w:pPr>
        <w:pStyle w:val="3-BodyText"/>
        <w:rPr>
          <w:iCs/>
        </w:rPr>
      </w:pPr>
      <w:bookmarkStart w:id="114" w:name="_Ref116580642"/>
      <w:proofErr w:type="gramStart"/>
      <w:r w:rsidRPr="00683533">
        <w:rPr>
          <w:iCs/>
        </w:rPr>
        <w:t>In order to</w:t>
      </w:r>
      <w:proofErr w:type="gramEnd"/>
      <w:r w:rsidRPr="00683533">
        <w:rPr>
          <w:iCs/>
        </w:rPr>
        <w:t xml:space="preserve"> address uncertainty related to differential vaccine effectiveness across additional serotypes and the potential impact of serotype replacement additional sensitivity analyses </w:t>
      </w:r>
      <w:r w:rsidR="00B00DC4" w:rsidRPr="00683533">
        <w:rPr>
          <w:iCs/>
        </w:rPr>
        <w:t xml:space="preserve">that </w:t>
      </w:r>
      <w:r w:rsidRPr="00683533">
        <w:rPr>
          <w:iCs/>
        </w:rPr>
        <w:t>reduc</w:t>
      </w:r>
      <w:r w:rsidR="00B00DC4" w:rsidRPr="00683533">
        <w:rPr>
          <w:iCs/>
        </w:rPr>
        <w:t>ed</w:t>
      </w:r>
      <w:r w:rsidRPr="00683533">
        <w:rPr>
          <w:iCs/>
        </w:rPr>
        <w:t xml:space="preserve"> the overall vaccine effectiveness</w:t>
      </w:r>
      <w:r w:rsidR="007217D8" w:rsidRPr="00683533">
        <w:rPr>
          <w:iCs/>
        </w:rPr>
        <w:t xml:space="preserve"> by up to 15%</w:t>
      </w:r>
      <w:r w:rsidRPr="00683533">
        <w:rPr>
          <w:iCs/>
        </w:rPr>
        <w:t xml:space="preserve"> were provided in the PSCR. These analyses are shown in </w:t>
      </w:r>
      <w:r w:rsidRPr="00683533">
        <w:rPr>
          <w:iCs/>
        </w:rPr>
        <w:fldChar w:fldCharType="begin"/>
      </w:r>
      <w:r w:rsidRPr="00683533">
        <w:rPr>
          <w:iCs/>
        </w:rPr>
        <w:instrText xml:space="preserve"> REF _Ref116476137 \h  \* MERGEFORMAT </w:instrText>
      </w:r>
      <w:r w:rsidRPr="00683533">
        <w:rPr>
          <w:iCs/>
        </w:rPr>
      </w:r>
      <w:r w:rsidRPr="00683533">
        <w:rPr>
          <w:iCs/>
        </w:rPr>
        <w:fldChar w:fldCharType="separate"/>
      </w:r>
      <w:r w:rsidR="00137984" w:rsidRPr="00560D37">
        <w:rPr>
          <w:iCs/>
        </w:rPr>
        <w:t xml:space="preserve">Table </w:t>
      </w:r>
      <w:r w:rsidR="00137984">
        <w:rPr>
          <w:iCs/>
          <w:noProof/>
        </w:rPr>
        <w:t>20</w:t>
      </w:r>
      <w:r w:rsidRPr="00683533">
        <w:rPr>
          <w:iCs/>
        </w:rPr>
        <w:fldChar w:fldCharType="end"/>
      </w:r>
      <w:r w:rsidRPr="00683533">
        <w:rPr>
          <w:iCs/>
        </w:rPr>
        <w:t xml:space="preserve">. </w:t>
      </w:r>
      <w:r w:rsidR="004D57C8" w:rsidRPr="00683533">
        <w:rPr>
          <w:iCs/>
        </w:rPr>
        <w:t>For the comparisons with 13vPCV the ICER remained dominant. For the comparison with 15vPCV the ICER remained dominant for Indigenous adults aged ≥</w:t>
      </w:r>
      <w:r w:rsidR="00E2084F">
        <w:rPr>
          <w:iCs/>
        </w:rPr>
        <w:t xml:space="preserve"> </w:t>
      </w:r>
      <w:r w:rsidR="004D57C8" w:rsidRPr="00683533">
        <w:rPr>
          <w:iCs/>
        </w:rPr>
        <w:t xml:space="preserve">50 years, increased to </w:t>
      </w:r>
      <w:r w:rsidR="00D358DB" w:rsidRPr="00D358DB">
        <w:rPr>
          <w:iCs/>
        </w:rPr>
        <w:t>$35,000 to &lt; $45,000</w:t>
      </w:r>
      <w:r w:rsidR="00B84FFA" w:rsidRPr="00B47A9D">
        <w:rPr>
          <w:iCs/>
        </w:rPr>
        <w:t>/QALY for non-Indigenous adults aged ≥</w:t>
      </w:r>
      <w:r w:rsidR="00E2084F" w:rsidRPr="00B47A9D">
        <w:rPr>
          <w:iCs/>
        </w:rPr>
        <w:t xml:space="preserve"> </w:t>
      </w:r>
      <w:r w:rsidR="00B84FFA" w:rsidRPr="00B47A9D">
        <w:rPr>
          <w:iCs/>
        </w:rPr>
        <w:t xml:space="preserve">70 years and to </w:t>
      </w:r>
      <w:r w:rsidR="00D358DB" w:rsidRPr="00B47A9D">
        <w:rPr>
          <w:iCs/>
        </w:rPr>
        <w:t>$155,000 to &lt; $255,000</w:t>
      </w:r>
      <w:r w:rsidR="00B84FFA" w:rsidRPr="00B47A9D">
        <w:rPr>
          <w:iCs/>
        </w:rPr>
        <w:t>/QALY</w:t>
      </w:r>
      <w:r w:rsidR="002A22AD" w:rsidRPr="00B47A9D">
        <w:rPr>
          <w:iCs/>
        </w:rPr>
        <w:t xml:space="preserve"> in </w:t>
      </w:r>
      <w:r w:rsidR="00B84FFA" w:rsidRPr="00B47A9D">
        <w:rPr>
          <w:iCs/>
        </w:rPr>
        <w:t>at-risk adults aged 18-69 years</w:t>
      </w:r>
      <w:r w:rsidR="00261C02" w:rsidRPr="00B47A9D">
        <w:rPr>
          <w:iCs/>
        </w:rPr>
        <w:t>.</w:t>
      </w:r>
      <w:bookmarkEnd w:id="114"/>
      <w:r w:rsidR="001D6E21" w:rsidRPr="00B47A9D">
        <w:rPr>
          <w:iCs/>
        </w:rPr>
        <w:t xml:space="preserve"> </w:t>
      </w:r>
      <w:r w:rsidR="00B84FFA" w:rsidRPr="00B47A9D">
        <w:rPr>
          <w:iCs/>
        </w:rPr>
        <w:t xml:space="preserve">For the expanded population the ICER increased to </w:t>
      </w:r>
      <w:r w:rsidR="00D358DB" w:rsidRPr="00B47A9D">
        <w:rPr>
          <w:iCs/>
        </w:rPr>
        <w:t>$45,000 to &lt; $55,000</w:t>
      </w:r>
      <w:r w:rsidR="00B84FFA" w:rsidRPr="00B47A9D">
        <w:rPr>
          <w:iCs/>
        </w:rPr>
        <w:t xml:space="preserve">/QALY. </w:t>
      </w:r>
      <w:r w:rsidR="001D6E21" w:rsidRPr="00B47A9D">
        <w:rPr>
          <w:iCs/>
        </w:rPr>
        <w:t xml:space="preserve">The ESC considered </w:t>
      </w:r>
      <w:r w:rsidR="001D6E21" w:rsidRPr="00B47A9D">
        <w:rPr>
          <w:iCs/>
        </w:rPr>
        <w:lastRenderedPageBreak/>
        <w:t>these analyses</w:t>
      </w:r>
      <w:r w:rsidR="007521C9" w:rsidRPr="00B47A9D">
        <w:rPr>
          <w:iCs/>
        </w:rPr>
        <w:t>, while not precise,</w:t>
      </w:r>
      <w:r w:rsidR="001D6E21" w:rsidRPr="00B47A9D">
        <w:rPr>
          <w:iCs/>
        </w:rPr>
        <w:t xml:space="preserve"> may be informative </w:t>
      </w:r>
      <w:r w:rsidR="007521C9" w:rsidRPr="00B47A9D">
        <w:rPr>
          <w:iCs/>
        </w:rPr>
        <w:t>when considering</w:t>
      </w:r>
      <w:r w:rsidR="001D6E21" w:rsidRPr="00B47A9D">
        <w:rPr>
          <w:iCs/>
        </w:rPr>
        <w:t xml:space="preserve"> the uncertainty related to the effectiveness for the additional serotypes.</w:t>
      </w:r>
      <w:r w:rsidR="007521C9" w:rsidRPr="00B47A9D">
        <w:rPr>
          <w:iCs/>
        </w:rPr>
        <w:t xml:space="preserve"> </w:t>
      </w:r>
    </w:p>
    <w:p w14:paraId="2F01B7B0" w14:textId="11FA98B2" w:rsidR="0019320F" w:rsidRPr="00560D37" w:rsidRDefault="0019320F" w:rsidP="0019320F">
      <w:pPr>
        <w:pStyle w:val="Caption"/>
        <w:rPr>
          <w:iCs/>
        </w:rPr>
      </w:pPr>
      <w:bookmarkStart w:id="115" w:name="_Ref116476137"/>
      <w:bookmarkStart w:id="116" w:name="_Toc114061402"/>
      <w:r w:rsidRPr="00560D37">
        <w:rPr>
          <w:iCs/>
        </w:rPr>
        <w:t xml:space="preserve">Table </w:t>
      </w:r>
      <w:r w:rsidRPr="00560D37">
        <w:rPr>
          <w:iCs/>
        </w:rPr>
        <w:fldChar w:fldCharType="begin"/>
      </w:r>
      <w:r w:rsidRPr="00560D37">
        <w:rPr>
          <w:iCs/>
        </w:rPr>
        <w:instrText>SEQ Table \* ARABIC</w:instrText>
      </w:r>
      <w:r w:rsidRPr="00560D37">
        <w:rPr>
          <w:iCs/>
        </w:rPr>
        <w:fldChar w:fldCharType="separate"/>
      </w:r>
      <w:r w:rsidR="00137984">
        <w:rPr>
          <w:iCs/>
          <w:noProof/>
        </w:rPr>
        <w:t>20</w:t>
      </w:r>
      <w:r w:rsidRPr="00560D37">
        <w:rPr>
          <w:iCs/>
        </w:rPr>
        <w:fldChar w:fldCharType="end"/>
      </w:r>
      <w:bookmarkEnd w:id="115"/>
      <w:r w:rsidRPr="00560D37">
        <w:rPr>
          <w:iCs/>
        </w:rPr>
        <w:t xml:space="preserve">: </w:t>
      </w:r>
      <w:r w:rsidRPr="00560D37">
        <w:rPr>
          <w:iCs/>
          <w:color w:val="000000" w:themeColor="text1"/>
        </w:rPr>
        <w:t>Additional sensitivity analyses provided in the PSCR</w:t>
      </w:r>
    </w:p>
    <w:tbl>
      <w:tblPr>
        <w:tblStyle w:val="TableGridbeth1"/>
        <w:tblW w:w="5000" w:type="pct"/>
        <w:tblLook w:val="04A0" w:firstRow="1" w:lastRow="0" w:firstColumn="1" w:lastColumn="0" w:noHBand="0" w:noVBand="1"/>
      </w:tblPr>
      <w:tblGrid>
        <w:gridCol w:w="2421"/>
        <w:gridCol w:w="1185"/>
        <w:gridCol w:w="1187"/>
        <w:gridCol w:w="1187"/>
        <w:gridCol w:w="1118"/>
        <w:gridCol w:w="893"/>
        <w:gridCol w:w="1026"/>
      </w:tblGrid>
      <w:tr w:rsidR="0017012A" w:rsidRPr="00560D37" w14:paraId="422832D3" w14:textId="77777777" w:rsidTr="00CC71B0">
        <w:trPr>
          <w:trHeight w:val="255"/>
        </w:trPr>
        <w:tc>
          <w:tcPr>
            <w:tcW w:w="1343" w:type="pct"/>
            <w:vMerge w:val="restart"/>
            <w:shd w:val="clear" w:color="auto" w:fill="auto"/>
          </w:tcPr>
          <w:p w14:paraId="533C5493" w14:textId="77777777" w:rsidR="0017012A" w:rsidRPr="00560D37" w:rsidRDefault="0017012A" w:rsidP="00CC71B0">
            <w:pPr>
              <w:pStyle w:val="TableText0"/>
              <w:rPr>
                <w:rFonts w:cs="Arial"/>
                <w:b/>
                <w:bCs w:val="0"/>
                <w:iCs/>
                <w:szCs w:val="20"/>
              </w:rPr>
            </w:pPr>
          </w:p>
          <w:p w14:paraId="4C8575E0" w14:textId="77777777" w:rsidR="0017012A" w:rsidRPr="00560D37" w:rsidRDefault="0017012A" w:rsidP="00CC71B0">
            <w:pPr>
              <w:pStyle w:val="TableText0"/>
              <w:rPr>
                <w:b/>
                <w:bCs w:val="0"/>
                <w:iCs/>
                <w:szCs w:val="20"/>
              </w:rPr>
            </w:pPr>
            <w:r w:rsidRPr="00560D37">
              <w:rPr>
                <w:rFonts w:cs="Arial"/>
                <w:b/>
                <w:bCs w:val="0"/>
                <w:iCs/>
                <w:szCs w:val="20"/>
              </w:rPr>
              <w:t>Overall vaccine effectiveness</w:t>
            </w:r>
          </w:p>
        </w:tc>
        <w:tc>
          <w:tcPr>
            <w:tcW w:w="1973" w:type="pct"/>
            <w:gridSpan w:val="3"/>
          </w:tcPr>
          <w:p w14:paraId="3707F07C" w14:textId="77777777" w:rsidR="0017012A" w:rsidRPr="00560D37" w:rsidRDefault="0017012A" w:rsidP="00CC71B0">
            <w:pPr>
              <w:pStyle w:val="TableText0"/>
              <w:jc w:val="center"/>
              <w:rPr>
                <w:iCs/>
                <w:szCs w:val="20"/>
              </w:rPr>
            </w:pPr>
            <w:r w:rsidRPr="00560D37">
              <w:rPr>
                <w:rFonts w:eastAsia="Arial Narrow"/>
                <w:b/>
                <w:iCs/>
                <w:color w:val="000000" w:themeColor="text1"/>
                <w:szCs w:val="20"/>
              </w:rPr>
              <w:t>20vPCV vs 13vPCV</w:t>
            </w:r>
          </w:p>
        </w:tc>
        <w:tc>
          <w:tcPr>
            <w:tcW w:w="1684" w:type="pct"/>
            <w:gridSpan w:val="3"/>
          </w:tcPr>
          <w:p w14:paraId="46A1A448" w14:textId="77777777" w:rsidR="0017012A" w:rsidRPr="00560D37" w:rsidRDefault="0017012A" w:rsidP="00CC71B0">
            <w:pPr>
              <w:pStyle w:val="TableText0"/>
              <w:jc w:val="center"/>
              <w:rPr>
                <w:iCs/>
                <w:szCs w:val="20"/>
              </w:rPr>
            </w:pPr>
            <w:r w:rsidRPr="00560D37">
              <w:rPr>
                <w:rFonts w:eastAsia="Arial Narrow"/>
                <w:b/>
                <w:iCs/>
                <w:color w:val="000000" w:themeColor="text1"/>
                <w:szCs w:val="20"/>
              </w:rPr>
              <w:t>20vPCV vs 15vPCV</w:t>
            </w:r>
          </w:p>
        </w:tc>
      </w:tr>
      <w:tr w:rsidR="0017012A" w:rsidRPr="00560D37" w14:paraId="71955DC9" w14:textId="77777777" w:rsidTr="00CC71B0">
        <w:trPr>
          <w:trHeight w:val="255"/>
        </w:trPr>
        <w:tc>
          <w:tcPr>
            <w:tcW w:w="1343" w:type="pct"/>
            <w:vMerge/>
            <w:shd w:val="clear" w:color="auto" w:fill="auto"/>
          </w:tcPr>
          <w:p w14:paraId="1B32AC3C" w14:textId="77777777" w:rsidR="0017012A" w:rsidRPr="00560D37" w:rsidRDefault="0017012A" w:rsidP="00CC71B0">
            <w:pPr>
              <w:pStyle w:val="TableText0"/>
              <w:rPr>
                <w:iCs/>
                <w:szCs w:val="20"/>
              </w:rPr>
            </w:pPr>
          </w:p>
        </w:tc>
        <w:tc>
          <w:tcPr>
            <w:tcW w:w="1315" w:type="pct"/>
            <w:gridSpan w:val="2"/>
          </w:tcPr>
          <w:p w14:paraId="02063CA3" w14:textId="77777777" w:rsidR="0017012A" w:rsidRPr="00560D37" w:rsidRDefault="0017012A" w:rsidP="00CC71B0">
            <w:pPr>
              <w:pStyle w:val="TableText0"/>
              <w:jc w:val="center"/>
              <w:rPr>
                <w:rFonts w:eastAsia="Arial Narrow"/>
                <w:b/>
                <w:iCs/>
                <w:color w:val="000000" w:themeColor="text1"/>
                <w:szCs w:val="20"/>
              </w:rPr>
            </w:pPr>
            <w:r w:rsidRPr="00560D37">
              <w:rPr>
                <w:rFonts w:eastAsia="Arial Narrow"/>
                <w:b/>
                <w:iCs/>
                <w:color w:val="000000" w:themeColor="text1"/>
                <w:szCs w:val="20"/>
              </w:rPr>
              <w:t>Incremental</w:t>
            </w:r>
          </w:p>
        </w:tc>
        <w:tc>
          <w:tcPr>
            <w:tcW w:w="658" w:type="pct"/>
            <w:shd w:val="clear" w:color="auto" w:fill="auto"/>
          </w:tcPr>
          <w:p w14:paraId="4450ED97" w14:textId="77777777" w:rsidR="0017012A" w:rsidRPr="00560D37" w:rsidRDefault="0017012A" w:rsidP="00CC71B0">
            <w:pPr>
              <w:pStyle w:val="TableText0"/>
              <w:jc w:val="center"/>
              <w:rPr>
                <w:iCs/>
                <w:szCs w:val="20"/>
              </w:rPr>
            </w:pPr>
            <w:r w:rsidRPr="00560D37">
              <w:rPr>
                <w:rFonts w:eastAsia="Arial Narrow"/>
                <w:b/>
                <w:iCs/>
                <w:color w:val="000000" w:themeColor="text1"/>
                <w:szCs w:val="20"/>
              </w:rPr>
              <w:t>ICER</w:t>
            </w:r>
          </w:p>
        </w:tc>
        <w:tc>
          <w:tcPr>
            <w:tcW w:w="1115" w:type="pct"/>
            <w:gridSpan w:val="2"/>
          </w:tcPr>
          <w:p w14:paraId="6FB7926C" w14:textId="77777777" w:rsidR="0017012A" w:rsidRPr="00560D37" w:rsidRDefault="0017012A" w:rsidP="00CC71B0">
            <w:pPr>
              <w:pStyle w:val="TableText0"/>
              <w:jc w:val="center"/>
              <w:rPr>
                <w:rFonts w:eastAsia="Arial Narrow"/>
                <w:b/>
                <w:iCs/>
                <w:color w:val="000000" w:themeColor="text1"/>
                <w:szCs w:val="20"/>
              </w:rPr>
            </w:pPr>
            <w:r w:rsidRPr="00560D37">
              <w:rPr>
                <w:rFonts w:eastAsia="Arial Narrow"/>
                <w:b/>
                <w:iCs/>
                <w:color w:val="000000" w:themeColor="text1"/>
                <w:szCs w:val="20"/>
              </w:rPr>
              <w:t>Incremental</w:t>
            </w:r>
          </w:p>
        </w:tc>
        <w:tc>
          <w:tcPr>
            <w:tcW w:w="569" w:type="pct"/>
            <w:shd w:val="clear" w:color="auto" w:fill="auto"/>
          </w:tcPr>
          <w:p w14:paraId="70791E89" w14:textId="77777777" w:rsidR="0017012A" w:rsidRPr="00560D37" w:rsidRDefault="0017012A" w:rsidP="00CC71B0">
            <w:pPr>
              <w:pStyle w:val="TableText0"/>
              <w:jc w:val="center"/>
              <w:rPr>
                <w:iCs/>
                <w:szCs w:val="20"/>
              </w:rPr>
            </w:pPr>
            <w:r w:rsidRPr="00560D37">
              <w:rPr>
                <w:rFonts w:eastAsia="Arial Narrow"/>
                <w:b/>
                <w:iCs/>
                <w:color w:val="000000" w:themeColor="text1"/>
                <w:szCs w:val="20"/>
              </w:rPr>
              <w:t>ICER</w:t>
            </w:r>
          </w:p>
        </w:tc>
      </w:tr>
      <w:tr w:rsidR="0017012A" w:rsidRPr="00560D37" w14:paraId="0C228EC6" w14:textId="77777777" w:rsidTr="00CC71B0">
        <w:trPr>
          <w:trHeight w:val="255"/>
        </w:trPr>
        <w:tc>
          <w:tcPr>
            <w:tcW w:w="1343" w:type="pct"/>
            <w:vMerge/>
            <w:shd w:val="clear" w:color="auto" w:fill="auto"/>
          </w:tcPr>
          <w:p w14:paraId="0A3BD724" w14:textId="77777777" w:rsidR="0017012A" w:rsidRPr="00560D37" w:rsidRDefault="0017012A" w:rsidP="00CC71B0">
            <w:pPr>
              <w:pStyle w:val="TableText0"/>
              <w:rPr>
                <w:iCs/>
                <w:szCs w:val="20"/>
              </w:rPr>
            </w:pPr>
          </w:p>
        </w:tc>
        <w:tc>
          <w:tcPr>
            <w:tcW w:w="657" w:type="pct"/>
          </w:tcPr>
          <w:p w14:paraId="34B941F1" w14:textId="77777777" w:rsidR="0017012A" w:rsidRPr="00560D37" w:rsidRDefault="0017012A" w:rsidP="00CC71B0">
            <w:pPr>
              <w:pStyle w:val="TableText0"/>
              <w:jc w:val="center"/>
              <w:rPr>
                <w:rFonts w:eastAsia="Arial Narrow"/>
                <w:b/>
                <w:iCs/>
                <w:color w:val="000000" w:themeColor="text1"/>
                <w:szCs w:val="20"/>
              </w:rPr>
            </w:pPr>
            <w:r w:rsidRPr="00560D37">
              <w:rPr>
                <w:rFonts w:eastAsia="Arial Narrow" w:cs="Arial Narrow"/>
                <w:b/>
                <w:iCs/>
                <w:color w:val="000000" w:themeColor="text1"/>
                <w:szCs w:val="20"/>
              </w:rPr>
              <w:t>Cost (S)</w:t>
            </w:r>
          </w:p>
        </w:tc>
        <w:tc>
          <w:tcPr>
            <w:tcW w:w="658" w:type="pct"/>
          </w:tcPr>
          <w:p w14:paraId="4223876D" w14:textId="77777777" w:rsidR="0017012A" w:rsidRPr="00560D37" w:rsidRDefault="0017012A" w:rsidP="00CC71B0">
            <w:pPr>
              <w:pStyle w:val="TableText0"/>
              <w:jc w:val="center"/>
              <w:rPr>
                <w:rFonts w:eastAsia="Arial Narrow"/>
                <w:b/>
                <w:iCs/>
                <w:color w:val="000000" w:themeColor="text1"/>
                <w:szCs w:val="20"/>
              </w:rPr>
            </w:pPr>
            <w:r w:rsidRPr="00560D37">
              <w:rPr>
                <w:rFonts w:eastAsia="Arial Narrow" w:cs="Arial Narrow"/>
                <w:b/>
                <w:iCs/>
                <w:color w:val="000000" w:themeColor="text1"/>
                <w:szCs w:val="20"/>
              </w:rPr>
              <w:t>QALY</w:t>
            </w:r>
          </w:p>
        </w:tc>
        <w:tc>
          <w:tcPr>
            <w:tcW w:w="658" w:type="pct"/>
            <w:shd w:val="clear" w:color="auto" w:fill="auto"/>
          </w:tcPr>
          <w:p w14:paraId="680F485F" w14:textId="5688DE4B" w:rsidR="0017012A" w:rsidRPr="00560D37" w:rsidRDefault="0017012A" w:rsidP="00CC71B0">
            <w:pPr>
              <w:pStyle w:val="TableText0"/>
              <w:jc w:val="center"/>
              <w:rPr>
                <w:rFonts w:eastAsia="Arial Narrow"/>
                <w:b/>
                <w:iCs/>
                <w:color w:val="000000" w:themeColor="text1"/>
                <w:szCs w:val="20"/>
              </w:rPr>
            </w:pPr>
            <w:r w:rsidRPr="00560D37">
              <w:rPr>
                <w:rFonts w:eastAsia="Arial Narrow" w:cs="Arial Narrow"/>
                <w:b/>
                <w:iCs/>
                <w:color w:val="000000" w:themeColor="text1"/>
                <w:szCs w:val="20"/>
              </w:rPr>
              <w:t xml:space="preserve">$/QALY </w:t>
            </w:r>
            <w:r w:rsidR="00A52360" w:rsidRPr="00560D37">
              <w:rPr>
                <w:rFonts w:eastAsia="Arial Narrow" w:cs="Arial Narrow"/>
                <w:b/>
                <w:iCs/>
                <w:color w:val="000000" w:themeColor="text1"/>
                <w:szCs w:val="20"/>
                <w:vertAlign w:val="superscript"/>
              </w:rPr>
              <w:t>b</w:t>
            </w:r>
          </w:p>
        </w:tc>
        <w:tc>
          <w:tcPr>
            <w:tcW w:w="620" w:type="pct"/>
          </w:tcPr>
          <w:p w14:paraId="2D58544E" w14:textId="77777777" w:rsidR="0017012A" w:rsidRPr="00560D37" w:rsidRDefault="0017012A" w:rsidP="00CC71B0">
            <w:pPr>
              <w:pStyle w:val="TableText0"/>
              <w:jc w:val="center"/>
              <w:rPr>
                <w:rFonts w:eastAsia="Arial Narrow"/>
                <w:b/>
                <w:iCs/>
                <w:color w:val="000000" w:themeColor="text1"/>
                <w:szCs w:val="20"/>
              </w:rPr>
            </w:pPr>
            <w:r w:rsidRPr="00560D37">
              <w:rPr>
                <w:rFonts w:eastAsia="Arial Narrow" w:cs="Arial Narrow"/>
                <w:b/>
                <w:iCs/>
                <w:color w:val="000000" w:themeColor="text1"/>
                <w:szCs w:val="20"/>
              </w:rPr>
              <w:t>Cost (S)</w:t>
            </w:r>
          </w:p>
        </w:tc>
        <w:tc>
          <w:tcPr>
            <w:tcW w:w="495" w:type="pct"/>
          </w:tcPr>
          <w:p w14:paraId="30A70E7A" w14:textId="77777777" w:rsidR="0017012A" w:rsidRPr="00560D37" w:rsidRDefault="0017012A" w:rsidP="00CC71B0">
            <w:pPr>
              <w:pStyle w:val="TableText0"/>
              <w:jc w:val="center"/>
              <w:rPr>
                <w:rFonts w:eastAsia="Arial Narrow"/>
                <w:b/>
                <w:iCs/>
                <w:color w:val="000000" w:themeColor="text1"/>
                <w:szCs w:val="20"/>
              </w:rPr>
            </w:pPr>
            <w:r w:rsidRPr="00560D37">
              <w:rPr>
                <w:rFonts w:eastAsia="Arial Narrow" w:cs="Arial Narrow"/>
                <w:b/>
                <w:iCs/>
                <w:color w:val="000000" w:themeColor="text1"/>
                <w:szCs w:val="20"/>
              </w:rPr>
              <w:t>QALY</w:t>
            </w:r>
          </w:p>
        </w:tc>
        <w:tc>
          <w:tcPr>
            <w:tcW w:w="569" w:type="pct"/>
            <w:shd w:val="clear" w:color="auto" w:fill="auto"/>
          </w:tcPr>
          <w:p w14:paraId="13E32581" w14:textId="77A9BD3E" w:rsidR="0017012A" w:rsidRPr="00560D37" w:rsidRDefault="0017012A" w:rsidP="00CC71B0">
            <w:pPr>
              <w:pStyle w:val="TableText0"/>
              <w:jc w:val="center"/>
              <w:rPr>
                <w:rFonts w:eastAsia="Arial Narrow"/>
                <w:b/>
                <w:iCs/>
                <w:color w:val="000000" w:themeColor="text1"/>
                <w:szCs w:val="20"/>
              </w:rPr>
            </w:pPr>
            <w:r w:rsidRPr="00560D37">
              <w:rPr>
                <w:rFonts w:eastAsia="Arial Narrow" w:cs="Arial Narrow"/>
                <w:b/>
                <w:iCs/>
                <w:color w:val="000000" w:themeColor="text1"/>
                <w:szCs w:val="20"/>
              </w:rPr>
              <w:t>$/QALY</w:t>
            </w:r>
            <w:r w:rsidR="00A52360" w:rsidRPr="00560D37">
              <w:rPr>
                <w:rFonts w:eastAsia="Arial Narrow" w:cs="Arial Narrow"/>
                <w:b/>
                <w:iCs/>
                <w:color w:val="000000" w:themeColor="text1"/>
                <w:szCs w:val="20"/>
              </w:rPr>
              <w:t xml:space="preserve"> </w:t>
            </w:r>
            <w:r w:rsidR="00A52360" w:rsidRPr="00560D37">
              <w:rPr>
                <w:rFonts w:eastAsia="Arial Narrow" w:cs="Arial Narrow"/>
                <w:b/>
                <w:iCs/>
                <w:color w:val="000000" w:themeColor="text1"/>
                <w:szCs w:val="20"/>
                <w:vertAlign w:val="superscript"/>
              </w:rPr>
              <w:t>b</w:t>
            </w:r>
          </w:p>
        </w:tc>
      </w:tr>
      <w:tr w:rsidR="0017012A" w:rsidRPr="00560D37" w14:paraId="16223652" w14:textId="77777777" w:rsidTr="001D46CC">
        <w:trPr>
          <w:trHeight w:val="255"/>
        </w:trPr>
        <w:tc>
          <w:tcPr>
            <w:tcW w:w="1343" w:type="pct"/>
            <w:shd w:val="clear" w:color="auto" w:fill="auto"/>
          </w:tcPr>
          <w:p w14:paraId="24CBEB4B" w14:textId="77777777" w:rsidR="0017012A" w:rsidRPr="00560D37" w:rsidRDefault="0017012A" w:rsidP="00CC71B0">
            <w:pPr>
              <w:pStyle w:val="TableText0"/>
              <w:rPr>
                <w:iCs/>
                <w:szCs w:val="20"/>
                <w:vertAlign w:val="superscript"/>
              </w:rPr>
            </w:pPr>
            <w:r w:rsidRPr="00560D37">
              <w:rPr>
                <w:rFonts w:eastAsia="Arial Narrow"/>
                <w:b/>
                <w:iCs/>
                <w:color w:val="000000" w:themeColor="text1"/>
                <w:szCs w:val="20"/>
              </w:rPr>
              <w:t>Base case for non-Indigenous adults ≥ 70 years</w:t>
            </w:r>
          </w:p>
        </w:tc>
        <w:tc>
          <w:tcPr>
            <w:tcW w:w="657" w:type="pct"/>
            <w:vAlign w:val="center"/>
          </w:tcPr>
          <w:p w14:paraId="3E0E59EA" w14:textId="75AF12D9" w:rsidR="0017012A" w:rsidRPr="00D358DB" w:rsidRDefault="0017012A" w:rsidP="001D46CC">
            <w:pPr>
              <w:pStyle w:val="TableText0"/>
              <w:jc w:val="center"/>
              <w:rPr>
                <w:rFonts w:cs="Arial"/>
                <w:b/>
                <w:bCs w:val="0"/>
                <w:iCs/>
                <w:szCs w:val="20"/>
                <w:highlight w:val="darkGray"/>
              </w:rPr>
            </w:pPr>
            <w:r w:rsidRPr="00E5290F">
              <w:rPr>
                <w:b/>
                <w:bCs w:val="0"/>
                <w:iCs/>
              </w:rPr>
              <w:t>-</w:t>
            </w:r>
            <w:r w:rsidR="006A414A" w:rsidRPr="006A414A">
              <w:rPr>
                <w:rFonts w:hint="eastAsia"/>
                <w:b/>
                <w:bCs w:val="0"/>
                <w:iCs/>
                <w:color w:val="000000"/>
                <w:w w:val="30"/>
                <w:shd w:val="solid" w:color="000000" w:fill="000000"/>
                <w:fitText w:val="138" w:id="-1303199730"/>
                <w14:textFill>
                  <w14:solidFill>
                    <w14:srgbClr w14:val="000000">
                      <w14:alpha w14:val="100000"/>
                    </w14:srgbClr>
                  </w14:solidFill>
                </w14:textFill>
              </w:rPr>
              <w:t xml:space="preserve">　</w:t>
            </w:r>
            <w:r w:rsidR="006A414A" w:rsidRPr="006A414A">
              <w:rPr>
                <w:b/>
                <w:bCs w:val="0"/>
                <w:iCs/>
                <w:color w:val="000000"/>
                <w:w w:val="30"/>
                <w:shd w:val="solid" w:color="000000" w:fill="000000"/>
                <w:fitText w:val="138" w:id="-1303199730"/>
                <w14:textFill>
                  <w14:solidFill>
                    <w14:srgbClr w14:val="000000">
                      <w14:alpha w14:val="100000"/>
                    </w14:srgbClr>
                  </w14:solidFill>
                </w14:textFill>
              </w:rPr>
              <w:t>|</w:t>
            </w:r>
            <w:r w:rsidR="006A414A" w:rsidRPr="006A414A">
              <w:rPr>
                <w:rFonts w:hint="eastAsia"/>
                <w:b/>
                <w:bCs w:val="0"/>
                <w:iCs/>
                <w:color w:val="000000"/>
                <w:spacing w:val="4"/>
                <w:w w:val="30"/>
                <w:shd w:val="solid" w:color="000000" w:fill="000000"/>
                <w:fitText w:val="138" w:id="-1303199730"/>
                <w14:textFill>
                  <w14:solidFill>
                    <w14:srgbClr w14:val="000000">
                      <w14:alpha w14:val="100000"/>
                    </w14:srgbClr>
                  </w14:solidFill>
                </w14:textFill>
              </w:rPr>
              <w:t xml:space="preserve">　</w:t>
            </w:r>
          </w:p>
        </w:tc>
        <w:tc>
          <w:tcPr>
            <w:tcW w:w="658" w:type="pct"/>
            <w:vAlign w:val="center"/>
          </w:tcPr>
          <w:p w14:paraId="479C2C4A" w14:textId="77777777" w:rsidR="0017012A" w:rsidRPr="00560D37" w:rsidRDefault="0017012A" w:rsidP="001D46CC">
            <w:pPr>
              <w:pStyle w:val="TableText0"/>
              <w:jc w:val="center"/>
              <w:rPr>
                <w:rFonts w:cs="Arial"/>
                <w:b/>
                <w:bCs w:val="0"/>
                <w:iCs/>
                <w:szCs w:val="20"/>
              </w:rPr>
            </w:pPr>
            <w:r w:rsidRPr="00560D37">
              <w:rPr>
                <w:b/>
                <w:bCs w:val="0"/>
                <w:iCs/>
              </w:rPr>
              <w:t>1.91</w:t>
            </w:r>
          </w:p>
        </w:tc>
        <w:tc>
          <w:tcPr>
            <w:tcW w:w="658" w:type="pct"/>
            <w:shd w:val="clear" w:color="auto" w:fill="auto"/>
            <w:vAlign w:val="center"/>
          </w:tcPr>
          <w:p w14:paraId="4D5BFB42" w14:textId="77777777" w:rsidR="0017012A" w:rsidRPr="00560D37" w:rsidRDefault="0017012A" w:rsidP="001D46CC">
            <w:pPr>
              <w:pStyle w:val="TableText0"/>
              <w:jc w:val="center"/>
              <w:rPr>
                <w:rFonts w:cs="Arial"/>
                <w:b/>
                <w:bCs w:val="0"/>
                <w:iCs/>
                <w:szCs w:val="20"/>
              </w:rPr>
            </w:pPr>
            <w:r w:rsidRPr="00560D37">
              <w:rPr>
                <w:b/>
                <w:bCs w:val="0"/>
                <w:iCs/>
              </w:rPr>
              <w:t>Dominant</w:t>
            </w:r>
          </w:p>
        </w:tc>
        <w:tc>
          <w:tcPr>
            <w:tcW w:w="620" w:type="pct"/>
            <w:vAlign w:val="center"/>
          </w:tcPr>
          <w:p w14:paraId="5CC2EDCA" w14:textId="3781F101" w:rsidR="0017012A" w:rsidRPr="00D358DB" w:rsidRDefault="0017012A" w:rsidP="001D46CC">
            <w:pPr>
              <w:pStyle w:val="TableText0"/>
              <w:jc w:val="center"/>
              <w:rPr>
                <w:rFonts w:cs="Arial"/>
                <w:b/>
                <w:bCs w:val="0"/>
                <w:iCs/>
                <w:szCs w:val="20"/>
                <w:highlight w:val="darkGray"/>
              </w:rPr>
            </w:pPr>
            <w:r w:rsidRPr="00E5290F">
              <w:rPr>
                <w:b/>
                <w:bCs w:val="0"/>
                <w:iCs/>
              </w:rPr>
              <w:t>-</w:t>
            </w:r>
            <w:r w:rsidR="006A414A" w:rsidRPr="006A414A">
              <w:rPr>
                <w:b/>
                <w:bCs w:val="0"/>
                <w:iCs/>
                <w:color w:val="000000"/>
                <w:spacing w:val="71"/>
                <w:shd w:val="solid" w:color="000000" w:fill="000000"/>
                <w:fitText w:val="163" w:id="-1303199729"/>
                <w14:textFill>
                  <w14:solidFill>
                    <w14:srgbClr w14:val="000000">
                      <w14:alpha w14:val="100000"/>
                    </w14:srgbClr>
                  </w14:solidFill>
                </w14:textFill>
              </w:rPr>
              <w:t>|</w:t>
            </w:r>
            <w:r w:rsidR="006A414A" w:rsidRPr="006A414A">
              <w:rPr>
                <w:b/>
                <w:bCs w:val="0"/>
                <w:iCs/>
                <w:color w:val="000000"/>
                <w:spacing w:val="1"/>
                <w:shd w:val="solid" w:color="000000" w:fill="000000"/>
                <w:fitText w:val="163" w:id="-1303199729"/>
                <w14:textFill>
                  <w14:solidFill>
                    <w14:srgbClr w14:val="000000">
                      <w14:alpha w14:val="100000"/>
                    </w14:srgbClr>
                  </w14:solidFill>
                </w14:textFill>
              </w:rPr>
              <w:t>|</w:t>
            </w:r>
          </w:p>
        </w:tc>
        <w:tc>
          <w:tcPr>
            <w:tcW w:w="495" w:type="pct"/>
            <w:vAlign w:val="center"/>
          </w:tcPr>
          <w:p w14:paraId="3D293DEB" w14:textId="77777777" w:rsidR="0017012A" w:rsidRPr="00560D37" w:rsidRDefault="0017012A" w:rsidP="001D46CC">
            <w:pPr>
              <w:pStyle w:val="TableText0"/>
              <w:jc w:val="center"/>
              <w:rPr>
                <w:rFonts w:cs="Arial"/>
                <w:b/>
                <w:bCs w:val="0"/>
                <w:iCs/>
                <w:szCs w:val="20"/>
              </w:rPr>
            </w:pPr>
            <w:r w:rsidRPr="00560D37">
              <w:rPr>
                <w:b/>
                <w:bCs w:val="0"/>
                <w:iCs/>
              </w:rPr>
              <w:t>0.82</w:t>
            </w:r>
          </w:p>
        </w:tc>
        <w:tc>
          <w:tcPr>
            <w:tcW w:w="569" w:type="pct"/>
            <w:shd w:val="clear" w:color="auto" w:fill="auto"/>
            <w:vAlign w:val="center"/>
          </w:tcPr>
          <w:p w14:paraId="72392A8C" w14:textId="77777777" w:rsidR="0017012A" w:rsidRPr="00560D37" w:rsidRDefault="0017012A" w:rsidP="001D46CC">
            <w:pPr>
              <w:pStyle w:val="TableText0"/>
              <w:jc w:val="center"/>
              <w:rPr>
                <w:rFonts w:cs="Arial"/>
                <w:b/>
                <w:bCs w:val="0"/>
                <w:iCs/>
                <w:szCs w:val="20"/>
              </w:rPr>
            </w:pPr>
            <w:r w:rsidRPr="00560D37">
              <w:rPr>
                <w:b/>
                <w:bCs w:val="0"/>
                <w:iCs/>
              </w:rPr>
              <w:t>Dominant</w:t>
            </w:r>
          </w:p>
        </w:tc>
      </w:tr>
      <w:tr w:rsidR="0017012A" w:rsidRPr="00560D37" w14:paraId="220F8E9C" w14:textId="77777777" w:rsidTr="006A414A">
        <w:trPr>
          <w:trHeight w:val="255"/>
        </w:trPr>
        <w:tc>
          <w:tcPr>
            <w:tcW w:w="1343" w:type="pct"/>
            <w:shd w:val="clear" w:color="auto" w:fill="auto"/>
          </w:tcPr>
          <w:p w14:paraId="398AAC33" w14:textId="77777777" w:rsidR="0017012A" w:rsidRPr="00560D37" w:rsidRDefault="0017012A" w:rsidP="00CC71B0">
            <w:pPr>
              <w:pStyle w:val="TableText0"/>
              <w:rPr>
                <w:rFonts w:cs="Arial"/>
                <w:iCs/>
                <w:szCs w:val="20"/>
                <w:vertAlign w:val="superscript"/>
              </w:rPr>
            </w:pPr>
            <w:r w:rsidRPr="00560D37">
              <w:rPr>
                <w:rFonts w:cs="Arial"/>
                <w:iCs/>
                <w:szCs w:val="20"/>
              </w:rPr>
              <w:t>Reduced by 5%</w:t>
            </w:r>
          </w:p>
        </w:tc>
        <w:tc>
          <w:tcPr>
            <w:tcW w:w="657" w:type="pct"/>
            <w:vAlign w:val="center"/>
          </w:tcPr>
          <w:p w14:paraId="17FCF426" w14:textId="020CBE0F" w:rsidR="0017012A" w:rsidRPr="00D358DB" w:rsidRDefault="0017012A" w:rsidP="001D46CC">
            <w:pPr>
              <w:pStyle w:val="TableText0"/>
              <w:jc w:val="center"/>
              <w:rPr>
                <w:iCs/>
                <w:szCs w:val="20"/>
                <w:highlight w:val="darkGray"/>
              </w:rPr>
            </w:pPr>
            <w:r w:rsidRPr="00E5290F">
              <w:rPr>
                <w:iCs/>
                <w:szCs w:val="20"/>
              </w:rPr>
              <w:t>-</w:t>
            </w:r>
            <w:r w:rsidR="006A414A" w:rsidRPr="006A414A">
              <w:rPr>
                <w:rFonts w:hint="eastAsia"/>
                <w:iCs/>
                <w:color w:val="000000"/>
                <w:w w:val="31"/>
                <w:szCs w:val="20"/>
                <w:shd w:val="solid" w:color="000000" w:fill="000000"/>
                <w:fitText w:val="138" w:id="-1303199728"/>
                <w14:textFill>
                  <w14:solidFill>
                    <w14:srgbClr w14:val="000000">
                      <w14:alpha w14:val="100000"/>
                    </w14:srgbClr>
                  </w14:solidFill>
                </w14:textFill>
              </w:rPr>
              <w:t xml:space="preserve">　</w:t>
            </w:r>
            <w:r w:rsidR="006A414A" w:rsidRPr="006A414A">
              <w:rPr>
                <w:iCs/>
                <w:color w:val="000000"/>
                <w:w w:val="31"/>
                <w:szCs w:val="20"/>
                <w:shd w:val="solid" w:color="000000" w:fill="000000"/>
                <w:fitText w:val="138" w:id="-1303199728"/>
                <w14:textFill>
                  <w14:solidFill>
                    <w14:srgbClr w14:val="000000">
                      <w14:alpha w14:val="100000"/>
                    </w14:srgbClr>
                  </w14:solidFill>
                </w14:textFill>
              </w:rPr>
              <w:t>|</w:t>
            </w:r>
            <w:r w:rsidR="006A414A" w:rsidRPr="006A414A">
              <w:rPr>
                <w:rFonts w:hint="eastAsia"/>
                <w:iCs/>
                <w:color w:val="000000"/>
                <w:w w:val="31"/>
                <w:szCs w:val="20"/>
                <w:shd w:val="solid" w:color="000000" w:fill="000000"/>
                <w:fitText w:val="138" w:id="-1303199728"/>
                <w14:textFill>
                  <w14:solidFill>
                    <w14:srgbClr w14:val="000000">
                      <w14:alpha w14:val="100000"/>
                    </w14:srgbClr>
                  </w14:solidFill>
                </w14:textFill>
              </w:rPr>
              <w:t xml:space="preserve">　</w:t>
            </w:r>
          </w:p>
        </w:tc>
        <w:tc>
          <w:tcPr>
            <w:tcW w:w="658" w:type="pct"/>
            <w:vAlign w:val="center"/>
          </w:tcPr>
          <w:p w14:paraId="5E2F248E" w14:textId="77777777" w:rsidR="0017012A" w:rsidRPr="00560D37" w:rsidRDefault="0017012A" w:rsidP="001D46CC">
            <w:pPr>
              <w:pStyle w:val="TableText0"/>
              <w:jc w:val="center"/>
              <w:rPr>
                <w:iCs/>
                <w:szCs w:val="20"/>
              </w:rPr>
            </w:pPr>
            <w:r w:rsidRPr="00560D37">
              <w:rPr>
                <w:iCs/>
                <w:szCs w:val="20"/>
              </w:rPr>
              <w:t>1.66</w:t>
            </w:r>
          </w:p>
        </w:tc>
        <w:tc>
          <w:tcPr>
            <w:tcW w:w="658" w:type="pct"/>
            <w:shd w:val="clear" w:color="auto" w:fill="auto"/>
            <w:vAlign w:val="center"/>
          </w:tcPr>
          <w:p w14:paraId="519A31C1" w14:textId="77777777" w:rsidR="0017012A" w:rsidRPr="00560D37" w:rsidRDefault="0017012A" w:rsidP="001D46CC">
            <w:pPr>
              <w:pStyle w:val="TableText0"/>
              <w:jc w:val="center"/>
              <w:rPr>
                <w:iCs/>
                <w:szCs w:val="20"/>
              </w:rPr>
            </w:pPr>
            <w:r w:rsidRPr="00560D37">
              <w:rPr>
                <w:iCs/>
              </w:rPr>
              <w:t>Dominant</w:t>
            </w:r>
          </w:p>
        </w:tc>
        <w:tc>
          <w:tcPr>
            <w:tcW w:w="620" w:type="pct"/>
            <w:tcBorders>
              <w:bottom w:val="single" w:sz="4" w:space="0" w:color="auto"/>
            </w:tcBorders>
            <w:vAlign w:val="center"/>
          </w:tcPr>
          <w:p w14:paraId="23738E9C" w14:textId="125CF570" w:rsidR="0017012A" w:rsidRPr="00D358DB" w:rsidRDefault="0017012A" w:rsidP="001D46CC">
            <w:pPr>
              <w:pStyle w:val="TableText0"/>
              <w:jc w:val="center"/>
              <w:rPr>
                <w:iCs/>
                <w:szCs w:val="20"/>
                <w:highlight w:val="darkGray"/>
              </w:rPr>
            </w:pPr>
            <w:r w:rsidRPr="00E5290F">
              <w:rPr>
                <w:iCs/>
                <w:szCs w:val="20"/>
              </w:rPr>
              <w:t>-</w:t>
            </w:r>
            <w:r w:rsidR="006A414A" w:rsidRPr="006A414A">
              <w:rPr>
                <w:iCs/>
                <w:color w:val="000000"/>
                <w:spacing w:val="77"/>
                <w:szCs w:val="20"/>
                <w:shd w:val="solid" w:color="000000" w:fill="000000"/>
                <w:fitText w:val="163" w:id="-1303199744"/>
                <w14:textFill>
                  <w14:solidFill>
                    <w14:srgbClr w14:val="000000">
                      <w14:alpha w14:val="100000"/>
                    </w14:srgbClr>
                  </w14:solidFill>
                </w14:textFill>
              </w:rPr>
              <w:t>|</w:t>
            </w:r>
            <w:r w:rsidR="006A414A" w:rsidRPr="006A414A">
              <w:rPr>
                <w:iCs/>
                <w:color w:val="000000"/>
                <w:spacing w:val="1"/>
                <w:szCs w:val="20"/>
                <w:shd w:val="solid" w:color="000000" w:fill="000000"/>
                <w:fitText w:val="163" w:id="-1303199744"/>
                <w14:textFill>
                  <w14:solidFill>
                    <w14:srgbClr w14:val="000000">
                      <w14:alpha w14:val="100000"/>
                    </w14:srgbClr>
                  </w14:solidFill>
                </w14:textFill>
              </w:rPr>
              <w:t>|</w:t>
            </w:r>
          </w:p>
        </w:tc>
        <w:tc>
          <w:tcPr>
            <w:tcW w:w="495" w:type="pct"/>
            <w:vAlign w:val="center"/>
          </w:tcPr>
          <w:p w14:paraId="2332B3D1" w14:textId="77777777" w:rsidR="0017012A" w:rsidRPr="00560D37" w:rsidRDefault="0017012A" w:rsidP="001D46CC">
            <w:pPr>
              <w:pStyle w:val="TableText0"/>
              <w:jc w:val="center"/>
              <w:rPr>
                <w:iCs/>
                <w:szCs w:val="20"/>
              </w:rPr>
            </w:pPr>
            <w:r w:rsidRPr="00560D37">
              <w:rPr>
                <w:iCs/>
                <w:szCs w:val="20"/>
              </w:rPr>
              <w:t>0.58</w:t>
            </w:r>
          </w:p>
        </w:tc>
        <w:tc>
          <w:tcPr>
            <w:tcW w:w="569" w:type="pct"/>
            <w:shd w:val="clear" w:color="auto" w:fill="auto"/>
            <w:vAlign w:val="center"/>
          </w:tcPr>
          <w:p w14:paraId="6B2914CB" w14:textId="77777777" w:rsidR="0017012A" w:rsidRPr="00560D37" w:rsidRDefault="0017012A" w:rsidP="001D46CC">
            <w:pPr>
              <w:pStyle w:val="TableText0"/>
              <w:jc w:val="center"/>
              <w:rPr>
                <w:iCs/>
                <w:szCs w:val="20"/>
              </w:rPr>
            </w:pPr>
            <w:r w:rsidRPr="00560D37">
              <w:rPr>
                <w:iCs/>
              </w:rPr>
              <w:t>Dominant</w:t>
            </w:r>
          </w:p>
        </w:tc>
      </w:tr>
      <w:tr w:rsidR="0017012A" w:rsidRPr="00560D37" w14:paraId="721D316D" w14:textId="77777777" w:rsidTr="006A414A">
        <w:trPr>
          <w:trHeight w:val="255"/>
        </w:trPr>
        <w:tc>
          <w:tcPr>
            <w:tcW w:w="1343" w:type="pct"/>
            <w:shd w:val="clear" w:color="auto" w:fill="auto"/>
          </w:tcPr>
          <w:p w14:paraId="49DEA8A6" w14:textId="77777777" w:rsidR="0017012A" w:rsidRPr="00560D37" w:rsidRDefault="0017012A" w:rsidP="00CC71B0">
            <w:pPr>
              <w:pStyle w:val="TableText0"/>
              <w:rPr>
                <w:iCs/>
                <w:szCs w:val="20"/>
              </w:rPr>
            </w:pPr>
            <w:r w:rsidRPr="00560D37">
              <w:rPr>
                <w:iCs/>
                <w:szCs w:val="20"/>
              </w:rPr>
              <w:t>Reduced by 10%</w:t>
            </w:r>
          </w:p>
        </w:tc>
        <w:tc>
          <w:tcPr>
            <w:tcW w:w="657" w:type="pct"/>
            <w:vAlign w:val="center"/>
          </w:tcPr>
          <w:p w14:paraId="7DF8C80F" w14:textId="2D2F38D5" w:rsidR="0017012A" w:rsidRPr="00D358DB" w:rsidRDefault="0017012A" w:rsidP="001D46CC">
            <w:pPr>
              <w:pStyle w:val="TableText0"/>
              <w:jc w:val="center"/>
              <w:rPr>
                <w:iCs/>
                <w:szCs w:val="20"/>
                <w:highlight w:val="darkGray"/>
              </w:rPr>
            </w:pPr>
            <w:r w:rsidRPr="00E5290F">
              <w:rPr>
                <w:iCs/>
                <w:szCs w:val="20"/>
              </w:rPr>
              <w:t>-</w:t>
            </w:r>
            <w:r w:rsidR="006A414A" w:rsidRPr="006A414A">
              <w:rPr>
                <w:rFonts w:hint="eastAsia"/>
                <w:iCs/>
                <w:color w:val="000000"/>
                <w:w w:val="31"/>
                <w:szCs w:val="20"/>
                <w:shd w:val="solid" w:color="000000" w:fill="000000"/>
                <w:fitText w:val="138" w:id="-1303199743"/>
                <w14:textFill>
                  <w14:solidFill>
                    <w14:srgbClr w14:val="000000">
                      <w14:alpha w14:val="100000"/>
                    </w14:srgbClr>
                  </w14:solidFill>
                </w14:textFill>
              </w:rPr>
              <w:t xml:space="preserve">　</w:t>
            </w:r>
            <w:r w:rsidR="006A414A" w:rsidRPr="006A414A">
              <w:rPr>
                <w:iCs/>
                <w:color w:val="000000"/>
                <w:w w:val="31"/>
                <w:szCs w:val="20"/>
                <w:shd w:val="solid" w:color="000000" w:fill="000000"/>
                <w:fitText w:val="138" w:id="-1303199743"/>
                <w14:textFill>
                  <w14:solidFill>
                    <w14:srgbClr w14:val="000000">
                      <w14:alpha w14:val="100000"/>
                    </w14:srgbClr>
                  </w14:solidFill>
                </w14:textFill>
              </w:rPr>
              <w:t>|</w:t>
            </w:r>
            <w:r w:rsidR="006A414A" w:rsidRPr="006A414A">
              <w:rPr>
                <w:rFonts w:hint="eastAsia"/>
                <w:iCs/>
                <w:color w:val="000000"/>
                <w:w w:val="31"/>
                <w:szCs w:val="20"/>
                <w:shd w:val="solid" w:color="000000" w:fill="000000"/>
                <w:fitText w:val="138" w:id="-1303199743"/>
                <w14:textFill>
                  <w14:solidFill>
                    <w14:srgbClr w14:val="000000">
                      <w14:alpha w14:val="100000"/>
                    </w14:srgbClr>
                  </w14:solidFill>
                </w14:textFill>
              </w:rPr>
              <w:t xml:space="preserve">　</w:t>
            </w:r>
          </w:p>
        </w:tc>
        <w:tc>
          <w:tcPr>
            <w:tcW w:w="658" w:type="pct"/>
            <w:vAlign w:val="center"/>
          </w:tcPr>
          <w:p w14:paraId="4C1FECE5" w14:textId="77777777" w:rsidR="0017012A" w:rsidRPr="00560D37" w:rsidRDefault="0017012A" w:rsidP="001D46CC">
            <w:pPr>
              <w:pStyle w:val="TableText0"/>
              <w:jc w:val="center"/>
              <w:rPr>
                <w:iCs/>
                <w:szCs w:val="20"/>
              </w:rPr>
            </w:pPr>
            <w:r w:rsidRPr="00560D37">
              <w:rPr>
                <w:iCs/>
                <w:szCs w:val="20"/>
              </w:rPr>
              <w:t>1.42</w:t>
            </w:r>
          </w:p>
        </w:tc>
        <w:tc>
          <w:tcPr>
            <w:tcW w:w="658" w:type="pct"/>
            <w:shd w:val="clear" w:color="auto" w:fill="auto"/>
            <w:vAlign w:val="center"/>
          </w:tcPr>
          <w:p w14:paraId="7FCFFA5C" w14:textId="77777777" w:rsidR="0017012A" w:rsidRPr="00560D37" w:rsidRDefault="0017012A" w:rsidP="001D46CC">
            <w:pPr>
              <w:pStyle w:val="TableText0"/>
              <w:jc w:val="center"/>
              <w:rPr>
                <w:iCs/>
                <w:szCs w:val="20"/>
              </w:rPr>
            </w:pPr>
            <w:r w:rsidRPr="00560D37">
              <w:rPr>
                <w:iCs/>
              </w:rPr>
              <w:t>Dominant</w:t>
            </w:r>
          </w:p>
        </w:tc>
        <w:tc>
          <w:tcPr>
            <w:tcW w:w="620" w:type="pct"/>
            <w:tcBorders>
              <w:bottom w:val="single" w:sz="4" w:space="0" w:color="auto"/>
            </w:tcBorders>
            <w:shd w:val="solid" w:color="000000" w:fill="000000"/>
            <w:vAlign w:val="center"/>
          </w:tcPr>
          <w:p w14:paraId="68C48E36" w14:textId="08B954DA" w:rsidR="0017012A" w:rsidRPr="006A414A" w:rsidRDefault="006A414A" w:rsidP="001D46CC">
            <w:pPr>
              <w:pStyle w:val="TableText0"/>
              <w:jc w:val="center"/>
              <w:rPr>
                <w:iCs/>
                <w:szCs w:val="20"/>
              </w:rPr>
            </w:pPr>
            <w:r w:rsidRPr="006A414A">
              <w:rPr>
                <w:rFonts w:hint="eastAsia"/>
                <w:iCs/>
                <w:color w:val="000000"/>
                <w:w w:val="31"/>
                <w:szCs w:val="20"/>
                <w:fitText w:val="138" w:id="-1303199742"/>
                <w14:textFill>
                  <w14:solidFill>
                    <w14:srgbClr w14:val="000000">
                      <w14:alpha w14:val="100000"/>
                    </w14:srgbClr>
                  </w14:solidFill>
                </w14:textFill>
              </w:rPr>
              <w:t xml:space="preserve">　</w:t>
            </w:r>
            <w:r w:rsidRPr="006A414A">
              <w:rPr>
                <w:iCs/>
                <w:color w:val="000000"/>
                <w:w w:val="31"/>
                <w:szCs w:val="20"/>
                <w:fitText w:val="138" w:id="-1303199742"/>
                <w14:textFill>
                  <w14:solidFill>
                    <w14:srgbClr w14:val="000000">
                      <w14:alpha w14:val="100000"/>
                    </w14:srgbClr>
                  </w14:solidFill>
                </w14:textFill>
              </w:rPr>
              <w:t>|</w:t>
            </w:r>
            <w:r w:rsidRPr="006A414A">
              <w:rPr>
                <w:rFonts w:hint="eastAsia"/>
                <w:iCs/>
                <w:color w:val="000000"/>
                <w:w w:val="31"/>
                <w:szCs w:val="20"/>
                <w:fitText w:val="138" w:id="-1303199742"/>
                <w14:textFill>
                  <w14:solidFill>
                    <w14:srgbClr w14:val="000000">
                      <w14:alpha w14:val="100000"/>
                    </w14:srgbClr>
                  </w14:solidFill>
                </w14:textFill>
              </w:rPr>
              <w:t xml:space="preserve">　</w:t>
            </w:r>
          </w:p>
        </w:tc>
        <w:tc>
          <w:tcPr>
            <w:tcW w:w="495" w:type="pct"/>
            <w:vAlign w:val="center"/>
          </w:tcPr>
          <w:p w14:paraId="579091F2" w14:textId="77777777" w:rsidR="0017012A" w:rsidRPr="00560D37" w:rsidRDefault="0017012A" w:rsidP="001D46CC">
            <w:pPr>
              <w:pStyle w:val="TableText0"/>
              <w:jc w:val="center"/>
              <w:rPr>
                <w:iCs/>
                <w:szCs w:val="20"/>
              </w:rPr>
            </w:pPr>
            <w:r w:rsidRPr="00560D37">
              <w:rPr>
                <w:iCs/>
                <w:szCs w:val="20"/>
              </w:rPr>
              <w:t>0.34</w:t>
            </w:r>
          </w:p>
        </w:tc>
        <w:tc>
          <w:tcPr>
            <w:tcW w:w="569" w:type="pct"/>
            <w:shd w:val="clear" w:color="auto" w:fill="auto"/>
            <w:vAlign w:val="center"/>
          </w:tcPr>
          <w:p w14:paraId="603BD312" w14:textId="44CC9E28" w:rsidR="0017012A" w:rsidRPr="00D358DB" w:rsidRDefault="006A414A" w:rsidP="001D46CC">
            <w:pPr>
              <w:pStyle w:val="TableText0"/>
              <w:jc w:val="center"/>
              <w:rPr>
                <w:iCs/>
                <w:szCs w:val="20"/>
                <w:highlight w:val="darkGray"/>
              </w:rPr>
            </w:pPr>
            <w:r w:rsidRPr="006A414A">
              <w:rPr>
                <w:iCs/>
                <w:color w:val="000000"/>
                <w:spacing w:val="42"/>
                <w:szCs w:val="20"/>
                <w:shd w:val="solid" w:color="000000" w:fill="000000"/>
                <w:fitText w:val="213" w:id="-1303199741"/>
                <w14:textFill>
                  <w14:solidFill>
                    <w14:srgbClr w14:val="000000">
                      <w14:alpha w14:val="100000"/>
                    </w14:srgbClr>
                  </w14:solidFill>
                </w14:textFill>
              </w:rPr>
              <w:t>||</w:t>
            </w:r>
            <w:r w:rsidRPr="006A414A">
              <w:rPr>
                <w:iCs/>
                <w:color w:val="000000"/>
                <w:spacing w:val="2"/>
                <w:szCs w:val="20"/>
                <w:shd w:val="solid" w:color="000000" w:fill="000000"/>
                <w:fitText w:val="213" w:id="-1303199741"/>
                <w14:textFill>
                  <w14:solidFill>
                    <w14:srgbClr w14:val="000000">
                      <w14:alpha w14:val="100000"/>
                    </w14:srgbClr>
                  </w14:solidFill>
                </w14:textFill>
              </w:rPr>
              <w:t>|</w:t>
            </w:r>
            <w:r w:rsidR="00D358DB">
              <w:rPr>
                <w:rFonts w:eastAsia="Arial Narrow" w:cs="Arial Narrow"/>
                <w:b/>
                <w:iCs/>
                <w:szCs w:val="20"/>
                <w:vertAlign w:val="superscript"/>
              </w:rPr>
              <w:t>3</w:t>
            </w:r>
          </w:p>
        </w:tc>
      </w:tr>
      <w:tr w:rsidR="0017012A" w:rsidRPr="00560D37" w14:paraId="7B57E5E2" w14:textId="77777777" w:rsidTr="006A414A">
        <w:trPr>
          <w:trHeight w:val="255"/>
        </w:trPr>
        <w:tc>
          <w:tcPr>
            <w:tcW w:w="1343" w:type="pct"/>
            <w:shd w:val="clear" w:color="auto" w:fill="auto"/>
          </w:tcPr>
          <w:p w14:paraId="64FE2545" w14:textId="77777777" w:rsidR="0017012A" w:rsidRPr="00560D37" w:rsidRDefault="0017012A" w:rsidP="00CC71B0">
            <w:pPr>
              <w:pStyle w:val="TableText0"/>
              <w:rPr>
                <w:iCs/>
                <w:szCs w:val="20"/>
              </w:rPr>
            </w:pPr>
            <w:r w:rsidRPr="00560D37">
              <w:rPr>
                <w:iCs/>
                <w:szCs w:val="20"/>
              </w:rPr>
              <w:t>Reduced by 15%</w:t>
            </w:r>
          </w:p>
        </w:tc>
        <w:tc>
          <w:tcPr>
            <w:tcW w:w="657" w:type="pct"/>
            <w:vAlign w:val="center"/>
          </w:tcPr>
          <w:p w14:paraId="04E8BFE1" w14:textId="18FD15BF" w:rsidR="0017012A" w:rsidRPr="00D358DB" w:rsidRDefault="0017012A" w:rsidP="001D46CC">
            <w:pPr>
              <w:pStyle w:val="TableText0"/>
              <w:jc w:val="center"/>
              <w:rPr>
                <w:iCs/>
                <w:szCs w:val="20"/>
                <w:highlight w:val="darkGray"/>
              </w:rPr>
            </w:pPr>
            <w:r w:rsidRPr="00E5290F">
              <w:rPr>
                <w:iCs/>
                <w:szCs w:val="20"/>
              </w:rPr>
              <w:t>-</w:t>
            </w:r>
            <w:r w:rsidR="006A414A" w:rsidRPr="006A414A">
              <w:rPr>
                <w:rFonts w:hint="eastAsia"/>
                <w:iCs/>
                <w:color w:val="000000"/>
                <w:w w:val="31"/>
                <w:szCs w:val="20"/>
                <w:shd w:val="solid" w:color="000000" w:fill="000000"/>
                <w:fitText w:val="138" w:id="-1303199740"/>
                <w14:textFill>
                  <w14:solidFill>
                    <w14:srgbClr w14:val="000000">
                      <w14:alpha w14:val="100000"/>
                    </w14:srgbClr>
                  </w14:solidFill>
                </w14:textFill>
              </w:rPr>
              <w:t xml:space="preserve">　</w:t>
            </w:r>
            <w:r w:rsidR="006A414A" w:rsidRPr="006A414A">
              <w:rPr>
                <w:iCs/>
                <w:color w:val="000000"/>
                <w:w w:val="31"/>
                <w:szCs w:val="20"/>
                <w:shd w:val="solid" w:color="000000" w:fill="000000"/>
                <w:fitText w:val="138" w:id="-1303199740"/>
                <w14:textFill>
                  <w14:solidFill>
                    <w14:srgbClr w14:val="000000">
                      <w14:alpha w14:val="100000"/>
                    </w14:srgbClr>
                  </w14:solidFill>
                </w14:textFill>
              </w:rPr>
              <w:t>|</w:t>
            </w:r>
            <w:r w:rsidR="006A414A" w:rsidRPr="006A414A">
              <w:rPr>
                <w:rFonts w:hint="eastAsia"/>
                <w:iCs/>
                <w:color w:val="000000"/>
                <w:w w:val="31"/>
                <w:szCs w:val="20"/>
                <w:shd w:val="solid" w:color="000000" w:fill="000000"/>
                <w:fitText w:val="138" w:id="-1303199740"/>
                <w14:textFill>
                  <w14:solidFill>
                    <w14:srgbClr w14:val="000000">
                      <w14:alpha w14:val="100000"/>
                    </w14:srgbClr>
                  </w14:solidFill>
                </w14:textFill>
              </w:rPr>
              <w:t xml:space="preserve">　</w:t>
            </w:r>
          </w:p>
        </w:tc>
        <w:tc>
          <w:tcPr>
            <w:tcW w:w="658" w:type="pct"/>
            <w:vAlign w:val="center"/>
          </w:tcPr>
          <w:p w14:paraId="7015DF38" w14:textId="77777777" w:rsidR="0017012A" w:rsidRPr="00560D37" w:rsidRDefault="0017012A" w:rsidP="001D46CC">
            <w:pPr>
              <w:pStyle w:val="TableText0"/>
              <w:jc w:val="center"/>
              <w:rPr>
                <w:iCs/>
                <w:szCs w:val="20"/>
              </w:rPr>
            </w:pPr>
            <w:r w:rsidRPr="00560D37">
              <w:rPr>
                <w:iCs/>
                <w:szCs w:val="20"/>
              </w:rPr>
              <w:t>1.18</w:t>
            </w:r>
          </w:p>
        </w:tc>
        <w:tc>
          <w:tcPr>
            <w:tcW w:w="658" w:type="pct"/>
            <w:shd w:val="clear" w:color="auto" w:fill="auto"/>
            <w:vAlign w:val="center"/>
          </w:tcPr>
          <w:p w14:paraId="1221684C" w14:textId="77777777" w:rsidR="0017012A" w:rsidRPr="00560D37" w:rsidRDefault="0017012A" w:rsidP="001D46CC">
            <w:pPr>
              <w:pStyle w:val="TableText0"/>
              <w:jc w:val="center"/>
              <w:rPr>
                <w:iCs/>
                <w:szCs w:val="20"/>
              </w:rPr>
            </w:pPr>
            <w:r w:rsidRPr="00560D37">
              <w:rPr>
                <w:iCs/>
              </w:rPr>
              <w:t>Dominant</w:t>
            </w:r>
          </w:p>
        </w:tc>
        <w:tc>
          <w:tcPr>
            <w:tcW w:w="620" w:type="pct"/>
            <w:shd w:val="solid" w:color="000000" w:fill="000000"/>
            <w:vAlign w:val="center"/>
          </w:tcPr>
          <w:p w14:paraId="26AAF651" w14:textId="02BC1716" w:rsidR="0017012A" w:rsidRPr="006A414A" w:rsidRDefault="006A414A" w:rsidP="001D46CC">
            <w:pPr>
              <w:pStyle w:val="TableText0"/>
              <w:jc w:val="center"/>
              <w:rPr>
                <w:iCs/>
                <w:szCs w:val="20"/>
              </w:rPr>
            </w:pPr>
            <w:r w:rsidRPr="006A414A">
              <w:rPr>
                <w:rFonts w:hint="eastAsia"/>
                <w:iCs/>
                <w:color w:val="000000"/>
                <w:w w:val="31"/>
                <w:szCs w:val="20"/>
                <w:fitText w:val="138" w:id="-1303199739"/>
                <w14:textFill>
                  <w14:solidFill>
                    <w14:srgbClr w14:val="000000">
                      <w14:alpha w14:val="100000"/>
                    </w14:srgbClr>
                  </w14:solidFill>
                </w14:textFill>
              </w:rPr>
              <w:t xml:space="preserve">　</w:t>
            </w:r>
            <w:r w:rsidRPr="006A414A">
              <w:rPr>
                <w:iCs/>
                <w:color w:val="000000"/>
                <w:w w:val="31"/>
                <w:szCs w:val="20"/>
                <w:fitText w:val="138" w:id="-1303199739"/>
                <w14:textFill>
                  <w14:solidFill>
                    <w14:srgbClr w14:val="000000">
                      <w14:alpha w14:val="100000"/>
                    </w14:srgbClr>
                  </w14:solidFill>
                </w14:textFill>
              </w:rPr>
              <w:t>|</w:t>
            </w:r>
            <w:r w:rsidRPr="006A414A">
              <w:rPr>
                <w:rFonts w:hint="eastAsia"/>
                <w:iCs/>
                <w:color w:val="000000"/>
                <w:w w:val="31"/>
                <w:szCs w:val="20"/>
                <w:fitText w:val="138" w:id="-1303199739"/>
                <w14:textFill>
                  <w14:solidFill>
                    <w14:srgbClr w14:val="000000">
                      <w14:alpha w14:val="100000"/>
                    </w14:srgbClr>
                  </w14:solidFill>
                </w14:textFill>
              </w:rPr>
              <w:t xml:space="preserve">　</w:t>
            </w:r>
          </w:p>
        </w:tc>
        <w:tc>
          <w:tcPr>
            <w:tcW w:w="495" w:type="pct"/>
            <w:vAlign w:val="center"/>
          </w:tcPr>
          <w:p w14:paraId="07B83894" w14:textId="77777777" w:rsidR="0017012A" w:rsidRPr="00560D37" w:rsidRDefault="0017012A" w:rsidP="001D46CC">
            <w:pPr>
              <w:pStyle w:val="TableText0"/>
              <w:jc w:val="center"/>
              <w:rPr>
                <w:iCs/>
                <w:szCs w:val="20"/>
              </w:rPr>
            </w:pPr>
            <w:r w:rsidRPr="00560D37">
              <w:rPr>
                <w:iCs/>
                <w:szCs w:val="20"/>
              </w:rPr>
              <w:t>0.10</w:t>
            </w:r>
          </w:p>
        </w:tc>
        <w:tc>
          <w:tcPr>
            <w:tcW w:w="569" w:type="pct"/>
            <w:shd w:val="clear" w:color="auto" w:fill="auto"/>
            <w:vAlign w:val="center"/>
          </w:tcPr>
          <w:p w14:paraId="415F2D41" w14:textId="742221E1" w:rsidR="0017012A" w:rsidRPr="00D358DB" w:rsidRDefault="006A414A" w:rsidP="001D46CC">
            <w:pPr>
              <w:pStyle w:val="TableText0"/>
              <w:jc w:val="center"/>
              <w:rPr>
                <w:iCs/>
                <w:szCs w:val="20"/>
                <w:highlight w:val="darkGray"/>
              </w:rPr>
            </w:pPr>
            <w:r w:rsidRPr="006A414A">
              <w:rPr>
                <w:iCs/>
                <w:color w:val="000000"/>
                <w:spacing w:val="42"/>
                <w:szCs w:val="20"/>
                <w:shd w:val="solid" w:color="000000" w:fill="000000"/>
                <w:fitText w:val="213" w:id="-1303199738"/>
                <w14:textFill>
                  <w14:solidFill>
                    <w14:srgbClr w14:val="000000">
                      <w14:alpha w14:val="100000"/>
                    </w14:srgbClr>
                  </w14:solidFill>
                </w14:textFill>
              </w:rPr>
              <w:t>||</w:t>
            </w:r>
            <w:r w:rsidRPr="006A414A">
              <w:rPr>
                <w:iCs/>
                <w:color w:val="000000"/>
                <w:spacing w:val="2"/>
                <w:szCs w:val="20"/>
                <w:shd w:val="solid" w:color="000000" w:fill="000000"/>
                <w:fitText w:val="213" w:id="-1303199738"/>
                <w14:textFill>
                  <w14:solidFill>
                    <w14:srgbClr w14:val="000000">
                      <w14:alpha w14:val="100000"/>
                    </w14:srgbClr>
                  </w14:solidFill>
                </w14:textFill>
              </w:rPr>
              <w:t>|</w:t>
            </w:r>
            <w:r w:rsidR="00D358DB" w:rsidRPr="00D358DB">
              <w:rPr>
                <w:rFonts w:eastAsia="Arial Narrow" w:cs="Arial Narrow"/>
                <w:b/>
                <w:iCs/>
                <w:szCs w:val="20"/>
                <w:vertAlign w:val="superscript"/>
              </w:rPr>
              <w:t>1</w:t>
            </w:r>
          </w:p>
        </w:tc>
      </w:tr>
      <w:tr w:rsidR="0017012A" w:rsidRPr="00560D37" w14:paraId="2FDF4EF2" w14:textId="77777777" w:rsidTr="001D46CC">
        <w:trPr>
          <w:trHeight w:val="255"/>
        </w:trPr>
        <w:tc>
          <w:tcPr>
            <w:tcW w:w="1343" w:type="pct"/>
            <w:shd w:val="clear" w:color="auto" w:fill="auto"/>
          </w:tcPr>
          <w:p w14:paraId="761B160B" w14:textId="77777777" w:rsidR="0017012A" w:rsidRPr="00560D37" w:rsidRDefault="0017012A" w:rsidP="00CC71B0">
            <w:pPr>
              <w:pStyle w:val="TableText0"/>
              <w:rPr>
                <w:rFonts w:cs="Arial"/>
                <w:b/>
                <w:bCs w:val="0"/>
                <w:iCs/>
                <w:szCs w:val="20"/>
                <w:vertAlign w:val="superscript"/>
              </w:rPr>
            </w:pPr>
            <w:r w:rsidRPr="00560D37">
              <w:rPr>
                <w:rFonts w:cs="Arial"/>
                <w:b/>
                <w:bCs w:val="0"/>
                <w:iCs/>
                <w:szCs w:val="20"/>
              </w:rPr>
              <w:t>Base case for Indigenous Australians ≥ 50 years</w:t>
            </w:r>
          </w:p>
        </w:tc>
        <w:tc>
          <w:tcPr>
            <w:tcW w:w="657" w:type="pct"/>
            <w:vAlign w:val="center"/>
          </w:tcPr>
          <w:p w14:paraId="0829A972" w14:textId="11D960A2" w:rsidR="0017012A" w:rsidRPr="00D358DB" w:rsidRDefault="0017012A" w:rsidP="001D46CC">
            <w:pPr>
              <w:pStyle w:val="TableText0"/>
              <w:jc w:val="center"/>
              <w:rPr>
                <w:rFonts w:cs="Arial"/>
                <w:b/>
                <w:bCs w:val="0"/>
                <w:iCs/>
                <w:szCs w:val="20"/>
                <w:highlight w:val="darkGray"/>
              </w:rPr>
            </w:pPr>
            <w:r w:rsidRPr="00E5290F">
              <w:rPr>
                <w:b/>
                <w:bCs w:val="0"/>
                <w:iCs/>
              </w:rPr>
              <w:t>-</w:t>
            </w:r>
            <w:r w:rsidR="006A414A" w:rsidRPr="006A414A">
              <w:rPr>
                <w:rFonts w:hint="eastAsia"/>
                <w:b/>
                <w:bCs w:val="0"/>
                <w:iCs/>
                <w:color w:val="000000"/>
                <w:w w:val="30"/>
                <w:shd w:val="solid" w:color="000000" w:fill="000000"/>
                <w:fitText w:val="138" w:id="-1303199737"/>
                <w14:textFill>
                  <w14:solidFill>
                    <w14:srgbClr w14:val="000000">
                      <w14:alpha w14:val="100000"/>
                    </w14:srgbClr>
                  </w14:solidFill>
                </w14:textFill>
              </w:rPr>
              <w:t xml:space="preserve">　</w:t>
            </w:r>
            <w:r w:rsidR="006A414A" w:rsidRPr="006A414A">
              <w:rPr>
                <w:b/>
                <w:bCs w:val="0"/>
                <w:iCs/>
                <w:color w:val="000000"/>
                <w:w w:val="30"/>
                <w:shd w:val="solid" w:color="000000" w:fill="000000"/>
                <w:fitText w:val="138" w:id="-1303199737"/>
                <w14:textFill>
                  <w14:solidFill>
                    <w14:srgbClr w14:val="000000">
                      <w14:alpha w14:val="100000"/>
                    </w14:srgbClr>
                  </w14:solidFill>
                </w14:textFill>
              </w:rPr>
              <w:t>|</w:t>
            </w:r>
            <w:r w:rsidR="006A414A" w:rsidRPr="006A414A">
              <w:rPr>
                <w:rFonts w:hint="eastAsia"/>
                <w:b/>
                <w:bCs w:val="0"/>
                <w:iCs/>
                <w:color w:val="000000"/>
                <w:spacing w:val="4"/>
                <w:w w:val="30"/>
                <w:shd w:val="solid" w:color="000000" w:fill="000000"/>
                <w:fitText w:val="138" w:id="-1303199737"/>
                <w14:textFill>
                  <w14:solidFill>
                    <w14:srgbClr w14:val="000000">
                      <w14:alpha w14:val="100000"/>
                    </w14:srgbClr>
                  </w14:solidFill>
                </w14:textFill>
              </w:rPr>
              <w:t xml:space="preserve">　</w:t>
            </w:r>
          </w:p>
        </w:tc>
        <w:tc>
          <w:tcPr>
            <w:tcW w:w="658" w:type="pct"/>
            <w:vAlign w:val="center"/>
          </w:tcPr>
          <w:p w14:paraId="41564139" w14:textId="77777777" w:rsidR="0017012A" w:rsidRPr="00560D37" w:rsidRDefault="0017012A" w:rsidP="001D46CC">
            <w:pPr>
              <w:pStyle w:val="TableText0"/>
              <w:jc w:val="center"/>
              <w:rPr>
                <w:rFonts w:cs="Arial"/>
                <w:b/>
                <w:bCs w:val="0"/>
                <w:iCs/>
                <w:szCs w:val="20"/>
              </w:rPr>
            </w:pPr>
            <w:r w:rsidRPr="00560D37">
              <w:rPr>
                <w:b/>
                <w:bCs w:val="0"/>
                <w:iCs/>
              </w:rPr>
              <w:t>3.18</w:t>
            </w:r>
          </w:p>
        </w:tc>
        <w:tc>
          <w:tcPr>
            <w:tcW w:w="658" w:type="pct"/>
            <w:shd w:val="clear" w:color="auto" w:fill="auto"/>
            <w:vAlign w:val="center"/>
          </w:tcPr>
          <w:p w14:paraId="2510F423" w14:textId="77777777" w:rsidR="0017012A" w:rsidRPr="00560D37" w:rsidRDefault="0017012A" w:rsidP="001D46CC">
            <w:pPr>
              <w:pStyle w:val="TableText0"/>
              <w:jc w:val="center"/>
              <w:rPr>
                <w:rFonts w:cs="Arial"/>
                <w:b/>
                <w:bCs w:val="0"/>
                <w:iCs/>
                <w:szCs w:val="20"/>
              </w:rPr>
            </w:pPr>
            <w:r w:rsidRPr="00560D37">
              <w:rPr>
                <w:b/>
                <w:bCs w:val="0"/>
                <w:iCs/>
              </w:rPr>
              <w:t>Dominant</w:t>
            </w:r>
          </w:p>
        </w:tc>
        <w:tc>
          <w:tcPr>
            <w:tcW w:w="620" w:type="pct"/>
            <w:vAlign w:val="center"/>
          </w:tcPr>
          <w:p w14:paraId="1672A0AF" w14:textId="0CC8F593" w:rsidR="0017012A" w:rsidRPr="00D358DB" w:rsidRDefault="0017012A" w:rsidP="001D46CC">
            <w:pPr>
              <w:pStyle w:val="TableText0"/>
              <w:jc w:val="center"/>
              <w:rPr>
                <w:rFonts w:cs="Arial"/>
                <w:b/>
                <w:bCs w:val="0"/>
                <w:iCs/>
                <w:szCs w:val="20"/>
                <w:highlight w:val="darkGray"/>
              </w:rPr>
            </w:pPr>
            <w:r w:rsidRPr="00E5290F">
              <w:rPr>
                <w:b/>
                <w:bCs w:val="0"/>
                <w:iCs/>
              </w:rPr>
              <w:t>-</w:t>
            </w:r>
            <w:r w:rsidR="006A414A" w:rsidRPr="006A414A">
              <w:rPr>
                <w:b/>
                <w:bCs w:val="0"/>
                <w:iCs/>
                <w:color w:val="000000"/>
                <w:spacing w:val="71"/>
                <w:shd w:val="solid" w:color="000000" w:fill="000000"/>
                <w:fitText w:val="163" w:id="-1303199736"/>
                <w14:textFill>
                  <w14:solidFill>
                    <w14:srgbClr w14:val="000000">
                      <w14:alpha w14:val="100000"/>
                    </w14:srgbClr>
                  </w14:solidFill>
                </w14:textFill>
              </w:rPr>
              <w:t>|</w:t>
            </w:r>
            <w:r w:rsidR="006A414A" w:rsidRPr="006A414A">
              <w:rPr>
                <w:b/>
                <w:bCs w:val="0"/>
                <w:iCs/>
                <w:color w:val="000000"/>
                <w:spacing w:val="1"/>
                <w:shd w:val="solid" w:color="000000" w:fill="000000"/>
                <w:fitText w:val="163" w:id="-1303199736"/>
                <w14:textFill>
                  <w14:solidFill>
                    <w14:srgbClr w14:val="000000">
                      <w14:alpha w14:val="100000"/>
                    </w14:srgbClr>
                  </w14:solidFill>
                </w14:textFill>
              </w:rPr>
              <w:t>|</w:t>
            </w:r>
          </w:p>
        </w:tc>
        <w:tc>
          <w:tcPr>
            <w:tcW w:w="495" w:type="pct"/>
            <w:vAlign w:val="center"/>
          </w:tcPr>
          <w:p w14:paraId="468B155E" w14:textId="77777777" w:rsidR="0017012A" w:rsidRPr="00560D37" w:rsidRDefault="0017012A" w:rsidP="001D46CC">
            <w:pPr>
              <w:pStyle w:val="TableText0"/>
              <w:jc w:val="center"/>
              <w:rPr>
                <w:rFonts w:cs="Arial"/>
                <w:b/>
                <w:bCs w:val="0"/>
                <w:iCs/>
                <w:szCs w:val="20"/>
              </w:rPr>
            </w:pPr>
            <w:r w:rsidRPr="00560D37">
              <w:rPr>
                <w:b/>
                <w:bCs w:val="0"/>
                <w:iCs/>
              </w:rPr>
              <w:t>2.02</w:t>
            </w:r>
          </w:p>
        </w:tc>
        <w:tc>
          <w:tcPr>
            <w:tcW w:w="569" w:type="pct"/>
            <w:shd w:val="clear" w:color="auto" w:fill="auto"/>
            <w:vAlign w:val="center"/>
          </w:tcPr>
          <w:p w14:paraId="60BF8F0A" w14:textId="77777777" w:rsidR="0017012A" w:rsidRPr="00560D37" w:rsidRDefault="0017012A" w:rsidP="001D46CC">
            <w:pPr>
              <w:pStyle w:val="TableText0"/>
              <w:jc w:val="center"/>
              <w:rPr>
                <w:rFonts w:cs="Arial"/>
                <w:b/>
                <w:bCs w:val="0"/>
                <w:iCs/>
                <w:szCs w:val="20"/>
              </w:rPr>
            </w:pPr>
            <w:r w:rsidRPr="00560D37">
              <w:rPr>
                <w:b/>
                <w:bCs w:val="0"/>
                <w:iCs/>
              </w:rPr>
              <w:t>Dominant</w:t>
            </w:r>
          </w:p>
        </w:tc>
      </w:tr>
      <w:tr w:rsidR="0017012A" w:rsidRPr="00560D37" w14:paraId="530A93D9" w14:textId="77777777" w:rsidTr="001D46CC">
        <w:trPr>
          <w:trHeight w:val="255"/>
        </w:trPr>
        <w:tc>
          <w:tcPr>
            <w:tcW w:w="1343" w:type="pct"/>
            <w:shd w:val="clear" w:color="auto" w:fill="auto"/>
          </w:tcPr>
          <w:p w14:paraId="24E46B5D" w14:textId="77777777" w:rsidR="0017012A" w:rsidRPr="00560D37" w:rsidRDefault="0017012A" w:rsidP="00CC71B0">
            <w:pPr>
              <w:pStyle w:val="TableText0"/>
              <w:rPr>
                <w:rFonts w:cs="Arial"/>
                <w:iCs/>
                <w:szCs w:val="20"/>
                <w:vertAlign w:val="superscript"/>
              </w:rPr>
            </w:pPr>
            <w:r w:rsidRPr="00560D37">
              <w:rPr>
                <w:rFonts w:cs="Arial"/>
                <w:iCs/>
                <w:szCs w:val="20"/>
              </w:rPr>
              <w:t>Reduced by 5%</w:t>
            </w:r>
          </w:p>
        </w:tc>
        <w:tc>
          <w:tcPr>
            <w:tcW w:w="657" w:type="pct"/>
            <w:vAlign w:val="center"/>
          </w:tcPr>
          <w:p w14:paraId="69F79344" w14:textId="5AC63B68" w:rsidR="0017012A" w:rsidRPr="00D358DB" w:rsidRDefault="0017012A" w:rsidP="001D46CC">
            <w:pPr>
              <w:pStyle w:val="TableText0"/>
              <w:jc w:val="center"/>
              <w:rPr>
                <w:iCs/>
                <w:szCs w:val="20"/>
                <w:highlight w:val="darkGray"/>
              </w:rPr>
            </w:pPr>
            <w:r w:rsidRPr="00E5290F">
              <w:rPr>
                <w:iCs/>
                <w:szCs w:val="20"/>
              </w:rPr>
              <w:t>-</w:t>
            </w:r>
            <w:r w:rsidR="006A414A" w:rsidRPr="006A414A">
              <w:rPr>
                <w:rFonts w:hint="eastAsia"/>
                <w:iCs/>
                <w:color w:val="000000"/>
                <w:w w:val="31"/>
                <w:szCs w:val="20"/>
                <w:shd w:val="solid" w:color="000000" w:fill="000000"/>
                <w:fitText w:val="138" w:id="-1303199735"/>
                <w14:textFill>
                  <w14:solidFill>
                    <w14:srgbClr w14:val="000000">
                      <w14:alpha w14:val="100000"/>
                    </w14:srgbClr>
                  </w14:solidFill>
                </w14:textFill>
              </w:rPr>
              <w:t xml:space="preserve">　</w:t>
            </w:r>
            <w:r w:rsidR="006A414A" w:rsidRPr="006A414A">
              <w:rPr>
                <w:iCs/>
                <w:color w:val="000000"/>
                <w:w w:val="31"/>
                <w:szCs w:val="20"/>
                <w:shd w:val="solid" w:color="000000" w:fill="000000"/>
                <w:fitText w:val="138" w:id="-1303199735"/>
                <w14:textFill>
                  <w14:solidFill>
                    <w14:srgbClr w14:val="000000">
                      <w14:alpha w14:val="100000"/>
                    </w14:srgbClr>
                  </w14:solidFill>
                </w14:textFill>
              </w:rPr>
              <w:t>|</w:t>
            </w:r>
            <w:r w:rsidR="006A414A" w:rsidRPr="006A414A">
              <w:rPr>
                <w:rFonts w:hint="eastAsia"/>
                <w:iCs/>
                <w:color w:val="000000"/>
                <w:w w:val="31"/>
                <w:szCs w:val="20"/>
                <w:shd w:val="solid" w:color="000000" w:fill="000000"/>
                <w:fitText w:val="138" w:id="-1303199735"/>
                <w14:textFill>
                  <w14:solidFill>
                    <w14:srgbClr w14:val="000000">
                      <w14:alpha w14:val="100000"/>
                    </w14:srgbClr>
                  </w14:solidFill>
                </w14:textFill>
              </w:rPr>
              <w:t xml:space="preserve">　</w:t>
            </w:r>
          </w:p>
        </w:tc>
        <w:tc>
          <w:tcPr>
            <w:tcW w:w="658" w:type="pct"/>
            <w:vAlign w:val="center"/>
          </w:tcPr>
          <w:p w14:paraId="59D998A7" w14:textId="77777777" w:rsidR="0017012A" w:rsidRPr="00560D37" w:rsidRDefault="0017012A" w:rsidP="001D46CC">
            <w:pPr>
              <w:pStyle w:val="TableText0"/>
              <w:jc w:val="center"/>
              <w:rPr>
                <w:iCs/>
                <w:szCs w:val="20"/>
              </w:rPr>
            </w:pPr>
            <w:r w:rsidRPr="00560D37">
              <w:rPr>
                <w:iCs/>
                <w:szCs w:val="20"/>
              </w:rPr>
              <w:t>2.75</w:t>
            </w:r>
          </w:p>
        </w:tc>
        <w:tc>
          <w:tcPr>
            <w:tcW w:w="658" w:type="pct"/>
            <w:shd w:val="clear" w:color="auto" w:fill="auto"/>
            <w:vAlign w:val="center"/>
          </w:tcPr>
          <w:p w14:paraId="0BC22FAA" w14:textId="77777777" w:rsidR="0017012A" w:rsidRPr="00560D37" w:rsidRDefault="0017012A" w:rsidP="001D46CC">
            <w:pPr>
              <w:pStyle w:val="TableText0"/>
              <w:jc w:val="center"/>
              <w:rPr>
                <w:iCs/>
                <w:szCs w:val="20"/>
              </w:rPr>
            </w:pPr>
            <w:r w:rsidRPr="00560D37">
              <w:rPr>
                <w:iCs/>
              </w:rPr>
              <w:t>Dominant</w:t>
            </w:r>
          </w:p>
        </w:tc>
        <w:tc>
          <w:tcPr>
            <w:tcW w:w="620" w:type="pct"/>
            <w:vAlign w:val="center"/>
          </w:tcPr>
          <w:p w14:paraId="33AB3CF0" w14:textId="50161779" w:rsidR="0017012A" w:rsidRPr="00D358DB" w:rsidRDefault="0017012A" w:rsidP="001D46CC">
            <w:pPr>
              <w:pStyle w:val="TableText0"/>
              <w:jc w:val="center"/>
              <w:rPr>
                <w:iCs/>
                <w:szCs w:val="20"/>
                <w:highlight w:val="darkGray"/>
              </w:rPr>
            </w:pPr>
            <w:r w:rsidRPr="00E5290F">
              <w:rPr>
                <w:iCs/>
                <w:szCs w:val="20"/>
              </w:rPr>
              <w:t>-</w:t>
            </w:r>
            <w:r w:rsidR="006A414A" w:rsidRPr="006A414A">
              <w:rPr>
                <w:iCs/>
                <w:color w:val="000000"/>
                <w:spacing w:val="77"/>
                <w:szCs w:val="20"/>
                <w:shd w:val="solid" w:color="000000" w:fill="000000"/>
                <w:fitText w:val="163" w:id="-1303199734"/>
                <w14:textFill>
                  <w14:solidFill>
                    <w14:srgbClr w14:val="000000">
                      <w14:alpha w14:val="100000"/>
                    </w14:srgbClr>
                  </w14:solidFill>
                </w14:textFill>
              </w:rPr>
              <w:t>|</w:t>
            </w:r>
            <w:r w:rsidR="006A414A" w:rsidRPr="006A414A">
              <w:rPr>
                <w:iCs/>
                <w:color w:val="000000"/>
                <w:spacing w:val="1"/>
                <w:szCs w:val="20"/>
                <w:shd w:val="solid" w:color="000000" w:fill="000000"/>
                <w:fitText w:val="163" w:id="-1303199734"/>
                <w14:textFill>
                  <w14:solidFill>
                    <w14:srgbClr w14:val="000000">
                      <w14:alpha w14:val="100000"/>
                    </w14:srgbClr>
                  </w14:solidFill>
                </w14:textFill>
              </w:rPr>
              <w:t>|</w:t>
            </w:r>
          </w:p>
        </w:tc>
        <w:tc>
          <w:tcPr>
            <w:tcW w:w="495" w:type="pct"/>
            <w:vAlign w:val="center"/>
          </w:tcPr>
          <w:p w14:paraId="4B4D9529" w14:textId="77777777" w:rsidR="0017012A" w:rsidRPr="00560D37" w:rsidRDefault="0017012A" w:rsidP="001D46CC">
            <w:pPr>
              <w:pStyle w:val="TableText0"/>
              <w:jc w:val="center"/>
              <w:rPr>
                <w:iCs/>
                <w:szCs w:val="20"/>
              </w:rPr>
            </w:pPr>
            <w:r w:rsidRPr="00560D37">
              <w:rPr>
                <w:iCs/>
                <w:szCs w:val="20"/>
              </w:rPr>
              <w:t>1.58</w:t>
            </w:r>
          </w:p>
        </w:tc>
        <w:tc>
          <w:tcPr>
            <w:tcW w:w="569" w:type="pct"/>
            <w:shd w:val="clear" w:color="auto" w:fill="auto"/>
            <w:vAlign w:val="center"/>
          </w:tcPr>
          <w:p w14:paraId="7A6014CA" w14:textId="77777777" w:rsidR="0017012A" w:rsidRPr="00560D37" w:rsidRDefault="0017012A" w:rsidP="001D46CC">
            <w:pPr>
              <w:pStyle w:val="TableText0"/>
              <w:jc w:val="center"/>
              <w:rPr>
                <w:iCs/>
                <w:szCs w:val="20"/>
              </w:rPr>
            </w:pPr>
            <w:r w:rsidRPr="00560D37">
              <w:rPr>
                <w:iCs/>
              </w:rPr>
              <w:t>Dominant</w:t>
            </w:r>
          </w:p>
        </w:tc>
      </w:tr>
      <w:tr w:rsidR="0017012A" w:rsidRPr="00560D37" w14:paraId="149ED611" w14:textId="77777777" w:rsidTr="001D46CC">
        <w:trPr>
          <w:trHeight w:val="255"/>
        </w:trPr>
        <w:tc>
          <w:tcPr>
            <w:tcW w:w="1343" w:type="pct"/>
            <w:shd w:val="clear" w:color="auto" w:fill="auto"/>
          </w:tcPr>
          <w:p w14:paraId="57D6DF72" w14:textId="77777777" w:rsidR="0017012A" w:rsidRPr="00560D37" w:rsidRDefault="0017012A" w:rsidP="00CC71B0">
            <w:pPr>
              <w:pStyle w:val="TableText0"/>
              <w:rPr>
                <w:iCs/>
                <w:szCs w:val="20"/>
              </w:rPr>
            </w:pPr>
            <w:r w:rsidRPr="00560D37">
              <w:rPr>
                <w:iCs/>
                <w:szCs w:val="20"/>
              </w:rPr>
              <w:t>Reduced by 10%</w:t>
            </w:r>
          </w:p>
        </w:tc>
        <w:tc>
          <w:tcPr>
            <w:tcW w:w="657" w:type="pct"/>
            <w:vAlign w:val="center"/>
          </w:tcPr>
          <w:p w14:paraId="6946FCAA" w14:textId="4211D220" w:rsidR="0017012A" w:rsidRPr="00D358DB" w:rsidRDefault="0017012A" w:rsidP="001D46CC">
            <w:pPr>
              <w:pStyle w:val="TableText0"/>
              <w:jc w:val="center"/>
              <w:rPr>
                <w:iCs/>
                <w:szCs w:val="20"/>
                <w:highlight w:val="darkGray"/>
              </w:rPr>
            </w:pPr>
            <w:r w:rsidRPr="00E5290F">
              <w:rPr>
                <w:iCs/>
                <w:szCs w:val="20"/>
              </w:rPr>
              <w:t>-</w:t>
            </w:r>
            <w:r w:rsidR="006A414A" w:rsidRPr="006A414A">
              <w:rPr>
                <w:rFonts w:hint="eastAsia"/>
                <w:iCs/>
                <w:color w:val="000000"/>
                <w:w w:val="31"/>
                <w:szCs w:val="20"/>
                <w:shd w:val="solid" w:color="000000" w:fill="000000"/>
                <w:fitText w:val="138" w:id="-1303199733"/>
                <w14:textFill>
                  <w14:solidFill>
                    <w14:srgbClr w14:val="000000">
                      <w14:alpha w14:val="100000"/>
                    </w14:srgbClr>
                  </w14:solidFill>
                </w14:textFill>
              </w:rPr>
              <w:t xml:space="preserve">　</w:t>
            </w:r>
            <w:r w:rsidR="006A414A" w:rsidRPr="006A414A">
              <w:rPr>
                <w:iCs/>
                <w:color w:val="000000"/>
                <w:w w:val="31"/>
                <w:szCs w:val="20"/>
                <w:shd w:val="solid" w:color="000000" w:fill="000000"/>
                <w:fitText w:val="138" w:id="-1303199733"/>
                <w14:textFill>
                  <w14:solidFill>
                    <w14:srgbClr w14:val="000000">
                      <w14:alpha w14:val="100000"/>
                    </w14:srgbClr>
                  </w14:solidFill>
                </w14:textFill>
              </w:rPr>
              <w:t>|</w:t>
            </w:r>
            <w:r w:rsidR="006A414A" w:rsidRPr="006A414A">
              <w:rPr>
                <w:rFonts w:hint="eastAsia"/>
                <w:iCs/>
                <w:color w:val="000000"/>
                <w:w w:val="31"/>
                <w:szCs w:val="20"/>
                <w:shd w:val="solid" w:color="000000" w:fill="000000"/>
                <w:fitText w:val="138" w:id="-1303199733"/>
                <w14:textFill>
                  <w14:solidFill>
                    <w14:srgbClr w14:val="000000">
                      <w14:alpha w14:val="100000"/>
                    </w14:srgbClr>
                  </w14:solidFill>
                </w14:textFill>
              </w:rPr>
              <w:t xml:space="preserve">　</w:t>
            </w:r>
          </w:p>
        </w:tc>
        <w:tc>
          <w:tcPr>
            <w:tcW w:w="658" w:type="pct"/>
            <w:vAlign w:val="center"/>
          </w:tcPr>
          <w:p w14:paraId="6358074F" w14:textId="77777777" w:rsidR="0017012A" w:rsidRPr="00560D37" w:rsidRDefault="0017012A" w:rsidP="001D46CC">
            <w:pPr>
              <w:pStyle w:val="TableText0"/>
              <w:jc w:val="center"/>
              <w:rPr>
                <w:iCs/>
                <w:szCs w:val="20"/>
              </w:rPr>
            </w:pPr>
            <w:r w:rsidRPr="00560D37">
              <w:rPr>
                <w:iCs/>
                <w:szCs w:val="20"/>
              </w:rPr>
              <w:t>2.32</w:t>
            </w:r>
          </w:p>
        </w:tc>
        <w:tc>
          <w:tcPr>
            <w:tcW w:w="658" w:type="pct"/>
            <w:shd w:val="clear" w:color="auto" w:fill="auto"/>
            <w:vAlign w:val="center"/>
          </w:tcPr>
          <w:p w14:paraId="431D3DB6" w14:textId="77777777" w:rsidR="0017012A" w:rsidRPr="00560D37" w:rsidRDefault="0017012A" w:rsidP="001D46CC">
            <w:pPr>
              <w:pStyle w:val="TableText0"/>
              <w:jc w:val="center"/>
              <w:rPr>
                <w:iCs/>
                <w:szCs w:val="20"/>
              </w:rPr>
            </w:pPr>
            <w:r w:rsidRPr="00560D37">
              <w:rPr>
                <w:iCs/>
              </w:rPr>
              <w:t>Dominant</w:t>
            </w:r>
          </w:p>
        </w:tc>
        <w:tc>
          <w:tcPr>
            <w:tcW w:w="620" w:type="pct"/>
            <w:vAlign w:val="center"/>
          </w:tcPr>
          <w:p w14:paraId="53D54B0E" w14:textId="0500BC58" w:rsidR="0017012A" w:rsidRPr="00D358DB" w:rsidRDefault="0017012A" w:rsidP="001D46CC">
            <w:pPr>
              <w:pStyle w:val="TableText0"/>
              <w:jc w:val="center"/>
              <w:rPr>
                <w:iCs/>
                <w:szCs w:val="20"/>
                <w:highlight w:val="darkGray"/>
              </w:rPr>
            </w:pPr>
            <w:r w:rsidRPr="00E5290F">
              <w:rPr>
                <w:iCs/>
                <w:szCs w:val="20"/>
              </w:rPr>
              <w:t>-</w:t>
            </w:r>
            <w:r w:rsidR="006A414A" w:rsidRPr="006A414A">
              <w:rPr>
                <w:iCs/>
                <w:color w:val="000000"/>
                <w:spacing w:val="77"/>
                <w:szCs w:val="20"/>
                <w:shd w:val="solid" w:color="000000" w:fill="000000"/>
                <w:fitText w:val="163" w:id="-1303199732"/>
                <w14:textFill>
                  <w14:solidFill>
                    <w14:srgbClr w14:val="000000">
                      <w14:alpha w14:val="100000"/>
                    </w14:srgbClr>
                  </w14:solidFill>
                </w14:textFill>
              </w:rPr>
              <w:t>|</w:t>
            </w:r>
            <w:r w:rsidR="006A414A" w:rsidRPr="006A414A">
              <w:rPr>
                <w:iCs/>
                <w:color w:val="000000"/>
                <w:spacing w:val="1"/>
                <w:szCs w:val="20"/>
                <w:shd w:val="solid" w:color="000000" w:fill="000000"/>
                <w:fitText w:val="163" w:id="-1303199732"/>
                <w14:textFill>
                  <w14:solidFill>
                    <w14:srgbClr w14:val="000000">
                      <w14:alpha w14:val="100000"/>
                    </w14:srgbClr>
                  </w14:solidFill>
                </w14:textFill>
              </w:rPr>
              <w:t>|</w:t>
            </w:r>
          </w:p>
        </w:tc>
        <w:tc>
          <w:tcPr>
            <w:tcW w:w="495" w:type="pct"/>
            <w:vAlign w:val="center"/>
          </w:tcPr>
          <w:p w14:paraId="38AD2D0E" w14:textId="77777777" w:rsidR="0017012A" w:rsidRPr="00560D37" w:rsidRDefault="0017012A" w:rsidP="001D46CC">
            <w:pPr>
              <w:pStyle w:val="TableText0"/>
              <w:jc w:val="center"/>
              <w:rPr>
                <w:iCs/>
                <w:szCs w:val="20"/>
              </w:rPr>
            </w:pPr>
            <w:r w:rsidRPr="00560D37">
              <w:rPr>
                <w:iCs/>
                <w:szCs w:val="20"/>
              </w:rPr>
              <w:t>1.15</w:t>
            </w:r>
          </w:p>
        </w:tc>
        <w:tc>
          <w:tcPr>
            <w:tcW w:w="569" w:type="pct"/>
            <w:shd w:val="clear" w:color="auto" w:fill="auto"/>
            <w:vAlign w:val="center"/>
          </w:tcPr>
          <w:p w14:paraId="66A64B2C" w14:textId="77777777" w:rsidR="0017012A" w:rsidRPr="00560D37" w:rsidRDefault="0017012A" w:rsidP="001D46CC">
            <w:pPr>
              <w:pStyle w:val="TableText0"/>
              <w:jc w:val="center"/>
              <w:rPr>
                <w:iCs/>
                <w:szCs w:val="20"/>
              </w:rPr>
            </w:pPr>
            <w:r w:rsidRPr="00560D37">
              <w:rPr>
                <w:iCs/>
              </w:rPr>
              <w:t>Dominant</w:t>
            </w:r>
          </w:p>
        </w:tc>
      </w:tr>
      <w:tr w:rsidR="0017012A" w:rsidRPr="00560D37" w14:paraId="0C058C8A" w14:textId="77777777" w:rsidTr="001D46CC">
        <w:trPr>
          <w:trHeight w:val="255"/>
        </w:trPr>
        <w:tc>
          <w:tcPr>
            <w:tcW w:w="1343" w:type="pct"/>
            <w:shd w:val="clear" w:color="auto" w:fill="auto"/>
          </w:tcPr>
          <w:p w14:paraId="2C87000D" w14:textId="77777777" w:rsidR="0017012A" w:rsidRPr="00560D37" w:rsidRDefault="0017012A" w:rsidP="00CC71B0">
            <w:pPr>
              <w:pStyle w:val="TableText0"/>
              <w:rPr>
                <w:iCs/>
                <w:szCs w:val="20"/>
              </w:rPr>
            </w:pPr>
            <w:r w:rsidRPr="00560D37">
              <w:rPr>
                <w:iCs/>
                <w:szCs w:val="20"/>
              </w:rPr>
              <w:t>Reduced by 15%</w:t>
            </w:r>
          </w:p>
        </w:tc>
        <w:tc>
          <w:tcPr>
            <w:tcW w:w="657" w:type="pct"/>
            <w:vAlign w:val="center"/>
          </w:tcPr>
          <w:p w14:paraId="5219BD33" w14:textId="725BD5EA" w:rsidR="0017012A" w:rsidRPr="00D358DB" w:rsidRDefault="0017012A" w:rsidP="001D46CC">
            <w:pPr>
              <w:pStyle w:val="TableText0"/>
              <w:jc w:val="center"/>
              <w:rPr>
                <w:iCs/>
                <w:szCs w:val="20"/>
                <w:highlight w:val="darkGray"/>
              </w:rPr>
            </w:pPr>
            <w:r w:rsidRPr="00E5290F">
              <w:rPr>
                <w:iCs/>
                <w:szCs w:val="20"/>
              </w:rPr>
              <w:t>-</w:t>
            </w:r>
            <w:r w:rsidR="006A414A" w:rsidRPr="006A414A">
              <w:rPr>
                <w:rFonts w:hint="eastAsia"/>
                <w:iCs/>
                <w:color w:val="000000"/>
                <w:w w:val="31"/>
                <w:szCs w:val="20"/>
                <w:shd w:val="solid" w:color="000000" w:fill="000000"/>
                <w:fitText w:val="138" w:id="-1303199731"/>
                <w14:textFill>
                  <w14:solidFill>
                    <w14:srgbClr w14:val="000000">
                      <w14:alpha w14:val="100000"/>
                    </w14:srgbClr>
                  </w14:solidFill>
                </w14:textFill>
              </w:rPr>
              <w:t xml:space="preserve">　</w:t>
            </w:r>
            <w:r w:rsidR="006A414A" w:rsidRPr="006A414A">
              <w:rPr>
                <w:iCs/>
                <w:color w:val="000000"/>
                <w:w w:val="31"/>
                <w:szCs w:val="20"/>
                <w:shd w:val="solid" w:color="000000" w:fill="000000"/>
                <w:fitText w:val="138" w:id="-1303199731"/>
                <w14:textFill>
                  <w14:solidFill>
                    <w14:srgbClr w14:val="000000">
                      <w14:alpha w14:val="100000"/>
                    </w14:srgbClr>
                  </w14:solidFill>
                </w14:textFill>
              </w:rPr>
              <w:t>|</w:t>
            </w:r>
            <w:r w:rsidR="006A414A" w:rsidRPr="006A414A">
              <w:rPr>
                <w:rFonts w:hint="eastAsia"/>
                <w:iCs/>
                <w:color w:val="000000"/>
                <w:w w:val="31"/>
                <w:szCs w:val="20"/>
                <w:shd w:val="solid" w:color="000000" w:fill="000000"/>
                <w:fitText w:val="138" w:id="-1303199731"/>
                <w14:textFill>
                  <w14:solidFill>
                    <w14:srgbClr w14:val="000000">
                      <w14:alpha w14:val="100000"/>
                    </w14:srgbClr>
                  </w14:solidFill>
                </w14:textFill>
              </w:rPr>
              <w:t xml:space="preserve">　</w:t>
            </w:r>
          </w:p>
        </w:tc>
        <w:tc>
          <w:tcPr>
            <w:tcW w:w="658" w:type="pct"/>
            <w:vAlign w:val="center"/>
          </w:tcPr>
          <w:p w14:paraId="407C3C7F" w14:textId="77777777" w:rsidR="0017012A" w:rsidRPr="00560D37" w:rsidRDefault="0017012A" w:rsidP="001D46CC">
            <w:pPr>
              <w:pStyle w:val="TableText0"/>
              <w:jc w:val="center"/>
              <w:rPr>
                <w:iCs/>
                <w:szCs w:val="20"/>
              </w:rPr>
            </w:pPr>
            <w:r w:rsidRPr="00560D37">
              <w:rPr>
                <w:iCs/>
                <w:szCs w:val="20"/>
              </w:rPr>
              <w:t>1.89</w:t>
            </w:r>
          </w:p>
        </w:tc>
        <w:tc>
          <w:tcPr>
            <w:tcW w:w="658" w:type="pct"/>
            <w:shd w:val="clear" w:color="auto" w:fill="auto"/>
            <w:vAlign w:val="center"/>
          </w:tcPr>
          <w:p w14:paraId="7929AE59" w14:textId="77777777" w:rsidR="0017012A" w:rsidRPr="00560D37" w:rsidRDefault="0017012A" w:rsidP="001D46CC">
            <w:pPr>
              <w:pStyle w:val="TableText0"/>
              <w:jc w:val="center"/>
              <w:rPr>
                <w:iCs/>
                <w:szCs w:val="20"/>
              </w:rPr>
            </w:pPr>
            <w:r w:rsidRPr="00560D37">
              <w:rPr>
                <w:iCs/>
              </w:rPr>
              <w:t>Dominant</w:t>
            </w:r>
          </w:p>
        </w:tc>
        <w:tc>
          <w:tcPr>
            <w:tcW w:w="620" w:type="pct"/>
            <w:vAlign w:val="center"/>
          </w:tcPr>
          <w:p w14:paraId="4F1280D8" w14:textId="2E003CB1" w:rsidR="0017012A" w:rsidRPr="00D358DB" w:rsidRDefault="0017012A" w:rsidP="001D46CC">
            <w:pPr>
              <w:pStyle w:val="TableText0"/>
              <w:jc w:val="center"/>
              <w:rPr>
                <w:iCs/>
                <w:szCs w:val="20"/>
                <w:highlight w:val="darkGray"/>
              </w:rPr>
            </w:pPr>
            <w:r w:rsidRPr="00E5290F">
              <w:rPr>
                <w:iCs/>
                <w:szCs w:val="20"/>
              </w:rPr>
              <w:t>-</w:t>
            </w:r>
            <w:r w:rsidR="006A414A" w:rsidRPr="006A414A">
              <w:rPr>
                <w:iCs/>
                <w:color w:val="000000"/>
                <w:spacing w:val="77"/>
                <w:szCs w:val="20"/>
                <w:shd w:val="solid" w:color="000000" w:fill="000000"/>
                <w:fitText w:val="163" w:id="-1303199730"/>
                <w14:textFill>
                  <w14:solidFill>
                    <w14:srgbClr w14:val="000000">
                      <w14:alpha w14:val="100000"/>
                    </w14:srgbClr>
                  </w14:solidFill>
                </w14:textFill>
              </w:rPr>
              <w:t>|</w:t>
            </w:r>
            <w:r w:rsidR="006A414A" w:rsidRPr="006A414A">
              <w:rPr>
                <w:iCs/>
                <w:color w:val="000000"/>
                <w:spacing w:val="1"/>
                <w:szCs w:val="20"/>
                <w:shd w:val="solid" w:color="000000" w:fill="000000"/>
                <w:fitText w:val="163" w:id="-1303199730"/>
                <w14:textFill>
                  <w14:solidFill>
                    <w14:srgbClr w14:val="000000">
                      <w14:alpha w14:val="100000"/>
                    </w14:srgbClr>
                  </w14:solidFill>
                </w14:textFill>
              </w:rPr>
              <w:t>|</w:t>
            </w:r>
          </w:p>
        </w:tc>
        <w:tc>
          <w:tcPr>
            <w:tcW w:w="495" w:type="pct"/>
            <w:vAlign w:val="center"/>
          </w:tcPr>
          <w:p w14:paraId="13E5C9B2" w14:textId="77777777" w:rsidR="0017012A" w:rsidRPr="00560D37" w:rsidRDefault="0017012A" w:rsidP="001D46CC">
            <w:pPr>
              <w:pStyle w:val="TableText0"/>
              <w:jc w:val="center"/>
              <w:rPr>
                <w:iCs/>
                <w:szCs w:val="20"/>
              </w:rPr>
            </w:pPr>
            <w:r w:rsidRPr="00560D37">
              <w:rPr>
                <w:iCs/>
                <w:szCs w:val="20"/>
              </w:rPr>
              <w:t>0.72</w:t>
            </w:r>
          </w:p>
        </w:tc>
        <w:tc>
          <w:tcPr>
            <w:tcW w:w="569" w:type="pct"/>
            <w:shd w:val="clear" w:color="auto" w:fill="auto"/>
            <w:vAlign w:val="center"/>
          </w:tcPr>
          <w:p w14:paraId="7177625D" w14:textId="77777777" w:rsidR="0017012A" w:rsidRPr="00560D37" w:rsidRDefault="0017012A" w:rsidP="001D46CC">
            <w:pPr>
              <w:pStyle w:val="TableText0"/>
              <w:jc w:val="center"/>
              <w:rPr>
                <w:iCs/>
                <w:szCs w:val="20"/>
              </w:rPr>
            </w:pPr>
            <w:r w:rsidRPr="00560D37">
              <w:rPr>
                <w:iCs/>
              </w:rPr>
              <w:t>Dominant</w:t>
            </w:r>
          </w:p>
        </w:tc>
      </w:tr>
      <w:tr w:rsidR="0017012A" w:rsidRPr="00560D37" w14:paraId="4D4F3696" w14:textId="77777777" w:rsidTr="006A414A">
        <w:trPr>
          <w:trHeight w:val="255"/>
        </w:trPr>
        <w:tc>
          <w:tcPr>
            <w:tcW w:w="1343" w:type="pct"/>
            <w:shd w:val="clear" w:color="auto" w:fill="auto"/>
          </w:tcPr>
          <w:p w14:paraId="4BED3C42" w14:textId="77777777" w:rsidR="0017012A" w:rsidRPr="00560D37" w:rsidRDefault="0017012A" w:rsidP="00CC71B0">
            <w:pPr>
              <w:pStyle w:val="TableText0"/>
              <w:rPr>
                <w:rFonts w:cs="Arial"/>
                <w:b/>
                <w:bCs w:val="0"/>
                <w:iCs/>
                <w:szCs w:val="20"/>
                <w:vertAlign w:val="superscript"/>
              </w:rPr>
            </w:pPr>
            <w:r w:rsidRPr="00560D37">
              <w:rPr>
                <w:rFonts w:cs="Arial"/>
                <w:b/>
                <w:bCs w:val="0"/>
                <w:iCs/>
                <w:szCs w:val="20"/>
              </w:rPr>
              <w:t xml:space="preserve">Base case for at-risk adults 18-69 years </w:t>
            </w:r>
            <w:r w:rsidRPr="00560D37">
              <w:rPr>
                <w:rFonts w:cs="Arial"/>
                <w:b/>
                <w:bCs w:val="0"/>
                <w:iCs/>
                <w:szCs w:val="20"/>
                <w:vertAlign w:val="superscript"/>
              </w:rPr>
              <w:t>a</w:t>
            </w:r>
          </w:p>
        </w:tc>
        <w:tc>
          <w:tcPr>
            <w:tcW w:w="657" w:type="pct"/>
            <w:vAlign w:val="center"/>
          </w:tcPr>
          <w:p w14:paraId="672D9DAB" w14:textId="3C66153A" w:rsidR="0017012A" w:rsidRPr="00D358DB" w:rsidRDefault="0017012A" w:rsidP="001D46CC">
            <w:pPr>
              <w:pStyle w:val="TableText0"/>
              <w:jc w:val="center"/>
              <w:rPr>
                <w:rFonts w:cs="Arial"/>
                <w:b/>
                <w:bCs w:val="0"/>
                <w:iCs/>
                <w:szCs w:val="20"/>
                <w:highlight w:val="darkGray"/>
              </w:rPr>
            </w:pPr>
            <w:r w:rsidRPr="00E5290F">
              <w:rPr>
                <w:b/>
                <w:bCs w:val="0"/>
                <w:iCs/>
              </w:rPr>
              <w:t>-</w:t>
            </w:r>
            <w:r w:rsidR="006A414A" w:rsidRPr="006A414A">
              <w:rPr>
                <w:rFonts w:hint="eastAsia"/>
                <w:b/>
                <w:bCs w:val="0"/>
                <w:iCs/>
                <w:color w:val="000000"/>
                <w:w w:val="30"/>
                <w:shd w:val="solid" w:color="000000" w:fill="000000"/>
                <w:fitText w:val="138" w:id="-1303199729"/>
                <w14:textFill>
                  <w14:solidFill>
                    <w14:srgbClr w14:val="000000">
                      <w14:alpha w14:val="100000"/>
                    </w14:srgbClr>
                  </w14:solidFill>
                </w14:textFill>
              </w:rPr>
              <w:t xml:space="preserve">　</w:t>
            </w:r>
            <w:r w:rsidR="006A414A" w:rsidRPr="006A414A">
              <w:rPr>
                <w:b/>
                <w:bCs w:val="0"/>
                <w:iCs/>
                <w:color w:val="000000"/>
                <w:w w:val="30"/>
                <w:shd w:val="solid" w:color="000000" w:fill="000000"/>
                <w:fitText w:val="138" w:id="-1303199729"/>
                <w14:textFill>
                  <w14:solidFill>
                    <w14:srgbClr w14:val="000000">
                      <w14:alpha w14:val="100000"/>
                    </w14:srgbClr>
                  </w14:solidFill>
                </w14:textFill>
              </w:rPr>
              <w:t>|</w:t>
            </w:r>
            <w:r w:rsidR="006A414A" w:rsidRPr="006A414A">
              <w:rPr>
                <w:rFonts w:hint="eastAsia"/>
                <w:b/>
                <w:bCs w:val="0"/>
                <w:iCs/>
                <w:color w:val="000000"/>
                <w:spacing w:val="4"/>
                <w:w w:val="30"/>
                <w:shd w:val="solid" w:color="000000" w:fill="000000"/>
                <w:fitText w:val="138" w:id="-1303199729"/>
                <w14:textFill>
                  <w14:solidFill>
                    <w14:srgbClr w14:val="000000">
                      <w14:alpha w14:val="100000"/>
                    </w14:srgbClr>
                  </w14:solidFill>
                </w14:textFill>
              </w:rPr>
              <w:t xml:space="preserve">　</w:t>
            </w:r>
          </w:p>
        </w:tc>
        <w:tc>
          <w:tcPr>
            <w:tcW w:w="658" w:type="pct"/>
            <w:vAlign w:val="center"/>
          </w:tcPr>
          <w:p w14:paraId="5C06A653" w14:textId="77777777" w:rsidR="0017012A" w:rsidRPr="00560D37" w:rsidRDefault="0017012A" w:rsidP="001D46CC">
            <w:pPr>
              <w:pStyle w:val="TableText0"/>
              <w:jc w:val="center"/>
              <w:rPr>
                <w:rFonts w:cs="Arial"/>
                <w:b/>
                <w:bCs w:val="0"/>
                <w:iCs/>
                <w:szCs w:val="20"/>
              </w:rPr>
            </w:pPr>
            <w:r w:rsidRPr="00560D37">
              <w:rPr>
                <w:b/>
                <w:bCs w:val="0"/>
                <w:iCs/>
              </w:rPr>
              <w:t>0.56</w:t>
            </w:r>
          </w:p>
        </w:tc>
        <w:tc>
          <w:tcPr>
            <w:tcW w:w="658" w:type="pct"/>
            <w:shd w:val="clear" w:color="auto" w:fill="auto"/>
            <w:vAlign w:val="center"/>
          </w:tcPr>
          <w:p w14:paraId="0627AC00" w14:textId="77777777" w:rsidR="0017012A" w:rsidRPr="00560D37" w:rsidRDefault="0017012A" w:rsidP="001D46CC">
            <w:pPr>
              <w:pStyle w:val="TableText0"/>
              <w:jc w:val="center"/>
              <w:rPr>
                <w:rFonts w:cs="Arial"/>
                <w:b/>
                <w:bCs w:val="0"/>
                <w:iCs/>
                <w:szCs w:val="20"/>
              </w:rPr>
            </w:pPr>
            <w:r w:rsidRPr="00560D37">
              <w:rPr>
                <w:b/>
                <w:bCs w:val="0"/>
                <w:iCs/>
              </w:rPr>
              <w:t>Dominant</w:t>
            </w:r>
          </w:p>
        </w:tc>
        <w:tc>
          <w:tcPr>
            <w:tcW w:w="620" w:type="pct"/>
            <w:tcBorders>
              <w:bottom w:val="single" w:sz="4" w:space="0" w:color="auto"/>
            </w:tcBorders>
            <w:vAlign w:val="center"/>
          </w:tcPr>
          <w:p w14:paraId="3AFE3A6A" w14:textId="6CFD9AFF" w:rsidR="0017012A" w:rsidRPr="00D358DB" w:rsidRDefault="0017012A" w:rsidP="001D46CC">
            <w:pPr>
              <w:pStyle w:val="TableText0"/>
              <w:jc w:val="center"/>
              <w:rPr>
                <w:rFonts w:cs="Arial"/>
                <w:b/>
                <w:bCs w:val="0"/>
                <w:iCs/>
                <w:szCs w:val="20"/>
                <w:highlight w:val="darkGray"/>
              </w:rPr>
            </w:pPr>
            <w:r w:rsidRPr="00E5290F">
              <w:rPr>
                <w:b/>
                <w:bCs w:val="0"/>
                <w:iCs/>
              </w:rPr>
              <w:t>-</w:t>
            </w:r>
            <w:r w:rsidR="006A414A" w:rsidRPr="006A414A">
              <w:rPr>
                <w:b/>
                <w:bCs w:val="0"/>
                <w:iCs/>
                <w:color w:val="000000"/>
                <w:spacing w:val="71"/>
                <w:shd w:val="solid" w:color="000000" w:fill="000000"/>
                <w:fitText w:val="163" w:id="-1303199728"/>
                <w14:textFill>
                  <w14:solidFill>
                    <w14:srgbClr w14:val="000000">
                      <w14:alpha w14:val="100000"/>
                    </w14:srgbClr>
                  </w14:solidFill>
                </w14:textFill>
              </w:rPr>
              <w:t>|</w:t>
            </w:r>
            <w:r w:rsidR="006A414A" w:rsidRPr="006A414A">
              <w:rPr>
                <w:b/>
                <w:bCs w:val="0"/>
                <w:iCs/>
                <w:color w:val="000000"/>
                <w:spacing w:val="1"/>
                <w:shd w:val="solid" w:color="000000" w:fill="000000"/>
                <w:fitText w:val="163" w:id="-1303199728"/>
                <w14:textFill>
                  <w14:solidFill>
                    <w14:srgbClr w14:val="000000">
                      <w14:alpha w14:val="100000"/>
                    </w14:srgbClr>
                  </w14:solidFill>
                </w14:textFill>
              </w:rPr>
              <w:t>|</w:t>
            </w:r>
          </w:p>
        </w:tc>
        <w:tc>
          <w:tcPr>
            <w:tcW w:w="495" w:type="pct"/>
            <w:vAlign w:val="center"/>
          </w:tcPr>
          <w:p w14:paraId="4613DA1C" w14:textId="77777777" w:rsidR="0017012A" w:rsidRPr="00560D37" w:rsidRDefault="0017012A" w:rsidP="001D46CC">
            <w:pPr>
              <w:pStyle w:val="TableText0"/>
              <w:jc w:val="center"/>
              <w:rPr>
                <w:rFonts w:cs="Arial"/>
                <w:b/>
                <w:bCs w:val="0"/>
                <w:iCs/>
                <w:szCs w:val="20"/>
              </w:rPr>
            </w:pPr>
            <w:r w:rsidRPr="00560D37">
              <w:rPr>
                <w:b/>
                <w:bCs w:val="0"/>
                <w:iCs/>
              </w:rPr>
              <w:t>0.30</w:t>
            </w:r>
          </w:p>
        </w:tc>
        <w:tc>
          <w:tcPr>
            <w:tcW w:w="569" w:type="pct"/>
            <w:shd w:val="clear" w:color="auto" w:fill="auto"/>
            <w:vAlign w:val="center"/>
          </w:tcPr>
          <w:p w14:paraId="02A349B4" w14:textId="77777777" w:rsidR="0017012A" w:rsidRPr="00560D37" w:rsidRDefault="0017012A" w:rsidP="001D46CC">
            <w:pPr>
              <w:pStyle w:val="TableText0"/>
              <w:jc w:val="center"/>
              <w:rPr>
                <w:rFonts w:cs="Arial"/>
                <w:b/>
                <w:bCs w:val="0"/>
                <w:iCs/>
                <w:szCs w:val="20"/>
              </w:rPr>
            </w:pPr>
            <w:r w:rsidRPr="00560D37">
              <w:rPr>
                <w:b/>
                <w:bCs w:val="0"/>
                <w:iCs/>
              </w:rPr>
              <w:t>Dominant</w:t>
            </w:r>
          </w:p>
        </w:tc>
      </w:tr>
      <w:tr w:rsidR="0017012A" w:rsidRPr="00560D37" w14:paraId="66861A85" w14:textId="77777777" w:rsidTr="006A414A">
        <w:trPr>
          <w:trHeight w:val="255"/>
        </w:trPr>
        <w:tc>
          <w:tcPr>
            <w:tcW w:w="1343" w:type="pct"/>
            <w:shd w:val="clear" w:color="auto" w:fill="auto"/>
          </w:tcPr>
          <w:p w14:paraId="72EDFB2C" w14:textId="77777777" w:rsidR="0017012A" w:rsidRPr="00560D37" w:rsidRDefault="0017012A" w:rsidP="00CC71B0">
            <w:pPr>
              <w:pStyle w:val="TableText0"/>
              <w:rPr>
                <w:rFonts w:cs="Arial"/>
                <w:iCs/>
                <w:szCs w:val="20"/>
                <w:vertAlign w:val="superscript"/>
              </w:rPr>
            </w:pPr>
            <w:r w:rsidRPr="00560D37">
              <w:rPr>
                <w:rFonts w:cs="Arial"/>
                <w:iCs/>
                <w:szCs w:val="20"/>
              </w:rPr>
              <w:t>Reduced by 5%</w:t>
            </w:r>
          </w:p>
        </w:tc>
        <w:tc>
          <w:tcPr>
            <w:tcW w:w="657" w:type="pct"/>
            <w:vAlign w:val="center"/>
          </w:tcPr>
          <w:p w14:paraId="2EC9C04B" w14:textId="308F3DBA" w:rsidR="0017012A" w:rsidRPr="00D358DB" w:rsidRDefault="0017012A" w:rsidP="001D46CC">
            <w:pPr>
              <w:pStyle w:val="TableText0"/>
              <w:jc w:val="center"/>
              <w:rPr>
                <w:iCs/>
                <w:szCs w:val="20"/>
                <w:highlight w:val="darkGray"/>
              </w:rPr>
            </w:pPr>
            <w:r w:rsidRPr="00E5290F">
              <w:rPr>
                <w:iCs/>
                <w:szCs w:val="20"/>
              </w:rPr>
              <w:t>-</w:t>
            </w:r>
            <w:r w:rsidR="006A414A" w:rsidRPr="006A414A">
              <w:rPr>
                <w:rFonts w:hint="eastAsia"/>
                <w:iCs/>
                <w:color w:val="000000"/>
                <w:w w:val="31"/>
                <w:szCs w:val="20"/>
                <w:shd w:val="solid" w:color="000000" w:fill="000000"/>
                <w:fitText w:val="138" w:id="-1303199744"/>
                <w14:textFill>
                  <w14:solidFill>
                    <w14:srgbClr w14:val="000000">
                      <w14:alpha w14:val="100000"/>
                    </w14:srgbClr>
                  </w14:solidFill>
                </w14:textFill>
              </w:rPr>
              <w:t xml:space="preserve">　</w:t>
            </w:r>
            <w:r w:rsidR="006A414A" w:rsidRPr="006A414A">
              <w:rPr>
                <w:iCs/>
                <w:color w:val="000000"/>
                <w:w w:val="31"/>
                <w:szCs w:val="20"/>
                <w:shd w:val="solid" w:color="000000" w:fill="000000"/>
                <w:fitText w:val="138" w:id="-1303199744"/>
                <w14:textFill>
                  <w14:solidFill>
                    <w14:srgbClr w14:val="000000">
                      <w14:alpha w14:val="100000"/>
                    </w14:srgbClr>
                  </w14:solidFill>
                </w14:textFill>
              </w:rPr>
              <w:t>|</w:t>
            </w:r>
            <w:r w:rsidR="006A414A" w:rsidRPr="006A414A">
              <w:rPr>
                <w:rFonts w:hint="eastAsia"/>
                <w:iCs/>
                <w:color w:val="000000"/>
                <w:w w:val="31"/>
                <w:szCs w:val="20"/>
                <w:shd w:val="solid" w:color="000000" w:fill="000000"/>
                <w:fitText w:val="138" w:id="-1303199744"/>
                <w14:textFill>
                  <w14:solidFill>
                    <w14:srgbClr w14:val="000000">
                      <w14:alpha w14:val="100000"/>
                    </w14:srgbClr>
                  </w14:solidFill>
                </w14:textFill>
              </w:rPr>
              <w:t xml:space="preserve">　</w:t>
            </w:r>
          </w:p>
        </w:tc>
        <w:tc>
          <w:tcPr>
            <w:tcW w:w="658" w:type="pct"/>
            <w:vAlign w:val="center"/>
          </w:tcPr>
          <w:p w14:paraId="0CE2DA16" w14:textId="77777777" w:rsidR="0017012A" w:rsidRPr="00560D37" w:rsidRDefault="0017012A" w:rsidP="001D46CC">
            <w:pPr>
              <w:pStyle w:val="TableText0"/>
              <w:jc w:val="center"/>
              <w:rPr>
                <w:iCs/>
                <w:szCs w:val="20"/>
              </w:rPr>
            </w:pPr>
            <w:r w:rsidRPr="00560D37">
              <w:rPr>
                <w:iCs/>
                <w:szCs w:val="20"/>
              </w:rPr>
              <w:t>0.47</w:t>
            </w:r>
          </w:p>
        </w:tc>
        <w:tc>
          <w:tcPr>
            <w:tcW w:w="658" w:type="pct"/>
            <w:shd w:val="clear" w:color="auto" w:fill="auto"/>
            <w:vAlign w:val="center"/>
          </w:tcPr>
          <w:p w14:paraId="75D5337D" w14:textId="77777777" w:rsidR="0017012A" w:rsidRPr="00560D37" w:rsidRDefault="0017012A" w:rsidP="001D46CC">
            <w:pPr>
              <w:pStyle w:val="TableText0"/>
              <w:jc w:val="center"/>
              <w:rPr>
                <w:iCs/>
                <w:szCs w:val="20"/>
              </w:rPr>
            </w:pPr>
            <w:r w:rsidRPr="00560D37">
              <w:rPr>
                <w:iCs/>
              </w:rPr>
              <w:t>Dominant</w:t>
            </w:r>
          </w:p>
        </w:tc>
        <w:tc>
          <w:tcPr>
            <w:tcW w:w="620" w:type="pct"/>
            <w:tcBorders>
              <w:bottom w:val="single" w:sz="4" w:space="0" w:color="auto"/>
            </w:tcBorders>
            <w:shd w:val="solid" w:color="000000" w:fill="000000"/>
            <w:vAlign w:val="center"/>
          </w:tcPr>
          <w:p w14:paraId="0F2536C7" w14:textId="6D7352D5" w:rsidR="0017012A" w:rsidRPr="006A414A" w:rsidRDefault="006A414A" w:rsidP="001D46CC">
            <w:pPr>
              <w:pStyle w:val="TableText0"/>
              <w:jc w:val="center"/>
              <w:rPr>
                <w:iCs/>
                <w:szCs w:val="20"/>
              </w:rPr>
            </w:pPr>
            <w:r w:rsidRPr="006A414A">
              <w:rPr>
                <w:rFonts w:hint="eastAsia"/>
                <w:iCs/>
                <w:color w:val="000000"/>
                <w:w w:val="31"/>
                <w:szCs w:val="20"/>
                <w:fitText w:val="138" w:id="-1303199743"/>
                <w14:textFill>
                  <w14:solidFill>
                    <w14:srgbClr w14:val="000000">
                      <w14:alpha w14:val="100000"/>
                    </w14:srgbClr>
                  </w14:solidFill>
                </w14:textFill>
              </w:rPr>
              <w:t xml:space="preserve">　</w:t>
            </w:r>
            <w:r w:rsidRPr="006A414A">
              <w:rPr>
                <w:iCs/>
                <w:color w:val="000000"/>
                <w:w w:val="31"/>
                <w:szCs w:val="20"/>
                <w:fitText w:val="138" w:id="-1303199743"/>
                <w14:textFill>
                  <w14:solidFill>
                    <w14:srgbClr w14:val="000000">
                      <w14:alpha w14:val="100000"/>
                    </w14:srgbClr>
                  </w14:solidFill>
                </w14:textFill>
              </w:rPr>
              <w:t>|</w:t>
            </w:r>
            <w:r w:rsidRPr="006A414A">
              <w:rPr>
                <w:rFonts w:hint="eastAsia"/>
                <w:iCs/>
                <w:color w:val="000000"/>
                <w:w w:val="31"/>
                <w:szCs w:val="20"/>
                <w:fitText w:val="138" w:id="-1303199743"/>
                <w14:textFill>
                  <w14:solidFill>
                    <w14:srgbClr w14:val="000000">
                      <w14:alpha w14:val="100000"/>
                    </w14:srgbClr>
                  </w14:solidFill>
                </w14:textFill>
              </w:rPr>
              <w:t xml:space="preserve">　</w:t>
            </w:r>
          </w:p>
        </w:tc>
        <w:tc>
          <w:tcPr>
            <w:tcW w:w="495" w:type="pct"/>
            <w:vAlign w:val="center"/>
          </w:tcPr>
          <w:p w14:paraId="21B32738" w14:textId="77777777" w:rsidR="0017012A" w:rsidRPr="00560D37" w:rsidRDefault="0017012A" w:rsidP="001D46CC">
            <w:pPr>
              <w:pStyle w:val="TableText0"/>
              <w:jc w:val="center"/>
              <w:rPr>
                <w:iCs/>
                <w:szCs w:val="20"/>
              </w:rPr>
            </w:pPr>
            <w:r w:rsidRPr="00560D37">
              <w:rPr>
                <w:iCs/>
                <w:szCs w:val="20"/>
              </w:rPr>
              <w:t>0.21</w:t>
            </w:r>
          </w:p>
        </w:tc>
        <w:tc>
          <w:tcPr>
            <w:tcW w:w="569" w:type="pct"/>
            <w:shd w:val="clear" w:color="auto" w:fill="auto"/>
            <w:vAlign w:val="center"/>
          </w:tcPr>
          <w:p w14:paraId="70F44849" w14:textId="2954E39C" w:rsidR="0017012A" w:rsidRPr="00D358DB" w:rsidRDefault="006A414A" w:rsidP="001D46CC">
            <w:pPr>
              <w:pStyle w:val="TableText0"/>
              <w:jc w:val="center"/>
              <w:rPr>
                <w:iCs/>
                <w:szCs w:val="20"/>
                <w:highlight w:val="darkGray"/>
              </w:rPr>
            </w:pPr>
            <w:r w:rsidRPr="006A414A">
              <w:rPr>
                <w:iCs/>
                <w:color w:val="000000"/>
                <w:spacing w:val="42"/>
                <w:szCs w:val="20"/>
                <w:shd w:val="solid" w:color="000000" w:fill="000000"/>
                <w:fitText w:val="213" w:id="-1303199742"/>
                <w14:textFill>
                  <w14:solidFill>
                    <w14:srgbClr w14:val="000000">
                      <w14:alpha w14:val="100000"/>
                    </w14:srgbClr>
                  </w14:solidFill>
                </w14:textFill>
              </w:rPr>
              <w:t>||</w:t>
            </w:r>
            <w:r w:rsidRPr="006A414A">
              <w:rPr>
                <w:iCs/>
                <w:color w:val="000000"/>
                <w:spacing w:val="2"/>
                <w:szCs w:val="20"/>
                <w:shd w:val="solid" w:color="000000" w:fill="000000"/>
                <w:fitText w:val="213" w:id="-1303199742"/>
                <w14:textFill>
                  <w14:solidFill>
                    <w14:srgbClr w14:val="000000">
                      <w14:alpha w14:val="100000"/>
                    </w14:srgbClr>
                  </w14:solidFill>
                </w14:textFill>
              </w:rPr>
              <w:t>|</w:t>
            </w:r>
            <w:r w:rsidR="00D358DB">
              <w:rPr>
                <w:rFonts w:eastAsia="Arial Narrow" w:cs="Arial Narrow"/>
                <w:b/>
                <w:iCs/>
                <w:szCs w:val="20"/>
                <w:vertAlign w:val="superscript"/>
              </w:rPr>
              <w:t>3</w:t>
            </w:r>
          </w:p>
        </w:tc>
      </w:tr>
      <w:tr w:rsidR="0017012A" w:rsidRPr="00560D37" w14:paraId="2052A0D8" w14:textId="77777777" w:rsidTr="006A414A">
        <w:trPr>
          <w:trHeight w:val="255"/>
        </w:trPr>
        <w:tc>
          <w:tcPr>
            <w:tcW w:w="1343" w:type="pct"/>
            <w:shd w:val="clear" w:color="auto" w:fill="auto"/>
          </w:tcPr>
          <w:p w14:paraId="41B43FDA" w14:textId="77777777" w:rsidR="0017012A" w:rsidRPr="00560D37" w:rsidRDefault="0017012A" w:rsidP="00CC71B0">
            <w:pPr>
              <w:pStyle w:val="TableText0"/>
              <w:rPr>
                <w:iCs/>
                <w:szCs w:val="20"/>
              </w:rPr>
            </w:pPr>
            <w:r w:rsidRPr="00560D37">
              <w:rPr>
                <w:iCs/>
                <w:szCs w:val="20"/>
              </w:rPr>
              <w:t>Reduced by 10%</w:t>
            </w:r>
          </w:p>
        </w:tc>
        <w:tc>
          <w:tcPr>
            <w:tcW w:w="657" w:type="pct"/>
            <w:vAlign w:val="center"/>
          </w:tcPr>
          <w:p w14:paraId="3B025860" w14:textId="3213B04E" w:rsidR="0017012A" w:rsidRPr="00D358DB" w:rsidRDefault="0017012A" w:rsidP="001D46CC">
            <w:pPr>
              <w:pStyle w:val="TableText0"/>
              <w:jc w:val="center"/>
              <w:rPr>
                <w:iCs/>
                <w:szCs w:val="20"/>
                <w:highlight w:val="darkGray"/>
              </w:rPr>
            </w:pPr>
            <w:r w:rsidRPr="00E5290F">
              <w:rPr>
                <w:iCs/>
                <w:szCs w:val="20"/>
              </w:rPr>
              <w:t>-</w:t>
            </w:r>
            <w:r w:rsidR="006A414A" w:rsidRPr="006A414A">
              <w:rPr>
                <w:rFonts w:hint="eastAsia"/>
                <w:iCs/>
                <w:color w:val="000000"/>
                <w:w w:val="31"/>
                <w:szCs w:val="20"/>
                <w:shd w:val="solid" w:color="000000" w:fill="000000"/>
                <w:fitText w:val="138" w:id="-1303199741"/>
                <w14:textFill>
                  <w14:solidFill>
                    <w14:srgbClr w14:val="000000">
                      <w14:alpha w14:val="100000"/>
                    </w14:srgbClr>
                  </w14:solidFill>
                </w14:textFill>
              </w:rPr>
              <w:t xml:space="preserve">　</w:t>
            </w:r>
            <w:r w:rsidR="006A414A" w:rsidRPr="006A414A">
              <w:rPr>
                <w:iCs/>
                <w:color w:val="000000"/>
                <w:w w:val="31"/>
                <w:szCs w:val="20"/>
                <w:shd w:val="solid" w:color="000000" w:fill="000000"/>
                <w:fitText w:val="138" w:id="-1303199741"/>
                <w14:textFill>
                  <w14:solidFill>
                    <w14:srgbClr w14:val="000000">
                      <w14:alpha w14:val="100000"/>
                    </w14:srgbClr>
                  </w14:solidFill>
                </w14:textFill>
              </w:rPr>
              <w:t>|</w:t>
            </w:r>
            <w:r w:rsidR="006A414A" w:rsidRPr="006A414A">
              <w:rPr>
                <w:rFonts w:hint="eastAsia"/>
                <w:iCs/>
                <w:color w:val="000000"/>
                <w:w w:val="31"/>
                <w:szCs w:val="20"/>
                <w:shd w:val="solid" w:color="000000" w:fill="000000"/>
                <w:fitText w:val="138" w:id="-1303199741"/>
                <w14:textFill>
                  <w14:solidFill>
                    <w14:srgbClr w14:val="000000">
                      <w14:alpha w14:val="100000"/>
                    </w14:srgbClr>
                  </w14:solidFill>
                </w14:textFill>
              </w:rPr>
              <w:t xml:space="preserve">　</w:t>
            </w:r>
          </w:p>
        </w:tc>
        <w:tc>
          <w:tcPr>
            <w:tcW w:w="658" w:type="pct"/>
            <w:vAlign w:val="center"/>
          </w:tcPr>
          <w:p w14:paraId="64052DF8" w14:textId="77777777" w:rsidR="0017012A" w:rsidRPr="00560D37" w:rsidRDefault="0017012A" w:rsidP="001D46CC">
            <w:pPr>
              <w:pStyle w:val="TableText0"/>
              <w:jc w:val="center"/>
              <w:rPr>
                <w:iCs/>
                <w:szCs w:val="20"/>
              </w:rPr>
            </w:pPr>
            <w:r w:rsidRPr="00560D37">
              <w:rPr>
                <w:iCs/>
                <w:szCs w:val="20"/>
              </w:rPr>
              <w:t>0.38</w:t>
            </w:r>
          </w:p>
        </w:tc>
        <w:tc>
          <w:tcPr>
            <w:tcW w:w="658" w:type="pct"/>
            <w:shd w:val="clear" w:color="auto" w:fill="auto"/>
            <w:vAlign w:val="center"/>
          </w:tcPr>
          <w:p w14:paraId="35C16DCB" w14:textId="77777777" w:rsidR="0017012A" w:rsidRPr="00560D37" w:rsidRDefault="0017012A" w:rsidP="001D46CC">
            <w:pPr>
              <w:pStyle w:val="TableText0"/>
              <w:jc w:val="center"/>
              <w:rPr>
                <w:iCs/>
                <w:szCs w:val="20"/>
              </w:rPr>
            </w:pPr>
            <w:r w:rsidRPr="00560D37">
              <w:rPr>
                <w:iCs/>
              </w:rPr>
              <w:t>Dominant</w:t>
            </w:r>
          </w:p>
        </w:tc>
        <w:tc>
          <w:tcPr>
            <w:tcW w:w="620" w:type="pct"/>
            <w:tcBorders>
              <w:bottom w:val="single" w:sz="4" w:space="0" w:color="auto"/>
            </w:tcBorders>
            <w:shd w:val="solid" w:color="000000" w:fill="000000"/>
            <w:vAlign w:val="center"/>
          </w:tcPr>
          <w:p w14:paraId="589DD166" w14:textId="3F2803A3" w:rsidR="0017012A" w:rsidRPr="006A414A" w:rsidRDefault="006A414A" w:rsidP="001D46CC">
            <w:pPr>
              <w:pStyle w:val="TableText0"/>
              <w:jc w:val="center"/>
              <w:rPr>
                <w:iCs/>
                <w:szCs w:val="20"/>
              </w:rPr>
            </w:pPr>
            <w:r w:rsidRPr="006A414A">
              <w:rPr>
                <w:rFonts w:hint="eastAsia"/>
                <w:iCs/>
                <w:color w:val="000000"/>
                <w:w w:val="31"/>
                <w:szCs w:val="20"/>
                <w:fitText w:val="138" w:id="-1303199740"/>
                <w14:textFill>
                  <w14:solidFill>
                    <w14:srgbClr w14:val="000000">
                      <w14:alpha w14:val="100000"/>
                    </w14:srgbClr>
                  </w14:solidFill>
                </w14:textFill>
              </w:rPr>
              <w:t xml:space="preserve">　</w:t>
            </w:r>
            <w:r w:rsidRPr="006A414A">
              <w:rPr>
                <w:iCs/>
                <w:color w:val="000000"/>
                <w:w w:val="31"/>
                <w:szCs w:val="20"/>
                <w:fitText w:val="138" w:id="-1303199740"/>
                <w14:textFill>
                  <w14:solidFill>
                    <w14:srgbClr w14:val="000000">
                      <w14:alpha w14:val="100000"/>
                    </w14:srgbClr>
                  </w14:solidFill>
                </w14:textFill>
              </w:rPr>
              <w:t>|</w:t>
            </w:r>
            <w:r w:rsidRPr="006A414A">
              <w:rPr>
                <w:rFonts w:hint="eastAsia"/>
                <w:iCs/>
                <w:color w:val="000000"/>
                <w:w w:val="31"/>
                <w:szCs w:val="20"/>
                <w:fitText w:val="138" w:id="-1303199740"/>
                <w14:textFill>
                  <w14:solidFill>
                    <w14:srgbClr w14:val="000000">
                      <w14:alpha w14:val="100000"/>
                    </w14:srgbClr>
                  </w14:solidFill>
                </w14:textFill>
              </w:rPr>
              <w:t xml:space="preserve">　</w:t>
            </w:r>
          </w:p>
        </w:tc>
        <w:tc>
          <w:tcPr>
            <w:tcW w:w="495" w:type="pct"/>
            <w:vAlign w:val="center"/>
          </w:tcPr>
          <w:p w14:paraId="397708ED" w14:textId="77777777" w:rsidR="0017012A" w:rsidRPr="00560D37" w:rsidRDefault="0017012A" w:rsidP="001D46CC">
            <w:pPr>
              <w:pStyle w:val="TableText0"/>
              <w:jc w:val="center"/>
              <w:rPr>
                <w:iCs/>
                <w:szCs w:val="20"/>
              </w:rPr>
            </w:pPr>
            <w:r w:rsidRPr="00560D37">
              <w:rPr>
                <w:iCs/>
                <w:szCs w:val="20"/>
              </w:rPr>
              <w:t>0.12</w:t>
            </w:r>
          </w:p>
        </w:tc>
        <w:tc>
          <w:tcPr>
            <w:tcW w:w="569" w:type="pct"/>
            <w:shd w:val="clear" w:color="auto" w:fill="auto"/>
            <w:vAlign w:val="center"/>
          </w:tcPr>
          <w:p w14:paraId="269E41E4" w14:textId="66DD9FC3" w:rsidR="0017012A" w:rsidRPr="00D358DB" w:rsidRDefault="006A414A" w:rsidP="001D46CC">
            <w:pPr>
              <w:pStyle w:val="TableText0"/>
              <w:jc w:val="center"/>
              <w:rPr>
                <w:iCs/>
                <w:szCs w:val="20"/>
                <w:highlight w:val="darkGray"/>
              </w:rPr>
            </w:pPr>
            <w:r w:rsidRPr="006A414A">
              <w:rPr>
                <w:iCs/>
                <w:color w:val="000000"/>
                <w:spacing w:val="42"/>
                <w:szCs w:val="20"/>
                <w:shd w:val="solid" w:color="000000" w:fill="000000"/>
                <w:fitText w:val="213" w:id="-1303199739"/>
                <w14:textFill>
                  <w14:solidFill>
                    <w14:srgbClr w14:val="000000">
                      <w14:alpha w14:val="100000"/>
                    </w14:srgbClr>
                  </w14:solidFill>
                </w14:textFill>
              </w:rPr>
              <w:t>||</w:t>
            </w:r>
            <w:r w:rsidRPr="006A414A">
              <w:rPr>
                <w:iCs/>
                <w:color w:val="000000"/>
                <w:spacing w:val="2"/>
                <w:szCs w:val="20"/>
                <w:shd w:val="solid" w:color="000000" w:fill="000000"/>
                <w:fitText w:val="213" w:id="-1303199739"/>
                <w14:textFill>
                  <w14:solidFill>
                    <w14:srgbClr w14:val="000000">
                      <w14:alpha w14:val="100000"/>
                    </w14:srgbClr>
                  </w14:solidFill>
                </w14:textFill>
              </w:rPr>
              <w:t>|</w:t>
            </w:r>
            <w:r w:rsidR="00D358DB">
              <w:rPr>
                <w:rFonts w:eastAsia="Arial Narrow" w:cs="Arial Narrow"/>
                <w:b/>
                <w:iCs/>
                <w:szCs w:val="20"/>
                <w:vertAlign w:val="superscript"/>
              </w:rPr>
              <w:t>4</w:t>
            </w:r>
          </w:p>
        </w:tc>
      </w:tr>
      <w:tr w:rsidR="0017012A" w:rsidRPr="00560D37" w14:paraId="5E80B08F" w14:textId="77777777" w:rsidTr="006A414A">
        <w:trPr>
          <w:trHeight w:val="255"/>
        </w:trPr>
        <w:tc>
          <w:tcPr>
            <w:tcW w:w="1343" w:type="pct"/>
            <w:shd w:val="clear" w:color="auto" w:fill="auto"/>
          </w:tcPr>
          <w:p w14:paraId="1CF15038" w14:textId="77777777" w:rsidR="0017012A" w:rsidRPr="00560D37" w:rsidRDefault="0017012A" w:rsidP="00CC71B0">
            <w:pPr>
              <w:pStyle w:val="TableText0"/>
              <w:rPr>
                <w:iCs/>
                <w:szCs w:val="20"/>
              </w:rPr>
            </w:pPr>
            <w:r w:rsidRPr="00560D37">
              <w:rPr>
                <w:iCs/>
                <w:szCs w:val="20"/>
              </w:rPr>
              <w:t>Reduced by 15%</w:t>
            </w:r>
          </w:p>
        </w:tc>
        <w:tc>
          <w:tcPr>
            <w:tcW w:w="657" w:type="pct"/>
            <w:vAlign w:val="center"/>
          </w:tcPr>
          <w:p w14:paraId="709F2E56" w14:textId="2A17E3BE" w:rsidR="0017012A" w:rsidRPr="00D358DB" w:rsidRDefault="0017012A" w:rsidP="001D46CC">
            <w:pPr>
              <w:pStyle w:val="TableText0"/>
              <w:jc w:val="center"/>
              <w:rPr>
                <w:iCs/>
                <w:szCs w:val="20"/>
                <w:highlight w:val="darkGray"/>
              </w:rPr>
            </w:pPr>
            <w:r w:rsidRPr="00E5290F">
              <w:rPr>
                <w:iCs/>
                <w:szCs w:val="20"/>
              </w:rPr>
              <w:t>-</w:t>
            </w:r>
            <w:r w:rsidR="006A414A" w:rsidRPr="006A414A">
              <w:rPr>
                <w:rFonts w:hint="eastAsia"/>
                <w:iCs/>
                <w:color w:val="000000"/>
                <w:w w:val="31"/>
                <w:szCs w:val="20"/>
                <w:shd w:val="solid" w:color="000000" w:fill="000000"/>
                <w:fitText w:val="138" w:id="-1303199738"/>
                <w14:textFill>
                  <w14:solidFill>
                    <w14:srgbClr w14:val="000000">
                      <w14:alpha w14:val="100000"/>
                    </w14:srgbClr>
                  </w14:solidFill>
                </w14:textFill>
              </w:rPr>
              <w:t xml:space="preserve">　</w:t>
            </w:r>
            <w:r w:rsidR="006A414A" w:rsidRPr="006A414A">
              <w:rPr>
                <w:iCs/>
                <w:color w:val="000000"/>
                <w:w w:val="31"/>
                <w:szCs w:val="20"/>
                <w:shd w:val="solid" w:color="000000" w:fill="000000"/>
                <w:fitText w:val="138" w:id="-1303199738"/>
                <w14:textFill>
                  <w14:solidFill>
                    <w14:srgbClr w14:val="000000">
                      <w14:alpha w14:val="100000"/>
                    </w14:srgbClr>
                  </w14:solidFill>
                </w14:textFill>
              </w:rPr>
              <w:t>|</w:t>
            </w:r>
            <w:r w:rsidR="006A414A" w:rsidRPr="006A414A">
              <w:rPr>
                <w:rFonts w:hint="eastAsia"/>
                <w:iCs/>
                <w:color w:val="000000"/>
                <w:w w:val="31"/>
                <w:szCs w:val="20"/>
                <w:shd w:val="solid" w:color="000000" w:fill="000000"/>
                <w:fitText w:val="138" w:id="-1303199738"/>
                <w14:textFill>
                  <w14:solidFill>
                    <w14:srgbClr w14:val="000000">
                      <w14:alpha w14:val="100000"/>
                    </w14:srgbClr>
                  </w14:solidFill>
                </w14:textFill>
              </w:rPr>
              <w:t xml:space="preserve">　</w:t>
            </w:r>
          </w:p>
        </w:tc>
        <w:tc>
          <w:tcPr>
            <w:tcW w:w="658" w:type="pct"/>
            <w:vAlign w:val="center"/>
          </w:tcPr>
          <w:p w14:paraId="25C189B6" w14:textId="77777777" w:rsidR="0017012A" w:rsidRPr="00560D37" w:rsidRDefault="0017012A" w:rsidP="001D46CC">
            <w:pPr>
              <w:pStyle w:val="TableText0"/>
              <w:jc w:val="center"/>
              <w:rPr>
                <w:iCs/>
                <w:szCs w:val="20"/>
              </w:rPr>
            </w:pPr>
            <w:r w:rsidRPr="00560D37">
              <w:rPr>
                <w:iCs/>
                <w:szCs w:val="20"/>
              </w:rPr>
              <w:t>0.29</w:t>
            </w:r>
          </w:p>
        </w:tc>
        <w:tc>
          <w:tcPr>
            <w:tcW w:w="658" w:type="pct"/>
            <w:shd w:val="clear" w:color="auto" w:fill="auto"/>
            <w:vAlign w:val="center"/>
          </w:tcPr>
          <w:p w14:paraId="0CCCD753" w14:textId="77777777" w:rsidR="0017012A" w:rsidRPr="00560D37" w:rsidRDefault="0017012A" w:rsidP="001D46CC">
            <w:pPr>
              <w:pStyle w:val="TableText0"/>
              <w:jc w:val="center"/>
              <w:rPr>
                <w:iCs/>
                <w:szCs w:val="20"/>
              </w:rPr>
            </w:pPr>
            <w:r w:rsidRPr="00560D37">
              <w:rPr>
                <w:iCs/>
              </w:rPr>
              <w:t>Dominant</w:t>
            </w:r>
          </w:p>
        </w:tc>
        <w:tc>
          <w:tcPr>
            <w:tcW w:w="620" w:type="pct"/>
            <w:shd w:val="solid" w:color="000000" w:fill="000000"/>
            <w:vAlign w:val="center"/>
          </w:tcPr>
          <w:p w14:paraId="296D3437" w14:textId="78FEC42F" w:rsidR="0017012A" w:rsidRPr="006A414A" w:rsidRDefault="006A414A" w:rsidP="001D46CC">
            <w:pPr>
              <w:pStyle w:val="TableText0"/>
              <w:jc w:val="center"/>
              <w:rPr>
                <w:iCs/>
                <w:szCs w:val="20"/>
              </w:rPr>
            </w:pPr>
            <w:r w:rsidRPr="006A414A">
              <w:rPr>
                <w:rFonts w:hint="eastAsia"/>
                <w:iCs/>
                <w:color w:val="000000"/>
                <w:w w:val="31"/>
                <w:szCs w:val="20"/>
                <w:fitText w:val="138" w:id="-1303199737"/>
                <w14:textFill>
                  <w14:solidFill>
                    <w14:srgbClr w14:val="000000">
                      <w14:alpha w14:val="100000"/>
                    </w14:srgbClr>
                  </w14:solidFill>
                </w14:textFill>
              </w:rPr>
              <w:t xml:space="preserve">　</w:t>
            </w:r>
            <w:r w:rsidRPr="006A414A">
              <w:rPr>
                <w:iCs/>
                <w:color w:val="000000"/>
                <w:w w:val="31"/>
                <w:szCs w:val="20"/>
                <w:fitText w:val="138" w:id="-1303199737"/>
                <w14:textFill>
                  <w14:solidFill>
                    <w14:srgbClr w14:val="000000">
                      <w14:alpha w14:val="100000"/>
                    </w14:srgbClr>
                  </w14:solidFill>
                </w14:textFill>
              </w:rPr>
              <w:t>|</w:t>
            </w:r>
            <w:r w:rsidRPr="006A414A">
              <w:rPr>
                <w:rFonts w:hint="eastAsia"/>
                <w:iCs/>
                <w:color w:val="000000"/>
                <w:w w:val="31"/>
                <w:szCs w:val="20"/>
                <w:fitText w:val="138" w:id="-1303199737"/>
                <w14:textFill>
                  <w14:solidFill>
                    <w14:srgbClr w14:val="000000">
                      <w14:alpha w14:val="100000"/>
                    </w14:srgbClr>
                  </w14:solidFill>
                </w14:textFill>
              </w:rPr>
              <w:t xml:space="preserve">　</w:t>
            </w:r>
          </w:p>
        </w:tc>
        <w:tc>
          <w:tcPr>
            <w:tcW w:w="495" w:type="pct"/>
            <w:vAlign w:val="center"/>
          </w:tcPr>
          <w:p w14:paraId="5D78EA23" w14:textId="77777777" w:rsidR="0017012A" w:rsidRPr="00560D37" w:rsidRDefault="0017012A" w:rsidP="001D46CC">
            <w:pPr>
              <w:pStyle w:val="TableText0"/>
              <w:jc w:val="center"/>
              <w:rPr>
                <w:iCs/>
                <w:szCs w:val="20"/>
              </w:rPr>
            </w:pPr>
            <w:r w:rsidRPr="00560D37">
              <w:rPr>
                <w:iCs/>
                <w:szCs w:val="20"/>
              </w:rPr>
              <w:t>0.03</w:t>
            </w:r>
          </w:p>
        </w:tc>
        <w:tc>
          <w:tcPr>
            <w:tcW w:w="569" w:type="pct"/>
            <w:shd w:val="clear" w:color="auto" w:fill="auto"/>
            <w:vAlign w:val="center"/>
          </w:tcPr>
          <w:p w14:paraId="02BB177C" w14:textId="57E5EB4C" w:rsidR="0017012A" w:rsidRPr="00D358DB" w:rsidRDefault="006A414A" w:rsidP="001D46CC">
            <w:pPr>
              <w:pStyle w:val="TableText0"/>
              <w:jc w:val="center"/>
              <w:rPr>
                <w:iCs/>
                <w:szCs w:val="20"/>
                <w:highlight w:val="darkGray"/>
              </w:rPr>
            </w:pPr>
            <w:r w:rsidRPr="006A414A">
              <w:rPr>
                <w:iCs/>
                <w:color w:val="000000"/>
                <w:spacing w:val="42"/>
                <w:szCs w:val="20"/>
                <w:shd w:val="solid" w:color="000000" w:fill="000000"/>
                <w:fitText w:val="213" w:id="-1303199736"/>
                <w14:textFill>
                  <w14:solidFill>
                    <w14:srgbClr w14:val="000000">
                      <w14:alpha w14:val="100000"/>
                    </w14:srgbClr>
                  </w14:solidFill>
                </w14:textFill>
              </w:rPr>
              <w:t>||</w:t>
            </w:r>
            <w:r w:rsidRPr="006A414A">
              <w:rPr>
                <w:iCs/>
                <w:color w:val="000000"/>
                <w:spacing w:val="2"/>
                <w:szCs w:val="20"/>
                <w:shd w:val="solid" w:color="000000" w:fill="000000"/>
                <w:fitText w:val="213" w:id="-1303199736"/>
                <w14:textFill>
                  <w14:solidFill>
                    <w14:srgbClr w14:val="000000">
                      <w14:alpha w14:val="100000"/>
                    </w14:srgbClr>
                  </w14:solidFill>
                </w14:textFill>
              </w:rPr>
              <w:t>|</w:t>
            </w:r>
            <w:r w:rsidR="00D358DB">
              <w:rPr>
                <w:rFonts w:eastAsia="Arial Narrow" w:cs="Arial Narrow"/>
                <w:b/>
                <w:iCs/>
                <w:szCs w:val="20"/>
                <w:vertAlign w:val="superscript"/>
              </w:rPr>
              <w:t>5</w:t>
            </w:r>
          </w:p>
        </w:tc>
      </w:tr>
      <w:tr w:rsidR="0017012A" w:rsidRPr="00560D37" w14:paraId="23874BF1" w14:textId="77777777" w:rsidTr="00CC71B0">
        <w:trPr>
          <w:trHeight w:val="255"/>
        </w:trPr>
        <w:tc>
          <w:tcPr>
            <w:tcW w:w="1343" w:type="pct"/>
            <w:shd w:val="clear" w:color="auto" w:fill="auto"/>
          </w:tcPr>
          <w:p w14:paraId="0A0246DB" w14:textId="77777777" w:rsidR="0017012A" w:rsidRPr="00560D37" w:rsidRDefault="0017012A" w:rsidP="00CC71B0">
            <w:pPr>
              <w:pStyle w:val="TableText0"/>
              <w:rPr>
                <w:b/>
                <w:iCs/>
                <w:szCs w:val="20"/>
              </w:rPr>
            </w:pPr>
          </w:p>
        </w:tc>
        <w:tc>
          <w:tcPr>
            <w:tcW w:w="657" w:type="pct"/>
          </w:tcPr>
          <w:p w14:paraId="1464EF11" w14:textId="77777777" w:rsidR="0017012A" w:rsidRPr="00560D37" w:rsidRDefault="0017012A" w:rsidP="00CC71B0">
            <w:pPr>
              <w:pStyle w:val="TableText0"/>
              <w:jc w:val="center"/>
              <w:rPr>
                <w:rFonts w:eastAsia="Arial Narrow"/>
                <w:b/>
                <w:iCs/>
                <w:color w:val="000000" w:themeColor="text1"/>
                <w:szCs w:val="20"/>
              </w:rPr>
            </w:pPr>
          </w:p>
        </w:tc>
        <w:tc>
          <w:tcPr>
            <w:tcW w:w="658" w:type="pct"/>
          </w:tcPr>
          <w:p w14:paraId="7F3418CB" w14:textId="77777777" w:rsidR="0017012A" w:rsidRPr="00560D37" w:rsidRDefault="0017012A" w:rsidP="00CC71B0">
            <w:pPr>
              <w:pStyle w:val="TableText0"/>
              <w:jc w:val="center"/>
              <w:rPr>
                <w:rFonts w:eastAsia="Arial Narrow"/>
                <w:b/>
                <w:iCs/>
                <w:color w:val="000000" w:themeColor="text1"/>
                <w:szCs w:val="20"/>
              </w:rPr>
            </w:pPr>
          </w:p>
        </w:tc>
        <w:tc>
          <w:tcPr>
            <w:tcW w:w="658" w:type="pct"/>
            <w:shd w:val="clear" w:color="auto" w:fill="auto"/>
          </w:tcPr>
          <w:p w14:paraId="0CA817BD" w14:textId="77777777" w:rsidR="0017012A" w:rsidRPr="00560D37" w:rsidRDefault="0017012A" w:rsidP="00CC71B0">
            <w:pPr>
              <w:pStyle w:val="TableText0"/>
              <w:jc w:val="center"/>
              <w:rPr>
                <w:rFonts w:eastAsia="Arial Narrow"/>
                <w:b/>
                <w:iCs/>
                <w:color w:val="000000" w:themeColor="text1"/>
                <w:szCs w:val="20"/>
              </w:rPr>
            </w:pPr>
          </w:p>
        </w:tc>
        <w:tc>
          <w:tcPr>
            <w:tcW w:w="620" w:type="pct"/>
          </w:tcPr>
          <w:p w14:paraId="27A36808" w14:textId="77777777" w:rsidR="0017012A" w:rsidRPr="00560D37" w:rsidRDefault="0017012A" w:rsidP="00CC71B0">
            <w:pPr>
              <w:pStyle w:val="TableText0"/>
              <w:jc w:val="center"/>
              <w:rPr>
                <w:rFonts w:cs="Arial"/>
                <w:iCs/>
                <w:szCs w:val="20"/>
              </w:rPr>
            </w:pPr>
          </w:p>
        </w:tc>
        <w:tc>
          <w:tcPr>
            <w:tcW w:w="495" w:type="pct"/>
          </w:tcPr>
          <w:p w14:paraId="42DAC17D" w14:textId="77777777" w:rsidR="0017012A" w:rsidRPr="00560D37" w:rsidRDefault="0017012A" w:rsidP="00CC71B0">
            <w:pPr>
              <w:pStyle w:val="TableText0"/>
              <w:jc w:val="center"/>
              <w:rPr>
                <w:rFonts w:cs="Arial"/>
                <w:iCs/>
                <w:szCs w:val="20"/>
              </w:rPr>
            </w:pPr>
          </w:p>
        </w:tc>
        <w:tc>
          <w:tcPr>
            <w:tcW w:w="569" w:type="pct"/>
            <w:shd w:val="clear" w:color="auto" w:fill="auto"/>
          </w:tcPr>
          <w:p w14:paraId="5D3DB64B" w14:textId="77777777" w:rsidR="0017012A" w:rsidRPr="00560D37" w:rsidRDefault="0017012A" w:rsidP="00CC71B0">
            <w:pPr>
              <w:pStyle w:val="TableText0"/>
              <w:jc w:val="center"/>
              <w:rPr>
                <w:rFonts w:cs="Arial"/>
                <w:iCs/>
                <w:szCs w:val="20"/>
              </w:rPr>
            </w:pPr>
          </w:p>
        </w:tc>
      </w:tr>
      <w:tr w:rsidR="0017012A" w:rsidRPr="00560D37" w14:paraId="2D967065" w14:textId="77777777" w:rsidTr="00CC71B0">
        <w:trPr>
          <w:trHeight w:val="255"/>
        </w:trPr>
        <w:tc>
          <w:tcPr>
            <w:tcW w:w="1343" w:type="pct"/>
            <w:shd w:val="clear" w:color="auto" w:fill="auto"/>
          </w:tcPr>
          <w:p w14:paraId="18791739" w14:textId="77777777" w:rsidR="0017012A" w:rsidRPr="00560D37" w:rsidRDefault="0017012A" w:rsidP="00CC71B0">
            <w:pPr>
              <w:pStyle w:val="TableText0"/>
              <w:rPr>
                <w:rFonts w:cs="Arial"/>
                <w:iCs/>
                <w:szCs w:val="20"/>
              </w:rPr>
            </w:pPr>
          </w:p>
        </w:tc>
        <w:tc>
          <w:tcPr>
            <w:tcW w:w="1973" w:type="pct"/>
            <w:gridSpan w:val="3"/>
          </w:tcPr>
          <w:p w14:paraId="787CA1CC" w14:textId="77777777" w:rsidR="0017012A" w:rsidRPr="00560D37" w:rsidRDefault="0017012A" w:rsidP="00CC71B0">
            <w:pPr>
              <w:pStyle w:val="TableText0"/>
              <w:jc w:val="center"/>
              <w:rPr>
                <w:iCs/>
                <w:szCs w:val="20"/>
              </w:rPr>
            </w:pPr>
            <w:r w:rsidRPr="00560D37">
              <w:rPr>
                <w:b/>
                <w:iCs/>
                <w:szCs w:val="20"/>
              </w:rPr>
              <w:t>20vPCV vs no vaccination</w:t>
            </w:r>
          </w:p>
        </w:tc>
        <w:tc>
          <w:tcPr>
            <w:tcW w:w="620" w:type="pct"/>
          </w:tcPr>
          <w:p w14:paraId="605802DF" w14:textId="77777777" w:rsidR="0017012A" w:rsidRPr="00560D37" w:rsidRDefault="0017012A" w:rsidP="00CC71B0">
            <w:pPr>
              <w:pStyle w:val="TableText0"/>
              <w:jc w:val="center"/>
              <w:rPr>
                <w:rFonts w:cs="Arial"/>
                <w:iCs/>
                <w:szCs w:val="20"/>
              </w:rPr>
            </w:pPr>
          </w:p>
        </w:tc>
        <w:tc>
          <w:tcPr>
            <w:tcW w:w="495" w:type="pct"/>
          </w:tcPr>
          <w:p w14:paraId="2B731747" w14:textId="77777777" w:rsidR="0017012A" w:rsidRPr="00560D37" w:rsidRDefault="0017012A" w:rsidP="00CC71B0">
            <w:pPr>
              <w:pStyle w:val="TableText0"/>
              <w:jc w:val="center"/>
              <w:rPr>
                <w:rFonts w:cs="Arial"/>
                <w:iCs/>
                <w:szCs w:val="20"/>
              </w:rPr>
            </w:pPr>
          </w:p>
        </w:tc>
        <w:tc>
          <w:tcPr>
            <w:tcW w:w="569" w:type="pct"/>
            <w:shd w:val="clear" w:color="auto" w:fill="auto"/>
          </w:tcPr>
          <w:p w14:paraId="7950D8B4" w14:textId="77777777" w:rsidR="0017012A" w:rsidRPr="00560D37" w:rsidRDefault="0017012A" w:rsidP="00CC71B0">
            <w:pPr>
              <w:pStyle w:val="TableText0"/>
              <w:jc w:val="center"/>
              <w:rPr>
                <w:rFonts w:cs="Arial"/>
                <w:iCs/>
                <w:szCs w:val="20"/>
              </w:rPr>
            </w:pPr>
          </w:p>
        </w:tc>
      </w:tr>
      <w:tr w:rsidR="0017012A" w:rsidRPr="00560D37" w14:paraId="45664AFD" w14:textId="77777777" w:rsidTr="006A414A">
        <w:trPr>
          <w:trHeight w:val="255"/>
        </w:trPr>
        <w:tc>
          <w:tcPr>
            <w:tcW w:w="1343" w:type="pct"/>
            <w:shd w:val="clear" w:color="auto" w:fill="auto"/>
          </w:tcPr>
          <w:p w14:paraId="7F62A808" w14:textId="77777777" w:rsidR="0017012A" w:rsidRPr="00560D37" w:rsidRDefault="0017012A" w:rsidP="00CC71B0">
            <w:pPr>
              <w:pStyle w:val="TableText0"/>
              <w:rPr>
                <w:b/>
                <w:iCs/>
                <w:szCs w:val="20"/>
              </w:rPr>
            </w:pPr>
            <w:r w:rsidRPr="00560D37">
              <w:rPr>
                <w:b/>
                <w:iCs/>
                <w:szCs w:val="20"/>
              </w:rPr>
              <w:t>Base case for Indigenous Australians 25-49 years</w:t>
            </w:r>
          </w:p>
        </w:tc>
        <w:tc>
          <w:tcPr>
            <w:tcW w:w="657" w:type="pct"/>
            <w:tcBorders>
              <w:bottom w:val="single" w:sz="4" w:space="0" w:color="auto"/>
            </w:tcBorders>
            <w:shd w:val="solid" w:color="000000" w:fill="000000"/>
            <w:vAlign w:val="center"/>
          </w:tcPr>
          <w:p w14:paraId="06D536D7" w14:textId="07B76B89" w:rsidR="0017012A" w:rsidRPr="006A414A" w:rsidRDefault="006A414A" w:rsidP="001D46CC">
            <w:pPr>
              <w:pStyle w:val="TableText0"/>
              <w:jc w:val="center"/>
              <w:rPr>
                <w:rFonts w:eastAsia="Arial Narrow" w:cs="Arial Narrow"/>
                <w:b/>
                <w:iCs/>
                <w:szCs w:val="20"/>
              </w:rPr>
            </w:pPr>
            <w:r w:rsidRPr="006A414A">
              <w:rPr>
                <w:rFonts w:eastAsia="Arial Narrow" w:cs="Arial Narrow"/>
                <w:b/>
                <w:iCs/>
                <w:color w:val="000000"/>
                <w:w w:val="25"/>
                <w:szCs w:val="20"/>
                <w:fitText w:val="113" w:id="-1303199735"/>
                <w14:textFill>
                  <w14:solidFill>
                    <w14:srgbClr w14:val="000000">
                      <w14:alpha w14:val="100000"/>
                    </w14:srgbClr>
                  </w14:solidFill>
                </w14:textFill>
              </w:rPr>
              <w:t xml:space="preserve">　|　</w:t>
            </w:r>
          </w:p>
        </w:tc>
        <w:tc>
          <w:tcPr>
            <w:tcW w:w="658" w:type="pct"/>
            <w:vAlign w:val="center"/>
          </w:tcPr>
          <w:p w14:paraId="3CA59A5E" w14:textId="77777777" w:rsidR="0017012A" w:rsidRPr="00560D37" w:rsidRDefault="0017012A" w:rsidP="001D46CC">
            <w:pPr>
              <w:pStyle w:val="TableText0"/>
              <w:jc w:val="center"/>
              <w:rPr>
                <w:rFonts w:eastAsia="Arial Narrow" w:cs="Arial Narrow"/>
                <w:b/>
                <w:iCs/>
                <w:szCs w:val="20"/>
              </w:rPr>
            </w:pPr>
            <w:r w:rsidRPr="00560D37">
              <w:rPr>
                <w:rFonts w:eastAsia="Arial Narrow" w:cs="Arial Narrow"/>
                <w:b/>
                <w:iCs/>
                <w:szCs w:val="20"/>
              </w:rPr>
              <w:t>0.53</w:t>
            </w:r>
          </w:p>
        </w:tc>
        <w:tc>
          <w:tcPr>
            <w:tcW w:w="658" w:type="pct"/>
            <w:shd w:val="clear" w:color="auto" w:fill="auto"/>
            <w:vAlign w:val="center"/>
          </w:tcPr>
          <w:p w14:paraId="381FCDD5" w14:textId="4E8A69D7" w:rsidR="0017012A" w:rsidRPr="00D358DB" w:rsidRDefault="006A414A" w:rsidP="001D46CC">
            <w:pPr>
              <w:pStyle w:val="TableText0"/>
              <w:jc w:val="center"/>
              <w:rPr>
                <w:iCs/>
                <w:szCs w:val="20"/>
                <w:highlight w:val="darkGray"/>
              </w:rPr>
            </w:pPr>
            <w:r w:rsidRPr="006A414A">
              <w:rPr>
                <w:rFonts w:eastAsia="Arial Narrow" w:cs="Arial Narrow"/>
                <w:b/>
                <w:iCs/>
                <w:color w:val="000000"/>
                <w:w w:val="33"/>
                <w:szCs w:val="20"/>
                <w:shd w:val="solid" w:color="000000" w:fill="000000"/>
                <w:fitText w:val="150" w:id="-1303199734"/>
                <w14:textFill>
                  <w14:solidFill>
                    <w14:srgbClr w14:val="000000">
                      <w14:alpha w14:val="100000"/>
                    </w14:srgbClr>
                  </w14:solidFill>
                </w14:textFill>
              </w:rPr>
              <w:t xml:space="preserve">　|</w:t>
            </w:r>
            <w:r w:rsidRPr="006A414A">
              <w:rPr>
                <w:rFonts w:eastAsia="Arial Narrow" w:cs="Arial Narrow"/>
                <w:b/>
                <w:iCs/>
                <w:color w:val="000000"/>
                <w:spacing w:val="3"/>
                <w:w w:val="33"/>
                <w:szCs w:val="20"/>
                <w:shd w:val="solid" w:color="000000" w:fill="000000"/>
                <w:fitText w:val="150" w:id="-1303199734"/>
                <w14:textFill>
                  <w14:solidFill>
                    <w14:srgbClr w14:val="000000">
                      <w14:alpha w14:val="100000"/>
                    </w14:srgbClr>
                  </w14:solidFill>
                </w14:textFill>
              </w:rPr>
              <w:t xml:space="preserve">　</w:t>
            </w:r>
            <w:r w:rsidR="00D358DB" w:rsidRPr="00D358DB">
              <w:rPr>
                <w:rFonts w:eastAsia="Arial Narrow" w:cs="Arial Narrow"/>
                <w:b/>
                <w:iCs/>
                <w:szCs w:val="20"/>
                <w:vertAlign w:val="superscript"/>
              </w:rPr>
              <w:t>1</w:t>
            </w:r>
          </w:p>
        </w:tc>
        <w:tc>
          <w:tcPr>
            <w:tcW w:w="620" w:type="pct"/>
          </w:tcPr>
          <w:p w14:paraId="37283B5F" w14:textId="77777777" w:rsidR="0017012A" w:rsidRPr="00560D37" w:rsidRDefault="0017012A" w:rsidP="00CC71B0">
            <w:pPr>
              <w:pStyle w:val="TableText0"/>
              <w:jc w:val="center"/>
              <w:rPr>
                <w:rFonts w:cs="Arial"/>
                <w:iCs/>
                <w:szCs w:val="20"/>
              </w:rPr>
            </w:pPr>
          </w:p>
        </w:tc>
        <w:tc>
          <w:tcPr>
            <w:tcW w:w="495" w:type="pct"/>
          </w:tcPr>
          <w:p w14:paraId="1D7A80EF" w14:textId="77777777" w:rsidR="0017012A" w:rsidRPr="00560D37" w:rsidRDefault="0017012A" w:rsidP="00CC71B0">
            <w:pPr>
              <w:pStyle w:val="TableText0"/>
              <w:jc w:val="center"/>
              <w:rPr>
                <w:rFonts w:cs="Arial"/>
                <w:iCs/>
                <w:szCs w:val="20"/>
              </w:rPr>
            </w:pPr>
          </w:p>
        </w:tc>
        <w:tc>
          <w:tcPr>
            <w:tcW w:w="569" w:type="pct"/>
            <w:shd w:val="clear" w:color="auto" w:fill="auto"/>
          </w:tcPr>
          <w:p w14:paraId="7FB106FE" w14:textId="77777777" w:rsidR="0017012A" w:rsidRPr="00560D37" w:rsidRDefault="0017012A" w:rsidP="00CC71B0">
            <w:pPr>
              <w:pStyle w:val="TableText0"/>
              <w:jc w:val="center"/>
              <w:rPr>
                <w:rFonts w:cs="Arial"/>
                <w:iCs/>
                <w:szCs w:val="20"/>
              </w:rPr>
            </w:pPr>
          </w:p>
        </w:tc>
      </w:tr>
      <w:tr w:rsidR="0017012A" w:rsidRPr="00560D37" w14:paraId="49D987D3" w14:textId="77777777" w:rsidTr="006A414A">
        <w:trPr>
          <w:trHeight w:val="255"/>
        </w:trPr>
        <w:tc>
          <w:tcPr>
            <w:tcW w:w="1343" w:type="pct"/>
            <w:shd w:val="clear" w:color="auto" w:fill="auto"/>
          </w:tcPr>
          <w:p w14:paraId="0057AA8C" w14:textId="77777777" w:rsidR="0017012A" w:rsidRPr="00560D37" w:rsidRDefault="0017012A" w:rsidP="00CC71B0">
            <w:pPr>
              <w:pStyle w:val="TableText0"/>
              <w:rPr>
                <w:iCs/>
                <w:szCs w:val="20"/>
              </w:rPr>
            </w:pPr>
            <w:r w:rsidRPr="00560D37">
              <w:rPr>
                <w:rFonts w:cs="Arial"/>
                <w:iCs/>
                <w:szCs w:val="20"/>
              </w:rPr>
              <w:t>Reduced by 5%</w:t>
            </w:r>
          </w:p>
        </w:tc>
        <w:tc>
          <w:tcPr>
            <w:tcW w:w="657" w:type="pct"/>
            <w:tcBorders>
              <w:bottom w:val="single" w:sz="4" w:space="0" w:color="auto"/>
            </w:tcBorders>
            <w:shd w:val="solid" w:color="000000" w:fill="000000"/>
          </w:tcPr>
          <w:p w14:paraId="3E368025" w14:textId="2C39F329" w:rsidR="0017012A" w:rsidRPr="006A414A" w:rsidRDefault="006A414A" w:rsidP="00CC71B0">
            <w:pPr>
              <w:pStyle w:val="TableText0"/>
              <w:jc w:val="center"/>
              <w:rPr>
                <w:iCs/>
                <w:szCs w:val="20"/>
              </w:rPr>
            </w:pPr>
            <w:r w:rsidRPr="006A414A">
              <w:rPr>
                <w:rFonts w:hint="eastAsia"/>
                <w:iCs/>
                <w:color w:val="000000"/>
                <w:w w:val="25"/>
                <w:szCs w:val="20"/>
                <w:fitText w:val="113" w:id="-1303199733"/>
                <w14:textFill>
                  <w14:solidFill>
                    <w14:srgbClr w14:val="000000">
                      <w14:alpha w14:val="100000"/>
                    </w14:srgbClr>
                  </w14:solidFill>
                </w14:textFill>
              </w:rPr>
              <w:t xml:space="preserve">　</w:t>
            </w:r>
            <w:r w:rsidRPr="006A414A">
              <w:rPr>
                <w:iCs/>
                <w:color w:val="000000"/>
                <w:w w:val="25"/>
                <w:szCs w:val="20"/>
                <w:fitText w:val="113" w:id="-1303199733"/>
                <w14:textFill>
                  <w14:solidFill>
                    <w14:srgbClr w14:val="000000">
                      <w14:alpha w14:val="100000"/>
                    </w14:srgbClr>
                  </w14:solidFill>
                </w14:textFill>
              </w:rPr>
              <w:t>|</w:t>
            </w:r>
            <w:r w:rsidRPr="006A414A">
              <w:rPr>
                <w:rFonts w:hint="eastAsia"/>
                <w:iCs/>
                <w:color w:val="000000"/>
                <w:w w:val="25"/>
                <w:szCs w:val="20"/>
                <w:fitText w:val="113" w:id="-1303199733"/>
                <w14:textFill>
                  <w14:solidFill>
                    <w14:srgbClr w14:val="000000">
                      <w14:alpha w14:val="100000"/>
                    </w14:srgbClr>
                  </w14:solidFill>
                </w14:textFill>
              </w:rPr>
              <w:t xml:space="preserve">　</w:t>
            </w:r>
          </w:p>
        </w:tc>
        <w:tc>
          <w:tcPr>
            <w:tcW w:w="658" w:type="pct"/>
          </w:tcPr>
          <w:p w14:paraId="4BDEE9A1" w14:textId="77777777" w:rsidR="0017012A" w:rsidRPr="00560D37" w:rsidRDefault="0017012A" w:rsidP="00CC71B0">
            <w:pPr>
              <w:pStyle w:val="TableText0"/>
              <w:jc w:val="center"/>
              <w:rPr>
                <w:iCs/>
                <w:szCs w:val="20"/>
              </w:rPr>
            </w:pPr>
            <w:r w:rsidRPr="00560D37">
              <w:rPr>
                <w:iCs/>
                <w:szCs w:val="20"/>
              </w:rPr>
              <w:t>0.51</w:t>
            </w:r>
          </w:p>
        </w:tc>
        <w:tc>
          <w:tcPr>
            <w:tcW w:w="658" w:type="pct"/>
            <w:shd w:val="clear" w:color="auto" w:fill="auto"/>
          </w:tcPr>
          <w:p w14:paraId="41B593B7" w14:textId="3190C901" w:rsidR="0017012A" w:rsidRPr="00D358DB" w:rsidRDefault="006A414A" w:rsidP="00CC71B0">
            <w:pPr>
              <w:pStyle w:val="TableText0"/>
              <w:jc w:val="center"/>
              <w:rPr>
                <w:iCs/>
                <w:szCs w:val="20"/>
                <w:highlight w:val="darkGray"/>
              </w:rPr>
            </w:pPr>
            <w:r w:rsidRPr="006A414A">
              <w:rPr>
                <w:rFonts w:hint="eastAsia"/>
                <w:iCs/>
                <w:color w:val="000000"/>
                <w:w w:val="33"/>
                <w:szCs w:val="20"/>
                <w:shd w:val="solid" w:color="000000" w:fill="000000"/>
                <w:fitText w:val="150" w:id="-1303199732"/>
                <w14:textFill>
                  <w14:solidFill>
                    <w14:srgbClr w14:val="000000">
                      <w14:alpha w14:val="100000"/>
                    </w14:srgbClr>
                  </w14:solidFill>
                </w14:textFill>
              </w:rPr>
              <w:t xml:space="preserve">　</w:t>
            </w:r>
            <w:r w:rsidRPr="006A414A">
              <w:rPr>
                <w:iCs/>
                <w:color w:val="000000"/>
                <w:w w:val="33"/>
                <w:szCs w:val="20"/>
                <w:shd w:val="solid" w:color="000000" w:fill="000000"/>
                <w:fitText w:val="150" w:id="-1303199732"/>
                <w14:textFill>
                  <w14:solidFill>
                    <w14:srgbClr w14:val="000000">
                      <w14:alpha w14:val="100000"/>
                    </w14:srgbClr>
                  </w14:solidFill>
                </w14:textFill>
              </w:rPr>
              <w:t>|</w:t>
            </w:r>
            <w:r w:rsidRPr="006A414A">
              <w:rPr>
                <w:rFonts w:hint="eastAsia"/>
                <w:iCs/>
                <w:color w:val="000000"/>
                <w:spacing w:val="4"/>
                <w:w w:val="33"/>
                <w:szCs w:val="20"/>
                <w:shd w:val="solid" w:color="000000" w:fill="000000"/>
                <w:fitText w:val="150" w:id="-1303199732"/>
                <w14:textFill>
                  <w14:solidFill>
                    <w14:srgbClr w14:val="000000">
                      <w14:alpha w14:val="100000"/>
                    </w14:srgbClr>
                  </w14:solidFill>
                </w14:textFill>
              </w:rPr>
              <w:t xml:space="preserve">　</w:t>
            </w:r>
            <w:r w:rsidR="00D358DB" w:rsidRPr="00D358DB">
              <w:rPr>
                <w:rFonts w:eastAsia="Arial Narrow" w:cs="Arial Narrow"/>
                <w:b/>
                <w:iCs/>
                <w:szCs w:val="20"/>
                <w:vertAlign w:val="superscript"/>
              </w:rPr>
              <w:t>1</w:t>
            </w:r>
          </w:p>
        </w:tc>
        <w:tc>
          <w:tcPr>
            <w:tcW w:w="620" w:type="pct"/>
          </w:tcPr>
          <w:p w14:paraId="6DF09F3B" w14:textId="77777777" w:rsidR="0017012A" w:rsidRPr="00560D37" w:rsidRDefault="0017012A" w:rsidP="00CC71B0">
            <w:pPr>
              <w:pStyle w:val="TableText0"/>
              <w:jc w:val="center"/>
              <w:rPr>
                <w:rFonts w:cs="Arial"/>
                <w:iCs/>
                <w:szCs w:val="20"/>
              </w:rPr>
            </w:pPr>
          </w:p>
        </w:tc>
        <w:tc>
          <w:tcPr>
            <w:tcW w:w="495" w:type="pct"/>
          </w:tcPr>
          <w:p w14:paraId="43198CC6" w14:textId="77777777" w:rsidR="0017012A" w:rsidRPr="00560D37" w:rsidRDefault="0017012A" w:rsidP="00CC71B0">
            <w:pPr>
              <w:pStyle w:val="TableText0"/>
              <w:jc w:val="center"/>
              <w:rPr>
                <w:rFonts w:cs="Arial"/>
                <w:iCs/>
                <w:szCs w:val="20"/>
              </w:rPr>
            </w:pPr>
          </w:p>
        </w:tc>
        <w:tc>
          <w:tcPr>
            <w:tcW w:w="569" w:type="pct"/>
            <w:shd w:val="clear" w:color="auto" w:fill="auto"/>
          </w:tcPr>
          <w:p w14:paraId="463A68F6" w14:textId="77777777" w:rsidR="0017012A" w:rsidRPr="00560D37" w:rsidRDefault="0017012A" w:rsidP="00CC71B0">
            <w:pPr>
              <w:pStyle w:val="TableText0"/>
              <w:jc w:val="center"/>
              <w:rPr>
                <w:rFonts w:cs="Arial"/>
                <w:iCs/>
                <w:szCs w:val="20"/>
              </w:rPr>
            </w:pPr>
          </w:p>
        </w:tc>
      </w:tr>
      <w:tr w:rsidR="0017012A" w:rsidRPr="00560D37" w14:paraId="37C1B3F1" w14:textId="77777777" w:rsidTr="006A414A">
        <w:trPr>
          <w:trHeight w:val="255"/>
        </w:trPr>
        <w:tc>
          <w:tcPr>
            <w:tcW w:w="1343" w:type="pct"/>
            <w:shd w:val="clear" w:color="auto" w:fill="auto"/>
          </w:tcPr>
          <w:p w14:paraId="393C770E" w14:textId="77777777" w:rsidR="0017012A" w:rsidRPr="00560D37" w:rsidRDefault="0017012A" w:rsidP="00CC71B0">
            <w:pPr>
              <w:pStyle w:val="TableText0"/>
              <w:rPr>
                <w:iCs/>
                <w:szCs w:val="20"/>
              </w:rPr>
            </w:pPr>
            <w:r w:rsidRPr="00560D37">
              <w:rPr>
                <w:iCs/>
                <w:szCs w:val="20"/>
              </w:rPr>
              <w:t>Reduced by 10%</w:t>
            </w:r>
          </w:p>
        </w:tc>
        <w:tc>
          <w:tcPr>
            <w:tcW w:w="657" w:type="pct"/>
            <w:tcBorders>
              <w:bottom w:val="single" w:sz="4" w:space="0" w:color="auto"/>
            </w:tcBorders>
            <w:shd w:val="solid" w:color="000000" w:fill="000000"/>
          </w:tcPr>
          <w:p w14:paraId="5FB01FE9" w14:textId="0C0617A4" w:rsidR="0017012A" w:rsidRPr="006A414A" w:rsidRDefault="006A414A" w:rsidP="00CC71B0">
            <w:pPr>
              <w:pStyle w:val="TableText0"/>
              <w:jc w:val="center"/>
              <w:rPr>
                <w:iCs/>
                <w:szCs w:val="20"/>
              </w:rPr>
            </w:pPr>
            <w:r w:rsidRPr="006A414A">
              <w:rPr>
                <w:rFonts w:hint="eastAsia"/>
                <w:iCs/>
                <w:color w:val="000000"/>
                <w:w w:val="25"/>
                <w:szCs w:val="20"/>
                <w:fitText w:val="113" w:id="-1303199731"/>
                <w14:textFill>
                  <w14:solidFill>
                    <w14:srgbClr w14:val="000000">
                      <w14:alpha w14:val="100000"/>
                    </w14:srgbClr>
                  </w14:solidFill>
                </w14:textFill>
              </w:rPr>
              <w:t xml:space="preserve">　</w:t>
            </w:r>
            <w:r w:rsidRPr="006A414A">
              <w:rPr>
                <w:iCs/>
                <w:color w:val="000000"/>
                <w:w w:val="25"/>
                <w:szCs w:val="20"/>
                <w:fitText w:val="113" w:id="-1303199731"/>
                <w14:textFill>
                  <w14:solidFill>
                    <w14:srgbClr w14:val="000000">
                      <w14:alpha w14:val="100000"/>
                    </w14:srgbClr>
                  </w14:solidFill>
                </w14:textFill>
              </w:rPr>
              <w:t>|</w:t>
            </w:r>
            <w:r w:rsidRPr="006A414A">
              <w:rPr>
                <w:rFonts w:hint="eastAsia"/>
                <w:iCs/>
                <w:color w:val="000000"/>
                <w:w w:val="25"/>
                <w:szCs w:val="20"/>
                <w:fitText w:val="113" w:id="-1303199731"/>
                <w14:textFill>
                  <w14:solidFill>
                    <w14:srgbClr w14:val="000000">
                      <w14:alpha w14:val="100000"/>
                    </w14:srgbClr>
                  </w14:solidFill>
                </w14:textFill>
              </w:rPr>
              <w:t xml:space="preserve">　</w:t>
            </w:r>
          </w:p>
        </w:tc>
        <w:tc>
          <w:tcPr>
            <w:tcW w:w="658" w:type="pct"/>
          </w:tcPr>
          <w:p w14:paraId="02C526F5" w14:textId="77777777" w:rsidR="0017012A" w:rsidRPr="00560D37" w:rsidRDefault="0017012A" w:rsidP="00CC71B0">
            <w:pPr>
              <w:pStyle w:val="TableText0"/>
              <w:jc w:val="center"/>
              <w:rPr>
                <w:iCs/>
                <w:szCs w:val="20"/>
              </w:rPr>
            </w:pPr>
            <w:r w:rsidRPr="00560D37">
              <w:rPr>
                <w:iCs/>
                <w:szCs w:val="20"/>
              </w:rPr>
              <w:t>0.48</w:t>
            </w:r>
          </w:p>
        </w:tc>
        <w:tc>
          <w:tcPr>
            <w:tcW w:w="658" w:type="pct"/>
            <w:shd w:val="clear" w:color="auto" w:fill="auto"/>
          </w:tcPr>
          <w:p w14:paraId="60743B66" w14:textId="5609D6C8" w:rsidR="0017012A" w:rsidRPr="00D358DB" w:rsidRDefault="006A414A" w:rsidP="00CC71B0">
            <w:pPr>
              <w:pStyle w:val="TableText0"/>
              <w:jc w:val="center"/>
              <w:rPr>
                <w:iCs/>
                <w:szCs w:val="20"/>
                <w:highlight w:val="darkGray"/>
              </w:rPr>
            </w:pPr>
            <w:r w:rsidRPr="006A414A">
              <w:rPr>
                <w:rFonts w:hint="eastAsia"/>
                <w:iCs/>
                <w:color w:val="000000"/>
                <w:w w:val="33"/>
                <w:szCs w:val="20"/>
                <w:shd w:val="solid" w:color="000000" w:fill="000000"/>
                <w:fitText w:val="150" w:id="-1303199730"/>
                <w14:textFill>
                  <w14:solidFill>
                    <w14:srgbClr w14:val="000000">
                      <w14:alpha w14:val="100000"/>
                    </w14:srgbClr>
                  </w14:solidFill>
                </w14:textFill>
              </w:rPr>
              <w:t xml:space="preserve">　</w:t>
            </w:r>
            <w:r w:rsidRPr="006A414A">
              <w:rPr>
                <w:iCs/>
                <w:color w:val="000000"/>
                <w:w w:val="33"/>
                <w:szCs w:val="20"/>
                <w:shd w:val="solid" w:color="000000" w:fill="000000"/>
                <w:fitText w:val="150" w:id="-1303199730"/>
                <w14:textFill>
                  <w14:solidFill>
                    <w14:srgbClr w14:val="000000">
                      <w14:alpha w14:val="100000"/>
                    </w14:srgbClr>
                  </w14:solidFill>
                </w14:textFill>
              </w:rPr>
              <w:t>|</w:t>
            </w:r>
            <w:r w:rsidRPr="006A414A">
              <w:rPr>
                <w:rFonts w:hint="eastAsia"/>
                <w:iCs/>
                <w:color w:val="000000"/>
                <w:spacing w:val="4"/>
                <w:w w:val="33"/>
                <w:szCs w:val="20"/>
                <w:shd w:val="solid" w:color="000000" w:fill="000000"/>
                <w:fitText w:val="150" w:id="-1303199730"/>
                <w14:textFill>
                  <w14:solidFill>
                    <w14:srgbClr w14:val="000000">
                      <w14:alpha w14:val="100000"/>
                    </w14:srgbClr>
                  </w14:solidFill>
                </w14:textFill>
              </w:rPr>
              <w:t xml:space="preserve">　</w:t>
            </w:r>
            <w:r w:rsidR="00D358DB">
              <w:rPr>
                <w:rFonts w:eastAsia="Arial Narrow" w:cs="Arial Narrow"/>
                <w:b/>
                <w:iCs/>
                <w:szCs w:val="20"/>
                <w:vertAlign w:val="superscript"/>
              </w:rPr>
              <w:t>2</w:t>
            </w:r>
          </w:p>
        </w:tc>
        <w:tc>
          <w:tcPr>
            <w:tcW w:w="620" w:type="pct"/>
          </w:tcPr>
          <w:p w14:paraId="6617B350" w14:textId="77777777" w:rsidR="0017012A" w:rsidRPr="00560D37" w:rsidRDefault="0017012A" w:rsidP="00CC71B0">
            <w:pPr>
              <w:pStyle w:val="TableText0"/>
              <w:jc w:val="center"/>
              <w:rPr>
                <w:rFonts w:cs="Arial"/>
                <w:iCs/>
                <w:szCs w:val="20"/>
              </w:rPr>
            </w:pPr>
          </w:p>
        </w:tc>
        <w:tc>
          <w:tcPr>
            <w:tcW w:w="495" w:type="pct"/>
          </w:tcPr>
          <w:p w14:paraId="3646ED30" w14:textId="77777777" w:rsidR="0017012A" w:rsidRPr="00560D37" w:rsidRDefault="0017012A" w:rsidP="00CC71B0">
            <w:pPr>
              <w:pStyle w:val="TableText0"/>
              <w:jc w:val="center"/>
              <w:rPr>
                <w:rFonts w:cs="Arial"/>
                <w:iCs/>
                <w:szCs w:val="20"/>
              </w:rPr>
            </w:pPr>
          </w:p>
        </w:tc>
        <w:tc>
          <w:tcPr>
            <w:tcW w:w="569" w:type="pct"/>
            <w:shd w:val="clear" w:color="auto" w:fill="auto"/>
          </w:tcPr>
          <w:p w14:paraId="5A061E35" w14:textId="77777777" w:rsidR="0017012A" w:rsidRPr="00560D37" w:rsidRDefault="0017012A" w:rsidP="00CC71B0">
            <w:pPr>
              <w:pStyle w:val="TableText0"/>
              <w:jc w:val="center"/>
              <w:rPr>
                <w:rFonts w:cs="Arial"/>
                <w:iCs/>
                <w:szCs w:val="20"/>
              </w:rPr>
            </w:pPr>
          </w:p>
        </w:tc>
      </w:tr>
      <w:tr w:rsidR="0017012A" w:rsidRPr="00560D37" w14:paraId="036C60B6" w14:textId="77777777" w:rsidTr="006A414A">
        <w:trPr>
          <w:trHeight w:val="255"/>
        </w:trPr>
        <w:tc>
          <w:tcPr>
            <w:tcW w:w="1343" w:type="pct"/>
            <w:shd w:val="clear" w:color="auto" w:fill="auto"/>
          </w:tcPr>
          <w:p w14:paraId="1D20F27B" w14:textId="77777777" w:rsidR="0017012A" w:rsidRPr="00560D37" w:rsidRDefault="0017012A" w:rsidP="00CC71B0">
            <w:pPr>
              <w:pStyle w:val="TableText0"/>
              <w:rPr>
                <w:iCs/>
                <w:szCs w:val="20"/>
              </w:rPr>
            </w:pPr>
            <w:r w:rsidRPr="00560D37">
              <w:rPr>
                <w:iCs/>
                <w:szCs w:val="20"/>
              </w:rPr>
              <w:t>Reduced by 15%</w:t>
            </w:r>
          </w:p>
        </w:tc>
        <w:tc>
          <w:tcPr>
            <w:tcW w:w="657" w:type="pct"/>
            <w:shd w:val="solid" w:color="000000" w:fill="000000"/>
          </w:tcPr>
          <w:p w14:paraId="14030891" w14:textId="6FEBEB48" w:rsidR="0017012A" w:rsidRPr="006A414A" w:rsidRDefault="006A414A" w:rsidP="00CC71B0">
            <w:pPr>
              <w:pStyle w:val="TableText0"/>
              <w:jc w:val="center"/>
              <w:rPr>
                <w:iCs/>
                <w:szCs w:val="20"/>
              </w:rPr>
            </w:pPr>
            <w:r w:rsidRPr="006A414A">
              <w:rPr>
                <w:rFonts w:hint="eastAsia"/>
                <w:iCs/>
                <w:color w:val="000000"/>
                <w:w w:val="25"/>
                <w:szCs w:val="20"/>
                <w:fitText w:val="113" w:id="-1303199729"/>
                <w14:textFill>
                  <w14:solidFill>
                    <w14:srgbClr w14:val="000000">
                      <w14:alpha w14:val="100000"/>
                    </w14:srgbClr>
                  </w14:solidFill>
                </w14:textFill>
              </w:rPr>
              <w:t xml:space="preserve">　</w:t>
            </w:r>
            <w:r w:rsidRPr="006A414A">
              <w:rPr>
                <w:iCs/>
                <w:color w:val="000000"/>
                <w:w w:val="25"/>
                <w:szCs w:val="20"/>
                <w:fitText w:val="113" w:id="-1303199729"/>
                <w14:textFill>
                  <w14:solidFill>
                    <w14:srgbClr w14:val="000000">
                      <w14:alpha w14:val="100000"/>
                    </w14:srgbClr>
                  </w14:solidFill>
                </w14:textFill>
              </w:rPr>
              <w:t>|</w:t>
            </w:r>
            <w:r w:rsidRPr="006A414A">
              <w:rPr>
                <w:rFonts w:hint="eastAsia"/>
                <w:iCs/>
                <w:color w:val="000000"/>
                <w:w w:val="25"/>
                <w:szCs w:val="20"/>
                <w:fitText w:val="113" w:id="-1303199729"/>
                <w14:textFill>
                  <w14:solidFill>
                    <w14:srgbClr w14:val="000000">
                      <w14:alpha w14:val="100000"/>
                    </w14:srgbClr>
                  </w14:solidFill>
                </w14:textFill>
              </w:rPr>
              <w:t xml:space="preserve">　</w:t>
            </w:r>
          </w:p>
        </w:tc>
        <w:tc>
          <w:tcPr>
            <w:tcW w:w="658" w:type="pct"/>
          </w:tcPr>
          <w:p w14:paraId="536C58C6" w14:textId="77777777" w:rsidR="0017012A" w:rsidRPr="00560D37" w:rsidRDefault="0017012A" w:rsidP="00CC71B0">
            <w:pPr>
              <w:pStyle w:val="TableText0"/>
              <w:jc w:val="center"/>
              <w:rPr>
                <w:iCs/>
                <w:szCs w:val="20"/>
              </w:rPr>
            </w:pPr>
            <w:r w:rsidRPr="00560D37">
              <w:rPr>
                <w:iCs/>
                <w:szCs w:val="20"/>
              </w:rPr>
              <w:t>0.45</w:t>
            </w:r>
          </w:p>
        </w:tc>
        <w:tc>
          <w:tcPr>
            <w:tcW w:w="658" w:type="pct"/>
            <w:shd w:val="clear" w:color="auto" w:fill="auto"/>
          </w:tcPr>
          <w:p w14:paraId="7E96834F" w14:textId="7F7233D6" w:rsidR="0017012A" w:rsidRPr="00D358DB" w:rsidRDefault="006A414A" w:rsidP="00CC71B0">
            <w:pPr>
              <w:pStyle w:val="TableText0"/>
              <w:jc w:val="center"/>
              <w:rPr>
                <w:iCs/>
                <w:szCs w:val="20"/>
                <w:highlight w:val="darkGray"/>
              </w:rPr>
            </w:pPr>
            <w:r w:rsidRPr="006A414A">
              <w:rPr>
                <w:rFonts w:hint="eastAsia"/>
                <w:iCs/>
                <w:color w:val="000000"/>
                <w:w w:val="33"/>
                <w:szCs w:val="20"/>
                <w:shd w:val="solid" w:color="000000" w:fill="000000"/>
                <w:fitText w:val="150" w:id="-1303199728"/>
                <w14:textFill>
                  <w14:solidFill>
                    <w14:srgbClr w14:val="000000">
                      <w14:alpha w14:val="100000"/>
                    </w14:srgbClr>
                  </w14:solidFill>
                </w14:textFill>
              </w:rPr>
              <w:t xml:space="preserve">　</w:t>
            </w:r>
            <w:r w:rsidRPr="006A414A">
              <w:rPr>
                <w:iCs/>
                <w:color w:val="000000"/>
                <w:w w:val="33"/>
                <w:szCs w:val="20"/>
                <w:shd w:val="solid" w:color="000000" w:fill="000000"/>
                <w:fitText w:val="150" w:id="-1303199728"/>
                <w14:textFill>
                  <w14:solidFill>
                    <w14:srgbClr w14:val="000000">
                      <w14:alpha w14:val="100000"/>
                    </w14:srgbClr>
                  </w14:solidFill>
                </w14:textFill>
              </w:rPr>
              <w:t>|</w:t>
            </w:r>
            <w:r w:rsidRPr="006A414A">
              <w:rPr>
                <w:rFonts w:hint="eastAsia"/>
                <w:iCs/>
                <w:color w:val="000000"/>
                <w:spacing w:val="4"/>
                <w:w w:val="33"/>
                <w:szCs w:val="20"/>
                <w:shd w:val="solid" w:color="000000" w:fill="000000"/>
                <w:fitText w:val="150" w:id="-1303199728"/>
                <w14:textFill>
                  <w14:solidFill>
                    <w14:srgbClr w14:val="000000">
                      <w14:alpha w14:val="100000"/>
                    </w14:srgbClr>
                  </w14:solidFill>
                </w14:textFill>
              </w:rPr>
              <w:t xml:space="preserve">　</w:t>
            </w:r>
            <w:r w:rsidR="00D358DB">
              <w:rPr>
                <w:rFonts w:eastAsia="Arial Narrow" w:cs="Arial Narrow"/>
                <w:b/>
                <w:iCs/>
                <w:szCs w:val="20"/>
                <w:vertAlign w:val="superscript"/>
              </w:rPr>
              <w:t>2</w:t>
            </w:r>
          </w:p>
        </w:tc>
        <w:tc>
          <w:tcPr>
            <w:tcW w:w="620" w:type="pct"/>
          </w:tcPr>
          <w:p w14:paraId="6F3876AA" w14:textId="77777777" w:rsidR="0017012A" w:rsidRPr="00560D37" w:rsidRDefault="0017012A" w:rsidP="00CC71B0">
            <w:pPr>
              <w:pStyle w:val="TableText0"/>
              <w:jc w:val="center"/>
              <w:rPr>
                <w:rFonts w:cs="Arial"/>
                <w:iCs/>
                <w:szCs w:val="20"/>
              </w:rPr>
            </w:pPr>
          </w:p>
        </w:tc>
        <w:tc>
          <w:tcPr>
            <w:tcW w:w="495" w:type="pct"/>
          </w:tcPr>
          <w:p w14:paraId="642D5975" w14:textId="77777777" w:rsidR="0017012A" w:rsidRPr="00560D37" w:rsidRDefault="0017012A" w:rsidP="00CC71B0">
            <w:pPr>
              <w:pStyle w:val="TableText0"/>
              <w:jc w:val="center"/>
              <w:rPr>
                <w:rFonts w:cs="Arial"/>
                <w:iCs/>
                <w:szCs w:val="20"/>
              </w:rPr>
            </w:pPr>
          </w:p>
        </w:tc>
        <w:tc>
          <w:tcPr>
            <w:tcW w:w="569" w:type="pct"/>
            <w:shd w:val="clear" w:color="auto" w:fill="auto"/>
          </w:tcPr>
          <w:p w14:paraId="3ACDC787" w14:textId="77777777" w:rsidR="0017012A" w:rsidRPr="00560D37" w:rsidRDefault="0017012A" w:rsidP="00CC71B0">
            <w:pPr>
              <w:pStyle w:val="TableText0"/>
              <w:jc w:val="center"/>
              <w:rPr>
                <w:rFonts w:cs="Arial"/>
                <w:iCs/>
                <w:szCs w:val="20"/>
              </w:rPr>
            </w:pPr>
          </w:p>
        </w:tc>
      </w:tr>
    </w:tbl>
    <w:p w14:paraId="5ED3ABC1" w14:textId="4732BB95" w:rsidR="00261C02" w:rsidRPr="00560D37" w:rsidRDefault="00261C02" w:rsidP="0019320F">
      <w:pPr>
        <w:rPr>
          <w:rFonts w:ascii="Arial Narrow" w:hAnsi="Arial Narrow"/>
          <w:iCs/>
          <w:sz w:val="18"/>
          <w:szCs w:val="18"/>
        </w:rPr>
      </w:pPr>
      <w:r w:rsidRPr="00560D37">
        <w:rPr>
          <w:rFonts w:ascii="Arial Narrow" w:hAnsi="Arial Narrow"/>
          <w:iCs/>
          <w:sz w:val="18"/>
          <w:szCs w:val="18"/>
        </w:rPr>
        <w:t xml:space="preserve">Source: PSCR </w:t>
      </w:r>
      <w:r w:rsidR="001D46CC" w:rsidRPr="00560D37">
        <w:rPr>
          <w:rFonts w:ascii="Arial Narrow" w:hAnsi="Arial Narrow"/>
          <w:iCs/>
          <w:sz w:val="18"/>
          <w:szCs w:val="18"/>
        </w:rPr>
        <w:t xml:space="preserve">and developed during ESC evaluation </w:t>
      </w:r>
    </w:p>
    <w:p w14:paraId="142D4A8D" w14:textId="69A203F6" w:rsidR="0019320F" w:rsidRPr="00560D37" w:rsidRDefault="00261C02" w:rsidP="0019320F">
      <w:pPr>
        <w:rPr>
          <w:rFonts w:ascii="Arial Narrow" w:hAnsi="Arial Narrow"/>
          <w:iCs/>
          <w:sz w:val="18"/>
          <w:szCs w:val="18"/>
        </w:rPr>
      </w:pPr>
      <w:r w:rsidRPr="00560D37">
        <w:rPr>
          <w:rFonts w:ascii="Arial Narrow" w:hAnsi="Arial Narrow"/>
          <w:iCs/>
          <w:sz w:val="18"/>
          <w:szCs w:val="18"/>
        </w:rPr>
        <w:t>Abbreviations</w:t>
      </w:r>
      <w:r w:rsidR="001D46CC" w:rsidRPr="00560D37">
        <w:rPr>
          <w:rFonts w:ascii="Arial Narrow" w:hAnsi="Arial Narrow"/>
          <w:iCs/>
          <w:sz w:val="18"/>
          <w:szCs w:val="18"/>
        </w:rPr>
        <w:t xml:space="preserve">: ICER, incremental cost effectiveness ratio; </w:t>
      </w:r>
      <w:r w:rsidR="0019320F" w:rsidRPr="00560D37">
        <w:rPr>
          <w:rFonts w:ascii="Arial Narrow" w:hAnsi="Arial Narrow"/>
          <w:iCs/>
          <w:sz w:val="18"/>
          <w:szCs w:val="18"/>
        </w:rPr>
        <w:t xml:space="preserve">QALY, quality adjusted life year </w:t>
      </w:r>
    </w:p>
    <w:p w14:paraId="6BC8BFB3" w14:textId="77777777" w:rsidR="002A22AD" w:rsidRPr="00560D37" w:rsidRDefault="0019320F" w:rsidP="0019320F">
      <w:pPr>
        <w:rPr>
          <w:rFonts w:ascii="Arial Narrow" w:hAnsi="Arial Narrow"/>
          <w:iCs/>
          <w:sz w:val="18"/>
          <w:szCs w:val="18"/>
        </w:rPr>
      </w:pPr>
      <w:proofErr w:type="spellStart"/>
      <w:r w:rsidRPr="00560D37">
        <w:rPr>
          <w:rFonts w:ascii="Arial Narrow" w:hAnsi="Arial Narrow"/>
          <w:iCs/>
          <w:sz w:val="18"/>
          <w:szCs w:val="18"/>
        </w:rPr>
        <w:t>a</w:t>
      </w:r>
      <w:proofErr w:type="spellEnd"/>
      <w:r w:rsidRPr="00560D37">
        <w:rPr>
          <w:rFonts w:ascii="Arial Narrow" w:hAnsi="Arial Narrow"/>
          <w:iCs/>
          <w:sz w:val="18"/>
          <w:szCs w:val="18"/>
        </w:rPr>
        <w:t xml:space="preserve"> </w:t>
      </w:r>
      <w:r w:rsidR="001D46CC" w:rsidRPr="00560D37">
        <w:rPr>
          <w:rFonts w:ascii="Arial Narrow" w:hAnsi="Arial Narrow"/>
          <w:iCs/>
          <w:sz w:val="18"/>
          <w:szCs w:val="18"/>
        </w:rPr>
        <w:t>Using corrected</w:t>
      </w:r>
      <w:r w:rsidRPr="00560D37">
        <w:rPr>
          <w:rFonts w:ascii="Arial Narrow" w:hAnsi="Arial Narrow"/>
          <w:iCs/>
          <w:sz w:val="18"/>
          <w:szCs w:val="18"/>
        </w:rPr>
        <w:t xml:space="preserve"> </w:t>
      </w:r>
      <w:r w:rsidR="00261C02" w:rsidRPr="00560D37">
        <w:rPr>
          <w:rFonts w:ascii="Arial Narrow" w:hAnsi="Arial Narrow"/>
          <w:iCs/>
          <w:sz w:val="18"/>
          <w:szCs w:val="18"/>
        </w:rPr>
        <w:t>model</w:t>
      </w:r>
    </w:p>
    <w:p w14:paraId="78DB858B" w14:textId="37F95E2F" w:rsidR="0019320F" w:rsidRDefault="002A22AD" w:rsidP="00D358DB">
      <w:pPr>
        <w:pStyle w:val="FooterTableFigure"/>
        <w:widowControl w:val="0"/>
        <w:spacing w:after="0"/>
        <w:rPr>
          <w:iCs/>
        </w:rPr>
      </w:pPr>
      <w:r w:rsidRPr="00560D37">
        <w:rPr>
          <w:iCs/>
          <w:sz w:val="16"/>
          <w:szCs w:val="16"/>
        </w:rPr>
        <w:t>b</w:t>
      </w:r>
      <w:r w:rsidRPr="00560D37">
        <w:rPr>
          <w:iCs/>
        </w:rPr>
        <w:t xml:space="preserve"> Dominant ICER indicates that 20vPCV dominates comparator through being more effective and less costly.</w:t>
      </w:r>
    </w:p>
    <w:p w14:paraId="313D7E57" w14:textId="77777777" w:rsidR="00D358DB" w:rsidRDefault="00D358DB" w:rsidP="00D358DB">
      <w:pPr>
        <w:rPr>
          <w:rFonts w:ascii="Arial Narrow" w:hAnsi="Arial Narrow"/>
          <w:i/>
          <w:sz w:val="18"/>
          <w:szCs w:val="18"/>
        </w:rPr>
      </w:pPr>
      <w:r>
        <w:rPr>
          <w:rFonts w:ascii="Arial Narrow" w:hAnsi="Arial Narrow"/>
          <w:i/>
          <w:sz w:val="18"/>
          <w:szCs w:val="18"/>
        </w:rPr>
        <w:t xml:space="preserve">The redacted values correspond to the following ranges: </w:t>
      </w:r>
    </w:p>
    <w:p w14:paraId="1F24A660" w14:textId="57BC57EA" w:rsidR="00D358DB" w:rsidRDefault="00D358DB" w:rsidP="00D358DB">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D358DB">
        <w:rPr>
          <w:rFonts w:ascii="Arial Narrow" w:hAnsi="Arial Narrow"/>
          <w:i/>
          <w:sz w:val="18"/>
          <w:szCs w:val="18"/>
        </w:rPr>
        <w:t>$35,000 to &lt; $45,000</w:t>
      </w:r>
    </w:p>
    <w:p w14:paraId="5C0F7163" w14:textId="15C8B90E" w:rsidR="00D358DB" w:rsidRDefault="00D358DB" w:rsidP="00D358DB">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D358DB">
        <w:rPr>
          <w:rFonts w:ascii="Arial Narrow" w:hAnsi="Arial Narrow"/>
          <w:i/>
          <w:sz w:val="18"/>
          <w:szCs w:val="18"/>
        </w:rPr>
        <w:t>$45,000 to &lt; $55,000</w:t>
      </w:r>
    </w:p>
    <w:p w14:paraId="577DCBDD" w14:textId="67709C8D" w:rsidR="00D358DB" w:rsidRDefault="00D358DB" w:rsidP="00D358DB">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D358DB">
        <w:rPr>
          <w:rFonts w:ascii="Arial Narrow" w:hAnsi="Arial Narrow"/>
          <w:i/>
          <w:sz w:val="18"/>
          <w:szCs w:val="18"/>
        </w:rPr>
        <w:t>$0 to &lt; $5,000</w:t>
      </w:r>
    </w:p>
    <w:p w14:paraId="1002C284" w14:textId="2CAFEA44" w:rsidR="00D358DB" w:rsidRDefault="00D358DB" w:rsidP="00D358D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D358DB">
        <w:rPr>
          <w:rFonts w:ascii="Arial Narrow" w:hAnsi="Arial Narrow"/>
          <w:i/>
          <w:sz w:val="18"/>
          <w:szCs w:val="18"/>
        </w:rPr>
        <w:t>$15,000 to &lt; $25,000</w:t>
      </w:r>
    </w:p>
    <w:p w14:paraId="749EF003" w14:textId="4B98B06E" w:rsidR="00D358DB" w:rsidRPr="00D358DB" w:rsidRDefault="00D358DB" w:rsidP="00D358DB">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D358DB">
        <w:rPr>
          <w:rFonts w:ascii="Arial Narrow" w:hAnsi="Arial Narrow"/>
          <w:i/>
          <w:sz w:val="18"/>
          <w:szCs w:val="18"/>
        </w:rPr>
        <w:t>$135,000 to &lt; $155,000</w:t>
      </w:r>
    </w:p>
    <w:p w14:paraId="183971A5" w14:textId="6CF1FB06" w:rsidR="00E2084F" w:rsidRPr="00560D37" w:rsidRDefault="00E4307D" w:rsidP="00D358DB">
      <w:pPr>
        <w:pStyle w:val="3-BodyText"/>
      </w:pPr>
      <w:bookmarkStart w:id="117" w:name="_Ref120001182"/>
      <w:r>
        <w:t>The pre-PBAC response provided a</w:t>
      </w:r>
      <w:r w:rsidRPr="00E4307D">
        <w:t xml:space="preserve">dditional </w:t>
      </w:r>
      <w:r>
        <w:t xml:space="preserve">cost-effectiveness </w:t>
      </w:r>
      <w:r w:rsidRPr="00E4307D">
        <w:t xml:space="preserve">analyses for </w:t>
      </w:r>
      <w:r>
        <w:t>the expanded</w:t>
      </w:r>
      <w:r w:rsidR="001A5366">
        <w:t xml:space="preserve"> NIP</w:t>
      </w:r>
      <w:r>
        <w:t xml:space="preserve"> population of </w:t>
      </w:r>
      <w:r w:rsidRPr="00E4307D">
        <w:t xml:space="preserve">Indigenous Australians aged 25-49 years that assumed two booster doses of 23vPPV administered at one and five years following the initial dose of 20vPCV. </w:t>
      </w:r>
      <w:r w:rsidR="001A5366">
        <w:t>The pre-PBAC response stated that when c</w:t>
      </w:r>
      <w:r w:rsidRPr="00E4307D">
        <w:t xml:space="preserve">ompared </w:t>
      </w:r>
      <w:r w:rsidR="001A5366">
        <w:t>with</w:t>
      </w:r>
      <w:r w:rsidRPr="00E4307D">
        <w:t xml:space="preserve"> the </w:t>
      </w:r>
      <w:r w:rsidR="00771EBC">
        <w:t>results from the submission, the addition of the two booster doses of 23vPPV</w:t>
      </w:r>
      <w:r w:rsidRPr="00E4307D">
        <w:t xml:space="preserve"> </w:t>
      </w:r>
      <w:r w:rsidR="00771EBC">
        <w:t>resulted in an</w:t>
      </w:r>
      <w:r w:rsidRPr="00E4307D">
        <w:t xml:space="preserve"> additional </w:t>
      </w:r>
      <w:r w:rsidR="00771EBC">
        <w:t xml:space="preserve">0.22 </w:t>
      </w:r>
      <w:r w:rsidRPr="00E4307D">
        <w:t xml:space="preserve">discounted years of life </w:t>
      </w:r>
      <w:r w:rsidR="00B17C06">
        <w:t>gained</w:t>
      </w:r>
      <w:r w:rsidRPr="00E4307D">
        <w:t xml:space="preserve"> (0.82 v</w:t>
      </w:r>
      <w:r w:rsidR="008253F5">
        <w:t>ersu</w:t>
      </w:r>
      <w:r w:rsidRPr="00E4307D">
        <w:t>s 0.60), 0.20 discounted QALY</w:t>
      </w:r>
      <w:r w:rsidR="00354748">
        <w:t>s</w:t>
      </w:r>
      <w:r w:rsidRPr="00E4307D">
        <w:t xml:space="preserve"> </w:t>
      </w:r>
      <w:r w:rsidR="00771EBC">
        <w:t>gained</w:t>
      </w:r>
      <w:r w:rsidRPr="00E4307D">
        <w:t xml:space="preserve"> (0.73 v</w:t>
      </w:r>
      <w:r w:rsidR="008253F5">
        <w:t>ersu</w:t>
      </w:r>
      <w:r w:rsidRPr="00E4307D">
        <w:t>s 0.53), and $</w:t>
      </w:r>
      <w:r w:rsidR="006A414A" w:rsidRPr="00137984">
        <w:rPr>
          <w:color w:val="000000"/>
          <w:w w:val="15"/>
          <w:shd w:val="solid" w:color="000000" w:fill="000000"/>
          <w:fitText w:val="-20" w:id="-1303199744"/>
          <w14:textFill>
            <w14:solidFill>
              <w14:srgbClr w14:val="000000">
                <w14:alpha w14:val="100000"/>
              </w14:srgbClr>
            </w14:solidFill>
          </w14:textFill>
        </w:rPr>
        <w:t xml:space="preserve">|  </w:t>
      </w:r>
      <w:r w:rsidR="006A414A" w:rsidRPr="00137984">
        <w:rPr>
          <w:color w:val="000000"/>
          <w:spacing w:val="-69"/>
          <w:w w:val="15"/>
          <w:shd w:val="solid" w:color="000000" w:fill="000000"/>
          <w:fitText w:val="-20" w:id="-1303199744"/>
          <w14:textFill>
            <w14:solidFill>
              <w14:srgbClr w14:val="000000">
                <w14:alpha w14:val="100000"/>
              </w14:srgbClr>
            </w14:solidFill>
          </w14:textFill>
        </w:rPr>
        <w:t>|</w:t>
      </w:r>
      <w:r w:rsidRPr="00E4307D">
        <w:t xml:space="preserve"> discounted costs ($</w:t>
      </w:r>
      <w:r w:rsidR="006A414A" w:rsidRPr="00137984">
        <w:rPr>
          <w:color w:val="000000"/>
          <w:w w:val="15"/>
          <w:shd w:val="solid" w:color="000000" w:fill="000000"/>
          <w:fitText w:val="-20" w:id="-1303199743"/>
          <w14:textFill>
            <w14:solidFill>
              <w14:srgbClr w14:val="000000">
                <w14:alpha w14:val="100000"/>
              </w14:srgbClr>
            </w14:solidFill>
          </w14:textFill>
        </w:rPr>
        <w:t xml:space="preserve">|  </w:t>
      </w:r>
      <w:r w:rsidR="006A414A" w:rsidRPr="00137984">
        <w:rPr>
          <w:color w:val="000000"/>
          <w:spacing w:val="-69"/>
          <w:w w:val="15"/>
          <w:shd w:val="solid" w:color="000000" w:fill="000000"/>
          <w:fitText w:val="-20" w:id="-1303199743"/>
          <w14:textFill>
            <w14:solidFill>
              <w14:srgbClr w14:val="000000">
                <w14:alpha w14:val="100000"/>
              </w14:srgbClr>
            </w14:solidFill>
          </w14:textFill>
        </w:rPr>
        <w:t>|</w:t>
      </w:r>
      <w:r w:rsidRPr="00E4307D">
        <w:t xml:space="preserve"> v</w:t>
      </w:r>
      <w:r w:rsidR="008253F5">
        <w:t>er</w:t>
      </w:r>
      <w:r w:rsidRPr="00E4307D">
        <w:t>s</w:t>
      </w:r>
      <w:r w:rsidR="008253F5">
        <w:t>us</w:t>
      </w:r>
      <w:r w:rsidRPr="00E4307D">
        <w:t xml:space="preserve"> $</w:t>
      </w:r>
      <w:r w:rsidR="006A414A" w:rsidRPr="00137984">
        <w:rPr>
          <w:color w:val="000000"/>
          <w:w w:val="15"/>
          <w:shd w:val="solid" w:color="000000" w:fill="000000"/>
          <w:fitText w:val="-20" w:id="-1303199742"/>
          <w14:textFill>
            <w14:solidFill>
              <w14:srgbClr w14:val="000000">
                <w14:alpha w14:val="100000"/>
              </w14:srgbClr>
            </w14:solidFill>
          </w14:textFill>
        </w:rPr>
        <w:t xml:space="preserve">|  </w:t>
      </w:r>
      <w:r w:rsidR="006A414A" w:rsidRPr="00137984">
        <w:rPr>
          <w:color w:val="000000"/>
          <w:spacing w:val="-69"/>
          <w:w w:val="15"/>
          <w:shd w:val="solid" w:color="000000" w:fill="000000"/>
          <w:fitText w:val="-20" w:id="-1303199742"/>
          <w14:textFill>
            <w14:solidFill>
              <w14:srgbClr w14:val="000000">
                <w14:alpha w14:val="100000"/>
              </w14:srgbClr>
            </w14:solidFill>
          </w14:textFill>
        </w:rPr>
        <w:t>|</w:t>
      </w:r>
      <w:r w:rsidRPr="00E4307D">
        <w:t xml:space="preserve">). The ICER </w:t>
      </w:r>
      <w:r w:rsidR="00B17C06">
        <w:t>was reported as</w:t>
      </w:r>
      <w:r w:rsidRPr="00E4307D">
        <w:t xml:space="preserve"> </w:t>
      </w:r>
      <w:r w:rsidR="00D358DB" w:rsidRPr="00D358DB">
        <w:t>$45,000 to &lt; $55,000</w:t>
      </w:r>
      <w:r w:rsidR="00D358DB">
        <w:t xml:space="preserve"> </w:t>
      </w:r>
      <w:r w:rsidRPr="00E4307D">
        <w:t xml:space="preserve">per year of life </w:t>
      </w:r>
      <w:r w:rsidR="00B17C06">
        <w:t>gained</w:t>
      </w:r>
      <w:r w:rsidRPr="00E4307D">
        <w:t xml:space="preserve"> (v</w:t>
      </w:r>
      <w:r w:rsidR="008253F5">
        <w:t>ersu</w:t>
      </w:r>
      <w:r w:rsidRPr="00E4307D">
        <w:t xml:space="preserve">s </w:t>
      </w:r>
      <w:r w:rsidR="00D358DB" w:rsidRPr="00D358DB">
        <w:t>$25,000 to &lt; $35,000</w:t>
      </w:r>
      <w:r w:rsidRPr="00E4307D">
        <w:t xml:space="preserve">) and </w:t>
      </w:r>
      <w:r w:rsidR="00D358DB" w:rsidRPr="00D358DB">
        <w:t xml:space="preserve">$55,000 to &lt; $75,000 </w:t>
      </w:r>
      <w:r w:rsidRPr="00E4307D">
        <w:t xml:space="preserve">per QALY </w:t>
      </w:r>
      <w:r w:rsidR="00771EBC">
        <w:t>gained</w:t>
      </w:r>
      <w:r w:rsidRPr="00E4307D">
        <w:t xml:space="preserve"> (v</w:t>
      </w:r>
      <w:r w:rsidR="008253F5">
        <w:t>ersu</w:t>
      </w:r>
      <w:r w:rsidRPr="00E4307D">
        <w:t xml:space="preserve">s </w:t>
      </w:r>
      <w:r w:rsidR="00D358DB" w:rsidRPr="00D358DB">
        <w:t>$35,000 to &lt; $45,000</w:t>
      </w:r>
      <w:r w:rsidRPr="00E4307D">
        <w:t>)</w:t>
      </w:r>
      <w:r w:rsidR="00771EBC">
        <w:t xml:space="preserve"> (</w:t>
      </w:r>
      <w:r w:rsidR="00771EBC" w:rsidRPr="007A305D">
        <w:t>see</w:t>
      </w:r>
      <w:r w:rsidR="007A305D" w:rsidRPr="007A305D">
        <w:t xml:space="preserve"> </w:t>
      </w:r>
      <w:r w:rsidR="007A305D" w:rsidRPr="007A305D">
        <w:fldChar w:fldCharType="begin"/>
      </w:r>
      <w:r w:rsidR="007A305D" w:rsidRPr="007A305D">
        <w:instrText xml:space="preserve"> REF _Ref116486395 \h  \* MERGEFORMAT </w:instrText>
      </w:r>
      <w:r w:rsidR="007A305D" w:rsidRPr="007A305D">
        <w:fldChar w:fldCharType="separate"/>
      </w:r>
      <w:r w:rsidR="00137984" w:rsidRPr="00137984">
        <w:t xml:space="preserve">Table </w:t>
      </w:r>
      <w:r w:rsidR="00137984" w:rsidRPr="00137984">
        <w:lastRenderedPageBreak/>
        <w:t>19</w:t>
      </w:r>
      <w:r w:rsidR="007A305D" w:rsidRPr="007A305D">
        <w:fldChar w:fldCharType="end"/>
      </w:r>
      <w:r w:rsidR="00B25EDE" w:rsidRPr="007A305D">
        <w:t>)</w:t>
      </w:r>
      <w:r w:rsidRPr="007A305D">
        <w:t xml:space="preserve">. </w:t>
      </w:r>
      <w:r w:rsidR="00B25EDE" w:rsidRPr="007A305D">
        <w:t>The</w:t>
      </w:r>
      <w:r w:rsidR="00B25EDE">
        <w:t xml:space="preserve"> pre-PBAC response noted that if</w:t>
      </w:r>
      <w:r w:rsidRPr="00E4307D">
        <w:t xml:space="preserve"> the price of 20vPCV was reduced from $</w:t>
      </w:r>
      <w:r w:rsidR="006A414A" w:rsidRPr="00137984">
        <w:rPr>
          <w:color w:val="000000"/>
          <w:w w:val="15"/>
          <w:shd w:val="solid" w:color="000000" w:fill="000000"/>
          <w:fitText w:val="-20" w:id="-1303199741"/>
          <w14:textFill>
            <w14:solidFill>
              <w14:srgbClr w14:val="000000">
                <w14:alpha w14:val="100000"/>
              </w14:srgbClr>
            </w14:solidFill>
          </w14:textFill>
        </w:rPr>
        <w:t xml:space="preserve">|  </w:t>
      </w:r>
      <w:r w:rsidR="006A414A" w:rsidRPr="00137984">
        <w:rPr>
          <w:color w:val="000000"/>
          <w:spacing w:val="-69"/>
          <w:w w:val="15"/>
          <w:shd w:val="solid" w:color="000000" w:fill="000000"/>
          <w:fitText w:val="-20" w:id="-1303199741"/>
          <w14:textFill>
            <w14:solidFill>
              <w14:srgbClr w14:val="000000">
                <w14:alpha w14:val="100000"/>
              </w14:srgbClr>
            </w14:solidFill>
          </w14:textFill>
        </w:rPr>
        <w:t>|</w:t>
      </w:r>
      <w:r w:rsidRPr="00E4307D">
        <w:t xml:space="preserve"> to $</w:t>
      </w:r>
      <w:r w:rsidR="006A414A" w:rsidRPr="00137984">
        <w:rPr>
          <w:color w:val="000000"/>
          <w:w w:val="15"/>
          <w:shd w:val="solid" w:color="000000" w:fill="000000"/>
          <w:fitText w:val="-20" w:id="-1303199740"/>
          <w14:textFill>
            <w14:solidFill>
              <w14:srgbClr w14:val="000000">
                <w14:alpha w14:val="100000"/>
              </w14:srgbClr>
            </w14:solidFill>
          </w14:textFill>
        </w:rPr>
        <w:t xml:space="preserve">|  </w:t>
      </w:r>
      <w:r w:rsidR="006A414A" w:rsidRPr="00137984">
        <w:rPr>
          <w:color w:val="000000"/>
          <w:spacing w:val="-69"/>
          <w:w w:val="15"/>
          <w:shd w:val="solid" w:color="000000" w:fill="000000"/>
          <w:fitText w:val="-20" w:id="-1303199740"/>
          <w14:textFill>
            <w14:solidFill>
              <w14:srgbClr w14:val="000000">
                <w14:alpha w14:val="100000"/>
              </w14:srgbClr>
            </w14:solidFill>
          </w14:textFill>
        </w:rPr>
        <w:t>|</w:t>
      </w:r>
      <w:r w:rsidRPr="00E4307D">
        <w:t xml:space="preserve">, the ICER would be </w:t>
      </w:r>
      <w:r w:rsidR="00D358DB" w:rsidRPr="00D358DB">
        <w:t>$45,000 to &lt; $55,000</w:t>
      </w:r>
      <w:r w:rsidR="00D358DB">
        <w:t xml:space="preserve"> </w:t>
      </w:r>
      <w:r w:rsidRPr="00E4307D">
        <w:t xml:space="preserve">per QALY </w:t>
      </w:r>
      <w:r w:rsidR="00B25EDE">
        <w:t>gained</w:t>
      </w:r>
      <w:r w:rsidRPr="00E4307D">
        <w:t>.</w:t>
      </w:r>
      <w:bookmarkEnd w:id="117"/>
    </w:p>
    <w:p w14:paraId="402F0AC6" w14:textId="60159241" w:rsidR="007D4D11" w:rsidRDefault="007D4D11" w:rsidP="00CE1B89">
      <w:pPr>
        <w:pStyle w:val="4-SubsectionHeading"/>
      </w:pPr>
      <w:r>
        <w:t>Vaccine</w:t>
      </w:r>
      <w:r w:rsidRPr="002C2775">
        <w:t xml:space="preserve"> cost/patient/course</w:t>
      </w:r>
      <w:bookmarkEnd w:id="116"/>
    </w:p>
    <w:p w14:paraId="67BD1483" w14:textId="1066B9EC" w:rsidR="007D4D11" w:rsidRPr="005773DE" w:rsidRDefault="007D4D11" w:rsidP="00CE1B89">
      <w:pPr>
        <w:pStyle w:val="Caption"/>
        <w:rPr>
          <w:snapToGrid w:val="0"/>
          <w:lang w:eastAsia="en-US"/>
        </w:rPr>
      </w:pPr>
      <w:bookmarkStart w:id="118" w:name="_Ref119582638"/>
      <w:r w:rsidRPr="7A875589">
        <w:rPr>
          <w:snapToGrid w:val="0"/>
          <w:lang w:eastAsia="en-US"/>
        </w:rPr>
        <w:t xml:space="preserve">Table </w:t>
      </w:r>
      <w:r w:rsidR="004D3204">
        <w:rPr>
          <w:snapToGrid w:val="0"/>
          <w:lang w:eastAsia="en-US"/>
        </w:rPr>
        <w:fldChar w:fldCharType="begin"/>
      </w:r>
      <w:r w:rsidR="004D3204">
        <w:rPr>
          <w:snapToGrid w:val="0"/>
          <w:lang w:eastAsia="en-US"/>
        </w:rPr>
        <w:instrText xml:space="preserve"> SEQ Table \* ARABIC </w:instrText>
      </w:r>
      <w:r w:rsidR="004D3204">
        <w:rPr>
          <w:snapToGrid w:val="0"/>
          <w:lang w:eastAsia="en-US"/>
        </w:rPr>
        <w:fldChar w:fldCharType="separate"/>
      </w:r>
      <w:r w:rsidR="00137984">
        <w:rPr>
          <w:noProof/>
          <w:snapToGrid w:val="0"/>
          <w:lang w:eastAsia="en-US"/>
        </w:rPr>
        <w:t>21</w:t>
      </w:r>
      <w:r w:rsidR="004D3204">
        <w:rPr>
          <w:snapToGrid w:val="0"/>
          <w:lang w:eastAsia="en-US"/>
        </w:rPr>
        <w:fldChar w:fldCharType="end"/>
      </w:r>
      <w:bookmarkEnd w:id="118"/>
      <w:r w:rsidRPr="7A875589">
        <w:rPr>
          <w:snapToGrid w:val="0"/>
          <w:lang w:eastAsia="en-US"/>
        </w:rPr>
        <w:t>: Vaccine unit costs included in the economic evaluation</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1506"/>
        <w:gridCol w:w="2069"/>
        <w:gridCol w:w="1450"/>
        <w:gridCol w:w="1678"/>
        <w:gridCol w:w="1224"/>
      </w:tblGrid>
      <w:tr w:rsidR="00435F8C" w:rsidRPr="005773DE" w14:paraId="507DA254" w14:textId="77777777" w:rsidTr="000250EF">
        <w:trPr>
          <w:cantSplit/>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C8C379" w14:textId="77777777" w:rsidR="007D4D11" w:rsidRPr="005773DE" w:rsidRDefault="007D4D11" w:rsidP="00CE1B89">
            <w:pPr>
              <w:keepNext/>
              <w:widowControl w:val="0"/>
              <w:jc w:val="left"/>
              <w:rPr>
                <w:rFonts w:ascii="Arial Narrow" w:hAnsi="Arial Narrow"/>
                <w:b/>
                <w:snapToGrid w:val="0"/>
                <w:sz w:val="20"/>
                <w:szCs w:val="22"/>
                <w:lang w:eastAsia="en-US"/>
              </w:rPr>
            </w:pPr>
            <w:r w:rsidRPr="005773DE">
              <w:rPr>
                <w:rFonts w:ascii="Arial Narrow" w:hAnsi="Arial Narrow"/>
                <w:b/>
                <w:snapToGrid w:val="0"/>
                <w:sz w:val="20"/>
                <w:szCs w:val="22"/>
                <w:lang w:eastAsia="en-US"/>
              </w:rPr>
              <w:t>Type of resource item</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FFE9A6" w14:textId="77777777" w:rsidR="007D4D11" w:rsidRPr="005773DE" w:rsidRDefault="007D4D11" w:rsidP="00CE1B89">
            <w:pPr>
              <w:keepNext/>
              <w:widowControl w:val="0"/>
              <w:jc w:val="center"/>
              <w:rPr>
                <w:rFonts w:ascii="Arial Narrow" w:hAnsi="Arial Narrow"/>
                <w:b/>
                <w:snapToGrid w:val="0"/>
                <w:sz w:val="20"/>
                <w:szCs w:val="22"/>
                <w:lang w:eastAsia="en-US"/>
              </w:rPr>
            </w:pPr>
            <w:r w:rsidRPr="005773DE">
              <w:rPr>
                <w:rFonts w:ascii="Arial Narrow" w:hAnsi="Arial Narrow"/>
                <w:b/>
                <w:snapToGrid w:val="0"/>
                <w:sz w:val="20"/>
                <w:szCs w:val="22"/>
                <w:lang w:eastAsia="en-US"/>
              </w:rPr>
              <w:t>Natural unit of measurement</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B36656" w14:textId="77777777" w:rsidR="007D4D11" w:rsidRPr="005773DE" w:rsidRDefault="007D4D11" w:rsidP="00CE1B89">
            <w:pPr>
              <w:keepNext/>
              <w:widowControl w:val="0"/>
              <w:jc w:val="center"/>
              <w:rPr>
                <w:rFonts w:ascii="Arial Narrow" w:hAnsi="Arial Narrow"/>
                <w:b/>
                <w:snapToGrid w:val="0"/>
                <w:sz w:val="20"/>
                <w:szCs w:val="22"/>
                <w:lang w:eastAsia="en-US"/>
              </w:rPr>
            </w:pPr>
            <w:r w:rsidRPr="005773DE">
              <w:rPr>
                <w:rFonts w:ascii="Arial Narrow" w:hAnsi="Arial Narrow"/>
                <w:b/>
                <w:snapToGrid w:val="0"/>
                <w:sz w:val="20"/>
                <w:szCs w:val="22"/>
                <w:lang w:eastAsia="en-US"/>
              </w:rPr>
              <w:t>Unit cost</w:t>
            </w:r>
            <w:r>
              <w:rPr>
                <w:rFonts w:ascii="Arial Narrow" w:hAnsi="Arial Narrow"/>
                <w:b/>
                <w:snapToGrid w:val="0"/>
                <w:sz w:val="20"/>
                <w:szCs w:val="22"/>
                <w:lang w:eastAsia="en-US"/>
              </w:rPr>
              <w:t xml:space="preserve"> for general population and Indigenous Australians</w:t>
            </w:r>
          </w:p>
        </w:tc>
        <w:tc>
          <w:tcPr>
            <w:tcW w:w="0" w:type="auto"/>
            <w:tcBorders>
              <w:top w:val="single" w:sz="4" w:space="0" w:color="auto"/>
              <w:left w:val="single" w:sz="4" w:space="0" w:color="auto"/>
              <w:bottom w:val="single" w:sz="4" w:space="0" w:color="auto"/>
              <w:right w:val="single" w:sz="4" w:space="0" w:color="auto"/>
            </w:tcBorders>
          </w:tcPr>
          <w:p w14:paraId="1869D3B3" w14:textId="77777777" w:rsidR="007D4D11" w:rsidRPr="00AC3B5F" w:rsidRDefault="007D4D11" w:rsidP="00CE1B89">
            <w:pPr>
              <w:keepNext/>
              <w:widowControl w:val="0"/>
              <w:jc w:val="center"/>
              <w:rPr>
                <w:rFonts w:ascii="Arial Narrow" w:hAnsi="Arial Narrow"/>
                <w:b/>
                <w:snapToGrid w:val="0"/>
                <w:sz w:val="20"/>
                <w:szCs w:val="22"/>
                <w:vertAlign w:val="superscript"/>
                <w:lang w:eastAsia="en-US"/>
              </w:rPr>
            </w:pPr>
            <w:r>
              <w:rPr>
                <w:rFonts w:ascii="Arial Narrow" w:hAnsi="Arial Narrow"/>
                <w:b/>
                <w:snapToGrid w:val="0"/>
                <w:sz w:val="20"/>
                <w:szCs w:val="22"/>
                <w:lang w:eastAsia="en-US"/>
              </w:rPr>
              <w:t xml:space="preserve">Unit cost for at-risk populations </w:t>
            </w:r>
            <w:r>
              <w:rPr>
                <w:rFonts w:ascii="Arial Narrow" w:hAnsi="Arial Narrow"/>
                <w:b/>
                <w:snapToGrid w:val="0"/>
                <w:sz w:val="20"/>
                <w:szCs w:val="22"/>
                <w:vertAlign w:val="superscript"/>
                <w:lang w:eastAsia="en-US"/>
              </w:rPr>
              <w:t>a</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EB476E" w14:textId="77777777" w:rsidR="007D4D11" w:rsidRPr="005773DE" w:rsidRDefault="007D4D11" w:rsidP="00CE1B89">
            <w:pPr>
              <w:keepNext/>
              <w:widowControl w:val="0"/>
              <w:jc w:val="center"/>
              <w:rPr>
                <w:rFonts w:ascii="Arial Narrow" w:hAnsi="Arial Narrow"/>
                <w:b/>
                <w:snapToGrid w:val="0"/>
                <w:sz w:val="20"/>
                <w:szCs w:val="22"/>
                <w:lang w:eastAsia="en-US"/>
              </w:rPr>
            </w:pPr>
            <w:r w:rsidRPr="005773DE">
              <w:rPr>
                <w:rFonts w:ascii="Arial Narrow" w:hAnsi="Arial Narrow"/>
                <w:b/>
                <w:snapToGrid w:val="0"/>
                <w:sz w:val="20"/>
                <w:szCs w:val="22"/>
                <w:lang w:eastAsia="en-US"/>
              </w:rPr>
              <w:t>Source of unit cost</w:t>
            </w:r>
          </w:p>
        </w:tc>
        <w:tc>
          <w:tcPr>
            <w:tcW w:w="0" w:type="auto"/>
            <w:tcBorders>
              <w:top w:val="single" w:sz="4" w:space="0" w:color="auto"/>
              <w:left w:val="single" w:sz="4" w:space="0" w:color="auto"/>
              <w:bottom w:val="single" w:sz="4" w:space="0" w:color="auto"/>
              <w:right w:val="single" w:sz="4" w:space="0" w:color="auto"/>
            </w:tcBorders>
            <w:vAlign w:val="center"/>
          </w:tcPr>
          <w:p w14:paraId="132012CB" w14:textId="77777777" w:rsidR="007D4D11" w:rsidRPr="005773DE" w:rsidRDefault="007D4D11" w:rsidP="00CE1B89">
            <w:pPr>
              <w:keepNext/>
              <w:widowControl w:val="0"/>
              <w:jc w:val="center"/>
              <w:rPr>
                <w:rFonts w:ascii="Arial Narrow" w:hAnsi="Arial Narrow"/>
                <w:b/>
                <w:snapToGrid w:val="0"/>
                <w:sz w:val="20"/>
                <w:szCs w:val="22"/>
                <w:lang w:eastAsia="en-US"/>
              </w:rPr>
            </w:pPr>
            <w:r w:rsidRPr="005773DE">
              <w:rPr>
                <w:rFonts w:ascii="Arial Narrow" w:hAnsi="Arial Narrow"/>
                <w:b/>
                <w:snapToGrid w:val="0"/>
                <w:sz w:val="20"/>
                <w:szCs w:val="22"/>
                <w:lang w:eastAsia="en-US"/>
              </w:rPr>
              <w:t>Usage of various resources</w:t>
            </w:r>
          </w:p>
        </w:tc>
      </w:tr>
      <w:tr w:rsidR="00435F8C" w:rsidRPr="005773DE" w14:paraId="6E7C5A0E" w14:textId="77777777" w:rsidTr="000250EF">
        <w:trPr>
          <w:cantSplit/>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1598CE" w14:textId="77777777" w:rsidR="000250EF" w:rsidRPr="003C6926" w:rsidRDefault="000250EF" w:rsidP="00CE1B89">
            <w:pPr>
              <w:pStyle w:val="TableText0"/>
              <w:rPr>
                <w:szCs w:val="20"/>
              </w:rPr>
            </w:pPr>
            <w:r w:rsidRPr="003C6926">
              <w:rPr>
                <w:szCs w:val="20"/>
              </w:rPr>
              <w:t>20vPCV</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3A93EBF5" w14:textId="6A961884" w:rsidR="000250EF" w:rsidRPr="003C6926" w:rsidRDefault="000250EF" w:rsidP="00CE1B89">
            <w:pPr>
              <w:pStyle w:val="TableText0"/>
              <w:jc w:val="center"/>
              <w:rPr>
                <w:szCs w:val="20"/>
              </w:rPr>
            </w:pPr>
            <w:r w:rsidRPr="003C6926">
              <w:rPr>
                <w:szCs w:val="20"/>
              </w:rPr>
              <w:t>0.5</w:t>
            </w:r>
            <w:r w:rsidR="00A3529C">
              <w:rPr>
                <w:szCs w:val="20"/>
              </w:rPr>
              <w:t xml:space="preserve"> </w:t>
            </w:r>
            <w:r w:rsidRPr="003C6926">
              <w:rPr>
                <w:szCs w:val="20"/>
              </w:rPr>
              <w:t>mL injection</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7CFD6AA" w14:textId="5107A66E" w:rsidR="000250EF" w:rsidRPr="00D53DB3" w:rsidRDefault="000250EF" w:rsidP="00CE1B89">
            <w:pPr>
              <w:pStyle w:val="TableText0"/>
              <w:jc w:val="center"/>
              <w:rPr>
                <w:szCs w:val="20"/>
              </w:rPr>
            </w:pPr>
            <w:r w:rsidRPr="00D53DB3">
              <w:rPr>
                <w:szCs w:val="20"/>
              </w:rPr>
              <w:t>$</w:t>
            </w:r>
            <w:r w:rsidR="006A414A" w:rsidRPr="006A414A">
              <w:rPr>
                <w:color w:val="000000"/>
                <w:szCs w:val="20"/>
                <w:shd w:val="solid" w:color="000000" w:fill="000000"/>
                <w14:textFill>
                  <w14:solidFill>
                    <w14:srgbClr w14:val="000000">
                      <w14:alpha w14:val="100000"/>
                    </w14:srgbClr>
                  </w14:solidFill>
                </w14:textFill>
              </w:rPr>
              <w:t>|</w:t>
            </w:r>
          </w:p>
        </w:tc>
        <w:tc>
          <w:tcPr>
            <w:tcW w:w="0" w:type="auto"/>
            <w:tcBorders>
              <w:top w:val="single" w:sz="4" w:space="0" w:color="auto"/>
              <w:left w:val="single" w:sz="4" w:space="0" w:color="auto"/>
              <w:bottom w:val="single" w:sz="4" w:space="0" w:color="auto"/>
              <w:right w:val="single" w:sz="4" w:space="0" w:color="auto"/>
            </w:tcBorders>
          </w:tcPr>
          <w:p w14:paraId="5B6B2E98" w14:textId="13C2852E" w:rsidR="000250EF" w:rsidRPr="00DF146E" w:rsidRDefault="000250EF" w:rsidP="00CE1B89">
            <w:pPr>
              <w:pStyle w:val="TableText0"/>
              <w:jc w:val="center"/>
              <w:rPr>
                <w:szCs w:val="20"/>
              </w:rPr>
            </w:pPr>
            <w:r w:rsidRPr="00D53DB3">
              <w:rPr>
                <w:szCs w:val="20"/>
              </w:rPr>
              <w:t>$</w:t>
            </w:r>
            <w:r w:rsidR="006A414A" w:rsidRPr="006A414A">
              <w:rPr>
                <w:color w:val="000000"/>
                <w:szCs w:val="20"/>
                <w:shd w:val="solid" w:color="000000" w:fill="000000"/>
                <w14:textFill>
                  <w14:solidFill>
                    <w14:srgbClr w14:val="000000">
                      <w14:alpha w14:val="100000"/>
                    </w14:srgbClr>
                  </w14:solidFill>
                </w14:textFill>
              </w:rPr>
              <w:t>|</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39E75A35" w14:textId="77777777" w:rsidR="000250EF" w:rsidRPr="00BE32C4" w:rsidRDefault="000250EF" w:rsidP="00CE1B89">
            <w:pPr>
              <w:pStyle w:val="TableText0"/>
              <w:jc w:val="center"/>
              <w:rPr>
                <w:szCs w:val="20"/>
              </w:rPr>
            </w:pPr>
            <w:r w:rsidRPr="00BE32C4">
              <w:rPr>
                <w:szCs w:val="20"/>
              </w:rPr>
              <w:t>Proposed NIP price</w:t>
            </w:r>
          </w:p>
        </w:tc>
        <w:tc>
          <w:tcPr>
            <w:tcW w:w="0" w:type="auto"/>
            <w:tcBorders>
              <w:top w:val="single" w:sz="4" w:space="0" w:color="auto"/>
              <w:left w:val="single" w:sz="4" w:space="0" w:color="auto"/>
              <w:bottom w:val="single" w:sz="4" w:space="0" w:color="auto"/>
              <w:right w:val="single" w:sz="4" w:space="0" w:color="auto"/>
            </w:tcBorders>
          </w:tcPr>
          <w:p w14:paraId="7B7C66B0" w14:textId="77777777" w:rsidR="000250EF" w:rsidRPr="00BE32C4" w:rsidRDefault="000250EF" w:rsidP="00CE1B89">
            <w:pPr>
              <w:pStyle w:val="TableText0"/>
              <w:jc w:val="center"/>
              <w:rPr>
                <w:szCs w:val="20"/>
              </w:rPr>
            </w:pPr>
            <w:r w:rsidRPr="00BE32C4">
              <w:rPr>
                <w:szCs w:val="20"/>
              </w:rPr>
              <w:t>1 dose</w:t>
            </w:r>
          </w:p>
        </w:tc>
      </w:tr>
      <w:tr w:rsidR="00435F8C" w:rsidRPr="005773DE" w14:paraId="55344E07" w14:textId="77777777" w:rsidTr="00E343DA">
        <w:trPr>
          <w:cantSplit/>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97CF7C" w14:textId="77777777" w:rsidR="000250EF" w:rsidRPr="003C6926" w:rsidRDefault="000250EF" w:rsidP="00CE1B89">
            <w:pPr>
              <w:pStyle w:val="TableText0"/>
              <w:rPr>
                <w:szCs w:val="20"/>
              </w:rPr>
            </w:pPr>
            <w:r w:rsidRPr="003C6926">
              <w:rPr>
                <w:szCs w:val="20"/>
              </w:rPr>
              <w:t>13vPCV</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FFA063" w14:textId="77777777" w:rsidR="000250EF" w:rsidRPr="003C6926" w:rsidRDefault="000250EF" w:rsidP="00CE1B89">
            <w:pPr>
              <w:pStyle w:val="TableText0"/>
              <w:jc w:val="center"/>
              <w:rPr>
                <w:szCs w:val="20"/>
              </w:rPr>
            </w:pPr>
            <w:r w:rsidRPr="003C6926">
              <w:rPr>
                <w:szCs w:val="20"/>
              </w:rPr>
              <w:t>0.5 mL injection</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B8D5BA" w14:textId="0C9E0746" w:rsidR="000250EF" w:rsidRPr="003C6926" w:rsidRDefault="000250EF" w:rsidP="00CE1B89">
            <w:pPr>
              <w:pStyle w:val="TableText0"/>
              <w:jc w:val="center"/>
              <w:rPr>
                <w:szCs w:val="20"/>
              </w:rPr>
            </w:pPr>
            <w:r w:rsidRPr="003C6926">
              <w:rPr>
                <w:szCs w:val="20"/>
              </w:rPr>
              <w:t>$</w:t>
            </w:r>
            <w:r w:rsidR="006A414A" w:rsidRPr="006A414A">
              <w:rPr>
                <w:color w:val="000000"/>
                <w:szCs w:val="20"/>
                <w:shd w:val="solid" w:color="000000" w:fill="000000"/>
                <w14:textFill>
                  <w14:solidFill>
                    <w14:srgbClr w14:val="000000">
                      <w14:alpha w14:val="100000"/>
                    </w14:srgbClr>
                  </w14:solidFill>
                </w14:textFill>
              </w:rPr>
              <w:t>|</w:t>
            </w:r>
          </w:p>
        </w:tc>
        <w:tc>
          <w:tcPr>
            <w:tcW w:w="0" w:type="auto"/>
            <w:tcBorders>
              <w:top w:val="single" w:sz="4" w:space="0" w:color="auto"/>
              <w:left w:val="single" w:sz="4" w:space="0" w:color="auto"/>
              <w:bottom w:val="single" w:sz="4" w:space="0" w:color="auto"/>
              <w:right w:val="single" w:sz="4" w:space="0" w:color="auto"/>
            </w:tcBorders>
            <w:vAlign w:val="center"/>
          </w:tcPr>
          <w:p w14:paraId="1BEBF94B" w14:textId="099E9F7C" w:rsidR="000250EF" w:rsidRPr="003C6926" w:rsidRDefault="000250EF" w:rsidP="00CE1B89">
            <w:pPr>
              <w:pStyle w:val="TableText0"/>
              <w:jc w:val="center"/>
              <w:rPr>
                <w:szCs w:val="20"/>
              </w:rPr>
            </w:pPr>
            <w:r w:rsidRPr="00D53DB3">
              <w:rPr>
                <w:szCs w:val="20"/>
              </w:rPr>
              <w:t>$</w:t>
            </w:r>
            <w:r w:rsidR="006A414A" w:rsidRPr="006A414A">
              <w:rPr>
                <w:color w:val="000000"/>
                <w:szCs w:val="20"/>
                <w:shd w:val="solid" w:color="000000" w:fill="000000"/>
                <w14:textFill>
                  <w14:solidFill>
                    <w14:srgbClr w14:val="000000">
                      <w14:alpha w14:val="100000"/>
                    </w14:srgbClr>
                  </w14:solidFill>
                </w14:textFill>
              </w:rPr>
              <w:t>|</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C778FA" w14:textId="16BA8210" w:rsidR="000250EF" w:rsidRPr="003C6926" w:rsidRDefault="00435F8C" w:rsidP="00CE1B89">
            <w:pPr>
              <w:pStyle w:val="TableText0"/>
              <w:jc w:val="center"/>
              <w:rPr>
                <w:szCs w:val="20"/>
              </w:rPr>
            </w:pPr>
            <w:r w:rsidRPr="003C6926">
              <w:rPr>
                <w:szCs w:val="20"/>
              </w:rPr>
              <w:t>Nationally Negotiated Price provided by sponsor</w:t>
            </w:r>
          </w:p>
        </w:tc>
        <w:tc>
          <w:tcPr>
            <w:tcW w:w="0" w:type="auto"/>
            <w:tcBorders>
              <w:top w:val="single" w:sz="4" w:space="0" w:color="auto"/>
              <w:left w:val="single" w:sz="4" w:space="0" w:color="auto"/>
              <w:bottom w:val="single" w:sz="4" w:space="0" w:color="auto"/>
              <w:right w:val="single" w:sz="4" w:space="0" w:color="auto"/>
            </w:tcBorders>
            <w:vAlign w:val="center"/>
          </w:tcPr>
          <w:p w14:paraId="6D78FAA4" w14:textId="77777777" w:rsidR="000250EF" w:rsidRPr="003C6926" w:rsidRDefault="000250EF" w:rsidP="00CE1B89">
            <w:pPr>
              <w:pStyle w:val="TableText0"/>
              <w:jc w:val="center"/>
              <w:rPr>
                <w:szCs w:val="20"/>
              </w:rPr>
            </w:pPr>
            <w:r w:rsidRPr="003C6926">
              <w:rPr>
                <w:szCs w:val="20"/>
              </w:rPr>
              <w:t>1 dose</w:t>
            </w:r>
          </w:p>
        </w:tc>
      </w:tr>
      <w:tr w:rsidR="00435F8C" w:rsidRPr="005773DE" w14:paraId="72687E5D" w14:textId="77777777" w:rsidTr="00E343DA">
        <w:trPr>
          <w:cantSplit/>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A24479" w14:textId="77777777" w:rsidR="000250EF" w:rsidRPr="003C6926" w:rsidRDefault="000250EF" w:rsidP="00CE1B89">
            <w:pPr>
              <w:pStyle w:val="TableText0"/>
              <w:rPr>
                <w:szCs w:val="20"/>
              </w:rPr>
            </w:pPr>
            <w:r w:rsidRPr="003C6926">
              <w:rPr>
                <w:szCs w:val="20"/>
              </w:rPr>
              <w:t>15vPCV</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29BF4F" w14:textId="77777777" w:rsidR="000250EF" w:rsidRPr="003C6926" w:rsidRDefault="000250EF" w:rsidP="00CE1B89">
            <w:pPr>
              <w:pStyle w:val="TableText0"/>
              <w:jc w:val="center"/>
              <w:rPr>
                <w:szCs w:val="20"/>
              </w:rPr>
            </w:pPr>
            <w:r w:rsidRPr="003C6926">
              <w:rPr>
                <w:szCs w:val="20"/>
              </w:rPr>
              <w:t>0.5 mL injection</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9CFC02" w14:textId="48B6BF39" w:rsidR="000250EF" w:rsidRPr="00D53DB3" w:rsidRDefault="000250EF" w:rsidP="00CE1B89">
            <w:pPr>
              <w:pStyle w:val="TableText0"/>
              <w:jc w:val="center"/>
              <w:rPr>
                <w:szCs w:val="20"/>
              </w:rPr>
            </w:pPr>
            <w:r w:rsidRPr="00D53DB3">
              <w:rPr>
                <w:szCs w:val="20"/>
              </w:rPr>
              <w:t>$</w:t>
            </w:r>
            <w:r w:rsidR="006A414A" w:rsidRPr="006A414A">
              <w:rPr>
                <w:color w:val="000000"/>
                <w:szCs w:val="20"/>
                <w:shd w:val="solid" w:color="000000" w:fill="000000"/>
                <w14:textFill>
                  <w14:solidFill>
                    <w14:srgbClr w14:val="000000">
                      <w14:alpha w14:val="100000"/>
                    </w14:srgbClr>
                  </w14:solidFill>
                </w14:textFill>
              </w:rPr>
              <w:t>|</w:t>
            </w:r>
          </w:p>
        </w:tc>
        <w:tc>
          <w:tcPr>
            <w:tcW w:w="0" w:type="auto"/>
            <w:tcBorders>
              <w:top w:val="single" w:sz="4" w:space="0" w:color="auto"/>
              <w:left w:val="single" w:sz="4" w:space="0" w:color="auto"/>
              <w:bottom w:val="single" w:sz="4" w:space="0" w:color="auto"/>
              <w:right w:val="single" w:sz="4" w:space="0" w:color="auto"/>
            </w:tcBorders>
            <w:vAlign w:val="center"/>
          </w:tcPr>
          <w:p w14:paraId="737CCF69" w14:textId="372455BA" w:rsidR="000250EF" w:rsidRPr="00DF146E" w:rsidRDefault="000250EF" w:rsidP="00CE1B89">
            <w:pPr>
              <w:pStyle w:val="TableText0"/>
              <w:jc w:val="center"/>
              <w:rPr>
                <w:szCs w:val="20"/>
              </w:rPr>
            </w:pPr>
            <w:r w:rsidRPr="00D53DB3">
              <w:rPr>
                <w:szCs w:val="20"/>
              </w:rPr>
              <w:t>$</w:t>
            </w:r>
            <w:r w:rsidR="006A414A" w:rsidRPr="006A414A">
              <w:rPr>
                <w:color w:val="000000"/>
                <w:szCs w:val="20"/>
                <w:shd w:val="solid" w:color="000000" w:fill="000000"/>
                <w14:textFill>
                  <w14:solidFill>
                    <w14:srgbClr w14:val="000000">
                      <w14:alpha w14:val="100000"/>
                    </w14:srgbClr>
                  </w14:solidFill>
                </w14:textFill>
              </w:rPr>
              <w:t>|</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2DE48F" w14:textId="63C1252C" w:rsidR="000250EF" w:rsidRPr="00BE32C4" w:rsidRDefault="00435F8C" w:rsidP="00CE1B89">
            <w:pPr>
              <w:pStyle w:val="TableText0"/>
              <w:jc w:val="center"/>
              <w:rPr>
                <w:szCs w:val="20"/>
              </w:rPr>
            </w:pPr>
            <w:r w:rsidRPr="00BE32C4">
              <w:rPr>
                <w:szCs w:val="20"/>
              </w:rPr>
              <w:t>Nationally Negotiated Price provided by sponsor</w:t>
            </w:r>
          </w:p>
        </w:tc>
        <w:tc>
          <w:tcPr>
            <w:tcW w:w="0" w:type="auto"/>
            <w:tcBorders>
              <w:top w:val="single" w:sz="4" w:space="0" w:color="auto"/>
              <w:left w:val="single" w:sz="4" w:space="0" w:color="auto"/>
              <w:bottom w:val="single" w:sz="4" w:space="0" w:color="auto"/>
              <w:right w:val="single" w:sz="4" w:space="0" w:color="auto"/>
            </w:tcBorders>
            <w:vAlign w:val="center"/>
          </w:tcPr>
          <w:p w14:paraId="79A60DB3" w14:textId="77777777" w:rsidR="000250EF" w:rsidRPr="00BE32C4" w:rsidRDefault="000250EF" w:rsidP="00CE1B89">
            <w:pPr>
              <w:pStyle w:val="TableText0"/>
              <w:jc w:val="center"/>
              <w:rPr>
                <w:szCs w:val="20"/>
              </w:rPr>
            </w:pPr>
            <w:r w:rsidRPr="00BE32C4">
              <w:rPr>
                <w:szCs w:val="20"/>
              </w:rPr>
              <w:t>1 dose</w:t>
            </w:r>
          </w:p>
        </w:tc>
      </w:tr>
      <w:tr w:rsidR="00435F8C" w:rsidRPr="005773DE" w14:paraId="17240FD6" w14:textId="77777777" w:rsidTr="00E343DA">
        <w:trPr>
          <w:cantSplit/>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C4BD2F" w14:textId="77777777" w:rsidR="000250EF" w:rsidRPr="003C6926" w:rsidRDefault="000250EF" w:rsidP="00CE1B89">
            <w:pPr>
              <w:pStyle w:val="TableText0"/>
              <w:rPr>
                <w:szCs w:val="20"/>
              </w:rPr>
            </w:pPr>
            <w:r w:rsidRPr="00893FF8">
              <w:rPr>
                <w:snapToGrid w:val="0"/>
                <w:szCs w:val="20"/>
              </w:rPr>
              <w:t>23vPPV</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9A703D" w14:textId="77777777" w:rsidR="000250EF" w:rsidRPr="003C6926" w:rsidRDefault="000250EF" w:rsidP="00CE1B89">
            <w:pPr>
              <w:pStyle w:val="TableText0"/>
              <w:jc w:val="center"/>
              <w:rPr>
                <w:szCs w:val="20"/>
              </w:rPr>
            </w:pPr>
            <w:r w:rsidRPr="00893FF8">
              <w:rPr>
                <w:snapToGrid w:val="0"/>
                <w:szCs w:val="20"/>
              </w:rPr>
              <w:t>0.5 mL injection</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D0CEE5" w14:textId="52D9EE2E" w:rsidR="000250EF" w:rsidRPr="003C6926" w:rsidRDefault="000250EF" w:rsidP="00CE1B89">
            <w:pPr>
              <w:pStyle w:val="TableText0"/>
              <w:jc w:val="center"/>
              <w:rPr>
                <w:szCs w:val="20"/>
              </w:rPr>
            </w:pPr>
            <w:r w:rsidRPr="00893FF8">
              <w:rPr>
                <w:snapToGrid w:val="0"/>
                <w:szCs w:val="20"/>
              </w:rPr>
              <w:t>$</w:t>
            </w:r>
            <w:r w:rsidR="006A414A" w:rsidRPr="006A414A">
              <w:rPr>
                <w:color w:val="000000"/>
                <w:szCs w:val="20"/>
                <w:shd w:val="solid" w:color="000000" w:fill="000000"/>
                <w14:textFill>
                  <w14:solidFill>
                    <w14:srgbClr w14:val="000000">
                      <w14:alpha w14:val="100000"/>
                    </w14:srgbClr>
                  </w14:solidFill>
                </w14:textFill>
              </w:rPr>
              <w:t>|</w:t>
            </w:r>
          </w:p>
        </w:tc>
        <w:tc>
          <w:tcPr>
            <w:tcW w:w="0" w:type="auto"/>
            <w:tcBorders>
              <w:top w:val="single" w:sz="4" w:space="0" w:color="auto"/>
              <w:left w:val="single" w:sz="4" w:space="0" w:color="auto"/>
              <w:bottom w:val="single" w:sz="4" w:space="0" w:color="auto"/>
              <w:right w:val="single" w:sz="4" w:space="0" w:color="auto"/>
            </w:tcBorders>
            <w:vAlign w:val="center"/>
          </w:tcPr>
          <w:p w14:paraId="6F9DEF0C" w14:textId="1EE36D19" w:rsidR="000250EF" w:rsidRPr="003C6926" w:rsidRDefault="000250EF" w:rsidP="00CE1B89">
            <w:pPr>
              <w:pStyle w:val="TableText0"/>
              <w:jc w:val="center"/>
              <w:rPr>
                <w:szCs w:val="20"/>
              </w:rPr>
            </w:pPr>
            <w:r w:rsidRPr="00893FF8">
              <w:rPr>
                <w:snapToGrid w:val="0"/>
                <w:szCs w:val="20"/>
              </w:rPr>
              <w:t>$</w:t>
            </w:r>
            <w:r w:rsidR="006A414A" w:rsidRPr="006A414A">
              <w:rPr>
                <w:snapToGrid w:val="0"/>
                <w:color w:val="000000"/>
                <w:szCs w:val="20"/>
                <w:shd w:val="solid" w:color="000000" w:fill="000000"/>
                <w14:textFill>
                  <w14:solidFill>
                    <w14:srgbClr w14:val="000000">
                      <w14:alpha w14:val="100000"/>
                    </w14:srgbClr>
                  </w14:solidFill>
                </w14:textFill>
              </w:rPr>
              <w:t>|</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E8809E" w14:textId="7DD8E3EC" w:rsidR="000250EF" w:rsidRPr="003C6926" w:rsidRDefault="00435F8C" w:rsidP="00CE1B89">
            <w:pPr>
              <w:pStyle w:val="TableText0"/>
              <w:jc w:val="center"/>
              <w:rPr>
                <w:szCs w:val="20"/>
              </w:rPr>
            </w:pPr>
            <w:r w:rsidRPr="00893FF8">
              <w:rPr>
                <w:snapToGrid w:val="0"/>
                <w:szCs w:val="20"/>
              </w:rPr>
              <w:t xml:space="preserve">Nationally Negotiated Price </w:t>
            </w:r>
            <w:r w:rsidRPr="003C6926">
              <w:rPr>
                <w:szCs w:val="20"/>
              </w:rPr>
              <w:t>assumed by sponsor</w:t>
            </w:r>
          </w:p>
        </w:tc>
        <w:tc>
          <w:tcPr>
            <w:tcW w:w="0" w:type="auto"/>
            <w:tcBorders>
              <w:top w:val="single" w:sz="4" w:space="0" w:color="auto"/>
              <w:left w:val="single" w:sz="4" w:space="0" w:color="auto"/>
              <w:bottom w:val="single" w:sz="4" w:space="0" w:color="auto"/>
              <w:right w:val="single" w:sz="4" w:space="0" w:color="auto"/>
            </w:tcBorders>
            <w:vAlign w:val="center"/>
          </w:tcPr>
          <w:p w14:paraId="2A9AFE8C" w14:textId="77777777" w:rsidR="000250EF" w:rsidRPr="003C6926" w:rsidRDefault="000250EF" w:rsidP="00CE1B89">
            <w:pPr>
              <w:pStyle w:val="TableText0"/>
              <w:jc w:val="center"/>
              <w:rPr>
                <w:szCs w:val="20"/>
              </w:rPr>
            </w:pPr>
            <w:r w:rsidRPr="00893FF8">
              <w:rPr>
                <w:snapToGrid w:val="0"/>
                <w:szCs w:val="20"/>
              </w:rPr>
              <w:t>1 dose</w:t>
            </w:r>
          </w:p>
        </w:tc>
      </w:tr>
    </w:tbl>
    <w:p w14:paraId="5D804973" w14:textId="6462A852" w:rsidR="000250EF" w:rsidRDefault="000250EF" w:rsidP="00CE1B89">
      <w:pPr>
        <w:pStyle w:val="FooterTableFigure"/>
        <w:keepNext/>
      </w:pPr>
      <w:r>
        <w:t xml:space="preserve">Source: p488 </w:t>
      </w:r>
      <w:r w:rsidR="00D80FC6">
        <w:t xml:space="preserve">and p513 </w:t>
      </w:r>
      <w:r>
        <w:t>of the submission</w:t>
      </w:r>
    </w:p>
    <w:p w14:paraId="1D8EB046" w14:textId="440F6276" w:rsidR="000250EF" w:rsidRDefault="000250EF" w:rsidP="00CE1B89">
      <w:pPr>
        <w:pStyle w:val="FooterTableFigure"/>
        <w:keepNext/>
      </w:pPr>
      <w:r>
        <w:t>Abbreviations: 13vPCV</w:t>
      </w:r>
      <w:r w:rsidR="1EDC44EA">
        <w:t>,</w:t>
      </w:r>
      <w:r>
        <w:t>13</w:t>
      </w:r>
      <w:r w:rsidR="77764861">
        <w:t>-</w:t>
      </w:r>
      <w:r>
        <w:t>valent pneumococcal conjugate vaccine; 15vPCV</w:t>
      </w:r>
      <w:r w:rsidR="38C376FA">
        <w:t xml:space="preserve">, </w:t>
      </w:r>
      <w:r>
        <w:t>15</w:t>
      </w:r>
      <w:r w:rsidR="41E88BF9">
        <w:t>-</w:t>
      </w:r>
      <w:r>
        <w:t>valent pneumococcal conjugate vaccine; 20vPCV</w:t>
      </w:r>
      <w:r w:rsidR="1216B5A8">
        <w:t xml:space="preserve">, </w:t>
      </w:r>
      <w:r>
        <w:t>20</w:t>
      </w:r>
      <w:r w:rsidR="09268E09">
        <w:t>-</w:t>
      </w:r>
      <w:r>
        <w:t>valent pneumococcal conjugate vaccine; 23vPPV</w:t>
      </w:r>
      <w:r w:rsidR="5E47AC31">
        <w:t xml:space="preserve">, </w:t>
      </w:r>
      <w:r>
        <w:t>23</w:t>
      </w:r>
      <w:r w:rsidR="7D996864">
        <w:t>-</w:t>
      </w:r>
      <w:r>
        <w:t xml:space="preserve">valent pneumococcal polysaccharide vaccine; </w:t>
      </w:r>
      <w:r w:rsidRPr="006D2DAC">
        <w:t>NIP</w:t>
      </w:r>
      <w:r w:rsidR="35688DEC">
        <w:t xml:space="preserve">, </w:t>
      </w:r>
      <w:r w:rsidRPr="006D2DAC">
        <w:t>National Immunisation Program</w:t>
      </w:r>
    </w:p>
    <w:p w14:paraId="57002541" w14:textId="54E69D5E" w:rsidR="007D4D11" w:rsidRDefault="000250EF" w:rsidP="00CE1B89">
      <w:pPr>
        <w:pStyle w:val="FooterTableFigure"/>
        <w:keepNext/>
      </w:pPr>
      <w:proofErr w:type="spellStart"/>
      <w:r w:rsidRPr="005655B7">
        <w:rPr>
          <w:vertAlign w:val="superscript"/>
        </w:rPr>
        <w:t>a</w:t>
      </w:r>
      <w:proofErr w:type="spellEnd"/>
      <w:r w:rsidRPr="005655B7">
        <w:t xml:space="preserve"> </w:t>
      </w:r>
      <w:r w:rsidRPr="004E375B">
        <w:t>It is not clear why the submission proposed a higher price for at-risk populations. No justification was provided in the submission</w:t>
      </w:r>
      <w:r w:rsidR="007D4D11" w:rsidRPr="004E375B">
        <w:t xml:space="preserve">. </w:t>
      </w:r>
    </w:p>
    <w:p w14:paraId="1CAFF47B" w14:textId="51A58866" w:rsidR="00953311" w:rsidRPr="00E143D6" w:rsidRDefault="00AA6D0E" w:rsidP="00953311">
      <w:pPr>
        <w:pStyle w:val="3-BodyText"/>
        <w:rPr>
          <w:color w:val="0066FF"/>
        </w:rPr>
      </w:pPr>
      <w:bookmarkStart w:id="119" w:name="_Hlk119419436"/>
      <w:r>
        <w:t xml:space="preserve">As noted in </w:t>
      </w:r>
      <w:r w:rsidRPr="005C40BA">
        <w:t>paragraph</w:t>
      </w:r>
      <w:r w:rsidR="00A3529C" w:rsidRPr="005C40BA">
        <w:t xml:space="preserve"> </w:t>
      </w:r>
      <w:r w:rsidR="00A3529C" w:rsidRPr="005C40BA">
        <w:fldChar w:fldCharType="begin"/>
      </w:r>
      <w:r w:rsidR="00A3529C" w:rsidRPr="005C40BA">
        <w:instrText xml:space="preserve"> REF _Ref119581070 \r \h </w:instrText>
      </w:r>
      <w:r w:rsidR="005C40BA">
        <w:instrText xml:space="preserve"> \* MERGEFORMAT </w:instrText>
      </w:r>
      <w:r w:rsidR="00A3529C" w:rsidRPr="005C40BA">
        <w:fldChar w:fldCharType="separate"/>
      </w:r>
      <w:r w:rsidR="00137984">
        <w:t>3.1</w:t>
      </w:r>
      <w:r w:rsidR="00A3529C" w:rsidRPr="005C40BA">
        <w:fldChar w:fldCharType="end"/>
      </w:r>
      <w:r>
        <w:t>, t</w:t>
      </w:r>
      <w:r w:rsidR="00953311">
        <w:t xml:space="preserve">he pre-PBAC response </w:t>
      </w:r>
      <w:r w:rsidR="00571C05">
        <w:rPr>
          <w:iCs/>
        </w:rPr>
        <w:t>acknowledged that the PBAC may make a recommendation using a cost minimisation approach versus 13vPCV and 15vPCV and this would result in the same price per dose for 20vPCV, 15vPCV and 13vPCV.</w:t>
      </w:r>
    </w:p>
    <w:p w14:paraId="3BA2248D" w14:textId="50A11CF6" w:rsidR="007D4D11" w:rsidRPr="00C9624D" w:rsidRDefault="007D4D11" w:rsidP="007D4D11">
      <w:pPr>
        <w:pStyle w:val="4-SubsectionHeading"/>
      </w:pPr>
      <w:bookmarkStart w:id="120" w:name="_Toc22897647"/>
      <w:bookmarkStart w:id="121" w:name="_Toc114061403"/>
      <w:bookmarkEnd w:id="119"/>
      <w:r w:rsidRPr="00C9624D">
        <w:t>Estimated PBS usage &amp; financial implications</w:t>
      </w:r>
      <w:bookmarkEnd w:id="120"/>
      <w:bookmarkEnd w:id="121"/>
    </w:p>
    <w:p w14:paraId="60161F57" w14:textId="48A393FF" w:rsidR="000250EF" w:rsidRPr="00E143D6" w:rsidRDefault="000250EF" w:rsidP="00036C51">
      <w:pPr>
        <w:pStyle w:val="3-BodyText"/>
        <w:rPr>
          <w:color w:val="0066FF"/>
        </w:rPr>
      </w:pPr>
      <w:r>
        <w:t xml:space="preserve">This submission </w:t>
      </w:r>
      <w:r w:rsidR="00ED6996">
        <w:t>was</w:t>
      </w:r>
      <w:r>
        <w:t xml:space="preserve"> not considered by DUSC</w:t>
      </w:r>
      <w:r w:rsidRPr="3738BD90">
        <w:rPr>
          <w:color w:val="0070C0"/>
        </w:rPr>
        <w:t xml:space="preserve">. </w:t>
      </w:r>
    </w:p>
    <w:p w14:paraId="4BBD4551" w14:textId="3B884996" w:rsidR="000250EF" w:rsidRPr="00560D37" w:rsidRDefault="000250EF" w:rsidP="00036C51">
      <w:pPr>
        <w:pStyle w:val="3-BodyText"/>
        <w:rPr>
          <w:color w:val="0066FF"/>
        </w:rPr>
      </w:pPr>
      <w:r>
        <w:t>The submission used an epidemiological approach to estimate the utilisation and financial impact of the proposed NIP listing of 20vPCV for non-</w:t>
      </w:r>
      <w:r w:rsidR="00AD56F9">
        <w:t>I</w:t>
      </w:r>
      <w:r>
        <w:t>ndigenous adults ≥</w:t>
      </w:r>
      <w:r w:rsidR="00AD56F9">
        <w:t xml:space="preserve"> </w:t>
      </w:r>
      <w:r>
        <w:t>70 years of age, Aboriginal and Torres Strait Islander adults ≥</w:t>
      </w:r>
      <w:r w:rsidR="00AD56F9">
        <w:t xml:space="preserve"> </w:t>
      </w:r>
      <w:r>
        <w:t>50 years of age and adults (&gt;</w:t>
      </w:r>
      <w:r w:rsidR="00AD56F9">
        <w:t xml:space="preserve"> </w:t>
      </w:r>
      <w:r>
        <w:t>18 years</w:t>
      </w:r>
      <w:r w:rsidR="00AD56F9">
        <w:t xml:space="preserve"> of age</w:t>
      </w:r>
      <w:r>
        <w:t xml:space="preserve">) with identified risk conditions for pneumococcal disease. For healthy indigenous adults </w:t>
      </w:r>
      <w:r w:rsidR="00AD56F9">
        <w:t xml:space="preserve">aged </w:t>
      </w:r>
      <w:r>
        <w:t>≥</w:t>
      </w:r>
      <w:r w:rsidR="00AD56F9">
        <w:t xml:space="preserve"> </w:t>
      </w:r>
      <w:r>
        <w:t>25 years and healthy non-indigenous adults</w:t>
      </w:r>
      <w:r w:rsidR="00AD56F9">
        <w:t xml:space="preserve"> aged</w:t>
      </w:r>
      <w:r>
        <w:t xml:space="preserve"> ≥</w:t>
      </w:r>
      <w:r w:rsidR="00AD56F9">
        <w:t xml:space="preserve"> </w:t>
      </w:r>
      <w:r>
        <w:t xml:space="preserve">70 years the entire population is considered. </w:t>
      </w:r>
      <w:r w:rsidRPr="004E375B">
        <w:rPr>
          <w:iCs/>
        </w:rPr>
        <w:t>This approach is consistent with previous submissions of 13vPCV to the NIP.</w:t>
      </w:r>
      <w:r w:rsidR="0052028C">
        <w:rPr>
          <w:iCs/>
        </w:rPr>
        <w:t xml:space="preserve"> </w:t>
      </w:r>
      <w:r w:rsidR="00AD56F9">
        <w:rPr>
          <w:iCs/>
        </w:rPr>
        <w:t xml:space="preserve">The </w:t>
      </w:r>
      <w:r w:rsidR="00192FEA" w:rsidRPr="00560D37">
        <w:t xml:space="preserve">ESC noted during the evaluation it was considered that a market share approach </w:t>
      </w:r>
      <w:r w:rsidR="0052028C" w:rsidRPr="00560D37">
        <w:t>based on current uptake of 13vPCV and 23vPPV would</w:t>
      </w:r>
      <w:r w:rsidR="00F22A1A" w:rsidRPr="00560D37">
        <w:t xml:space="preserve"> likely</w:t>
      </w:r>
      <w:r w:rsidR="0052028C" w:rsidRPr="00560D37">
        <w:t xml:space="preserve"> be more accurate.</w:t>
      </w:r>
      <w:r w:rsidR="00FB3574">
        <w:t xml:space="preserve"> The pre-PBAC response stated that there was insufficient utilisation data available to inform a robust market share approach, noting that 13vPCV had only been available on the NIP for adults from July 2020.</w:t>
      </w:r>
    </w:p>
    <w:p w14:paraId="024D4D59" w14:textId="77777777" w:rsidR="00137984" w:rsidRDefault="00D923F0">
      <w:pPr>
        <w:spacing w:after="160" w:line="259" w:lineRule="auto"/>
        <w:jc w:val="left"/>
        <w:rPr>
          <w:rFonts w:ascii="Arial Narrow" w:hAnsi="Arial Narrow"/>
          <w:b/>
          <w:bCs/>
          <w:sz w:val="20"/>
          <w:szCs w:val="18"/>
        </w:rPr>
      </w:pPr>
      <w:r>
        <w:fldChar w:fldCharType="begin"/>
      </w:r>
      <w:r>
        <w:instrText xml:space="preserve"> REF _Ref112658051 \h </w:instrText>
      </w:r>
      <w:r>
        <w:fldChar w:fldCharType="separate"/>
      </w:r>
      <w:r w:rsidR="00137984">
        <w:br w:type="page"/>
      </w:r>
    </w:p>
    <w:p w14:paraId="3718FFCE" w14:textId="21EC6E9F" w:rsidR="000250EF" w:rsidRPr="00560D37" w:rsidRDefault="00137984" w:rsidP="006A31A8">
      <w:pPr>
        <w:pStyle w:val="3-BodyText"/>
        <w:rPr>
          <w:iCs/>
        </w:rPr>
      </w:pPr>
      <w:r w:rsidRPr="003B0F7D">
        <w:lastRenderedPageBreak/>
        <w:t xml:space="preserve">Table </w:t>
      </w:r>
      <w:r>
        <w:rPr>
          <w:noProof/>
        </w:rPr>
        <w:t>22</w:t>
      </w:r>
      <w:r w:rsidR="00D923F0">
        <w:fldChar w:fldCharType="end"/>
      </w:r>
      <w:r w:rsidR="000250EF">
        <w:t xml:space="preserve"> outlines the key inputs for the financial estimates. </w:t>
      </w:r>
    </w:p>
    <w:p w14:paraId="57F5546A" w14:textId="77777777" w:rsidR="00822F9C" w:rsidRDefault="00822F9C">
      <w:pPr>
        <w:spacing w:after="160" w:line="259" w:lineRule="auto"/>
        <w:jc w:val="left"/>
        <w:rPr>
          <w:rFonts w:ascii="Arial Narrow" w:hAnsi="Arial Narrow"/>
          <w:b/>
          <w:bCs/>
          <w:sz w:val="20"/>
          <w:szCs w:val="18"/>
        </w:rPr>
      </w:pPr>
      <w:bookmarkStart w:id="122" w:name="_Ref112658051"/>
      <w:r>
        <w:br w:type="page"/>
      </w:r>
    </w:p>
    <w:p w14:paraId="5F1F5CC6" w14:textId="1DE93B42" w:rsidR="007D4D11" w:rsidRPr="003B0F7D" w:rsidRDefault="004D3204" w:rsidP="004D3204">
      <w:pPr>
        <w:pStyle w:val="Caption"/>
        <w:rPr>
          <w:rStyle w:val="CommentReference"/>
          <w:szCs w:val="24"/>
        </w:rPr>
      </w:pPr>
      <w:r w:rsidRPr="003B0F7D">
        <w:lastRenderedPageBreak/>
        <w:t xml:space="preserve">Table </w:t>
      </w:r>
      <w:r>
        <w:fldChar w:fldCharType="begin"/>
      </w:r>
      <w:r>
        <w:instrText>SEQ Table \* ARABIC</w:instrText>
      </w:r>
      <w:r>
        <w:fldChar w:fldCharType="separate"/>
      </w:r>
      <w:r w:rsidR="00137984">
        <w:rPr>
          <w:noProof/>
        </w:rPr>
        <w:t>22</w:t>
      </w:r>
      <w:r>
        <w:fldChar w:fldCharType="end"/>
      </w:r>
      <w:bookmarkEnd w:id="122"/>
      <w:r w:rsidR="007D4D11" w:rsidRPr="003B0F7D">
        <w:rPr>
          <w:b w:val="0"/>
          <w:bCs w:val="0"/>
        </w:rPr>
        <w:t>:</w:t>
      </w:r>
      <w:r w:rsidR="007D4D11" w:rsidRPr="003B0F7D">
        <w:rPr>
          <w:rStyle w:val="CommentReference"/>
          <w:b/>
          <w:bCs/>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7D4D11" w:rsidRPr="003D1DE4" w14:paraId="527C9390" w14:textId="77777777" w:rsidTr="009A477A">
        <w:trPr>
          <w:tblHeader/>
        </w:trPr>
        <w:tc>
          <w:tcPr>
            <w:tcW w:w="950" w:type="pct"/>
            <w:shd w:val="clear" w:color="auto" w:fill="auto"/>
            <w:vAlign w:val="center"/>
          </w:tcPr>
          <w:p w14:paraId="5136FA4F" w14:textId="77777777" w:rsidR="007D4D11" w:rsidRPr="003D1DE4" w:rsidRDefault="007D4D11" w:rsidP="009A477A">
            <w:pPr>
              <w:pStyle w:val="In-tableHeading"/>
              <w:keepNext w:val="0"/>
              <w:widowControl w:val="0"/>
            </w:pPr>
            <w:r>
              <w:t>Parameter</w:t>
            </w:r>
          </w:p>
        </w:tc>
        <w:tc>
          <w:tcPr>
            <w:tcW w:w="2270" w:type="pct"/>
            <w:shd w:val="clear" w:color="auto" w:fill="auto"/>
            <w:vAlign w:val="center"/>
          </w:tcPr>
          <w:p w14:paraId="452D957F" w14:textId="77777777" w:rsidR="007D4D11" w:rsidRPr="003D1DE4" w:rsidRDefault="007D4D11" w:rsidP="009A477A">
            <w:pPr>
              <w:pStyle w:val="In-tableHeading"/>
              <w:keepNext w:val="0"/>
              <w:widowControl w:val="0"/>
            </w:pPr>
            <w:r>
              <w:t>Value applied and source</w:t>
            </w:r>
          </w:p>
        </w:tc>
        <w:tc>
          <w:tcPr>
            <w:tcW w:w="1780" w:type="pct"/>
            <w:shd w:val="clear" w:color="auto" w:fill="auto"/>
            <w:vAlign w:val="center"/>
          </w:tcPr>
          <w:p w14:paraId="00CCF917" w14:textId="77777777" w:rsidR="007D4D11" w:rsidRPr="003D1DE4" w:rsidRDefault="007D4D11" w:rsidP="009A477A">
            <w:pPr>
              <w:pStyle w:val="In-tableHeading"/>
              <w:keepNext w:val="0"/>
              <w:widowControl w:val="0"/>
            </w:pPr>
            <w:r>
              <w:t>Comment</w:t>
            </w:r>
          </w:p>
        </w:tc>
      </w:tr>
      <w:tr w:rsidR="004D3204" w:rsidRPr="00E2771E" w14:paraId="77B81F84" w14:textId="77777777" w:rsidTr="00E67DB3">
        <w:tc>
          <w:tcPr>
            <w:tcW w:w="950" w:type="pct"/>
            <w:shd w:val="clear" w:color="auto" w:fill="auto"/>
          </w:tcPr>
          <w:p w14:paraId="1035DB9A" w14:textId="61975CD2" w:rsidR="004D3204" w:rsidRPr="00E2771E" w:rsidRDefault="004D3204" w:rsidP="007D33A8">
            <w:pPr>
              <w:pStyle w:val="TableText0"/>
              <w:keepNext w:val="0"/>
              <w:widowControl w:val="0"/>
              <w:rPr>
                <w:lang w:val="en-US"/>
              </w:rPr>
            </w:pPr>
            <w:r>
              <w:rPr>
                <w:lang w:val="en-US"/>
              </w:rPr>
              <w:t xml:space="preserve">Incident </w:t>
            </w:r>
            <w:r w:rsidR="000E17B1">
              <w:rPr>
                <w:lang w:val="en-US"/>
              </w:rPr>
              <w:t>p</w:t>
            </w:r>
            <w:r>
              <w:rPr>
                <w:lang w:val="en-US"/>
              </w:rPr>
              <w:t xml:space="preserve">opulation </w:t>
            </w:r>
          </w:p>
        </w:tc>
        <w:tc>
          <w:tcPr>
            <w:tcW w:w="2270" w:type="pct"/>
            <w:shd w:val="clear" w:color="auto" w:fill="auto"/>
          </w:tcPr>
          <w:p w14:paraId="12443257" w14:textId="5FA85031" w:rsidR="004D3204" w:rsidRPr="0021092F" w:rsidRDefault="004D3204" w:rsidP="00C16401">
            <w:pPr>
              <w:pStyle w:val="TableText0"/>
              <w:keepNext w:val="0"/>
              <w:widowControl w:val="0"/>
              <w:rPr>
                <w:lang w:val="en-US"/>
              </w:rPr>
            </w:pPr>
            <w:r>
              <w:rPr>
                <w:lang w:val="en-US"/>
              </w:rPr>
              <w:t xml:space="preserve">Incident population based on ABS data sources for all population groups including </w:t>
            </w:r>
            <w:r w:rsidRPr="0046679F">
              <w:rPr>
                <w:rFonts w:cs="Segoe UI"/>
                <w:szCs w:val="20"/>
              </w:rPr>
              <w:t xml:space="preserve">ABS population (series 3222.0) </w:t>
            </w:r>
            <w:r>
              <w:rPr>
                <w:rFonts w:cs="Segoe UI"/>
                <w:szCs w:val="20"/>
              </w:rPr>
              <w:t xml:space="preserve">and </w:t>
            </w:r>
            <w:r w:rsidRPr="0046679F">
              <w:rPr>
                <w:rFonts w:cs="Segoe UI"/>
                <w:szCs w:val="20"/>
              </w:rPr>
              <w:t xml:space="preserve">ABS </w:t>
            </w:r>
            <w:r w:rsidR="00C16401">
              <w:rPr>
                <w:rFonts w:cs="Segoe UI"/>
                <w:szCs w:val="20"/>
              </w:rPr>
              <w:t>p</w:t>
            </w:r>
            <w:r w:rsidRPr="0046679F">
              <w:rPr>
                <w:rFonts w:cs="Segoe UI"/>
                <w:szCs w:val="20"/>
              </w:rPr>
              <w:t>opulation (</w:t>
            </w:r>
            <w:r w:rsidR="007D33A8">
              <w:rPr>
                <w:rFonts w:cs="Segoe UI"/>
                <w:szCs w:val="20"/>
              </w:rPr>
              <w:t>s</w:t>
            </w:r>
            <w:r w:rsidRPr="0046679F">
              <w:rPr>
                <w:rFonts w:cs="Segoe UI"/>
                <w:szCs w:val="20"/>
              </w:rPr>
              <w:t xml:space="preserve">eries 3238.0) </w:t>
            </w:r>
          </w:p>
          <w:p w14:paraId="5D4BE9C7" w14:textId="77777777" w:rsidR="004D3204" w:rsidRDefault="004D3204" w:rsidP="007D33A8">
            <w:pPr>
              <w:pStyle w:val="TableText0"/>
              <w:keepNext w:val="0"/>
              <w:widowControl w:val="0"/>
              <w:rPr>
                <w:lang w:val="en-US"/>
              </w:rPr>
            </w:pPr>
          </w:p>
          <w:p w14:paraId="3C9E1812" w14:textId="77777777" w:rsidR="004D3204" w:rsidRPr="00E2771E" w:rsidRDefault="004D3204" w:rsidP="00E67DB3">
            <w:pPr>
              <w:pStyle w:val="TableText0"/>
              <w:keepNext w:val="0"/>
              <w:widowControl w:val="0"/>
              <w:rPr>
                <w:lang w:val="en-US"/>
              </w:rPr>
            </w:pPr>
          </w:p>
        </w:tc>
        <w:tc>
          <w:tcPr>
            <w:tcW w:w="1780" w:type="pct"/>
            <w:shd w:val="clear" w:color="auto" w:fill="auto"/>
            <w:vAlign w:val="center"/>
          </w:tcPr>
          <w:p w14:paraId="180E4D4C" w14:textId="00B86E14" w:rsidR="004D3204" w:rsidRPr="00DF17D2" w:rsidRDefault="004D3204" w:rsidP="004D3204">
            <w:pPr>
              <w:widowControl w:val="0"/>
              <w:jc w:val="left"/>
              <w:textAlignment w:val="baseline"/>
              <w:rPr>
                <w:rFonts w:cs="Segoe UI"/>
                <w:szCs w:val="20"/>
              </w:rPr>
            </w:pPr>
            <w:r w:rsidRPr="004E375B">
              <w:rPr>
                <w:rFonts w:ascii="Arial Narrow" w:hAnsi="Arial Narrow" w:cs="Segoe UI"/>
                <w:iCs/>
                <w:sz w:val="20"/>
                <w:szCs w:val="20"/>
              </w:rPr>
              <w:t xml:space="preserve">The </w:t>
            </w:r>
            <w:r w:rsidR="007D33A8">
              <w:rPr>
                <w:rFonts w:ascii="Arial Narrow" w:hAnsi="Arial Narrow" w:cs="Segoe UI"/>
                <w:iCs/>
                <w:sz w:val="20"/>
                <w:szCs w:val="20"/>
              </w:rPr>
              <w:t xml:space="preserve">evaluation considered the </w:t>
            </w:r>
            <w:r w:rsidRPr="004E375B">
              <w:rPr>
                <w:rFonts w:ascii="Arial Narrow" w:hAnsi="Arial Narrow" w:cs="Segoe UI"/>
                <w:iCs/>
                <w:sz w:val="20"/>
                <w:szCs w:val="20"/>
              </w:rPr>
              <w:t xml:space="preserve">data source </w:t>
            </w:r>
            <w:proofErr w:type="gramStart"/>
            <w:r w:rsidRPr="004E375B">
              <w:rPr>
                <w:rFonts w:ascii="Arial Narrow" w:hAnsi="Arial Narrow" w:cs="Segoe UI"/>
                <w:iCs/>
                <w:sz w:val="20"/>
                <w:szCs w:val="20"/>
              </w:rPr>
              <w:t>appropriate</w:t>
            </w:r>
            <w:proofErr w:type="gramEnd"/>
            <w:r w:rsidRPr="004E375B">
              <w:rPr>
                <w:rFonts w:ascii="Arial Narrow" w:hAnsi="Arial Narrow" w:cs="Segoe UI"/>
                <w:iCs/>
                <w:sz w:val="20"/>
                <w:szCs w:val="20"/>
              </w:rPr>
              <w:t xml:space="preserve"> and the approach used reasonable. In estimating the NIP incident </w:t>
            </w:r>
            <w:proofErr w:type="gramStart"/>
            <w:r w:rsidRPr="004E375B">
              <w:rPr>
                <w:rFonts w:ascii="Arial Narrow" w:hAnsi="Arial Narrow" w:cs="Segoe UI"/>
                <w:iCs/>
                <w:sz w:val="20"/>
                <w:szCs w:val="20"/>
              </w:rPr>
              <w:t>population</w:t>
            </w:r>
            <w:proofErr w:type="gramEnd"/>
            <w:r w:rsidRPr="004E375B">
              <w:rPr>
                <w:rFonts w:ascii="Arial Narrow" w:hAnsi="Arial Narrow" w:cs="Segoe UI"/>
                <w:iCs/>
                <w:sz w:val="20"/>
                <w:szCs w:val="20"/>
              </w:rPr>
              <w:t xml:space="preserve"> the submission assumed that each at risk condition was mutually exclusive, potentially overestimating the proportion of people with an at-risk condition. </w:t>
            </w:r>
          </w:p>
        </w:tc>
      </w:tr>
      <w:tr w:rsidR="004D3204" w:rsidRPr="004E375B" w14:paraId="5B512A28" w14:textId="77777777" w:rsidTr="00E67DB3">
        <w:tc>
          <w:tcPr>
            <w:tcW w:w="950" w:type="pct"/>
            <w:shd w:val="clear" w:color="auto" w:fill="auto"/>
          </w:tcPr>
          <w:p w14:paraId="6D9E1305" w14:textId="4A193847" w:rsidR="004D3204" w:rsidRPr="004E375B" w:rsidRDefault="004D3204" w:rsidP="007D33A8">
            <w:pPr>
              <w:pStyle w:val="TableText0"/>
              <w:keepNext w:val="0"/>
              <w:widowControl w:val="0"/>
              <w:rPr>
                <w:lang w:val="en-US"/>
              </w:rPr>
            </w:pPr>
            <w:r w:rsidRPr="004E375B">
              <w:rPr>
                <w:lang w:val="en-US"/>
              </w:rPr>
              <w:t xml:space="preserve">Prevalent </w:t>
            </w:r>
            <w:r w:rsidR="000E17B1" w:rsidRPr="004E375B">
              <w:rPr>
                <w:lang w:val="en-US"/>
              </w:rPr>
              <w:t>p</w:t>
            </w:r>
            <w:r w:rsidRPr="004E375B">
              <w:rPr>
                <w:lang w:val="en-US"/>
              </w:rPr>
              <w:t xml:space="preserve">opulation </w:t>
            </w:r>
          </w:p>
        </w:tc>
        <w:tc>
          <w:tcPr>
            <w:tcW w:w="2270" w:type="pct"/>
            <w:shd w:val="clear" w:color="auto" w:fill="auto"/>
          </w:tcPr>
          <w:p w14:paraId="5E3B6E4F" w14:textId="11A08370" w:rsidR="004D3204" w:rsidRPr="004E375B" w:rsidRDefault="004D3204" w:rsidP="00C16401">
            <w:pPr>
              <w:pStyle w:val="TableText0"/>
              <w:keepNext w:val="0"/>
              <w:widowControl w:val="0"/>
              <w:rPr>
                <w:lang w:val="en-US"/>
              </w:rPr>
            </w:pPr>
            <w:r w:rsidRPr="004E375B">
              <w:rPr>
                <w:lang w:val="en-US"/>
              </w:rPr>
              <w:t xml:space="preserve">Prevalent population based on ABS data sources for all population groups including </w:t>
            </w:r>
            <w:r w:rsidRPr="004E375B">
              <w:rPr>
                <w:rFonts w:cs="Segoe UI"/>
                <w:szCs w:val="20"/>
              </w:rPr>
              <w:t xml:space="preserve">ABS population (series 3222.0) and ABS </w:t>
            </w:r>
            <w:r w:rsidR="007D33A8">
              <w:rPr>
                <w:rFonts w:cs="Segoe UI"/>
                <w:szCs w:val="20"/>
              </w:rPr>
              <w:t>p</w:t>
            </w:r>
            <w:r w:rsidRPr="004E375B">
              <w:rPr>
                <w:rFonts w:cs="Segoe UI"/>
                <w:szCs w:val="20"/>
              </w:rPr>
              <w:t>opulation (</w:t>
            </w:r>
            <w:r w:rsidR="007D33A8">
              <w:rPr>
                <w:rFonts w:cs="Segoe UI"/>
                <w:szCs w:val="20"/>
              </w:rPr>
              <w:t>s</w:t>
            </w:r>
            <w:r w:rsidRPr="004E375B">
              <w:rPr>
                <w:rFonts w:cs="Segoe UI"/>
                <w:szCs w:val="20"/>
              </w:rPr>
              <w:t xml:space="preserve">eries 3238.0) </w:t>
            </w:r>
          </w:p>
          <w:p w14:paraId="2903B321" w14:textId="77777777" w:rsidR="004D3204" w:rsidRPr="004E375B" w:rsidRDefault="004D3204" w:rsidP="007D33A8">
            <w:pPr>
              <w:pStyle w:val="TableText0"/>
              <w:keepNext w:val="0"/>
              <w:widowControl w:val="0"/>
              <w:rPr>
                <w:lang w:val="en-US"/>
              </w:rPr>
            </w:pPr>
          </w:p>
          <w:p w14:paraId="5F42788A" w14:textId="77777777" w:rsidR="004D3204" w:rsidRPr="004E375B" w:rsidRDefault="004D3204" w:rsidP="00E67DB3">
            <w:pPr>
              <w:pStyle w:val="TableText0"/>
              <w:keepNext w:val="0"/>
              <w:widowControl w:val="0"/>
              <w:rPr>
                <w:lang w:val="en-US"/>
              </w:rPr>
            </w:pPr>
          </w:p>
        </w:tc>
        <w:tc>
          <w:tcPr>
            <w:tcW w:w="1780" w:type="pct"/>
            <w:shd w:val="clear" w:color="auto" w:fill="auto"/>
            <w:vAlign w:val="center"/>
          </w:tcPr>
          <w:p w14:paraId="14174224" w14:textId="166D7B0A" w:rsidR="004D3204" w:rsidRPr="004E375B" w:rsidRDefault="004D3204" w:rsidP="004D3204">
            <w:pPr>
              <w:widowControl w:val="0"/>
              <w:jc w:val="left"/>
              <w:textAlignment w:val="baseline"/>
              <w:rPr>
                <w:lang w:val="en-US"/>
              </w:rPr>
            </w:pPr>
            <w:r w:rsidRPr="004E375B">
              <w:rPr>
                <w:rFonts w:ascii="Arial Narrow" w:hAnsi="Arial Narrow"/>
                <w:sz w:val="20"/>
                <w:szCs w:val="20"/>
                <w:lang w:val="en-US"/>
              </w:rPr>
              <w:t xml:space="preserve">The </w:t>
            </w:r>
            <w:r w:rsidR="007D33A8">
              <w:rPr>
                <w:rFonts w:ascii="Arial Narrow" w:hAnsi="Arial Narrow"/>
                <w:sz w:val="20"/>
                <w:szCs w:val="20"/>
                <w:lang w:val="en-US"/>
              </w:rPr>
              <w:t xml:space="preserve">evaluation considered the </w:t>
            </w:r>
            <w:r w:rsidRPr="004E375B">
              <w:rPr>
                <w:rFonts w:ascii="Arial Narrow" w:hAnsi="Arial Narrow"/>
                <w:sz w:val="20"/>
                <w:szCs w:val="20"/>
                <w:lang w:val="en-US"/>
              </w:rPr>
              <w:t xml:space="preserve">data source </w:t>
            </w:r>
            <w:proofErr w:type="gramStart"/>
            <w:r w:rsidRPr="004E375B">
              <w:rPr>
                <w:rFonts w:ascii="Arial Narrow" w:hAnsi="Arial Narrow"/>
                <w:sz w:val="20"/>
                <w:szCs w:val="20"/>
                <w:lang w:val="en-US"/>
              </w:rPr>
              <w:t>appropriate</w:t>
            </w:r>
            <w:proofErr w:type="gramEnd"/>
            <w:r w:rsidRPr="004E375B">
              <w:rPr>
                <w:rFonts w:ascii="Arial Narrow" w:hAnsi="Arial Narrow"/>
                <w:sz w:val="20"/>
                <w:szCs w:val="20"/>
                <w:lang w:val="en-US"/>
              </w:rPr>
              <w:t xml:space="preserve"> and approach used reasonable. However, for the NIP prevalent population, the submission assumed that each risk condition was mutually exclusive. This could potentially overestimate the proportion of people with an at</w:t>
            </w:r>
            <w:r w:rsidR="007D33A8">
              <w:rPr>
                <w:rFonts w:ascii="Arial Narrow" w:hAnsi="Arial Narrow"/>
                <w:sz w:val="20"/>
                <w:szCs w:val="20"/>
                <w:lang w:val="en-US"/>
              </w:rPr>
              <w:t>-</w:t>
            </w:r>
            <w:r w:rsidRPr="004E375B">
              <w:rPr>
                <w:rFonts w:ascii="Arial Narrow" w:hAnsi="Arial Narrow"/>
                <w:sz w:val="20"/>
                <w:szCs w:val="20"/>
                <w:lang w:val="en-US"/>
              </w:rPr>
              <w:t xml:space="preserve">risk condition. Additionally, </w:t>
            </w:r>
            <w:r w:rsidR="007D33A8">
              <w:rPr>
                <w:rFonts w:ascii="Arial Narrow" w:hAnsi="Arial Narrow"/>
                <w:sz w:val="20"/>
                <w:szCs w:val="20"/>
                <w:lang w:val="en-US"/>
              </w:rPr>
              <w:t xml:space="preserve">the </w:t>
            </w:r>
            <w:r w:rsidRPr="004E375B" w:rsidDel="000E17B1">
              <w:rPr>
                <w:rFonts w:ascii="Arial Narrow" w:hAnsi="Arial Narrow" w:cs="Segoe UI"/>
                <w:iCs/>
                <w:sz w:val="20"/>
                <w:szCs w:val="20"/>
              </w:rPr>
              <w:t>p</w:t>
            </w:r>
            <w:r w:rsidRPr="004E375B">
              <w:rPr>
                <w:rFonts w:ascii="Arial Narrow" w:hAnsi="Arial Narrow" w:cs="Segoe UI"/>
                <w:iCs/>
                <w:sz w:val="20"/>
                <w:szCs w:val="20"/>
              </w:rPr>
              <w:t xml:space="preserve">roportion of </w:t>
            </w:r>
            <w:r w:rsidR="007D33A8">
              <w:rPr>
                <w:rFonts w:ascii="Arial Narrow" w:hAnsi="Arial Narrow" w:cs="Segoe UI"/>
                <w:iCs/>
                <w:sz w:val="20"/>
                <w:szCs w:val="20"/>
              </w:rPr>
              <w:t xml:space="preserve">the </w:t>
            </w:r>
            <w:r w:rsidRPr="004E375B">
              <w:rPr>
                <w:rFonts w:ascii="Arial Narrow" w:hAnsi="Arial Narrow" w:cs="Segoe UI"/>
                <w:iCs/>
                <w:sz w:val="20"/>
                <w:szCs w:val="20"/>
              </w:rPr>
              <w:t>non-</w:t>
            </w:r>
            <w:r w:rsidR="007D33A8">
              <w:rPr>
                <w:rFonts w:ascii="Arial Narrow" w:hAnsi="Arial Narrow" w:cs="Segoe UI"/>
                <w:iCs/>
                <w:sz w:val="20"/>
                <w:szCs w:val="20"/>
              </w:rPr>
              <w:t>I</w:t>
            </w:r>
            <w:r w:rsidRPr="004E375B">
              <w:rPr>
                <w:rFonts w:ascii="Arial Narrow" w:hAnsi="Arial Narrow" w:cs="Segoe UI"/>
                <w:iCs/>
                <w:sz w:val="20"/>
                <w:szCs w:val="20"/>
              </w:rPr>
              <w:t>ndigenous population</w:t>
            </w:r>
            <w:r w:rsidR="007D33A8">
              <w:rPr>
                <w:rFonts w:ascii="Arial Narrow" w:hAnsi="Arial Narrow" w:cs="Segoe UI"/>
                <w:iCs/>
                <w:sz w:val="20"/>
                <w:szCs w:val="20"/>
              </w:rPr>
              <w:t xml:space="preserve"> aged</w:t>
            </w:r>
            <w:r w:rsidRPr="004E375B">
              <w:rPr>
                <w:rFonts w:ascii="Arial Narrow" w:hAnsi="Arial Narrow" w:cs="Segoe UI"/>
                <w:iCs/>
                <w:sz w:val="20"/>
                <w:szCs w:val="20"/>
              </w:rPr>
              <w:t xml:space="preserve"> &gt;</w:t>
            </w:r>
            <w:r w:rsidR="007D33A8">
              <w:rPr>
                <w:rFonts w:ascii="Arial Narrow" w:hAnsi="Arial Narrow" w:cs="Segoe UI"/>
                <w:iCs/>
                <w:sz w:val="20"/>
                <w:szCs w:val="20"/>
              </w:rPr>
              <w:t xml:space="preserve"> </w:t>
            </w:r>
            <w:r w:rsidRPr="004E375B">
              <w:rPr>
                <w:rFonts w:ascii="Arial Narrow" w:hAnsi="Arial Narrow" w:cs="Segoe UI"/>
                <w:iCs/>
                <w:sz w:val="20"/>
                <w:szCs w:val="20"/>
              </w:rPr>
              <w:t>70 years may be an underestimate.</w:t>
            </w:r>
          </w:p>
        </w:tc>
      </w:tr>
      <w:tr w:rsidR="004D3204" w:rsidRPr="004E375B" w14:paraId="5CA497DC" w14:textId="77777777" w:rsidTr="00E67DB3">
        <w:tc>
          <w:tcPr>
            <w:tcW w:w="950" w:type="pct"/>
            <w:shd w:val="clear" w:color="auto" w:fill="auto"/>
          </w:tcPr>
          <w:p w14:paraId="53CB1A85" w14:textId="77777777" w:rsidR="004D3204" w:rsidRPr="004E375B" w:rsidRDefault="004D3204" w:rsidP="007D33A8">
            <w:pPr>
              <w:pStyle w:val="TableText0"/>
              <w:keepNext w:val="0"/>
              <w:widowControl w:val="0"/>
              <w:rPr>
                <w:lang w:val="en-US"/>
              </w:rPr>
            </w:pPr>
            <w:r w:rsidRPr="004E375B">
              <w:rPr>
                <w:lang w:val="en-US"/>
              </w:rPr>
              <w:t>Uptake rate</w:t>
            </w:r>
          </w:p>
        </w:tc>
        <w:tc>
          <w:tcPr>
            <w:tcW w:w="2270" w:type="pct"/>
            <w:shd w:val="clear" w:color="auto" w:fill="auto"/>
            <w:vAlign w:val="center"/>
          </w:tcPr>
          <w:p w14:paraId="31C53FED" w14:textId="1ED08FB4" w:rsidR="004D3204" w:rsidRPr="004E375B" w:rsidRDefault="004D3204" w:rsidP="004D3204">
            <w:pPr>
              <w:pStyle w:val="TableText0"/>
              <w:keepNext w:val="0"/>
              <w:widowControl w:val="0"/>
              <w:rPr>
                <w:lang w:val="en-US"/>
              </w:rPr>
            </w:pPr>
            <w:r w:rsidRPr="004E375B">
              <w:rPr>
                <w:lang w:val="en-US"/>
              </w:rPr>
              <w:t>Vaccination uptake rates of 20vPCV based upon ATAGI’s advice for 13</w:t>
            </w:r>
            <w:r w:rsidR="693BF739" w:rsidRPr="004E375B">
              <w:rPr>
                <w:lang w:val="en-US"/>
              </w:rPr>
              <w:t>vPCV</w:t>
            </w:r>
            <w:r w:rsidRPr="004E375B">
              <w:rPr>
                <w:lang w:val="en-US"/>
              </w:rPr>
              <w:t xml:space="preserve"> in adults</w:t>
            </w:r>
            <w:r w:rsidRPr="004E375B">
              <w:rPr>
                <w:rFonts w:cs="Segoe UI"/>
              </w:rPr>
              <w:t xml:space="preserve"> (para</w:t>
            </w:r>
            <w:r w:rsidR="00502BA1">
              <w:rPr>
                <w:rFonts w:cs="Segoe UI"/>
              </w:rPr>
              <w:t>graph</w:t>
            </w:r>
            <w:r w:rsidRPr="004E375B">
              <w:rPr>
                <w:rFonts w:cs="Segoe UI"/>
              </w:rPr>
              <w:t xml:space="preserve"> 6.28, pneumococcal conjugate vaccine; 13-valent, PSD, July 2015 PBAC meeting) </w:t>
            </w:r>
            <w:r w:rsidRPr="004E375B">
              <w:t xml:space="preserve">and summarised in </w:t>
            </w:r>
            <w:r w:rsidR="00906813" w:rsidRPr="004E375B">
              <w:rPr>
                <w:iCs/>
              </w:rPr>
              <w:t>Prevenar 20,</w:t>
            </w:r>
            <w:r w:rsidR="00906813" w:rsidRPr="004E375B">
              <w:t xml:space="preserve"> </w:t>
            </w:r>
            <w:r w:rsidRPr="004E375B">
              <w:t>ATAGI pre-submission advice</w:t>
            </w:r>
            <w:r w:rsidR="000C165F">
              <w:t xml:space="preserve"> to PBAC</w:t>
            </w:r>
            <w:r w:rsidRPr="004E375B">
              <w:t>, April 202</w:t>
            </w:r>
            <w:r w:rsidR="00786993" w:rsidRPr="004E375B">
              <w:t>2</w:t>
            </w:r>
            <w:r w:rsidRPr="004E375B">
              <w:t xml:space="preserve"> (</w:t>
            </w:r>
            <w:r w:rsidR="00DC200C" w:rsidRPr="004E375B">
              <w:t>p</w:t>
            </w:r>
            <w:r w:rsidRPr="004E375B">
              <w:t xml:space="preserve">72-74). </w:t>
            </w:r>
          </w:p>
        </w:tc>
        <w:tc>
          <w:tcPr>
            <w:tcW w:w="1780" w:type="pct"/>
            <w:shd w:val="clear" w:color="auto" w:fill="auto"/>
          </w:tcPr>
          <w:p w14:paraId="57C63E22" w14:textId="77777777" w:rsidR="004D3204" w:rsidRDefault="004D3204" w:rsidP="00C16401">
            <w:pPr>
              <w:pStyle w:val="TableText0"/>
              <w:keepNext w:val="0"/>
              <w:widowControl w:val="0"/>
              <w:rPr>
                <w:lang w:val="en-US"/>
              </w:rPr>
            </w:pPr>
            <w:r w:rsidRPr="004E375B">
              <w:rPr>
                <w:lang w:val="en-US"/>
              </w:rPr>
              <w:t>T</w:t>
            </w:r>
            <w:r w:rsidR="007D33A8">
              <w:rPr>
                <w:lang w:val="en-US"/>
              </w:rPr>
              <w:t>he evaluation considered t</w:t>
            </w:r>
            <w:r w:rsidRPr="004E375B">
              <w:rPr>
                <w:lang w:val="en-US"/>
              </w:rPr>
              <w:t xml:space="preserve">his approach reasonable. </w:t>
            </w:r>
          </w:p>
          <w:p w14:paraId="7732383E" w14:textId="0F1202EF" w:rsidR="00E942AD" w:rsidRPr="004E375B" w:rsidRDefault="00E942AD" w:rsidP="00C16401">
            <w:pPr>
              <w:pStyle w:val="TableText0"/>
              <w:keepNext w:val="0"/>
              <w:widowControl w:val="0"/>
              <w:rPr>
                <w:lang w:val="en-US"/>
              </w:rPr>
            </w:pPr>
            <w:r>
              <w:rPr>
                <w:lang w:val="en-US"/>
              </w:rPr>
              <w:t>The PBAC noted for the expanded NIP population the uptake was assumed to be 20% for persons aged 25 years (incident population), and to reach 20% of persons aged 26-49 years by year 3 of listing (prevalent population).</w:t>
            </w:r>
          </w:p>
        </w:tc>
      </w:tr>
      <w:tr w:rsidR="004D3204" w:rsidRPr="00E2771E" w14:paraId="476CC930" w14:textId="77777777" w:rsidTr="00E67DB3">
        <w:tc>
          <w:tcPr>
            <w:tcW w:w="950" w:type="pct"/>
            <w:shd w:val="clear" w:color="auto" w:fill="auto"/>
          </w:tcPr>
          <w:p w14:paraId="3162BE25" w14:textId="77777777" w:rsidR="004D3204" w:rsidRPr="00E2771E" w:rsidRDefault="004D3204" w:rsidP="007D33A8">
            <w:pPr>
              <w:pStyle w:val="TableText0"/>
              <w:keepNext w:val="0"/>
              <w:widowControl w:val="0"/>
              <w:rPr>
                <w:lang w:val="en-US"/>
              </w:rPr>
            </w:pPr>
            <w:r>
              <w:rPr>
                <w:lang w:val="en-US"/>
              </w:rPr>
              <w:t>Cost</w:t>
            </w:r>
          </w:p>
        </w:tc>
        <w:tc>
          <w:tcPr>
            <w:tcW w:w="2270" w:type="pct"/>
            <w:shd w:val="clear" w:color="auto" w:fill="auto"/>
            <w:vAlign w:val="center"/>
          </w:tcPr>
          <w:p w14:paraId="78F0A78C" w14:textId="37438F36" w:rsidR="004D3204" w:rsidRPr="00B938FE" w:rsidRDefault="004D3204" w:rsidP="004D3204">
            <w:pPr>
              <w:widowControl w:val="0"/>
              <w:jc w:val="left"/>
              <w:textAlignment w:val="baseline"/>
              <w:rPr>
                <w:rFonts w:ascii="Arial Narrow" w:hAnsi="Arial Narrow"/>
                <w:color w:val="000000"/>
                <w:sz w:val="20"/>
                <w:szCs w:val="20"/>
              </w:rPr>
            </w:pPr>
            <w:r w:rsidRPr="00B938FE">
              <w:rPr>
                <w:rFonts w:ascii="Arial Narrow" w:hAnsi="Arial Narrow"/>
                <w:color w:val="000000"/>
                <w:sz w:val="20"/>
                <w:szCs w:val="20"/>
              </w:rPr>
              <w:t>20vPCV: $</w:t>
            </w:r>
            <w:r w:rsidR="006A414A" w:rsidRPr="006A414A">
              <w:rPr>
                <w:rFonts w:ascii="Arial Narrow" w:hAnsi="Arial Narrow"/>
                <w:color w:val="000000"/>
                <w:spacing w:val="64"/>
                <w:sz w:val="20"/>
                <w:szCs w:val="20"/>
                <w:shd w:val="solid" w:color="000000" w:fill="000000"/>
                <w:fitText w:val="363" w:id="-1303199739"/>
                <w14:textFill>
                  <w14:solidFill>
                    <w14:srgbClr w14:val="000000">
                      <w14:alpha w14:val="100000"/>
                    </w14:srgbClr>
                  </w14:solidFill>
                </w14:textFill>
              </w:rPr>
              <w:t>|||</w:t>
            </w:r>
            <w:r w:rsidR="006A414A" w:rsidRPr="006A414A">
              <w:rPr>
                <w:rFonts w:ascii="Arial Narrow" w:hAnsi="Arial Narrow"/>
                <w:color w:val="000000"/>
                <w:spacing w:val="1"/>
                <w:sz w:val="20"/>
                <w:szCs w:val="20"/>
                <w:shd w:val="solid" w:color="000000" w:fill="000000"/>
                <w:fitText w:val="363" w:id="-1303199739"/>
                <w14:textFill>
                  <w14:solidFill>
                    <w14:srgbClr w14:val="000000">
                      <w14:alpha w14:val="100000"/>
                    </w14:srgbClr>
                  </w14:solidFill>
                </w14:textFill>
              </w:rPr>
              <w:t>|</w:t>
            </w:r>
            <w:r w:rsidRPr="00B938FE">
              <w:rPr>
                <w:rFonts w:ascii="Arial Narrow" w:hAnsi="Arial Narrow"/>
                <w:color w:val="000000"/>
                <w:sz w:val="20"/>
                <w:szCs w:val="20"/>
              </w:rPr>
              <w:t xml:space="preserve"> </w:t>
            </w:r>
            <w:r w:rsidR="003E5619" w:rsidRPr="00B938FE">
              <w:rPr>
                <w:rFonts w:ascii="Arial Narrow" w:hAnsi="Arial Narrow"/>
                <w:color w:val="000000"/>
                <w:sz w:val="20"/>
                <w:szCs w:val="20"/>
              </w:rPr>
              <w:t>–</w:t>
            </w:r>
            <w:r w:rsidRPr="00B938FE">
              <w:rPr>
                <w:rFonts w:ascii="Arial Narrow" w:hAnsi="Arial Narrow"/>
                <w:color w:val="000000"/>
                <w:sz w:val="20"/>
                <w:szCs w:val="20"/>
              </w:rPr>
              <w:t xml:space="preserve"> </w:t>
            </w:r>
            <w:proofErr w:type="gramStart"/>
            <w:r w:rsidRPr="00B938FE">
              <w:rPr>
                <w:rFonts w:ascii="Arial Narrow" w:hAnsi="Arial Narrow"/>
                <w:color w:val="000000"/>
                <w:sz w:val="20"/>
                <w:szCs w:val="20"/>
              </w:rPr>
              <w:t>Non-indigenous</w:t>
            </w:r>
            <w:proofErr w:type="gramEnd"/>
            <w:r w:rsidRPr="00B938FE">
              <w:rPr>
                <w:rFonts w:ascii="Arial Narrow" w:hAnsi="Arial Narrow"/>
                <w:color w:val="000000"/>
                <w:sz w:val="20"/>
                <w:szCs w:val="20"/>
              </w:rPr>
              <w:t xml:space="preserve"> adults &gt;70 years and Aboriginal and Torres Strait Islander adults &gt;25 years</w:t>
            </w:r>
          </w:p>
          <w:p w14:paraId="43589308" w14:textId="1BDDF11B" w:rsidR="004D3204" w:rsidRPr="00B938FE" w:rsidRDefault="004D3204" w:rsidP="004D3204">
            <w:pPr>
              <w:widowControl w:val="0"/>
              <w:jc w:val="left"/>
              <w:textAlignment w:val="baseline"/>
              <w:rPr>
                <w:rFonts w:ascii="Arial Narrow" w:hAnsi="Arial Narrow"/>
                <w:color w:val="000000"/>
                <w:sz w:val="20"/>
                <w:szCs w:val="20"/>
              </w:rPr>
            </w:pPr>
            <w:r w:rsidRPr="00B938FE">
              <w:rPr>
                <w:rFonts w:ascii="Arial Narrow" w:hAnsi="Arial Narrow"/>
                <w:color w:val="000000"/>
                <w:sz w:val="20"/>
                <w:szCs w:val="20"/>
              </w:rPr>
              <w:t>$</w:t>
            </w:r>
            <w:r w:rsidR="006A414A" w:rsidRPr="006A414A">
              <w:rPr>
                <w:rFonts w:ascii="Arial Narrow" w:hAnsi="Arial Narrow"/>
                <w:color w:val="000000"/>
                <w:spacing w:val="64"/>
                <w:sz w:val="20"/>
                <w:szCs w:val="20"/>
                <w:shd w:val="solid" w:color="000000" w:fill="000000"/>
                <w:fitText w:val="363" w:id="-1303199738"/>
                <w14:textFill>
                  <w14:solidFill>
                    <w14:srgbClr w14:val="000000">
                      <w14:alpha w14:val="100000"/>
                    </w14:srgbClr>
                  </w14:solidFill>
                </w14:textFill>
              </w:rPr>
              <w:t>|||</w:t>
            </w:r>
            <w:r w:rsidR="006A414A" w:rsidRPr="006A414A">
              <w:rPr>
                <w:rFonts w:ascii="Arial Narrow" w:hAnsi="Arial Narrow"/>
                <w:color w:val="000000"/>
                <w:spacing w:val="1"/>
                <w:sz w:val="20"/>
                <w:szCs w:val="20"/>
                <w:shd w:val="solid" w:color="000000" w:fill="000000"/>
                <w:fitText w:val="363" w:id="-1303199738"/>
                <w14:textFill>
                  <w14:solidFill>
                    <w14:srgbClr w14:val="000000">
                      <w14:alpha w14:val="100000"/>
                    </w14:srgbClr>
                  </w14:solidFill>
                </w14:textFill>
              </w:rPr>
              <w:t>|</w:t>
            </w:r>
            <w:r w:rsidRPr="00B938FE">
              <w:rPr>
                <w:rFonts w:ascii="Arial Narrow" w:hAnsi="Arial Narrow"/>
                <w:color w:val="000000"/>
                <w:sz w:val="20"/>
                <w:szCs w:val="20"/>
              </w:rPr>
              <w:t xml:space="preserve"> – Adults with identified risk conditions </w:t>
            </w:r>
          </w:p>
          <w:p w14:paraId="380D6669" w14:textId="77777777" w:rsidR="004D3204" w:rsidRPr="00B938FE" w:rsidRDefault="004D3204" w:rsidP="004D3204">
            <w:pPr>
              <w:pStyle w:val="TableText0"/>
              <w:keepNext w:val="0"/>
              <w:widowControl w:val="0"/>
              <w:rPr>
                <w:rFonts w:eastAsia="Times New Roman" w:cs="Arial"/>
                <w:bCs w:val="0"/>
                <w:color w:val="000000"/>
                <w:szCs w:val="20"/>
              </w:rPr>
            </w:pPr>
            <w:r w:rsidRPr="00B938FE">
              <w:rPr>
                <w:rFonts w:eastAsia="Times New Roman" w:cs="Arial"/>
                <w:bCs w:val="0"/>
                <w:color w:val="000000"/>
                <w:szCs w:val="20"/>
              </w:rPr>
              <w:t xml:space="preserve">Source: Proposed ex-manufacturer price per vaccine dose. </w:t>
            </w:r>
          </w:p>
          <w:p w14:paraId="751E8F13" w14:textId="77777777" w:rsidR="004D3204" w:rsidRPr="00B938FE" w:rsidRDefault="004D3204" w:rsidP="004D3204">
            <w:pPr>
              <w:pStyle w:val="TableText0"/>
              <w:keepNext w:val="0"/>
              <w:widowControl w:val="0"/>
              <w:rPr>
                <w:rFonts w:eastAsia="Times New Roman" w:cs="Arial"/>
                <w:bCs w:val="0"/>
                <w:color w:val="000000"/>
                <w:szCs w:val="20"/>
              </w:rPr>
            </w:pPr>
          </w:p>
          <w:p w14:paraId="3063D04D" w14:textId="023BE593" w:rsidR="004D3204" w:rsidRPr="00691E0C" w:rsidRDefault="004D3204" w:rsidP="004D3204">
            <w:pPr>
              <w:widowControl w:val="0"/>
              <w:jc w:val="left"/>
              <w:textAlignment w:val="baseline"/>
              <w:rPr>
                <w:rFonts w:ascii="Arial Narrow" w:hAnsi="Arial Narrow"/>
                <w:color w:val="000000"/>
                <w:sz w:val="20"/>
                <w:szCs w:val="20"/>
              </w:rPr>
            </w:pPr>
            <w:r w:rsidRPr="00B938FE">
              <w:rPr>
                <w:rFonts w:ascii="Arial Narrow" w:hAnsi="Arial Narrow"/>
                <w:color w:val="000000"/>
                <w:sz w:val="20"/>
                <w:szCs w:val="20"/>
              </w:rPr>
              <w:t>13vPCV (or 15vPCV): $</w:t>
            </w:r>
            <w:r w:rsidR="006A414A" w:rsidRPr="006A414A">
              <w:rPr>
                <w:rFonts w:ascii="Arial Narrow" w:hAnsi="Arial Narrow"/>
                <w:color w:val="000000"/>
                <w:spacing w:val="64"/>
                <w:sz w:val="20"/>
                <w:szCs w:val="20"/>
                <w:shd w:val="solid" w:color="000000" w:fill="000000"/>
                <w:fitText w:val="363" w:id="-1303199737"/>
                <w14:textFill>
                  <w14:solidFill>
                    <w14:srgbClr w14:val="000000">
                      <w14:alpha w14:val="100000"/>
                    </w14:srgbClr>
                  </w14:solidFill>
                </w14:textFill>
              </w:rPr>
              <w:t>|||</w:t>
            </w:r>
            <w:r w:rsidR="006A414A" w:rsidRPr="006A414A">
              <w:rPr>
                <w:rFonts w:ascii="Arial Narrow" w:hAnsi="Arial Narrow"/>
                <w:color w:val="000000"/>
                <w:spacing w:val="1"/>
                <w:sz w:val="20"/>
                <w:szCs w:val="20"/>
                <w:shd w:val="solid" w:color="000000" w:fill="000000"/>
                <w:fitText w:val="363" w:id="-1303199737"/>
                <w14:textFill>
                  <w14:solidFill>
                    <w14:srgbClr w14:val="000000">
                      <w14:alpha w14:val="100000"/>
                    </w14:srgbClr>
                  </w14:solidFill>
                </w14:textFill>
              </w:rPr>
              <w:t>|</w:t>
            </w:r>
            <w:r w:rsidRPr="00B938FE">
              <w:rPr>
                <w:rFonts w:ascii="Arial Narrow" w:hAnsi="Arial Narrow"/>
                <w:color w:val="000000"/>
                <w:sz w:val="20"/>
                <w:szCs w:val="20"/>
              </w:rPr>
              <w:t xml:space="preserve"> </w:t>
            </w:r>
            <w:r w:rsidR="003E5619" w:rsidRPr="00B938FE">
              <w:rPr>
                <w:rFonts w:ascii="Arial Narrow" w:hAnsi="Arial Narrow"/>
                <w:color w:val="000000"/>
                <w:sz w:val="20"/>
                <w:szCs w:val="20"/>
              </w:rPr>
              <w:t>–</w:t>
            </w:r>
            <w:r w:rsidRPr="00B938FE">
              <w:rPr>
                <w:rFonts w:ascii="Arial Narrow" w:hAnsi="Arial Narrow"/>
                <w:color w:val="000000"/>
                <w:sz w:val="20"/>
                <w:szCs w:val="20"/>
              </w:rPr>
              <w:t xml:space="preserve"> </w:t>
            </w:r>
            <w:proofErr w:type="gramStart"/>
            <w:r w:rsidRPr="00691E0C">
              <w:rPr>
                <w:rFonts w:ascii="Arial Narrow" w:hAnsi="Arial Narrow"/>
                <w:color w:val="000000"/>
                <w:sz w:val="20"/>
                <w:szCs w:val="20"/>
              </w:rPr>
              <w:t>Non-indigenous</w:t>
            </w:r>
            <w:proofErr w:type="gramEnd"/>
            <w:r w:rsidRPr="00691E0C">
              <w:rPr>
                <w:rFonts w:ascii="Arial Narrow" w:hAnsi="Arial Narrow"/>
                <w:color w:val="000000"/>
                <w:sz w:val="20"/>
                <w:szCs w:val="20"/>
              </w:rPr>
              <w:t xml:space="preserve"> adults (</w:t>
            </w:r>
            <w:r w:rsidRPr="00B938FE">
              <w:rPr>
                <w:rFonts w:ascii="Arial Narrow" w:hAnsi="Arial Narrow"/>
                <w:color w:val="000000"/>
                <w:sz w:val="20"/>
                <w:szCs w:val="20"/>
              </w:rPr>
              <w:t>&gt;</w:t>
            </w:r>
            <w:r w:rsidRPr="00691E0C">
              <w:rPr>
                <w:rFonts w:ascii="Arial Narrow" w:hAnsi="Arial Narrow"/>
                <w:color w:val="000000"/>
                <w:sz w:val="20"/>
                <w:szCs w:val="20"/>
              </w:rPr>
              <w:t xml:space="preserve">70 years) and Aboriginal and Torres Strait Islander adults (&gt;50 years) </w:t>
            </w:r>
          </w:p>
          <w:p w14:paraId="003AF251" w14:textId="73A1A3A8" w:rsidR="004D3204" w:rsidRPr="00B938FE" w:rsidRDefault="004D3204" w:rsidP="00B938FE">
            <w:pPr>
              <w:jc w:val="left"/>
              <w:rPr>
                <w:rFonts w:ascii="Arial Narrow" w:hAnsi="Arial Narrow"/>
                <w:color w:val="000000"/>
                <w:sz w:val="20"/>
                <w:szCs w:val="20"/>
              </w:rPr>
            </w:pPr>
            <w:r w:rsidRPr="00B938FE">
              <w:rPr>
                <w:rFonts w:ascii="Arial Narrow" w:hAnsi="Arial Narrow"/>
                <w:color w:val="000000"/>
                <w:sz w:val="20"/>
                <w:szCs w:val="20"/>
              </w:rPr>
              <w:t>$</w:t>
            </w:r>
            <w:r w:rsidR="006A414A" w:rsidRPr="006A414A">
              <w:rPr>
                <w:rFonts w:ascii="Arial Narrow" w:hAnsi="Arial Narrow"/>
                <w:color w:val="000000"/>
                <w:spacing w:val="64"/>
                <w:sz w:val="20"/>
                <w:szCs w:val="20"/>
                <w:shd w:val="solid" w:color="000000" w:fill="000000"/>
                <w:fitText w:val="363" w:id="-1303199736"/>
                <w14:textFill>
                  <w14:solidFill>
                    <w14:srgbClr w14:val="000000">
                      <w14:alpha w14:val="100000"/>
                    </w14:srgbClr>
                  </w14:solidFill>
                </w14:textFill>
              </w:rPr>
              <w:t>|||</w:t>
            </w:r>
            <w:r w:rsidR="006A414A" w:rsidRPr="006A414A">
              <w:rPr>
                <w:rFonts w:ascii="Arial Narrow" w:hAnsi="Arial Narrow"/>
                <w:color w:val="000000"/>
                <w:spacing w:val="1"/>
                <w:sz w:val="20"/>
                <w:szCs w:val="20"/>
                <w:shd w:val="solid" w:color="000000" w:fill="000000"/>
                <w:fitText w:val="363" w:id="-1303199736"/>
                <w14:textFill>
                  <w14:solidFill>
                    <w14:srgbClr w14:val="000000">
                      <w14:alpha w14:val="100000"/>
                    </w14:srgbClr>
                  </w14:solidFill>
                </w14:textFill>
              </w:rPr>
              <w:t>|</w:t>
            </w:r>
            <w:r w:rsidR="00B938FE" w:rsidRPr="00B938FE">
              <w:rPr>
                <w:rFonts w:ascii="Arial Narrow" w:hAnsi="Arial Narrow"/>
                <w:color w:val="000000"/>
                <w:sz w:val="20"/>
                <w:szCs w:val="20"/>
              </w:rPr>
              <w:t xml:space="preserve"> Adults (&lt; </w:t>
            </w:r>
            <w:r w:rsidRPr="00B938FE">
              <w:rPr>
                <w:rFonts w:ascii="Arial Narrow" w:hAnsi="Arial Narrow"/>
                <w:color w:val="000000"/>
                <w:sz w:val="20"/>
                <w:szCs w:val="20"/>
              </w:rPr>
              <w:t>18 years) at risk</w:t>
            </w:r>
          </w:p>
          <w:p w14:paraId="7FD93427" w14:textId="335B586B" w:rsidR="004D3204" w:rsidRPr="00B938FE" w:rsidRDefault="004D3204" w:rsidP="004D3204">
            <w:pPr>
              <w:pStyle w:val="TableText0"/>
              <w:keepNext w:val="0"/>
              <w:widowControl w:val="0"/>
              <w:rPr>
                <w:rFonts w:eastAsia="Times New Roman" w:cs="Arial"/>
                <w:bCs w:val="0"/>
                <w:color w:val="000000"/>
                <w:szCs w:val="20"/>
              </w:rPr>
            </w:pPr>
            <w:r w:rsidRPr="00B938FE">
              <w:rPr>
                <w:rFonts w:eastAsia="Times New Roman" w:cs="Arial"/>
                <w:bCs w:val="0"/>
                <w:color w:val="000000"/>
                <w:szCs w:val="20"/>
              </w:rPr>
              <w:t xml:space="preserve">Source: Nationally Negotiated Price </w:t>
            </w:r>
            <w:r w:rsidR="00127C74" w:rsidRPr="00B938FE">
              <w:rPr>
                <w:rFonts w:eastAsia="Times New Roman" w:cs="Arial"/>
                <w:bCs w:val="0"/>
                <w:color w:val="000000"/>
                <w:szCs w:val="20"/>
              </w:rPr>
              <w:t>provided by sponsor</w:t>
            </w:r>
          </w:p>
        </w:tc>
        <w:tc>
          <w:tcPr>
            <w:tcW w:w="1780" w:type="pct"/>
            <w:shd w:val="clear" w:color="auto" w:fill="auto"/>
            <w:vAlign w:val="center"/>
          </w:tcPr>
          <w:p w14:paraId="4AB2C643" w14:textId="43A77053" w:rsidR="004D3204" w:rsidRPr="00E2771E" w:rsidRDefault="004D3204" w:rsidP="004D3204">
            <w:pPr>
              <w:pStyle w:val="TableText0"/>
              <w:keepNext w:val="0"/>
              <w:widowControl w:val="0"/>
              <w:rPr>
                <w:lang w:val="en-US"/>
              </w:rPr>
            </w:pPr>
          </w:p>
        </w:tc>
      </w:tr>
      <w:tr w:rsidR="007D4D11" w:rsidRPr="004E375B" w14:paraId="4A1773F9" w14:textId="77777777" w:rsidTr="009A477A">
        <w:tc>
          <w:tcPr>
            <w:tcW w:w="950" w:type="pct"/>
            <w:shd w:val="clear" w:color="auto" w:fill="auto"/>
            <w:vAlign w:val="center"/>
          </w:tcPr>
          <w:p w14:paraId="336F0FE7" w14:textId="77777777" w:rsidR="007D4D11" w:rsidRPr="004E375B" w:rsidRDefault="007D4D11" w:rsidP="009A477A">
            <w:pPr>
              <w:pStyle w:val="TableText0"/>
              <w:keepNext w:val="0"/>
              <w:widowControl w:val="0"/>
              <w:rPr>
                <w:lang w:val="en-US"/>
              </w:rPr>
            </w:pPr>
            <w:r w:rsidRPr="004E375B">
              <w:rPr>
                <w:lang w:val="en-US"/>
              </w:rPr>
              <w:t>MBS item</w:t>
            </w:r>
          </w:p>
        </w:tc>
        <w:tc>
          <w:tcPr>
            <w:tcW w:w="2270" w:type="pct"/>
            <w:shd w:val="clear" w:color="auto" w:fill="auto"/>
            <w:vAlign w:val="center"/>
          </w:tcPr>
          <w:p w14:paraId="46C1E61D" w14:textId="77777777" w:rsidR="007D4D11" w:rsidRPr="004E375B" w:rsidRDefault="007D4D11" w:rsidP="009A477A">
            <w:pPr>
              <w:widowControl w:val="0"/>
              <w:jc w:val="left"/>
              <w:textAlignment w:val="baseline"/>
              <w:rPr>
                <w:lang w:val="en-US"/>
              </w:rPr>
            </w:pPr>
            <w:r w:rsidRPr="004E375B">
              <w:rPr>
                <w:rFonts w:ascii="Arial Narrow" w:hAnsi="Arial Narrow" w:cs="Segoe UI"/>
                <w:sz w:val="20"/>
                <w:szCs w:val="20"/>
              </w:rPr>
              <w:t>Level A Consultation cost = $17.90</w:t>
            </w:r>
          </w:p>
        </w:tc>
        <w:tc>
          <w:tcPr>
            <w:tcW w:w="1780" w:type="pct"/>
            <w:shd w:val="clear" w:color="auto" w:fill="auto"/>
            <w:vAlign w:val="center"/>
          </w:tcPr>
          <w:p w14:paraId="17A5AE2B" w14:textId="7FEC5C1D" w:rsidR="007D4D11" w:rsidRPr="004E375B" w:rsidRDefault="007D4D11" w:rsidP="009A477A">
            <w:pPr>
              <w:pStyle w:val="TableText0"/>
              <w:keepNext w:val="0"/>
              <w:widowControl w:val="0"/>
              <w:rPr>
                <w:lang w:val="en-US"/>
              </w:rPr>
            </w:pPr>
            <w:r w:rsidRPr="004E375B">
              <w:rPr>
                <w:lang w:val="en-US"/>
              </w:rPr>
              <w:t xml:space="preserve"> </w:t>
            </w:r>
          </w:p>
        </w:tc>
      </w:tr>
    </w:tbl>
    <w:p w14:paraId="00C8F4D2" w14:textId="2952BCF8" w:rsidR="007D4D11" w:rsidRPr="00B54871" w:rsidRDefault="007D4D11" w:rsidP="007D4D11">
      <w:pPr>
        <w:pStyle w:val="FooterTableFigure"/>
        <w:widowControl w:val="0"/>
      </w:pPr>
      <w:r w:rsidRPr="00B54871">
        <w:rPr>
          <w:rStyle w:val="normaltextrun"/>
        </w:rPr>
        <w:t>Source: Table 4.1.1, p514</w:t>
      </w:r>
      <w:r w:rsidR="007C1DB6">
        <w:rPr>
          <w:rStyle w:val="normaltextrun"/>
        </w:rPr>
        <w:t>-515</w:t>
      </w:r>
      <w:r w:rsidRPr="00B54871">
        <w:rPr>
          <w:rStyle w:val="normaltextrun"/>
        </w:rPr>
        <w:t xml:space="preserve"> of the submission, Table 4.2.1, p516 of the submission, Table 4.2.2 </w:t>
      </w:r>
      <w:r w:rsidRPr="46AB6367">
        <w:rPr>
          <w:rStyle w:val="normaltextrun"/>
        </w:rPr>
        <w:t>p517</w:t>
      </w:r>
      <w:r w:rsidRPr="00B54871">
        <w:rPr>
          <w:rStyle w:val="normaltextrun"/>
        </w:rPr>
        <w:t xml:space="preserve">/518 of the submission, Table 4.2.3, </w:t>
      </w:r>
      <w:r w:rsidR="064A1A56" w:rsidRPr="339E033E">
        <w:rPr>
          <w:rStyle w:val="normaltextrun"/>
        </w:rPr>
        <w:t>p507</w:t>
      </w:r>
      <w:r w:rsidRPr="00B54871">
        <w:rPr>
          <w:rStyle w:val="normaltextrun"/>
        </w:rPr>
        <w:t xml:space="preserve"> of the submission, Table 4.2.4, p519/520 of the submission, Table 4.2.5, p520/521 of the submission, Table 4.3.1 p522 of the submission, Table 4.3.2, </w:t>
      </w:r>
      <w:r w:rsidRPr="339E033E">
        <w:rPr>
          <w:rStyle w:val="normaltextrun"/>
        </w:rPr>
        <w:t>p524</w:t>
      </w:r>
      <w:r w:rsidRPr="00B54871">
        <w:rPr>
          <w:rStyle w:val="normaltextrun"/>
        </w:rPr>
        <w:t xml:space="preserve"> of the submission, Dose estimation, Budget Impact Model Excel</w:t>
      </w:r>
      <w:r w:rsidRPr="00B54871">
        <w:rPr>
          <w:rStyle w:val="eop"/>
        </w:rPr>
        <w:t> </w:t>
      </w:r>
    </w:p>
    <w:p w14:paraId="23D65C25" w14:textId="43348A96" w:rsidR="2443C642" w:rsidRDefault="2443C642" w:rsidP="4E79767B">
      <w:pPr>
        <w:pStyle w:val="FooterTableFigure"/>
        <w:widowControl w:val="0"/>
        <w:rPr>
          <w:rStyle w:val="eop"/>
        </w:rPr>
      </w:pPr>
      <w:r w:rsidRPr="0F312BA7">
        <w:rPr>
          <w:rStyle w:val="eop"/>
        </w:rPr>
        <w:t>Abbreviations: 13vPCV 13-valent pneumococcal conjugate va</w:t>
      </w:r>
      <w:r w:rsidR="3D80CEA6" w:rsidRPr="0F312BA7">
        <w:rPr>
          <w:rStyle w:val="eop"/>
        </w:rPr>
        <w:t>ccine;</w:t>
      </w:r>
      <w:r w:rsidR="07D3B7BD" w:rsidRPr="0F312BA7">
        <w:rPr>
          <w:rStyle w:val="eop"/>
        </w:rPr>
        <w:t xml:space="preserve"> 15vPCV 15-valent pneumococcal conjugate vaccine;</w:t>
      </w:r>
      <w:r w:rsidR="3D80CEA6" w:rsidRPr="0F312BA7">
        <w:rPr>
          <w:rStyle w:val="eop"/>
        </w:rPr>
        <w:t xml:space="preserve"> </w:t>
      </w:r>
      <w:r w:rsidR="2B21BB32" w:rsidRPr="0F312BA7">
        <w:rPr>
          <w:rStyle w:val="eop"/>
        </w:rPr>
        <w:t xml:space="preserve">20vPCV, 20-valent pneumococcal conjugate vaccine; </w:t>
      </w:r>
      <w:r w:rsidRPr="0F312BA7">
        <w:rPr>
          <w:rStyle w:val="eop"/>
        </w:rPr>
        <w:t xml:space="preserve">ABS, Australian </w:t>
      </w:r>
      <w:r w:rsidR="00020ECE">
        <w:rPr>
          <w:rStyle w:val="eop"/>
        </w:rPr>
        <w:t>B</w:t>
      </w:r>
      <w:r w:rsidRPr="0F312BA7">
        <w:rPr>
          <w:rStyle w:val="eop"/>
        </w:rPr>
        <w:t xml:space="preserve">ureau of </w:t>
      </w:r>
      <w:r w:rsidR="00020ECE">
        <w:rPr>
          <w:rStyle w:val="eop"/>
        </w:rPr>
        <w:t>S</w:t>
      </w:r>
      <w:r w:rsidRPr="0F312BA7">
        <w:rPr>
          <w:rStyle w:val="eop"/>
        </w:rPr>
        <w:t>tatistics;</w:t>
      </w:r>
      <w:r w:rsidR="5C53A347" w:rsidRPr="0F312BA7">
        <w:rPr>
          <w:rStyle w:val="eop"/>
        </w:rPr>
        <w:t xml:space="preserve"> MBS </w:t>
      </w:r>
      <w:r w:rsidR="5C53A347" w:rsidRPr="184EEA58">
        <w:rPr>
          <w:rStyle w:val="eop"/>
        </w:rPr>
        <w:t>Medicare</w:t>
      </w:r>
      <w:r w:rsidR="5C53A347" w:rsidRPr="0F312BA7">
        <w:rPr>
          <w:rStyle w:val="eop"/>
        </w:rPr>
        <w:t xml:space="preserve"> </w:t>
      </w:r>
      <w:r w:rsidR="00020ECE">
        <w:rPr>
          <w:rStyle w:val="eop"/>
        </w:rPr>
        <w:t>B</w:t>
      </w:r>
      <w:r w:rsidR="5C53A347" w:rsidRPr="0F312BA7">
        <w:rPr>
          <w:rStyle w:val="eop"/>
        </w:rPr>
        <w:t xml:space="preserve">enefits </w:t>
      </w:r>
      <w:r w:rsidR="00020ECE">
        <w:rPr>
          <w:rStyle w:val="eop"/>
        </w:rPr>
        <w:t>S</w:t>
      </w:r>
      <w:r w:rsidR="5C53A347" w:rsidRPr="184EEA58">
        <w:rPr>
          <w:rStyle w:val="eop"/>
        </w:rPr>
        <w:t>chedule</w:t>
      </w:r>
    </w:p>
    <w:p w14:paraId="3864DC34" w14:textId="444D72B0" w:rsidR="007D4D11" w:rsidRDefault="00D923F0" w:rsidP="00036C51">
      <w:pPr>
        <w:pStyle w:val="3-BodyText"/>
      </w:pPr>
      <w:r>
        <w:fldChar w:fldCharType="begin"/>
      </w:r>
      <w:r>
        <w:instrText xml:space="preserve"> REF _Ref112349632 \h </w:instrText>
      </w:r>
      <w:r>
        <w:fldChar w:fldCharType="separate"/>
      </w:r>
      <w:r w:rsidR="00137984">
        <w:t xml:space="preserve">Table </w:t>
      </w:r>
      <w:r w:rsidR="00137984">
        <w:rPr>
          <w:noProof/>
        </w:rPr>
        <w:t>23</w:t>
      </w:r>
      <w:r>
        <w:fldChar w:fldCharType="end"/>
      </w:r>
      <w:r w:rsidR="007D4D11">
        <w:t xml:space="preserve"> presents the estimated use and financial implications of 20vPCV</w:t>
      </w:r>
      <w:r w:rsidR="00502BA1">
        <w:t xml:space="preserve"> </w:t>
      </w:r>
      <w:r w:rsidR="00354748">
        <w:t xml:space="preserve">as described in the </w:t>
      </w:r>
      <w:r w:rsidR="00502BA1">
        <w:t>submission</w:t>
      </w:r>
      <w:r w:rsidR="007D4D11">
        <w:t>.</w:t>
      </w:r>
      <w:r w:rsidR="00502BA1">
        <w:t xml:space="preserve"> These estimates assume the </w:t>
      </w:r>
      <w:r w:rsidR="002519B1">
        <w:t xml:space="preserve">PCV and PPV </w:t>
      </w:r>
      <w:r w:rsidR="00502BA1">
        <w:t xml:space="preserve">prices summarised in </w:t>
      </w:r>
      <w:r w:rsidR="002B05BE">
        <w:fldChar w:fldCharType="begin"/>
      </w:r>
      <w:r w:rsidR="002B05BE">
        <w:instrText xml:space="preserve"> REF _Ref119582638 \h </w:instrText>
      </w:r>
      <w:r w:rsidR="002B05BE">
        <w:fldChar w:fldCharType="separate"/>
      </w:r>
      <w:r w:rsidR="00137984" w:rsidRPr="7A875589">
        <w:rPr>
          <w:lang w:eastAsia="en-US"/>
        </w:rPr>
        <w:t xml:space="preserve">Table </w:t>
      </w:r>
      <w:r w:rsidR="00137984">
        <w:rPr>
          <w:noProof/>
          <w:lang w:eastAsia="en-US"/>
        </w:rPr>
        <w:t>21</w:t>
      </w:r>
      <w:r w:rsidR="002B05BE">
        <w:fldChar w:fldCharType="end"/>
      </w:r>
      <w:r w:rsidR="002B05BE">
        <w:t>.</w:t>
      </w:r>
    </w:p>
    <w:p w14:paraId="10608E69" w14:textId="1DA7755A" w:rsidR="007D4D11" w:rsidRDefault="007D4D11" w:rsidP="00AD2660">
      <w:pPr>
        <w:pStyle w:val="Caption"/>
        <w:keepLines w:val="0"/>
        <w:widowControl w:val="0"/>
        <w:rPr>
          <w:rStyle w:val="CommentReference"/>
          <w:b/>
          <w:szCs w:val="24"/>
        </w:rPr>
      </w:pPr>
      <w:bookmarkStart w:id="123" w:name="_Ref112332628"/>
      <w:bookmarkStart w:id="124" w:name="_Ref112349632"/>
      <w:r>
        <w:lastRenderedPageBreak/>
        <w:t>Table</w:t>
      </w:r>
      <w:bookmarkEnd w:id="123"/>
      <w:r>
        <w:t xml:space="preserve"> </w:t>
      </w:r>
      <w:r>
        <w:fldChar w:fldCharType="begin"/>
      </w:r>
      <w:r>
        <w:instrText>SEQ Table \* ARABIC</w:instrText>
      </w:r>
      <w:r>
        <w:fldChar w:fldCharType="separate"/>
      </w:r>
      <w:r w:rsidR="00137984">
        <w:rPr>
          <w:noProof/>
        </w:rPr>
        <w:t>23</w:t>
      </w:r>
      <w:r>
        <w:fldChar w:fldCharType="end"/>
      </w:r>
      <w:bookmarkEnd w:id="124"/>
      <w:r w:rsidRPr="003B0F7D">
        <w:rPr>
          <w:b w:val="0"/>
          <w:bCs w:val="0"/>
        </w:rPr>
        <w:t>:</w:t>
      </w:r>
      <w:r w:rsidRPr="003B0F7D">
        <w:rPr>
          <w:rStyle w:val="CommentReference"/>
          <w:b/>
          <w:bCs/>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2"/>
        <w:gridCol w:w="1102"/>
        <w:gridCol w:w="1102"/>
        <w:gridCol w:w="1102"/>
        <w:gridCol w:w="1102"/>
        <w:gridCol w:w="1102"/>
        <w:gridCol w:w="1105"/>
      </w:tblGrid>
      <w:tr w:rsidR="007D4D11" w:rsidRPr="00464C9D" w14:paraId="15C2A37D" w14:textId="77777777" w:rsidTr="006F4EF8">
        <w:trPr>
          <w:tblHeader/>
        </w:trPr>
        <w:tc>
          <w:tcPr>
            <w:tcW w:w="1332" w:type="pct"/>
            <w:shd w:val="clear" w:color="auto" w:fill="auto"/>
            <w:vAlign w:val="center"/>
          </w:tcPr>
          <w:p w14:paraId="63441714" w14:textId="77777777" w:rsidR="007D4D11" w:rsidRPr="00464C9D" w:rsidRDefault="007D4D11" w:rsidP="00AD2660">
            <w:pPr>
              <w:pStyle w:val="TableText0"/>
              <w:widowControl w:val="0"/>
            </w:pPr>
          </w:p>
        </w:tc>
        <w:tc>
          <w:tcPr>
            <w:tcW w:w="611" w:type="pct"/>
            <w:shd w:val="clear" w:color="auto" w:fill="auto"/>
            <w:vAlign w:val="center"/>
          </w:tcPr>
          <w:p w14:paraId="4636384D" w14:textId="77777777" w:rsidR="007D4D11" w:rsidRPr="00E45D95" w:rsidRDefault="007D4D11" w:rsidP="00AD2660">
            <w:pPr>
              <w:pStyle w:val="TableText0"/>
              <w:widowControl w:val="0"/>
              <w:jc w:val="center"/>
              <w:rPr>
                <w:b/>
                <w:bCs w:val="0"/>
              </w:rPr>
            </w:pPr>
            <w:r w:rsidRPr="00E45D95">
              <w:rPr>
                <w:b/>
                <w:bCs w:val="0"/>
              </w:rPr>
              <w:t>Year 1</w:t>
            </w:r>
          </w:p>
        </w:tc>
        <w:tc>
          <w:tcPr>
            <w:tcW w:w="611" w:type="pct"/>
            <w:shd w:val="clear" w:color="auto" w:fill="auto"/>
            <w:vAlign w:val="center"/>
          </w:tcPr>
          <w:p w14:paraId="291ABA3D" w14:textId="77777777" w:rsidR="007D4D11" w:rsidRPr="00E45D95" w:rsidRDefault="007D4D11" w:rsidP="00AD2660">
            <w:pPr>
              <w:pStyle w:val="TableText0"/>
              <w:widowControl w:val="0"/>
              <w:jc w:val="center"/>
              <w:rPr>
                <w:b/>
                <w:bCs w:val="0"/>
              </w:rPr>
            </w:pPr>
            <w:r w:rsidRPr="00E45D95">
              <w:rPr>
                <w:b/>
                <w:bCs w:val="0"/>
              </w:rPr>
              <w:t>Year 2</w:t>
            </w:r>
          </w:p>
        </w:tc>
        <w:tc>
          <w:tcPr>
            <w:tcW w:w="611" w:type="pct"/>
            <w:shd w:val="clear" w:color="auto" w:fill="auto"/>
            <w:vAlign w:val="center"/>
          </w:tcPr>
          <w:p w14:paraId="01678EF4" w14:textId="77777777" w:rsidR="007D4D11" w:rsidRPr="00E45D95" w:rsidRDefault="007D4D11" w:rsidP="00AD2660">
            <w:pPr>
              <w:pStyle w:val="TableText0"/>
              <w:widowControl w:val="0"/>
              <w:jc w:val="center"/>
              <w:rPr>
                <w:b/>
                <w:bCs w:val="0"/>
              </w:rPr>
            </w:pPr>
            <w:r w:rsidRPr="00E45D95">
              <w:rPr>
                <w:b/>
                <w:bCs w:val="0"/>
              </w:rPr>
              <w:t>Year 3</w:t>
            </w:r>
          </w:p>
        </w:tc>
        <w:tc>
          <w:tcPr>
            <w:tcW w:w="611" w:type="pct"/>
            <w:shd w:val="clear" w:color="auto" w:fill="auto"/>
            <w:vAlign w:val="center"/>
          </w:tcPr>
          <w:p w14:paraId="7CE3E37B" w14:textId="77777777" w:rsidR="007D4D11" w:rsidRPr="00E45D95" w:rsidRDefault="007D4D11" w:rsidP="00AD2660">
            <w:pPr>
              <w:pStyle w:val="TableText0"/>
              <w:widowControl w:val="0"/>
              <w:jc w:val="center"/>
              <w:rPr>
                <w:b/>
                <w:bCs w:val="0"/>
              </w:rPr>
            </w:pPr>
            <w:r w:rsidRPr="00E45D95">
              <w:rPr>
                <w:b/>
                <w:bCs w:val="0"/>
              </w:rPr>
              <w:t>Year 4</w:t>
            </w:r>
          </w:p>
        </w:tc>
        <w:tc>
          <w:tcPr>
            <w:tcW w:w="611" w:type="pct"/>
            <w:shd w:val="clear" w:color="auto" w:fill="auto"/>
            <w:vAlign w:val="center"/>
          </w:tcPr>
          <w:p w14:paraId="4D9AD268" w14:textId="77777777" w:rsidR="007D4D11" w:rsidRPr="00E45D95" w:rsidRDefault="007D4D11" w:rsidP="00AD2660">
            <w:pPr>
              <w:pStyle w:val="TableText0"/>
              <w:widowControl w:val="0"/>
              <w:jc w:val="center"/>
              <w:rPr>
                <w:b/>
                <w:bCs w:val="0"/>
              </w:rPr>
            </w:pPr>
            <w:r w:rsidRPr="00E45D95">
              <w:rPr>
                <w:b/>
                <w:bCs w:val="0"/>
              </w:rPr>
              <w:t>Year 5</w:t>
            </w:r>
          </w:p>
        </w:tc>
        <w:tc>
          <w:tcPr>
            <w:tcW w:w="613" w:type="pct"/>
          </w:tcPr>
          <w:p w14:paraId="4786B460" w14:textId="77777777" w:rsidR="007D4D11" w:rsidRPr="00E45D95" w:rsidRDefault="007D4D11" w:rsidP="00AD2660">
            <w:pPr>
              <w:pStyle w:val="TableText0"/>
              <w:widowControl w:val="0"/>
              <w:jc w:val="center"/>
              <w:rPr>
                <w:b/>
                <w:bCs w:val="0"/>
              </w:rPr>
            </w:pPr>
            <w:r w:rsidRPr="00E45D95">
              <w:rPr>
                <w:b/>
                <w:bCs w:val="0"/>
              </w:rPr>
              <w:t>Year 6</w:t>
            </w:r>
          </w:p>
        </w:tc>
      </w:tr>
      <w:tr w:rsidR="007D4D11" w:rsidRPr="00464C9D" w14:paraId="08022584" w14:textId="77777777" w:rsidTr="009A477A">
        <w:tc>
          <w:tcPr>
            <w:tcW w:w="5000" w:type="pct"/>
            <w:gridSpan w:val="7"/>
            <w:shd w:val="clear" w:color="auto" w:fill="auto"/>
            <w:vAlign w:val="center"/>
          </w:tcPr>
          <w:p w14:paraId="6706B95D" w14:textId="77777777" w:rsidR="007D4D11" w:rsidRPr="00E45D95" w:rsidRDefault="007D4D11" w:rsidP="00AD2660">
            <w:pPr>
              <w:pStyle w:val="TableText0"/>
              <w:widowControl w:val="0"/>
              <w:rPr>
                <w:b/>
                <w:bCs w:val="0"/>
              </w:rPr>
            </w:pPr>
            <w:r w:rsidRPr="00E45D95">
              <w:rPr>
                <w:b/>
                <w:bCs w:val="0"/>
              </w:rPr>
              <w:t>Estimated extent of use</w:t>
            </w:r>
          </w:p>
        </w:tc>
      </w:tr>
      <w:tr w:rsidR="004D3204" w:rsidRPr="00464C9D" w14:paraId="7018C81F" w14:textId="77777777" w:rsidTr="006F4EF8">
        <w:tc>
          <w:tcPr>
            <w:tcW w:w="1332" w:type="pct"/>
            <w:shd w:val="clear" w:color="auto" w:fill="auto"/>
            <w:vAlign w:val="center"/>
          </w:tcPr>
          <w:p w14:paraId="5565EEAD" w14:textId="0E23A30A" w:rsidR="004D3204" w:rsidRPr="00E45D95" w:rsidRDefault="004D3204" w:rsidP="00AD2660">
            <w:pPr>
              <w:pStyle w:val="TableText0"/>
              <w:widowControl w:val="0"/>
            </w:pPr>
            <w:r w:rsidRPr="00E45D95">
              <w:t xml:space="preserve">Number of </w:t>
            </w:r>
            <w:r w:rsidR="00ED75C3">
              <w:t>persons</w:t>
            </w:r>
            <w:r w:rsidR="00ED75C3" w:rsidRPr="00E45D95">
              <w:t xml:space="preserve"> </w:t>
            </w:r>
            <w:r w:rsidR="00ED75C3">
              <w:t>vaccinated</w:t>
            </w:r>
          </w:p>
        </w:tc>
        <w:tc>
          <w:tcPr>
            <w:tcW w:w="611" w:type="pct"/>
            <w:shd w:val="clear" w:color="auto" w:fill="auto"/>
          </w:tcPr>
          <w:p w14:paraId="428245C1" w14:textId="39630858"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735"/>
                <w14:textFill>
                  <w14:solidFill>
                    <w14:srgbClr w14:val="000000">
                      <w14:alpha w14:val="100000"/>
                    </w14:srgbClr>
                  </w14:solidFill>
                </w14:textFill>
              </w:rPr>
              <w:t xml:space="preserve">　</w:t>
            </w:r>
            <w:r w:rsidRPr="006A414A">
              <w:rPr>
                <w:color w:val="000000"/>
                <w:w w:val="25"/>
                <w:shd w:val="solid" w:color="000000" w:fill="000000"/>
                <w:fitText w:val="113" w:id="-1303199735"/>
                <w14:textFill>
                  <w14:solidFill>
                    <w14:srgbClr w14:val="000000">
                      <w14:alpha w14:val="100000"/>
                    </w14:srgbClr>
                  </w14:solidFill>
                </w14:textFill>
              </w:rPr>
              <w:t>|</w:t>
            </w:r>
            <w:r w:rsidRPr="006A414A">
              <w:rPr>
                <w:rFonts w:hint="eastAsia"/>
                <w:color w:val="000000"/>
                <w:spacing w:val="2"/>
                <w:w w:val="25"/>
                <w:shd w:val="solid" w:color="000000" w:fill="000000"/>
                <w:fitText w:val="113" w:id="-1303199735"/>
                <w14:textFill>
                  <w14:solidFill>
                    <w14:srgbClr w14:val="000000">
                      <w14:alpha w14:val="100000"/>
                    </w14:srgbClr>
                  </w14:solidFill>
                </w14:textFill>
              </w:rPr>
              <w:t xml:space="preserve">　</w:t>
            </w:r>
            <w:r w:rsidR="002D598C" w:rsidRPr="002D598C">
              <w:rPr>
                <w:vertAlign w:val="superscript"/>
              </w:rPr>
              <w:t>1</w:t>
            </w:r>
          </w:p>
        </w:tc>
        <w:tc>
          <w:tcPr>
            <w:tcW w:w="611" w:type="pct"/>
            <w:shd w:val="clear" w:color="auto" w:fill="auto"/>
          </w:tcPr>
          <w:p w14:paraId="1ABACDF7" w14:textId="72EF759A"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734"/>
                <w14:textFill>
                  <w14:solidFill>
                    <w14:srgbClr w14:val="000000">
                      <w14:alpha w14:val="100000"/>
                    </w14:srgbClr>
                  </w14:solidFill>
                </w14:textFill>
              </w:rPr>
              <w:t xml:space="preserve">　</w:t>
            </w:r>
            <w:r w:rsidRPr="006A414A">
              <w:rPr>
                <w:color w:val="000000"/>
                <w:w w:val="25"/>
                <w:shd w:val="solid" w:color="000000" w:fill="000000"/>
                <w:fitText w:val="112" w:id="-1303199734"/>
                <w14:textFill>
                  <w14:solidFill>
                    <w14:srgbClr w14:val="000000">
                      <w14:alpha w14:val="100000"/>
                    </w14:srgbClr>
                  </w14:solidFill>
                </w14:textFill>
              </w:rPr>
              <w:t>|</w:t>
            </w:r>
            <w:r w:rsidRPr="006A414A">
              <w:rPr>
                <w:rFonts w:hint="eastAsia"/>
                <w:color w:val="000000"/>
                <w:spacing w:val="1"/>
                <w:w w:val="25"/>
                <w:shd w:val="solid" w:color="000000" w:fill="000000"/>
                <w:fitText w:val="112" w:id="-1303199734"/>
                <w14:textFill>
                  <w14:solidFill>
                    <w14:srgbClr w14:val="000000">
                      <w14:alpha w14:val="100000"/>
                    </w14:srgbClr>
                  </w14:solidFill>
                </w14:textFill>
              </w:rPr>
              <w:t xml:space="preserve">　</w:t>
            </w:r>
            <w:r w:rsidR="002D598C" w:rsidRPr="002D598C">
              <w:rPr>
                <w:vertAlign w:val="superscript"/>
              </w:rPr>
              <w:t>1</w:t>
            </w:r>
          </w:p>
        </w:tc>
        <w:tc>
          <w:tcPr>
            <w:tcW w:w="611" w:type="pct"/>
            <w:shd w:val="clear" w:color="auto" w:fill="auto"/>
          </w:tcPr>
          <w:p w14:paraId="0B7C2FD6" w14:textId="6B0DC992"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733"/>
                <w14:textFill>
                  <w14:solidFill>
                    <w14:srgbClr w14:val="000000">
                      <w14:alpha w14:val="100000"/>
                    </w14:srgbClr>
                  </w14:solidFill>
                </w14:textFill>
              </w:rPr>
              <w:t xml:space="preserve">　</w:t>
            </w:r>
            <w:r w:rsidRPr="006A414A">
              <w:rPr>
                <w:color w:val="000000"/>
                <w:w w:val="25"/>
                <w:shd w:val="solid" w:color="000000" w:fill="000000"/>
                <w:fitText w:val="112" w:id="-1303199733"/>
                <w14:textFill>
                  <w14:solidFill>
                    <w14:srgbClr w14:val="000000">
                      <w14:alpha w14:val="100000"/>
                    </w14:srgbClr>
                  </w14:solidFill>
                </w14:textFill>
              </w:rPr>
              <w:t>|</w:t>
            </w:r>
            <w:r w:rsidRPr="006A414A">
              <w:rPr>
                <w:rFonts w:hint="eastAsia"/>
                <w:color w:val="000000"/>
                <w:spacing w:val="1"/>
                <w:w w:val="25"/>
                <w:shd w:val="solid" w:color="000000" w:fill="000000"/>
                <w:fitText w:val="112" w:id="-1303199733"/>
                <w14:textFill>
                  <w14:solidFill>
                    <w14:srgbClr w14:val="000000">
                      <w14:alpha w14:val="100000"/>
                    </w14:srgbClr>
                  </w14:solidFill>
                </w14:textFill>
              </w:rPr>
              <w:t xml:space="preserve">　</w:t>
            </w:r>
            <w:r w:rsidR="002D598C" w:rsidRPr="002D598C">
              <w:rPr>
                <w:vertAlign w:val="superscript"/>
              </w:rPr>
              <w:t>1</w:t>
            </w:r>
          </w:p>
        </w:tc>
        <w:tc>
          <w:tcPr>
            <w:tcW w:w="611" w:type="pct"/>
            <w:shd w:val="clear" w:color="auto" w:fill="auto"/>
          </w:tcPr>
          <w:p w14:paraId="3643D393" w14:textId="031EF657"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732"/>
                <w14:textFill>
                  <w14:solidFill>
                    <w14:srgbClr w14:val="000000">
                      <w14:alpha w14:val="100000"/>
                    </w14:srgbClr>
                  </w14:solidFill>
                </w14:textFill>
              </w:rPr>
              <w:t xml:space="preserve">　</w:t>
            </w:r>
            <w:r w:rsidRPr="006A414A">
              <w:rPr>
                <w:color w:val="000000"/>
                <w:w w:val="25"/>
                <w:shd w:val="solid" w:color="000000" w:fill="000000"/>
                <w:fitText w:val="112" w:id="-1303199732"/>
                <w14:textFill>
                  <w14:solidFill>
                    <w14:srgbClr w14:val="000000">
                      <w14:alpha w14:val="100000"/>
                    </w14:srgbClr>
                  </w14:solidFill>
                </w14:textFill>
              </w:rPr>
              <w:t>|</w:t>
            </w:r>
            <w:r w:rsidRPr="006A414A">
              <w:rPr>
                <w:rFonts w:hint="eastAsia"/>
                <w:color w:val="000000"/>
                <w:spacing w:val="1"/>
                <w:w w:val="25"/>
                <w:shd w:val="solid" w:color="000000" w:fill="000000"/>
                <w:fitText w:val="112" w:id="-1303199732"/>
                <w14:textFill>
                  <w14:solidFill>
                    <w14:srgbClr w14:val="000000">
                      <w14:alpha w14:val="100000"/>
                    </w14:srgbClr>
                  </w14:solidFill>
                </w14:textFill>
              </w:rPr>
              <w:t xml:space="preserve">　</w:t>
            </w:r>
            <w:r w:rsidR="002D598C">
              <w:rPr>
                <w:vertAlign w:val="superscript"/>
              </w:rPr>
              <w:t>2</w:t>
            </w:r>
          </w:p>
        </w:tc>
        <w:tc>
          <w:tcPr>
            <w:tcW w:w="611" w:type="pct"/>
            <w:shd w:val="clear" w:color="auto" w:fill="auto"/>
          </w:tcPr>
          <w:p w14:paraId="63187608" w14:textId="30A62E06"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731"/>
                <w14:textFill>
                  <w14:solidFill>
                    <w14:srgbClr w14:val="000000">
                      <w14:alpha w14:val="100000"/>
                    </w14:srgbClr>
                  </w14:solidFill>
                </w14:textFill>
              </w:rPr>
              <w:t xml:space="preserve">　</w:t>
            </w:r>
            <w:r w:rsidRPr="006A414A">
              <w:rPr>
                <w:color w:val="000000"/>
                <w:w w:val="25"/>
                <w:shd w:val="solid" w:color="000000" w:fill="000000"/>
                <w:fitText w:val="113" w:id="-1303199731"/>
                <w14:textFill>
                  <w14:solidFill>
                    <w14:srgbClr w14:val="000000">
                      <w14:alpha w14:val="100000"/>
                    </w14:srgbClr>
                  </w14:solidFill>
                </w14:textFill>
              </w:rPr>
              <w:t>|</w:t>
            </w:r>
            <w:r w:rsidRPr="006A414A">
              <w:rPr>
                <w:rFonts w:hint="eastAsia"/>
                <w:color w:val="000000"/>
                <w:spacing w:val="2"/>
                <w:w w:val="25"/>
                <w:shd w:val="solid" w:color="000000" w:fill="000000"/>
                <w:fitText w:val="113" w:id="-1303199731"/>
                <w14:textFill>
                  <w14:solidFill>
                    <w14:srgbClr w14:val="000000">
                      <w14:alpha w14:val="100000"/>
                    </w14:srgbClr>
                  </w14:solidFill>
                </w14:textFill>
              </w:rPr>
              <w:t xml:space="preserve">　</w:t>
            </w:r>
            <w:r w:rsidR="002D598C" w:rsidRPr="002D598C">
              <w:rPr>
                <w:vertAlign w:val="superscript"/>
              </w:rPr>
              <w:t>1</w:t>
            </w:r>
          </w:p>
        </w:tc>
        <w:tc>
          <w:tcPr>
            <w:tcW w:w="613" w:type="pct"/>
          </w:tcPr>
          <w:p w14:paraId="3C75039F" w14:textId="052145FF" w:rsidR="004D3204" w:rsidRPr="00B47A9D" w:rsidRDefault="006A414A" w:rsidP="00AD2660">
            <w:pPr>
              <w:pStyle w:val="TableText0"/>
              <w:widowControl w:val="0"/>
              <w:jc w:val="center"/>
              <w:rPr>
                <w:highlight w:val="darkGray"/>
              </w:rPr>
            </w:pPr>
            <w:r w:rsidRPr="006A414A">
              <w:rPr>
                <w:rFonts w:hint="eastAsia"/>
                <w:color w:val="000000"/>
                <w:w w:val="22"/>
                <w:shd w:val="solid" w:color="000000" w:fill="000000"/>
                <w:fitText w:val="100" w:id="-1303199730"/>
                <w14:textFill>
                  <w14:solidFill>
                    <w14:srgbClr w14:val="000000">
                      <w14:alpha w14:val="100000"/>
                    </w14:srgbClr>
                  </w14:solidFill>
                </w14:textFill>
              </w:rPr>
              <w:t xml:space="preserve">　</w:t>
            </w:r>
            <w:r w:rsidRPr="006A414A">
              <w:rPr>
                <w:color w:val="000000"/>
                <w:w w:val="22"/>
                <w:shd w:val="solid" w:color="000000" w:fill="000000"/>
                <w:fitText w:val="100" w:id="-1303199730"/>
                <w14:textFill>
                  <w14:solidFill>
                    <w14:srgbClr w14:val="000000">
                      <w14:alpha w14:val="100000"/>
                    </w14:srgbClr>
                  </w14:solidFill>
                </w14:textFill>
              </w:rPr>
              <w:t>|</w:t>
            </w:r>
            <w:r w:rsidRPr="006A414A">
              <w:rPr>
                <w:rFonts w:hint="eastAsia"/>
                <w:color w:val="000000"/>
                <w:spacing w:val="2"/>
                <w:w w:val="22"/>
                <w:shd w:val="solid" w:color="000000" w:fill="000000"/>
                <w:fitText w:val="100" w:id="-1303199730"/>
                <w14:textFill>
                  <w14:solidFill>
                    <w14:srgbClr w14:val="000000">
                      <w14:alpha w14:val="100000"/>
                    </w14:srgbClr>
                  </w14:solidFill>
                </w14:textFill>
              </w:rPr>
              <w:t xml:space="preserve">　</w:t>
            </w:r>
            <w:r w:rsidR="002D598C" w:rsidRPr="002D598C">
              <w:rPr>
                <w:vertAlign w:val="superscript"/>
              </w:rPr>
              <w:t>1</w:t>
            </w:r>
          </w:p>
        </w:tc>
      </w:tr>
      <w:tr w:rsidR="004D3204" w:rsidRPr="00464C9D" w14:paraId="3A0F9049" w14:textId="77777777" w:rsidTr="006F4EF8">
        <w:tc>
          <w:tcPr>
            <w:tcW w:w="1332" w:type="pct"/>
            <w:shd w:val="clear" w:color="auto" w:fill="auto"/>
            <w:vAlign w:val="center"/>
          </w:tcPr>
          <w:p w14:paraId="01C2338B" w14:textId="7DE6B2EC" w:rsidR="004D3204" w:rsidRPr="00E45D95" w:rsidRDefault="004D3204" w:rsidP="00AD2660">
            <w:pPr>
              <w:pStyle w:val="TableText0"/>
              <w:widowControl w:val="0"/>
            </w:pPr>
            <w:r w:rsidRPr="00E45D95">
              <w:t>Non-Indigenous = 70 years</w:t>
            </w:r>
          </w:p>
        </w:tc>
        <w:tc>
          <w:tcPr>
            <w:tcW w:w="611" w:type="pct"/>
            <w:shd w:val="clear" w:color="auto" w:fill="auto"/>
          </w:tcPr>
          <w:p w14:paraId="12400CBA" w14:textId="1A496B16"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729"/>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729"/>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729"/>
                <w14:textFill>
                  <w14:solidFill>
                    <w14:srgbClr w14:val="000000">
                      <w14:alpha w14:val="100000"/>
                    </w14:srgbClr>
                  </w14:solidFill>
                </w14:textFill>
              </w:rPr>
              <w:t xml:space="preserve">　</w:t>
            </w:r>
            <w:r w:rsidR="002D598C">
              <w:rPr>
                <w:vertAlign w:val="superscript"/>
              </w:rPr>
              <w:t>2</w:t>
            </w:r>
          </w:p>
        </w:tc>
        <w:tc>
          <w:tcPr>
            <w:tcW w:w="611" w:type="pct"/>
            <w:shd w:val="clear" w:color="auto" w:fill="auto"/>
          </w:tcPr>
          <w:p w14:paraId="3E34FC03" w14:textId="11C76ED4"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728"/>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728"/>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728"/>
                <w14:textFill>
                  <w14:solidFill>
                    <w14:srgbClr w14:val="000000">
                      <w14:alpha w14:val="100000"/>
                    </w14:srgbClr>
                  </w14:solidFill>
                </w14:textFill>
              </w:rPr>
              <w:t xml:space="preserve">　</w:t>
            </w:r>
            <w:r w:rsidR="002D598C">
              <w:rPr>
                <w:vertAlign w:val="superscript"/>
              </w:rPr>
              <w:t>2</w:t>
            </w:r>
          </w:p>
        </w:tc>
        <w:tc>
          <w:tcPr>
            <w:tcW w:w="611" w:type="pct"/>
            <w:shd w:val="clear" w:color="auto" w:fill="auto"/>
          </w:tcPr>
          <w:p w14:paraId="11B4D1AA" w14:textId="0EC9170B"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744"/>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744"/>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744"/>
                <w14:textFill>
                  <w14:solidFill>
                    <w14:srgbClr w14:val="000000">
                      <w14:alpha w14:val="100000"/>
                    </w14:srgbClr>
                  </w14:solidFill>
                </w14:textFill>
              </w:rPr>
              <w:t xml:space="preserve">　</w:t>
            </w:r>
            <w:r w:rsidR="002D598C">
              <w:rPr>
                <w:vertAlign w:val="superscript"/>
              </w:rPr>
              <w:t>2</w:t>
            </w:r>
          </w:p>
        </w:tc>
        <w:tc>
          <w:tcPr>
            <w:tcW w:w="611" w:type="pct"/>
            <w:shd w:val="clear" w:color="auto" w:fill="auto"/>
          </w:tcPr>
          <w:p w14:paraId="60DC20AD" w14:textId="2328CCCB"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743"/>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743"/>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743"/>
                <w14:textFill>
                  <w14:solidFill>
                    <w14:srgbClr w14:val="000000">
                      <w14:alpha w14:val="100000"/>
                    </w14:srgbClr>
                  </w14:solidFill>
                </w14:textFill>
              </w:rPr>
              <w:t xml:space="preserve">　</w:t>
            </w:r>
            <w:r w:rsidR="002D598C">
              <w:rPr>
                <w:vertAlign w:val="superscript"/>
              </w:rPr>
              <w:t>2</w:t>
            </w:r>
          </w:p>
        </w:tc>
        <w:tc>
          <w:tcPr>
            <w:tcW w:w="611" w:type="pct"/>
            <w:shd w:val="clear" w:color="auto" w:fill="auto"/>
          </w:tcPr>
          <w:p w14:paraId="77DE7658" w14:textId="08767B34"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742"/>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742"/>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742"/>
                <w14:textFill>
                  <w14:solidFill>
                    <w14:srgbClr w14:val="000000">
                      <w14:alpha w14:val="100000"/>
                    </w14:srgbClr>
                  </w14:solidFill>
                </w14:textFill>
              </w:rPr>
              <w:t xml:space="preserve">　</w:t>
            </w:r>
            <w:r w:rsidR="002D598C">
              <w:rPr>
                <w:vertAlign w:val="superscript"/>
              </w:rPr>
              <w:t>2</w:t>
            </w:r>
          </w:p>
        </w:tc>
        <w:tc>
          <w:tcPr>
            <w:tcW w:w="613" w:type="pct"/>
          </w:tcPr>
          <w:p w14:paraId="2C6F0495" w14:textId="03EC456E" w:rsidR="004D3204" w:rsidRPr="00B47A9D" w:rsidRDefault="006A414A" w:rsidP="00AD2660">
            <w:pPr>
              <w:pStyle w:val="TableText0"/>
              <w:widowControl w:val="0"/>
              <w:jc w:val="center"/>
              <w:rPr>
                <w:highlight w:val="darkGray"/>
              </w:rPr>
            </w:pPr>
            <w:r w:rsidRPr="006A414A">
              <w:rPr>
                <w:rStyle w:val="normaltextrun"/>
                <w:rFonts w:hint="eastAsia"/>
                <w:color w:val="000000"/>
                <w:w w:val="22"/>
                <w:shd w:val="solid" w:color="000000" w:fill="000000"/>
                <w:fitText w:val="100" w:id="-1303199741"/>
                <w14:textFill>
                  <w14:solidFill>
                    <w14:srgbClr w14:val="000000">
                      <w14:alpha w14:val="100000"/>
                    </w14:srgbClr>
                  </w14:solidFill>
                </w14:textFill>
              </w:rPr>
              <w:t xml:space="preserve">　</w:t>
            </w:r>
            <w:r w:rsidRPr="006A414A">
              <w:rPr>
                <w:rStyle w:val="normaltextrun"/>
                <w:color w:val="000000"/>
                <w:w w:val="22"/>
                <w:shd w:val="solid" w:color="000000" w:fill="000000"/>
                <w:fitText w:val="100" w:id="-1303199741"/>
                <w14:textFill>
                  <w14:solidFill>
                    <w14:srgbClr w14:val="000000">
                      <w14:alpha w14:val="100000"/>
                    </w14:srgbClr>
                  </w14:solidFill>
                </w14:textFill>
              </w:rPr>
              <w:t>|</w:t>
            </w:r>
            <w:r w:rsidRPr="006A414A">
              <w:rPr>
                <w:rStyle w:val="normaltextrun"/>
                <w:rFonts w:hint="eastAsia"/>
                <w:color w:val="000000"/>
                <w:spacing w:val="2"/>
                <w:w w:val="22"/>
                <w:shd w:val="solid" w:color="000000" w:fill="000000"/>
                <w:fitText w:val="100" w:id="-1303199741"/>
                <w14:textFill>
                  <w14:solidFill>
                    <w14:srgbClr w14:val="000000">
                      <w14:alpha w14:val="100000"/>
                    </w14:srgbClr>
                  </w14:solidFill>
                </w14:textFill>
              </w:rPr>
              <w:t xml:space="preserve">　</w:t>
            </w:r>
            <w:r w:rsidR="002D598C">
              <w:rPr>
                <w:vertAlign w:val="superscript"/>
              </w:rPr>
              <w:t>2</w:t>
            </w:r>
          </w:p>
        </w:tc>
      </w:tr>
      <w:tr w:rsidR="004D3204" w:rsidRPr="00464C9D" w14:paraId="7DA306A0" w14:textId="77777777" w:rsidTr="006F4EF8">
        <w:tc>
          <w:tcPr>
            <w:tcW w:w="1332" w:type="pct"/>
            <w:shd w:val="clear" w:color="auto" w:fill="auto"/>
            <w:vAlign w:val="center"/>
          </w:tcPr>
          <w:p w14:paraId="021F174A" w14:textId="5CA37582" w:rsidR="004D3204" w:rsidRPr="00E45D95" w:rsidRDefault="004D3204" w:rsidP="00AD2660">
            <w:pPr>
              <w:pStyle w:val="TableText0"/>
              <w:widowControl w:val="0"/>
            </w:pPr>
            <w:r w:rsidRPr="00E45D95">
              <w:t>Non-Indigenous &gt; 70 years</w:t>
            </w:r>
          </w:p>
        </w:tc>
        <w:tc>
          <w:tcPr>
            <w:tcW w:w="611" w:type="pct"/>
            <w:shd w:val="clear" w:color="auto" w:fill="auto"/>
          </w:tcPr>
          <w:p w14:paraId="7DCD3265" w14:textId="158FA001"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740"/>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740"/>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740"/>
                <w14:textFill>
                  <w14:solidFill>
                    <w14:srgbClr w14:val="000000">
                      <w14:alpha w14:val="100000"/>
                    </w14:srgbClr>
                  </w14:solidFill>
                </w14:textFill>
              </w:rPr>
              <w:t xml:space="preserve">　</w:t>
            </w:r>
            <w:r w:rsidR="002D598C">
              <w:rPr>
                <w:vertAlign w:val="superscript"/>
              </w:rPr>
              <w:t>3</w:t>
            </w:r>
          </w:p>
        </w:tc>
        <w:tc>
          <w:tcPr>
            <w:tcW w:w="611" w:type="pct"/>
            <w:shd w:val="clear" w:color="auto" w:fill="auto"/>
          </w:tcPr>
          <w:p w14:paraId="44133598" w14:textId="3E1580BC"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739"/>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739"/>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739"/>
                <w14:textFill>
                  <w14:solidFill>
                    <w14:srgbClr w14:val="000000">
                      <w14:alpha w14:val="100000"/>
                    </w14:srgbClr>
                  </w14:solidFill>
                </w14:textFill>
              </w:rPr>
              <w:t xml:space="preserve">　</w:t>
            </w:r>
            <w:r w:rsidR="002D598C">
              <w:rPr>
                <w:vertAlign w:val="superscript"/>
              </w:rPr>
              <w:t>3</w:t>
            </w:r>
          </w:p>
        </w:tc>
        <w:tc>
          <w:tcPr>
            <w:tcW w:w="611" w:type="pct"/>
            <w:shd w:val="clear" w:color="auto" w:fill="auto"/>
          </w:tcPr>
          <w:p w14:paraId="2FFBDE2A" w14:textId="17132F59"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738"/>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738"/>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738"/>
                <w14:textFill>
                  <w14:solidFill>
                    <w14:srgbClr w14:val="000000">
                      <w14:alpha w14:val="100000"/>
                    </w14:srgbClr>
                  </w14:solidFill>
                </w14:textFill>
              </w:rPr>
              <w:t xml:space="preserve">　</w:t>
            </w:r>
            <w:r w:rsidR="002D598C">
              <w:rPr>
                <w:vertAlign w:val="superscript"/>
              </w:rPr>
              <w:t>3</w:t>
            </w:r>
          </w:p>
        </w:tc>
        <w:tc>
          <w:tcPr>
            <w:tcW w:w="611" w:type="pct"/>
            <w:shd w:val="clear" w:color="auto" w:fill="auto"/>
          </w:tcPr>
          <w:p w14:paraId="6C86B1D8" w14:textId="1BCABAC6"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737"/>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737"/>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737"/>
                <w14:textFill>
                  <w14:solidFill>
                    <w14:srgbClr w14:val="000000">
                      <w14:alpha w14:val="100000"/>
                    </w14:srgbClr>
                  </w14:solidFill>
                </w14:textFill>
              </w:rPr>
              <w:t xml:space="preserve">　</w:t>
            </w:r>
            <w:r w:rsidR="002D598C">
              <w:rPr>
                <w:vertAlign w:val="superscript"/>
              </w:rPr>
              <w:t>3</w:t>
            </w:r>
          </w:p>
        </w:tc>
        <w:tc>
          <w:tcPr>
            <w:tcW w:w="611" w:type="pct"/>
            <w:shd w:val="clear" w:color="auto" w:fill="auto"/>
          </w:tcPr>
          <w:p w14:paraId="06619B57" w14:textId="75DD3B90"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736"/>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736"/>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736"/>
                <w14:textFill>
                  <w14:solidFill>
                    <w14:srgbClr w14:val="000000">
                      <w14:alpha w14:val="100000"/>
                    </w14:srgbClr>
                  </w14:solidFill>
                </w14:textFill>
              </w:rPr>
              <w:t xml:space="preserve">　</w:t>
            </w:r>
            <w:r w:rsidR="002D598C">
              <w:rPr>
                <w:vertAlign w:val="superscript"/>
              </w:rPr>
              <w:t>3</w:t>
            </w:r>
          </w:p>
        </w:tc>
        <w:tc>
          <w:tcPr>
            <w:tcW w:w="613" w:type="pct"/>
          </w:tcPr>
          <w:p w14:paraId="6991136C" w14:textId="57A3BE75" w:rsidR="004D3204" w:rsidRPr="00B47A9D" w:rsidRDefault="006A414A" w:rsidP="00AD2660">
            <w:pPr>
              <w:pStyle w:val="TableText0"/>
              <w:widowControl w:val="0"/>
              <w:jc w:val="center"/>
              <w:rPr>
                <w:highlight w:val="darkGray"/>
              </w:rPr>
            </w:pPr>
            <w:r w:rsidRPr="006A414A">
              <w:rPr>
                <w:rStyle w:val="normaltextrun"/>
                <w:rFonts w:hint="eastAsia"/>
                <w:color w:val="000000"/>
                <w:w w:val="22"/>
                <w:shd w:val="solid" w:color="000000" w:fill="000000"/>
                <w:fitText w:val="100" w:id="-1303199488"/>
                <w14:textFill>
                  <w14:solidFill>
                    <w14:srgbClr w14:val="000000">
                      <w14:alpha w14:val="100000"/>
                    </w14:srgbClr>
                  </w14:solidFill>
                </w14:textFill>
              </w:rPr>
              <w:t xml:space="preserve">　</w:t>
            </w:r>
            <w:r w:rsidRPr="006A414A">
              <w:rPr>
                <w:rStyle w:val="normaltextrun"/>
                <w:color w:val="000000"/>
                <w:w w:val="22"/>
                <w:shd w:val="solid" w:color="000000" w:fill="000000"/>
                <w:fitText w:val="100" w:id="-1303199488"/>
                <w14:textFill>
                  <w14:solidFill>
                    <w14:srgbClr w14:val="000000">
                      <w14:alpha w14:val="100000"/>
                    </w14:srgbClr>
                  </w14:solidFill>
                </w14:textFill>
              </w:rPr>
              <w:t>|</w:t>
            </w:r>
            <w:r w:rsidRPr="006A414A">
              <w:rPr>
                <w:rStyle w:val="normaltextrun"/>
                <w:rFonts w:hint="eastAsia"/>
                <w:color w:val="000000"/>
                <w:spacing w:val="2"/>
                <w:w w:val="22"/>
                <w:shd w:val="solid" w:color="000000" w:fill="000000"/>
                <w:fitText w:val="100" w:id="-1303199488"/>
                <w14:textFill>
                  <w14:solidFill>
                    <w14:srgbClr w14:val="000000">
                      <w14:alpha w14:val="100000"/>
                    </w14:srgbClr>
                  </w14:solidFill>
                </w14:textFill>
              </w:rPr>
              <w:t xml:space="preserve">　</w:t>
            </w:r>
            <w:r w:rsidR="002D598C">
              <w:rPr>
                <w:vertAlign w:val="superscript"/>
              </w:rPr>
              <w:t>3</w:t>
            </w:r>
          </w:p>
        </w:tc>
      </w:tr>
      <w:tr w:rsidR="004D3204" w:rsidRPr="00464C9D" w14:paraId="1F04D3F4" w14:textId="77777777" w:rsidTr="006F4EF8">
        <w:tc>
          <w:tcPr>
            <w:tcW w:w="1332" w:type="pct"/>
            <w:shd w:val="clear" w:color="auto" w:fill="auto"/>
            <w:vAlign w:val="center"/>
          </w:tcPr>
          <w:p w14:paraId="724213A5" w14:textId="570A5D54" w:rsidR="004D3204" w:rsidRPr="00E45D95" w:rsidRDefault="004D3204" w:rsidP="00AD2660">
            <w:pPr>
              <w:pStyle w:val="TableText0"/>
              <w:widowControl w:val="0"/>
            </w:pPr>
            <w:r w:rsidRPr="00E45D95">
              <w:t>Aboriginal and Torres Strait Islanders  = 25 years</w:t>
            </w:r>
          </w:p>
        </w:tc>
        <w:tc>
          <w:tcPr>
            <w:tcW w:w="611" w:type="pct"/>
            <w:shd w:val="clear" w:color="auto" w:fill="auto"/>
          </w:tcPr>
          <w:p w14:paraId="6BF893F4" w14:textId="631C068F"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487"/>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487"/>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487"/>
                <w14:textFill>
                  <w14:solidFill>
                    <w14:srgbClr w14:val="000000">
                      <w14:alpha w14:val="100000"/>
                    </w14:srgbClr>
                  </w14:solidFill>
                </w14:textFill>
              </w:rPr>
              <w:t xml:space="preserve">　</w:t>
            </w:r>
            <w:r w:rsidR="002D598C">
              <w:rPr>
                <w:vertAlign w:val="superscript"/>
              </w:rPr>
              <w:t>4</w:t>
            </w:r>
          </w:p>
        </w:tc>
        <w:tc>
          <w:tcPr>
            <w:tcW w:w="611" w:type="pct"/>
            <w:shd w:val="clear" w:color="auto" w:fill="auto"/>
          </w:tcPr>
          <w:p w14:paraId="3A50F0F3" w14:textId="1A244149"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86"/>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86"/>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86"/>
                <w14:textFill>
                  <w14:solidFill>
                    <w14:srgbClr w14:val="000000">
                      <w14:alpha w14:val="100000"/>
                    </w14:srgbClr>
                  </w14:solidFill>
                </w14:textFill>
              </w:rPr>
              <w:t xml:space="preserve">　</w:t>
            </w:r>
            <w:r w:rsidR="002D598C">
              <w:rPr>
                <w:vertAlign w:val="superscript"/>
              </w:rPr>
              <w:t>4</w:t>
            </w:r>
          </w:p>
        </w:tc>
        <w:tc>
          <w:tcPr>
            <w:tcW w:w="611" w:type="pct"/>
            <w:shd w:val="clear" w:color="auto" w:fill="auto"/>
          </w:tcPr>
          <w:p w14:paraId="4E38771D" w14:textId="4F9FB6DB"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85"/>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85"/>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85"/>
                <w14:textFill>
                  <w14:solidFill>
                    <w14:srgbClr w14:val="000000">
                      <w14:alpha w14:val="100000"/>
                    </w14:srgbClr>
                  </w14:solidFill>
                </w14:textFill>
              </w:rPr>
              <w:t xml:space="preserve">　</w:t>
            </w:r>
            <w:r w:rsidR="002D598C">
              <w:rPr>
                <w:vertAlign w:val="superscript"/>
              </w:rPr>
              <w:t>4</w:t>
            </w:r>
          </w:p>
        </w:tc>
        <w:tc>
          <w:tcPr>
            <w:tcW w:w="611" w:type="pct"/>
            <w:shd w:val="clear" w:color="auto" w:fill="auto"/>
          </w:tcPr>
          <w:p w14:paraId="673E6F65" w14:textId="18E76301"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84"/>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84"/>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84"/>
                <w14:textFill>
                  <w14:solidFill>
                    <w14:srgbClr w14:val="000000">
                      <w14:alpha w14:val="100000"/>
                    </w14:srgbClr>
                  </w14:solidFill>
                </w14:textFill>
              </w:rPr>
              <w:t xml:space="preserve">　</w:t>
            </w:r>
            <w:r w:rsidR="002D598C">
              <w:rPr>
                <w:vertAlign w:val="superscript"/>
              </w:rPr>
              <w:t>4</w:t>
            </w:r>
          </w:p>
        </w:tc>
        <w:tc>
          <w:tcPr>
            <w:tcW w:w="611" w:type="pct"/>
            <w:shd w:val="clear" w:color="auto" w:fill="auto"/>
          </w:tcPr>
          <w:p w14:paraId="61446A0E" w14:textId="163FC91B"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483"/>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483"/>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483"/>
                <w14:textFill>
                  <w14:solidFill>
                    <w14:srgbClr w14:val="000000">
                      <w14:alpha w14:val="100000"/>
                    </w14:srgbClr>
                  </w14:solidFill>
                </w14:textFill>
              </w:rPr>
              <w:t xml:space="preserve">　</w:t>
            </w:r>
            <w:r w:rsidR="002D598C">
              <w:rPr>
                <w:vertAlign w:val="superscript"/>
              </w:rPr>
              <w:t>4</w:t>
            </w:r>
          </w:p>
        </w:tc>
        <w:tc>
          <w:tcPr>
            <w:tcW w:w="613" w:type="pct"/>
          </w:tcPr>
          <w:p w14:paraId="18A5784D" w14:textId="13B57AC8" w:rsidR="004D3204" w:rsidRPr="00B47A9D" w:rsidRDefault="006A414A" w:rsidP="00AD2660">
            <w:pPr>
              <w:pStyle w:val="TableText0"/>
              <w:widowControl w:val="0"/>
              <w:jc w:val="center"/>
              <w:rPr>
                <w:highlight w:val="darkGray"/>
              </w:rPr>
            </w:pPr>
            <w:r w:rsidRPr="006A414A">
              <w:rPr>
                <w:rStyle w:val="normaltextrun"/>
                <w:rFonts w:hint="eastAsia"/>
                <w:color w:val="000000"/>
                <w:w w:val="22"/>
                <w:shd w:val="solid" w:color="000000" w:fill="000000"/>
                <w:fitText w:val="100" w:id="-1303199482"/>
                <w14:textFill>
                  <w14:solidFill>
                    <w14:srgbClr w14:val="000000">
                      <w14:alpha w14:val="100000"/>
                    </w14:srgbClr>
                  </w14:solidFill>
                </w14:textFill>
              </w:rPr>
              <w:t xml:space="preserve">　</w:t>
            </w:r>
            <w:r w:rsidRPr="006A414A">
              <w:rPr>
                <w:rStyle w:val="normaltextrun"/>
                <w:color w:val="000000"/>
                <w:w w:val="22"/>
                <w:shd w:val="solid" w:color="000000" w:fill="000000"/>
                <w:fitText w:val="100" w:id="-1303199482"/>
                <w14:textFill>
                  <w14:solidFill>
                    <w14:srgbClr w14:val="000000">
                      <w14:alpha w14:val="100000"/>
                    </w14:srgbClr>
                  </w14:solidFill>
                </w14:textFill>
              </w:rPr>
              <w:t>|</w:t>
            </w:r>
            <w:r w:rsidRPr="006A414A">
              <w:rPr>
                <w:rStyle w:val="normaltextrun"/>
                <w:rFonts w:hint="eastAsia"/>
                <w:color w:val="000000"/>
                <w:spacing w:val="2"/>
                <w:w w:val="22"/>
                <w:shd w:val="solid" w:color="000000" w:fill="000000"/>
                <w:fitText w:val="100" w:id="-1303199482"/>
                <w14:textFill>
                  <w14:solidFill>
                    <w14:srgbClr w14:val="000000">
                      <w14:alpha w14:val="100000"/>
                    </w14:srgbClr>
                  </w14:solidFill>
                </w14:textFill>
              </w:rPr>
              <w:t xml:space="preserve">　</w:t>
            </w:r>
            <w:r w:rsidR="002D598C">
              <w:rPr>
                <w:vertAlign w:val="superscript"/>
              </w:rPr>
              <w:t>4</w:t>
            </w:r>
          </w:p>
        </w:tc>
      </w:tr>
      <w:tr w:rsidR="004D3204" w:rsidRPr="00464C9D" w14:paraId="3EE715CB" w14:textId="77777777" w:rsidTr="006F4EF8">
        <w:tc>
          <w:tcPr>
            <w:tcW w:w="1332" w:type="pct"/>
            <w:shd w:val="clear" w:color="auto" w:fill="auto"/>
            <w:vAlign w:val="center"/>
          </w:tcPr>
          <w:p w14:paraId="1743F10A" w14:textId="2C8717A9" w:rsidR="004D3204" w:rsidRPr="00E45D95" w:rsidRDefault="004D3204" w:rsidP="00AD2660">
            <w:pPr>
              <w:pStyle w:val="TableText0"/>
              <w:widowControl w:val="0"/>
            </w:pPr>
            <w:r w:rsidRPr="00E45D95">
              <w:t>Aboriginal and Torres Strait Islanders 26-50 years</w:t>
            </w:r>
          </w:p>
        </w:tc>
        <w:tc>
          <w:tcPr>
            <w:tcW w:w="611" w:type="pct"/>
            <w:shd w:val="clear" w:color="auto" w:fill="auto"/>
          </w:tcPr>
          <w:p w14:paraId="2482C55B" w14:textId="528BD881"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481"/>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481"/>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481"/>
                <w14:textFill>
                  <w14:solidFill>
                    <w14:srgbClr w14:val="000000">
                      <w14:alpha w14:val="100000"/>
                    </w14:srgbClr>
                  </w14:solidFill>
                </w14:textFill>
              </w:rPr>
              <w:t xml:space="preserve">　</w:t>
            </w:r>
            <w:r w:rsidR="002D598C">
              <w:rPr>
                <w:vertAlign w:val="superscript"/>
              </w:rPr>
              <w:t>5</w:t>
            </w:r>
          </w:p>
        </w:tc>
        <w:tc>
          <w:tcPr>
            <w:tcW w:w="611" w:type="pct"/>
            <w:shd w:val="clear" w:color="auto" w:fill="auto"/>
          </w:tcPr>
          <w:p w14:paraId="47D9FACA" w14:textId="222A7EC7"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80"/>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80"/>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80"/>
                <w14:textFill>
                  <w14:solidFill>
                    <w14:srgbClr w14:val="000000">
                      <w14:alpha w14:val="100000"/>
                    </w14:srgbClr>
                  </w14:solidFill>
                </w14:textFill>
              </w:rPr>
              <w:t xml:space="preserve">　</w:t>
            </w:r>
            <w:r w:rsidR="002D598C">
              <w:rPr>
                <w:vertAlign w:val="superscript"/>
              </w:rPr>
              <w:t>5</w:t>
            </w:r>
          </w:p>
        </w:tc>
        <w:tc>
          <w:tcPr>
            <w:tcW w:w="611" w:type="pct"/>
            <w:shd w:val="clear" w:color="auto" w:fill="auto"/>
          </w:tcPr>
          <w:p w14:paraId="10770335" w14:textId="492EAA01"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79"/>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79"/>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79"/>
                <w14:textFill>
                  <w14:solidFill>
                    <w14:srgbClr w14:val="000000">
                      <w14:alpha w14:val="100000"/>
                    </w14:srgbClr>
                  </w14:solidFill>
                </w14:textFill>
              </w:rPr>
              <w:t xml:space="preserve">　</w:t>
            </w:r>
            <w:r w:rsidR="002D598C">
              <w:rPr>
                <w:vertAlign w:val="superscript"/>
              </w:rPr>
              <w:t>5</w:t>
            </w:r>
          </w:p>
        </w:tc>
        <w:tc>
          <w:tcPr>
            <w:tcW w:w="611" w:type="pct"/>
            <w:shd w:val="clear" w:color="auto" w:fill="auto"/>
          </w:tcPr>
          <w:p w14:paraId="40C2CA57" w14:textId="3EC5C7AE"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78"/>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78"/>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78"/>
                <w14:textFill>
                  <w14:solidFill>
                    <w14:srgbClr w14:val="000000">
                      <w14:alpha w14:val="100000"/>
                    </w14:srgbClr>
                  </w14:solidFill>
                </w14:textFill>
              </w:rPr>
              <w:t xml:space="preserve">　</w:t>
            </w:r>
            <w:r w:rsidR="002D598C">
              <w:rPr>
                <w:vertAlign w:val="superscript"/>
              </w:rPr>
              <w:t>4</w:t>
            </w:r>
          </w:p>
        </w:tc>
        <w:tc>
          <w:tcPr>
            <w:tcW w:w="611" w:type="pct"/>
            <w:shd w:val="clear" w:color="auto" w:fill="auto"/>
          </w:tcPr>
          <w:p w14:paraId="0BD94D64" w14:textId="750D3350"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477"/>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477"/>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477"/>
                <w14:textFill>
                  <w14:solidFill>
                    <w14:srgbClr w14:val="000000">
                      <w14:alpha w14:val="100000"/>
                    </w14:srgbClr>
                  </w14:solidFill>
                </w14:textFill>
              </w:rPr>
              <w:t xml:space="preserve">　</w:t>
            </w:r>
            <w:r w:rsidR="002D598C">
              <w:rPr>
                <w:vertAlign w:val="superscript"/>
              </w:rPr>
              <w:t>4</w:t>
            </w:r>
          </w:p>
        </w:tc>
        <w:tc>
          <w:tcPr>
            <w:tcW w:w="613" w:type="pct"/>
          </w:tcPr>
          <w:p w14:paraId="2A7AAA61" w14:textId="0B44E348" w:rsidR="004D3204" w:rsidRPr="00B47A9D" w:rsidRDefault="006A414A" w:rsidP="00AD2660">
            <w:pPr>
              <w:pStyle w:val="TableText0"/>
              <w:widowControl w:val="0"/>
              <w:jc w:val="center"/>
              <w:rPr>
                <w:highlight w:val="darkGray"/>
              </w:rPr>
            </w:pPr>
            <w:r w:rsidRPr="006A414A">
              <w:rPr>
                <w:rStyle w:val="normaltextrun"/>
                <w:rFonts w:hint="eastAsia"/>
                <w:color w:val="000000"/>
                <w:w w:val="22"/>
                <w:shd w:val="solid" w:color="000000" w:fill="000000"/>
                <w:fitText w:val="100" w:id="-1303199476"/>
                <w14:textFill>
                  <w14:solidFill>
                    <w14:srgbClr w14:val="000000">
                      <w14:alpha w14:val="100000"/>
                    </w14:srgbClr>
                  </w14:solidFill>
                </w14:textFill>
              </w:rPr>
              <w:t xml:space="preserve">　</w:t>
            </w:r>
            <w:r w:rsidRPr="006A414A">
              <w:rPr>
                <w:rStyle w:val="normaltextrun"/>
                <w:color w:val="000000"/>
                <w:w w:val="22"/>
                <w:shd w:val="solid" w:color="000000" w:fill="000000"/>
                <w:fitText w:val="100" w:id="-1303199476"/>
                <w14:textFill>
                  <w14:solidFill>
                    <w14:srgbClr w14:val="000000">
                      <w14:alpha w14:val="100000"/>
                    </w14:srgbClr>
                  </w14:solidFill>
                </w14:textFill>
              </w:rPr>
              <w:t>|</w:t>
            </w:r>
            <w:r w:rsidRPr="006A414A">
              <w:rPr>
                <w:rStyle w:val="normaltextrun"/>
                <w:rFonts w:hint="eastAsia"/>
                <w:color w:val="000000"/>
                <w:spacing w:val="2"/>
                <w:w w:val="22"/>
                <w:shd w:val="solid" w:color="000000" w:fill="000000"/>
                <w:fitText w:val="100" w:id="-1303199476"/>
                <w14:textFill>
                  <w14:solidFill>
                    <w14:srgbClr w14:val="000000">
                      <w14:alpha w14:val="100000"/>
                    </w14:srgbClr>
                  </w14:solidFill>
                </w14:textFill>
              </w:rPr>
              <w:t xml:space="preserve">　</w:t>
            </w:r>
            <w:r w:rsidR="002D598C">
              <w:rPr>
                <w:vertAlign w:val="superscript"/>
              </w:rPr>
              <w:t>4</w:t>
            </w:r>
          </w:p>
        </w:tc>
      </w:tr>
      <w:tr w:rsidR="004D3204" w:rsidRPr="00464C9D" w14:paraId="6AA1B71D" w14:textId="77777777" w:rsidTr="006F4EF8">
        <w:tc>
          <w:tcPr>
            <w:tcW w:w="1332" w:type="pct"/>
            <w:shd w:val="clear" w:color="auto" w:fill="auto"/>
            <w:vAlign w:val="center"/>
          </w:tcPr>
          <w:p w14:paraId="423BDC52" w14:textId="4758005D" w:rsidR="004D3204" w:rsidRPr="00E45D95" w:rsidRDefault="004D3204" w:rsidP="00AD2660">
            <w:pPr>
              <w:pStyle w:val="TableText0"/>
              <w:widowControl w:val="0"/>
            </w:pPr>
            <w:r w:rsidRPr="00E45D95">
              <w:rPr>
                <w:rStyle w:val="normaltextrun"/>
              </w:rPr>
              <w:t>Persons with NIP-funded risk conditions: age 18-69 years</w:t>
            </w:r>
          </w:p>
        </w:tc>
        <w:tc>
          <w:tcPr>
            <w:tcW w:w="611" w:type="pct"/>
            <w:shd w:val="clear" w:color="auto" w:fill="auto"/>
          </w:tcPr>
          <w:p w14:paraId="0D800BE3" w14:textId="16E02FB4"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475"/>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475"/>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475"/>
                <w14:textFill>
                  <w14:solidFill>
                    <w14:srgbClr w14:val="000000">
                      <w14:alpha w14:val="100000"/>
                    </w14:srgbClr>
                  </w14:solidFill>
                </w14:textFill>
              </w:rPr>
              <w:t xml:space="preserve">　</w:t>
            </w:r>
            <w:r w:rsidR="002D598C">
              <w:rPr>
                <w:vertAlign w:val="superscript"/>
              </w:rPr>
              <w:t>5</w:t>
            </w:r>
          </w:p>
        </w:tc>
        <w:tc>
          <w:tcPr>
            <w:tcW w:w="611" w:type="pct"/>
            <w:shd w:val="clear" w:color="auto" w:fill="auto"/>
          </w:tcPr>
          <w:p w14:paraId="0454ABA1" w14:textId="738EF3E9"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74"/>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74"/>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74"/>
                <w14:textFill>
                  <w14:solidFill>
                    <w14:srgbClr w14:val="000000">
                      <w14:alpha w14:val="100000"/>
                    </w14:srgbClr>
                  </w14:solidFill>
                </w14:textFill>
              </w:rPr>
              <w:t xml:space="preserve">　</w:t>
            </w:r>
            <w:r w:rsidR="002D598C">
              <w:rPr>
                <w:vertAlign w:val="superscript"/>
              </w:rPr>
              <w:t>5</w:t>
            </w:r>
          </w:p>
        </w:tc>
        <w:tc>
          <w:tcPr>
            <w:tcW w:w="611" w:type="pct"/>
            <w:shd w:val="clear" w:color="auto" w:fill="auto"/>
          </w:tcPr>
          <w:p w14:paraId="3F4900C0" w14:textId="435880BF"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73"/>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73"/>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73"/>
                <w14:textFill>
                  <w14:solidFill>
                    <w14:srgbClr w14:val="000000">
                      <w14:alpha w14:val="100000"/>
                    </w14:srgbClr>
                  </w14:solidFill>
                </w14:textFill>
              </w:rPr>
              <w:t xml:space="preserve">　</w:t>
            </w:r>
            <w:r w:rsidR="002D598C">
              <w:rPr>
                <w:vertAlign w:val="superscript"/>
              </w:rPr>
              <w:t>5</w:t>
            </w:r>
          </w:p>
        </w:tc>
        <w:tc>
          <w:tcPr>
            <w:tcW w:w="611" w:type="pct"/>
            <w:shd w:val="clear" w:color="auto" w:fill="auto"/>
          </w:tcPr>
          <w:p w14:paraId="6EAEA79B" w14:textId="69051513"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72"/>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72"/>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72"/>
                <w14:textFill>
                  <w14:solidFill>
                    <w14:srgbClr w14:val="000000">
                      <w14:alpha w14:val="100000"/>
                    </w14:srgbClr>
                  </w14:solidFill>
                </w14:textFill>
              </w:rPr>
              <w:t xml:space="preserve">　</w:t>
            </w:r>
            <w:r w:rsidR="002D598C">
              <w:rPr>
                <w:vertAlign w:val="superscript"/>
              </w:rPr>
              <w:t>5</w:t>
            </w:r>
          </w:p>
        </w:tc>
        <w:tc>
          <w:tcPr>
            <w:tcW w:w="611" w:type="pct"/>
            <w:shd w:val="clear" w:color="auto" w:fill="auto"/>
          </w:tcPr>
          <w:p w14:paraId="3D60C7B1" w14:textId="15299BC0"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488"/>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488"/>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488"/>
                <w14:textFill>
                  <w14:solidFill>
                    <w14:srgbClr w14:val="000000">
                      <w14:alpha w14:val="100000"/>
                    </w14:srgbClr>
                  </w14:solidFill>
                </w14:textFill>
              </w:rPr>
              <w:t xml:space="preserve">　</w:t>
            </w:r>
            <w:r w:rsidR="002D598C">
              <w:rPr>
                <w:vertAlign w:val="superscript"/>
              </w:rPr>
              <w:t>3</w:t>
            </w:r>
          </w:p>
        </w:tc>
        <w:tc>
          <w:tcPr>
            <w:tcW w:w="613" w:type="pct"/>
          </w:tcPr>
          <w:p w14:paraId="44D997CF" w14:textId="6A09E125" w:rsidR="004D3204" w:rsidRPr="00B47A9D" w:rsidRDefault="006A414A" w:rsidP="00AD2660">
            <w:pPr>
              <w:pStyle w:val="TableText0"/>
              <w:widowControl w:val="0"/>
              <w:jc w:val="center"/>
              <w:rPr>
                <w:highlight w:val="darkGray"/>
              </w:rPr>
            </w:pPr>
            <w:r w:rsidRPr="006A414A">
              <w:rPr>
                <w:rStyle w:val="normaltextrun"/>
                <w:rFonts w:hint="eastAsia"/>
                <w:color w:val="000000"/>
                <w:w w:val="22"/>
                <w:shd w:val="solid" w:color="000000" w:fill="000000"/>
                <w:fitText w:val="100" w:id="-1303199487"/>
                <w14:textFill>
                  <w14:solidFill>
                    <w14:srgbClr w14:val="000000">
                      <w14:alpha w14:val="100000"/>
                    </w14:srgbClr>
                  </w14:solidFill>
                </w14:textFill>
              </w:rPr>
              <w:t xml:space="preserve">　</w:t>
            </w:r>
            <w:r w:rsidRPr="006A414A">
              <w:rPr>
                <w:rStyle w:val="normaltextrun"/>
                <w:color w:val="000000"/>
                <w:w w:val="22"/>
                <w:shd w:val="solid" w:color="000000" w:fill="000000"/>
                <w:fitText w:val="100" w:id="-1303199487"/>
                <w14:textFill>
                  <w14:solidFill>
                    <w14:srgbClr w14:val="000000">
                      <w14:alpha w14:val="100000"/>
                    </w14:srgbClr>
                  </w14:solidFill>
                </w14:textFill>
              </w:rPr>
              <w:t>|</w:t>
            </w:r>
            <w:r w:rsidRPr="006A414A">
              <w:rPr>
                <w:rStyle w:val="normaltextrun"/>
                <w:rFonts w:hint="eastAsia"/>
                <w:color w:val="000000"/>
                <w:spacing w:val="2"/>
                <w:w w:val="22"/>
                <w:shd w:val="solid" w:color="000000" w:fill="000000"/>
                <w:fitText w:val="100" w:id="-1303199487"/>
                <w14:textFill>
                  <w14:solidFill>
                    <w14:srgbClr w14:val="000000">
                      <w14:alpha w14:val="100000"/>
                    </w14:srgbClr>
                  </w14:solidFill>
                </w14:textFill>
              </w:rPr>
              <w:t xml:space="preserve">　</w:t>
            </w:r>
            <w:r w:rsidR="002D598C">
              <w:rPr>
                <w:vertAlign w:val="superscript"/>
              </w:rPr>
              <w:t>3</w:t>
            </w:r>
          </w:p>
        </w:tc>
      </w:tr>
      <w:tr w:rsidR="004D3204" w:rsidRPr="00464C9D" w14:paraId="0E529C7E" w14:textId="77777777" w:rsidTr="006F4EF8">
        <w:tc>
          <w:tcPr>
            <w:tcW w:w="1332" w:type="pct"/>
            <w:shd w:val="clear" w:color="auto" w:fill="auto"/>
            <w:vAlign w:val="center"/>
          </w:tcPr>
          <w:p w14:paraId="58FAC859" w14:textId="152FF017" w:rsidR="004D3204" w:rsidRPr="00E45D95" w:rsidRDefault="004D3204" w:rsidP="00AD2660">
            <w:pPr>
              <w:pStyle w:val="TableText0"/>
              <w:widowControl w:val="0"/>
            </w:pPr>
            <w:r w:rsidRPr="00E45D95">
              <w:rPr>
                <w:rStyle w:val="normaltextrun"/>
              </w:rPr>
              <w:t>Persons with NIP-funded risk conditions: age 18-69 years (prevalent)</w:t>
            </w:r>
            <w:r w:rsidRPr="00E45D95">
              <w:rPr>
                <w:rStyle w:val="eop"/>
              </w:rPr>
              <w:t> </w:t>
            </w:r>
          </w:p>
        </w:tc>
        <w:tc>
          <w:tcPr>
            <w:tcW w:w="611" w:type="pct"/>
            <w:shd w:val="clear" w:color="auto" w:fill="auto"/>
          </w:tcPr>
          <w:p w14:paraId="27E4DEFE" w14:textId="734066A0"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486"/>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486"/>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486"/>
                <w14:textFill>
                  <w14:solidFill>
                    <w14:srgbClr w14:val="000000">
                      <w14:alpha w14:val="100000"/>
                    </w14:srgbClr>
                  </w14:solidFill>
                </w14:textFill>
              </w:rPr>
              <w:t xml:space="preserve">　</w:t>
            </w:r>
            <w:r w:rsidR="002D598C">
              <w:rPr>
                <w:vertAlign w:val="superscript"/>
              </w:rPr>
              <w:t>6</w:t>
            </w:r>
          </w:p>
        </w:tc>
        <w:tc>
          <w:tcPr>
            <w:tcW w:w="611" w:type="pct"/>
            <w:shd w:val="clear" w:color="auto" w:fill="auto"/>
          </w:tcPr>
          <w:p w14:paraId="124B75E4" w14:textId="65311F36"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85"/>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85"/>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85"/>
                <w14:textFill>
                  <w14:solidFill>
                    <w14:srgbClr w14:val="000000">
                      <w14:alpha w14:val="100000"/>
                    </w14:srgbClr>
                  </w14:solidFill>
                </w14:textFill>
              </w:rPr>
              <w:t xml:space="preserve">　</w:t>
            </w:r>
            <w:r w:rsidR="002D598C">
              <w:rPr>
                <w:vertAlign w:val="superscript"/>
              </w:rPr>
              <w:t>6</w:t>
            </w:r>
          </w:p>
        </w:tc>
        <w:tc>
          <w:tcPr>
            <w:tcW w:w="611" w:type="pct"/>
            <w:shd w:val="clear" w:color="auto" w:fill="auto"/>
          </w:tcPr>
          <w:p w14:paraId="73F66778" w14:textId="6FB846A0"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84"/>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84"/>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84"/>
                <w14:textFill>
                  <w14:solidFill>
                    <w14:srgbClr w14:val="000000">
                      <w14:alpha w14:val="100000"/>
                    </w14:srgbClr>
                  </w14:solidFill>
                </w14:textFill>
              </w:rPr>
              <w:t xml:space="preserve">　</w:t>
            </w:r>
            <w:r w:rsidR="002D598C">
              <w:rPr>
                <w:vertAlign w:val="superscript"/>
              </w:rPr>
              <w:t>6</w:t>
            </w:r>
          </w:p>
        </w:tc>
        <w:tc>
          <w:tcPr>
            <w:tcW w:w="611" w:type="pct"/>
            <w:shd w:val="clear" w:color="auto" w:fill="auto"/>
          </w:tcPr>
          <w:p w14:paraId="4EEC56E9" w14:textId="5FB1CB44"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83"/>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83"/>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83"/>
                <w14:textFill>
                  <w14:solidFill>
                    <w14:srgbClr w14:val="000000">
                      <w14:alpha w14:val="100000"/>
                    </w14:srgbClr>
                  </w14:solidFill>
                </w14:textFill>
              </w:rPr>
              <w:t xml:space="preserve">　</w:t>
            </w:r>
            <w:r w:rsidR="002D598C">
              <w:rPr>
                <w:vertAlign w:val="superscript"/>
              </w:rPr>
              <w:t>6</w:t>
            </w:r>
          </w:p>
        </w:tc>
        <w:tc>
          <w:tcPr>
            <w:tcW w:w="611" w:type="pct"/>
            <w:shd w:val="clear" w:color="auto" w:fill="auto"/>
          </w:tcPr>
          <w:p w14:paraId="5BCF0D46" w14:textId="3BDCBACF"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482"/>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482"/>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482"/>
                <w14:textFill>
                  <w14:solidFill>
                    <w14:srgbClr w14:val="000000">
                      <w14:alpha w14:val="100000"/>
                    </w14:srgbClr>
                  </w14:solidFill>
                </w14:textFill>
              </w:rPr>
              <w:t xml:space="preserve">　</w:t>
            </w:r>
            <w:r w:rsidR="002D598C">
              <w:rPr>
                <w:vertAlign w:val="superscript"/>
              </w:rPr>
              <w:t>6</w:t>
            </w:r>
          </w:p>
        </w:tc>
        <w:tc>
          <w:tcPr>
            <w:tcW w:w="613" w:type="pct"/>
          </w:tcPr>
          <w:p w14:paraId="313D0E19" w14:textId="13FF9575" w:rsidR="004D3204" w:rsidRPr="00B47A9D" w:rsidRDefault="006A414A" w:rsidP="00AD2660">
            <w:pPr>
              <w:pStyle w:val="TableText0"/>
              <w:widowControl w:val="0"/>
              <w:jc w:val="center"/>
              <w:rPr>
                <w:highlight w:val="darkGray"/>
              </w:rPr>
            </w:pPr>
            <w:r w:rsidRPr="006A414A">
              <w:rPr>
                <w:rStyle w:val="normaltextrun"/>
                <w:rFonts w:hint="eastAsia"/>
                <w:color w:val="000000"/>
                <w:w w:val="22"/>
                <w:shd w:val="solid" w:color="000000" w:fill="000000"/>
                <w:fitText w:val="100" w:id="-1303199481"/>
                <w14:textFill>
                  <w14:solidFill>
                    <w14:srgbClr w14:val="000000">
                      <w14:alpha w14:val="100000"/>
                    </w14:srgbClr>
                  </w14:solidFill>
                </w14:textFill>
              </w:rPr>
              <w:t xml:space="preserve">　</w:t>
            </w:r>
            <w:r w:rsidRPr="006A414A">
              <w:rPr>
                <w:rStyle w:val="normaltextrun"/>
                <w:color w:val="000000"/>
                <w:w w:val="22"/>
                <w:shd w:val="solid" w:color="000000" w:fill="000000"/>
                <w:fitText w:val="100" w:id="-1303199481"/>
                <w14:textFill>
                  <w14:solidFill>
                    <w14:srgbClr w14:val="000000">
                      <w14:alpha w14:val="100000"/>
                    </w14:srgbClr>
                  </w14:solidFill>
                </w14:textFill>
              </w:rPr>
              <w:t>|</w:t>
            </w:r>
            <w:r w:rsidRPr="006A414A">
              <w:rPr>
                <w:rStyle w:val="normaltextrun"/>
                <w:rFonts w:hint="eastAsia"/>
                <w:color w:val="000000"/>
                <w:spacing w:val="2"/>
                <w:w w:val="22"/>
                <w:shd w:val="solid" w:color="000000" w:fill="000000"/>
                <w:fitText w:val="100" w:id="-1303199481"/>
                <w14:textFill>
                  <w14:solidFill>
                    <w14:srgbClr w14:val="000000">
                      <w14:alpha w14:val="100000"/>
                    </w14:srgbClr>
                  </w14:solidFill>
                </w14:textFill>
              </w:rPr>
              <w:t xml:space="preserve">　</w:t>
            </w:r>
            <w:r w:rsidR="002D598C">
              <w:rPr>
                <w:vertAlign w:val="superscript"/>
              </w:rPr>
              <w:t>6</w:t>
            </w:r>
          </w:p>
        </w:tc>
      </w:tr>
      <w:tr w:rsidR="004D3204" w:rsidRPr="00464C9D" w14:paraId="2E691495" w14:textId="77777777" w:rsidTr="006F4EF8">
        <w:tc>
          <w:tcPr>
            <w:tcW w:w="1332" w:type="pct"/>
            <w:shd w:val="clear" w:color="auto" w:fill="auto"/>
            <w:vAlign w:val="center"/>
          </w:tcPr>
          <w:p w14:paraId="124A4539" w14:textId="661EEC0F" w:rsidR="004D3204" w:rsidRPr="00E45D95" w:rsidRDefault="004D3204" w:rsidP="00AD2660">
            <w:pPr>
              <w:pStyle w:val="TableText0"/>
              <w:widowControl w:val="0"/>
              <w:rPr>
                <w:rStyle w:val="normaltextrun"/>
              </w:rPr>
            </w:pPr>
            <w:r w:rsidRPr="00E45D95">
              <w:rPr>
                <w:rStyle w:val="normaltextrun"/>
              </w:rPr>
              <w:t>Aboriginal and Torres Strait Islander persons age &gt;50 years</w:t>
            </w:r>
            <w:r w:rsidRPr="00E45D95">
              <w:rPr>
                <w:rStyle w:val="eop"/>
              </w:rPr>
              <w:t> </w:t>
            </w:r>
          </w:p>
        </w:tc>
        <w:tc>
          <w:tcPr>
            <w:tcW w:w="611" w:type="pct"/>
            <w:shd w:val="clear" w:color="auto" w:fill="auto"/>
          </w:tcPr>
          <w:p w14:paraId="464E5F11" w14:textId="6D81763B"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480"/>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480"/>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480"/>
                <w14:textFill>
                  <w14:solidFill>
                    <w14:srgbClr w14:val="000000">
                      <w14:alpha w14:val="100000"/>
                    </w14:srgbClr>
                  </w14:solidFill>
                </w14:textFill>
              </w:rPr>
              <w:t xml:space="preserve">　</w:t>
            </w:r>
            <w:r w:rsidR="002D598C">
              <w:rPr>
                <w:vertAlign w:val="superscript"/>
              </w:rPr>
              <w:t>4</w:t>
            </w:r>
          </w:p>
        </w:tc>
        <w:tc>
          <w:tcPr>
            <w:tcW w:w="611" w:type="pct"/>
            <w:shd w:val="clear" w:color="auto" w:fill="auto"/>
          </w:tcPr>
          <w:p w14:paraId="47A1F454" w14:textId="7955F895"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79"/>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79"/>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79"/>
                <w14:textFill>
                  <w14:solidFill>
                    <w14:srgbClr w14:val="000000">
                      <w14:alpha w14:val="100000"/>
                    </w14:srgbClr>
                  </w14:solidFill>
                </w14:textFill>
              </w:rPr>
              <w:t xml:space="preserve">　</w:t>
            </w:r>
            <w:r w:rsidR="002D598C">
              <w:rPr>
                <w:vertAlign w:val="superscript"/>
              </w:rPr>
              <w:t>4</w:t>
            </w:r>
          </w:p>
        </w:tc>
        <w:tc>
          <w:tcPr>
            <w:tcW w:w="611" w:type="pct"/>
            <w:shd w:val="clear" w:color="auto" w:fill="auto"/>
          </w:tcPr>
          <w:p w14:paraId="2B271C99" w14:textId="478F3E6B"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78"/>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78"/>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78"/>
                <w14:textFill>
                  <w14:solidFill>
                    <w14:srgbClr w14:val="000000">
                      <w14:alpha w14:val="100000"/>
                    </w14:srgbClr>
                  </w14:solidFill>
                </w14:textFill>
              </w:rPr>
              <w:t xml:space="preserve">　</w:t>
            </w:r>
            <w:r w:rsidR="002D598C">
              <w:rPr>
                <w:vertAlign w:val="superscript"/>
              </w:rPr>
              <w:t>4</w:t>
            </w:r>
          </w:p>
        </w:tc>
        <w:tc>
          <w:tcPr>
            <w:tcW w:w="611" w:type="pct"/>
            <w:shd w:val="clear" w:color="auto" w:fill="auto"/>
          </w:tcPr>
          <w:p w14:paraId="1680EA82" w14:textId="2357737F"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2" w:id="-1303199477"/>
                <w14:textFill>
                  <w14:solidFill>
                    <w14:srgbClr w14:val="000000">
                      <w14:alpha w14:val="100000"/>
                    </w14:srgbClr>
                  </w14:solidFill>
                </w14:textFill>
              </w:rPr>
              <w:t xml:space="preserve">　</w:t>
            </w:r>
            <w:r w:rsidRPr="006A414A">
              <w:rPr>
                <w:rStyle w:val="normaltextrun"/>
                <w:color w:val="000000"/>
                <w:w w:val="25"/>
                <w:shd w:val="solid" w:color="000000" w:fill="000000"/>
                <w:fitText w:val="112" w:id="-1303199477"/>
                <w14:textFill>
                  <w14:solidFill>
                    <w14:srgbClr w14:val="000000">
                      <w14:alpha w14:val="100000"/>
                    </w14:srgbClr>
                  </w14:solidFill>
                </w14:textFill>
              </w:rPr>
              <w:t>|</w:t>
            </w:r>
            <w:r w:rsidRPr="006A414A">
              <w:rPr>
                <w:rStyle w:val="normaltextrun"/>
                <w:rFonts w:hint="eastAsia"/>
                <w:color w:val="000000"/>
                <w:spacing w:val="1"/>
                <w:w w:val="25"/>
                <w:shd w:val="solid" w:color="000000" w:fill="000000"/>
                <w:fitText w:val="112" w:id="-1303199477"/>
                <w14:textFill>
                  <w14:solidFill>
                    <w14:srgbClr w14:val="000000">
                      <w14:alpha w14:val="100000"/>
                    </w14:srgbClr>
                  </w14:solidFill>
                </w14:textFill>
              </w:rPr>
              <w:t xml:space="preserve">　</w:t>
            </w:r>
            <w:r w:rsidR="002D598C">
              <w:rPr>
                <w:vertAlign w:val="superscript"/>
              </w:rPr>
              <w:t>4</w:t>
            </w:r>
          </w:p>
        </w:tc>
        <w:tc>
          <w:tcPr>
            <w:tcW w:w="611" w:type="pct"/>
            <w:shd w:val="clear" w:color="auto" w:fill="auto"/>
          </w:tcPr>
          <w:p w14:paraId="6AB1374B" w14:textId="7870647B" w:rsidR="004D3204" w:rsidRPr="00B47A9D" w:rsidRDefault="006A414A" w:rsidP="00AD2660">
            <w:pPr>
              <w:pStyle w:val="TableText0"/>
              <w:widowControl w:val="0"/>
              <w:jc w:val="center"/>
              <w:rPr>
                <w:highlight w:val="darkGray"/>
              </w:rPr>
            </w:pPr>
            <w:r w:rsidRPr="006A414A">
              <w:rPr>
                <w:rStyle w:val="normaltextrun"/>
                <w:rFonts w:hint="eastAsia"/>
                <w:color w:val="000000"/>
                <w:w w:val="25"/>
                <w:shd w:val="solid" w:color="000000" w:fill="000000"/>
                <w:fitText w:val="113" w:id="-1303199476"/>
                <w14:textFill>
                  <w14:solidFill>
                    <w14:srgbClr w14:val="000000">
                      <w14:alpha w14:val="100000"/>
                    </w14:srgbClr>
                  </w14:solidFill>
                </w14:textFill>
              </w:rPr>
              <w:t xml:space="preserve">　</w:t>
            </w:r>
            <w:r w:rsidRPr="006A414A">
              <w:rPr>
                <w:rStyle w:val="normaltextrun"/>
                <w:color w:val="000000"/>
                <w:w w:val="25"/>
                <w:shd w:val="solid" w:color="000000" w:fill="000000"/>
                <w:fitText w:val="113" w:id="-1303199476"/>
                <w14:textFill>
                  <w14:solidFill>
                    <w14:srgbClr w14:val="000000">
                      <w14:alpha w14:val="100000"/>
                    </w14:srgbClr>
                  </w14:solidFill>
                </w14:textFill>
              </w:rPr>
              <w:t>|</w:t>
            </w:r>
            <w:r w:rsidRPr="006A414A">
              <w:rPr>
                <w:rStyle w:val="normaltextrun"/>
                <w:rFonts w:hint="eastAsia"/>
                <w:color w:val="000000"/>
                <w:spacing w:val="2"/>
                <w:w w:val="25"/>
                <w:shd w:val="solid" w:color="000000" w:fill="000000"/>
                <w:fitText w:val="113" w:id="-1303199476"/>
                <w14:textFill>
                  <w14:solidFill>
                    <w14:srgbClr w14:val="000000">
                      <w14:alpha w14:val="100000"/>
                    </w14:srgbClr>
                  </w14:solidFill>
                </w14:textFill>
              </w:rPr>
              <w:t xml:space="preserve">　</w:t>
            </w:r>
            <w:r w:rsidR="002D598C">
              <w:rPr>
                <w:vertAlign w:val="superscript"/>
              </w:rPr>
              <w:t>4</w:t>
            </w:r>
          </w:p>
        </w:tc>
        <w:tc>
          <w:tcPr>
            <w:tcW w:w="613" w:type="pct"/>
          </w:tcPr>
          <w:p w14:paraId="2BA32FAF" w14:textId="4C69CD04" w:rsidR="004D3204" w:rsidRPr="00B47A9D" w:rsidRDefault="006A414A" w:rsidP="00AD2660">
            <w:pPr>
              <w:pStyle w:val="TableText0"/>
              <w:widowControl w:val="0"/>
              <w:jc w:val="center"/>
              <w:rPr>
                <w:highlight w:val="darkGray"/>
              </w:rPr>
            </w:pPr>
            <w:r w:rsidRPr="006A414A">
              <w:rPr>
                <w:rStyle w:val="normaltextrun"/>
                <w:rFonts w:hint="eastAsia"/>
                <w:color w:val="000000"/>
                <w:w w:val="22"/>
                <w:shd w:val="solid" w:color="000000" w:fill="000000"/>
                <w:fitText w:val="100" w:id="-1303199475"/>
                <w14:textFill>
                  <w14:solidFill>
                    <w14:srgbClr w14:val="000000">
                      <w14:alpha w14:val="100000"/>
                    </w14:srgbClr>
                  </w14:solidFill>
                </w14:textFill>
              </w:rPr>
              <w:t xml:space="preserve">　</w:t>
            </w:r>
            <w:r w:rsidRPr="006A414A">
              <w:rPr>
                <w:rStyle w:val="normaltextrun"/>
                <w:color w:val="000000"/>
                <w:w w:val="22"/>
                <w:shd w:val="solid" w:color="000000" w:fill="000000"/>
                <w:fitText w:val="100" w:id="-1303199475"/>
                <w14:textFill>
                  <w14:solidFill>
                    <w14:srgbClr w14:val="000000">
                      <w14:alpha w14:val="100000"/>
                    </w14:srgbClr>
                  </w14:solidFill>
                </w14:textFill>
              </w:rPr>
              <w:t>|</w:t>
            </w:r>
            <w:r w:rsidRPr="006A414A">
              <w:rPr>
                <w:rStyle w:val="normaltextrun"/>
                <w:rFonts w:hint="eastAsia"/>
                <w:color w:val="000000"/>
                <w:spacing w:val="2"/>
                <w:w w:val="22"/>
                <w:shd w:val="solid" w:color="000000" w:fill="000000"/>
                <w:fitText w:val="100" w:id="-1303199475"/>
                <w14:textFill>
                  <w14:solidFill>
                    <w14:srgbClr w14:val="000000">
                      <w14:alpha w14:val="100000"/>
                    </w14:srgbClr>
                  </w14:solidFill>
                </w14:textFill>
              </w:rPr>
              <w:t xml:space="preserve">　</w:t>
            </w:r>
            <w:r w:rsidR="002D598C">
              <w:rPr>
                <w:vertAlign w:val="superscript"/>
              </w:rPr>
              <w:t>4</w:t>
            </w:r>
          </w:p>
        </w:tc>
      </w:tr>
      <w:tr w:rsidR="004D3204" w:rsidRPr="00464C9D" w14:paraId="645E0968" w14:textId="77777777" w:rsidTr="006F4EF8">
        <w:tc>
          <w:tcPr>
            <w:tcW w:w="1332" w:type="pct"/>
            <w:shd w:val="clear" w:color="auto" w:fill="auto"/>
            <w:vAlign w:val="center"/>
          </w:tcPr>
          <w:p w14:paraId="104760F6" w14:textId="3A18CF33" w:rsidR="004D3204" w:rsidRPr="00E45D95" w:rsidRDefault="004D3204" w:rsidP="00AD2660">
            <w:pPr>
              <w:pStyle w:val="TableText0"/>
              <w:widowControl w:val="0"/>
            </w:pPr>
            <w:r w:rsidRPr="00E45D95">
              <w:t xml:space="preserve">Number of </w:t>
            </w:r>
            <w:r w:rsidR="00E71E2C">
              <w:t>doses</w:t>
            </w:r>
          </w:p>
        </w:tc>
        <w:tc>
          <w:tcPr>
            <w:tcW w:w="611" w:type="pct"/>
            <w:shd w:val="clear" w:color="auto" w:fill="auto"/>
          </w:tcPr>
          <w:p w14:paraId="1D5F8620" w14:textId="5A60BEC6"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474"/>
                <w14:textFill>
                  <w14:solidFill>
                    <w14:srgbClr w14:val="000000">
                      <w14:alpha w14:val="100000"/>
                    </w14:srgbClr>
                  </w14:solidFill>
                </w14:textFill>
              </w:rPr>
              <w:t xml:space="preserve">　</w:t>
            </w:r>
            <w:r w:rsidRPr="006A414A">
              <w:rPr>
                <w:color w:val="000000"/>
                <w:w w:val="25"/>
                <w:shd w:val="solid" w:color="000000" w:fill="000000"/>
                <w:fitText w:val="113" w:id="-1303199474"/>
                <w14:textFill>
                  <w14:solidFill>
                    <w14:srgbClr w14:val="000000">
                      <w14:alpha w14:val="100000"/>
                    </w14:srgbClr>
                  </w14:solidFill>
                </w14:textFill>
              </w:rPr>
              <w:t>|</w:t>
            </w:r>
            <w:r w:rsidRPr="006A414A">
              <w:rPr>
                <w:rFonts w:hint="eastAsia"/>
                <w:color w:val="000000"/>
                <w:spacing w:val="2"/>
                <w:w w:val="25"/>
                <w:shd w:val="solid" w:color="000000" w:fill="000000"/>
                <w:fitText w:val="113" w:id="-1303199474"/>
                <w14:textFill>
                  <w14:solidFill>
                    <w14:srgbClr w14:val="000000">
                      <w14:alpha w14:val="100000"/>
                    </w14:srgbClr>
                  </w14:solidFill>
                </w14:textFill>
              </w:rPr>
              <w:t xml:space="preserve">　</w:t>
            </w:r>
            <w:r w:rsidR="002D598C" w:rsidRPr="002D598C">
              <w:rPr>
                <w:vertAlign w:val="superscript"/>
              </w:rPr>
              <w:t>1</w:t>
            </w:r>
          </w:p>
        </w:tc>
        <w:tc>
          <w:tcPr>
            <w:tcW w:w="611" w:type="pct"/>
            <w:shd w:val="clear" w:color="auto" w:fill="auto"/>
          </w:tcPr>
          <w:p w14:paraId="74A93B69" w14:textId="3BA46AA1"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73"/>
                <w14:textFill>
                  <w14:solidFill>
                    <w14:srgbClr w14:val="000000">
                      <w14:alpha w14:val="100000"/>
                    </w14:srgbClr>
                  </w14:solidFill>
                </w14:textFill>
              </w:rPr>
              <w:t xml:space="preserve">　</w:t>
            </w:r>
            <w:r w:rsidRPr="006A414A">
              <w:rPr>
                <w:color w:val="000000"/>
                <w:w w:val="25"/>
                <w:shd w:val="solid" w:color="000000" w:fill="000000"/>
                <w:fitText w:val="112" w:id="-1303199473"/>
                <w14:textFill>
                  <w14:solidFill>
                    <w14:srgbClr w14:val="000000">
                      <w14:alpha w14:val="100000"/>
                    </w14:srgbClr>
                  </w14:solidFill>
                </w14:textFill>
              </w:rPr>
              <w:t>|</w:t>
            </w:r>
            <w:r w:rsidRPr="006A414A">
              <w:rPr>
                <w:rFonts w:hint="eastAsia"/>
                <w:color w:val="000000"/>
                <w:spacing w:val="1"/>
                <w:w w:val="25"/>
                <w:shd w:val="solid" w:color="000000" w:fill="000000"/>
                <w:fitText w:val="112" w:id="-1303199473"/>
                <w14:textFill>
                  <w14:solidFill>
                    <w14:srgbClr w14:val="000000">
                      <w14:alpha w14:val="100000"/>
                    </w14:srgbClr>
                  </w14:solidFill>
                </w14:textFill>
              </w:rPr>
              <w:t xml:space="preserve">　</w:t>
            </w:r>
            <w:r w:rsidR="002D598C" w:rsidRPr="002D598C">
              <w:rPr>
                <w:vertAlign w:val="superscript"/>
              </w:rPr>
              <w:t>1</w:t>
            </w:r>
          </w:p>
        </w:tc>
        <w:tc>
          <w:tcPr>
            <w:tcW w:w="611" w:type="pct"/>
            <w:shd w:val="clear" w:color="auto" w:fill="auto"/>
          </w:tcPr>
          <w:p w14:paraId="1B59176B" w14:textId="745D1584"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72"/>
                <w14:textFill>
                  <w14:solidFill>
                    <w14:srgbClr w14:val="000000">
                      <w14:alpha w14:val="100000"/>
                    </w14:srgbClr>
                  </w14:solidFill>
                </w14:textFill>
              </w:rPr>
              <w:t xml:space="preserve">　</w:t>
            </w:r>
            <w:r w:rsidRPr="006A414A">
              <w:rPr>
                <w:color w:val="000000"/>
                <w:w w:val="25"/>
                <w:shd w:val="solid" w:color="000000" w:fill="000000"/>
                <w:fitText w:val="112" w:id="-1303199472"/>
                <w14:textFill>
                  <w14:solidFill>
                    <w14:srgbClr w14:val="000000">
                      <w14:alpha w14:val="100000"/>
                    </w14:srgbClr>
                  </w14:solidFill>
                </w14:textFill>
              </w:rPr>
              <w:t>|</w:t>
            </w:r>
            <w:r w:rsidRPr="006A414A">
              <w:rPr>
                <w:rFonts w:hint="eastAsia"/>
                <w:color w:val="000000"/>
                <w:spacing w:val="1"/>
                <w:w w:val="25"/>
                <w:shd w:val="solid" w:color="000000" w:fill="000000"/>
                <w:fitText w:val="112" w:id="-1303199472"/>
                <w14:textFill>
                  <w14:solidFill>
                    <w14:srgbClr w14:val="000000">
                      <w14:alpha w14:val="100000"/>
                    </w14:srgbClr>
                  </w14:solidFill>
                </w14:textFill>
              </w:rPr>
              <w:t xml:space="preserve">　</w:t>
            </w:r>
            <w:r w:rsidR="002D598C" w:rsidRPr="002D598C">
              <w:rPr>
                <w:vertAlign w:val="superscript"/>
              </w:rPr>
              <w:t>1</w:t>
            </w:r>
          </w:p>
        </w:tc>
        <w:tc>
          <w:tcPr>
            <w:tcW w:w="611" w:type="pct"/>
            <w:shd w:val="clear" w:color="auto" w:fill="auto"/>
          </w:tcPr>
          <w:p w14:paraId="43E4297B" w14:textId="363E6075"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88"/>
                <w14:textFill>
                  <w14:solidFill>
                    <w14:srgbClr w14:val="000000">
                      <w14:alpha w14:val="100000"/>
                    </w14:srgbClr>
                  </w14:solidFill>
                </w14:textFill>
              </w:rPr>
              <w:t xml:space="preserve">　</w:t>
            </w:r>
            <w:r w:rsidRPr="006A414A">
              <w:rPr>
                <w:color w:val="000000"/>
                <w:w w:val="25"/>
                <w:shd w:val="solid" w:color="000000" w:fill="000000"/>
                <w:fitText w:val="112" w:id="-1303199488"/>
                <w14:textFill>
                  <w14:solidFill>
                    <w14:srgbClr w14:val="000000">
                      <w14:alpha w14:val="100000"/>
                    </w14:srgbClr>
                  </w14:solidFill>
                </w14:textFill>
              </w:rPr>
              <w:t>|</w:t>
            </w:r>
            <w:r w:rsidRPr="006A414A">
              <w:rPr>
                <w:rFonts w:hint="eastAsia"/>
                <w:color w:val="000000"/>
                <w:spacing w:val="1"/>
                <w:w w:val="25"/>
                <w:shd w:val="solid" w:color="000000" w:fill="000000"/>
                <w:fitText w:val="112" w:id="-1303199488"/>
                <w14:textFill>
                  <w14:solidFill>
                    <w14:srgbClr w14:val="000000">
                      <w14:alpha w14:val="100000"/>
                    </w14:srgbClr>
                  </w14:solidFill>
                </w14:textFill>
              </w:rPr>
              <w:t xml:space="preserve">　</w:t>
            </w:r>
            <w:r w:rsidR="002D598C" w:rsidRPr="002D598C">
              <w:rPr>
                <w:vertAlign w:val="superscript"/>
              </w:rPr>
              <w:t>1</w:t>
            </w:r>
          </w:p>
        </w:tc>
        <w:tc>
          <w:tcPr>
            <w:tcW w:w="611" w:type="pct"/>
            <w:shd w:val="clear" w:color="auto" w:fill="auto"/>
          </w:tcPr>
          <w:p w14:paraId="231823B6" w14:textId="6E74E4EE"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487"/>
                <w14:textFill>
                  <w14:solidFill>
                    <w14:srgbClr w14:val="000000">
                      <w14:alpha w14:val="100000"/>
                    </w14:srgbClr>
                  </w14:solidFill>
                </w14:textFill>
              </w:rPr>
              <w:t xml:space="preserve">　</w:t>
            </w:r>
            <w:r w:rsidRPr="006A414A">
              <w:rPr>
                <w:color w:val="000000"/>
                <w:w w:val="25"/>
                <w:shd w:val="solid" w:color="000000" w:fill="000000"/>
                <w:fitText w:val="113" w:id="-1303199487"/>
                <w14:textFill>
                  <w14:solidFill>
                    <w14:srgbClr w14:val="000000">
                      <w14:alpha w14:val="100000"/>
                    </w14:srgbClr>
                  </w14:solidFill>
                </w14:textFill>
              </w:rPr>
              <w:t>|</w:t>
            </w:r>
            <w:r w:rsidRPr="006A414A">
              <w:rPr>
                <w:rFonts w:hint="eastAsia"/>
                <w:color w:val="000000"/>
                <w:spacing w:val="2"/>
                <w:w w:val="25"/>
                <w:shd w:val="solid" w:color="000000" w:fill="000000"/>
                <w:fitText w:val="113" w:id="-1303199487"/>
                <w14:textFill>
                  <w14:solidFill>
                    <w14:srgbClr w14:val="000000">
                      <w14:alpha w14:val="100000"/>
                    </w14:srgbClr>
                  </w14:solidFill>
                </w14:textFill>
              </w:rPr>
              <w:t xml:space="preserve">　</w:t>
            </w:r>
            <w:r w:rsidR="002D598C" w:rsidRPr="002D598C">
              <w:rPr>
                <w:vertAlign w:val="superscript"/>
              </w:rPr>
              <w:t>1</w:t>
            </w:r>
          </w:p>
        </w:tc>
        <w:tc>
          <w:tcPr>
            <w:tcW w:w="613" w:type="pct"/>
          </w:tcPr>
          <w:p w14:paraId="701EB04A" w14:textId="6BD3C492" w:rsidR="004D3204" w:rsidRPr="00B47A9D" w:rsidRDefault="006A414A" w:rsidP="00AD2660">
            <w:pPr>
              <w:pStyle w:val="TableText0"/>
              <w:widowControl w:val="0"/>
              <w:jc w:val="center"/>
              <w:rPr>
                <w:highlight w:val="darkGray"/>
              </w:rPr>
            </w:pPr>
            <w:r w:rsidRPr="006A414A">
              <w:rPr>
                <w:rFonts w:hint="eastAsia"/>
                <w:color w:val="000000"/>
                <w:w w:val="22"/>
                <w:shd w:val="solid" w:color="000000" w:fill="000000"/>
                <w:fitText w:val="100" w:id="-1303199486"/>
                <w14:textFill>
                  <w14:solidFill>
                    <w14:srgbClr w14:val="000000">
                      <w14:alpha w14:val="100000"/>
                    </w14:srgbClr>
                  </w14:solidFill>
                </w14:textFill>
              </w:rPr>
              <w:t xml:space="preserve">　</w:t>
            </w:r>
            <w:r w:rsidRPr="006A414A">
              <w:rPr>
                <w:color w:val="000000"/>
                <w:w w:val="22"/>
                <w:shd w:val="solid" w:color="000000" w:fill="000000"/>
                <w:fitText w:val="100" w:id="-1303199486"/>
                <w14:textFill>
                  <w14:solidFill>
                    <w14:srgbClr w14:val="000000">
                      <w14:alpha w14:val="100000"/>
                    </w14:srgbClr>
                  </w14:solidFill>
                </w14:textFill>
              </w:rPr>
              <w:t>|</w:t>
            </w:r>
            <w:r w:rsidRPr="006A414A">
              <w:rPr>
                <w:rFonts w:hint="eastAsia"/>
                <w:color w:val="000000"/>
                <w:spacing w:val="2"/>
                <w:w w:val="22"/>
                <w:shd w:val="solid" w:color="000000" w:fill="000000"/>
                <w:fitText w:val="100" w:id="-1303199486"/>
                <w14:textFill>
                  <w14:solidFill>
                    <w14:srgbClr w14:val="000000">
                      <w14:alpha w14:val="100000"/>
                    </w14:srgbClr>
                  </w14:solidFill>
                </w14:textFill>
              </w:rPr>
              <w:t xml:space="preserve">　</w:t>
            </w:r>
            <w:r w:rsidR="002D598C" w:rsidRPr="002D598C">
              <w:rPr>
                <w:vertAlign w:val="superscript"/>
              </w:rPr>
              <w:t>1</w:t>
            </w:r>
          </w:p>
        </w:tc>
      </w:tr>
      <w:tr w:rsidR="004D3204" w:rsidRPr="00464C9D" w14:paraId="0D2CF6D8" w14:textId="77777777" w:rsidTr="006F4EF8">
        <w:tc>
          <w:tcPr>
            <w:tcW w:w="1332" w:type="pct"/>
            <w:shd w:val="clear" w:color="auto" w:fill="auto"/>
            <w:vAlign w:val="center"/>
          </w:tcPr>
          <w:p w14:paraId="069BC4CF" w14:textId="0C7B0516" w:rsidR="004D3204" w:rsidRPr="00E45D95" w:rsidRDefault="004D3204" w:rsidP="00AD2660">
            <w:pPr>
              <w:pStyle w:val="TableText0"/>
              <w:widowControl w:val="0"/>
            </w:pPr>
            <w:r w:rsidRPr="00E45D95">
              <w:t>Changes in doses of 13vPCV (or 15vPCV)</w:t>
            </w:r>
          </w:p>
        </w:tc>
        <w:tc>
          <w:tcPr>
            <w:tcW w:w="611" w:type="pct"/>
            <w:shd w:val="clear" w:color="auto" w:fill="auto"/>
            <w:vAlign w:val="center"/>
          </w:tcPr>
          <w:p w14:paraId="20D9ED80" w14:textId="09E72443" w:rsidR="004D3204" w:rsidRPr="00B47A9D" w:rsidRDefault="004D3204" w:rsidP="00AD2660">
            <w:pPr>
              <w:pStyle w:val="TableText0"/>
              <w:widowControl w:val="0"/>
              <w:jc w:val="center"/>
              <w:rPr>
                <w:highlight w:val="darkGray"/>
              </w:rPr>
            </w:pPr>
            <w:r w:rsidRPr="00524B9D">
              <w:t>-</w:t>
            </w:r>
            <w:r w:rsidR="006A414A" w:rsidRPr="006A414A">
              <w:rPr>
                <w:rFonts w:hint="eastAsia"/>
                <w:color w:val="000000"/>
                <w:w w:val="28"/>
                <w:shd w:val="solid" w:color="000000" w:fill="000000"/>
                <w:fitText w:val="126" w:id="-1303199485"/>
                <w14:textFill>
                  <w14:solidFill>
                    <w14:srgbClr w14:val="000000">
                      <w14:alpha w14:val="100000"/>
                    </w14:srgbClr>
                  </w14:solidFill>
                </w14:textFill>
              </w:rPr>
              <w:t xml:space="preserve">　</w:t>
            </w:r>
            <w:r w:rsidR="006A414A" w:rsidRPr="006A414A">
              <w:rPr>
                <w:color w:val="000000"/>
                <w:w w:val="28"/>
                <w:shd w:val="solid" w:color="000000" w:fill="000000"/>
                <w:fitText w:val="126" w:id="-1303199485"/>
                <w14:textFill>
                  <w14:solidFill>
                    <w14:srgbClr w14:val="000000">
                      <w14:alpha w14:val="100000"/>
                    </w14:srgbClr>
                  </w14:solidFill>
                </w14:textFill>
              </w:rPr>
              <w:t>|</w:t>
            </w:r>
            <w:r w:rsidR="006A414A" w:rsidRPr="006A414A">
              <w:rPr>
                <w:rFonts w:hint="eastAsia"/>
                <w:color w:val="000000"/>
                <w:spacing w:val="2"/>
                <w:w w:val="28"/>
                <w:shd w:val="solid" w:color="000000" w:fill="000000"/>
                <w:fitText w:val="126" w:id="-1303199485"/>
                <w14:textFill>
                  <w14:solidFill>
                    <w14:srgbClr w14:val="000000">
                      <w14:alpha w14:val="100000"/>
                    </w14:srgbClr>
                  </w14:solidFill>
                </w14:textFill>
              </w:rPr>
              <w:t xml:space="preserve">　</w:t>
            </w:r>
            <w:r w:rsidR="00524B9D">
              <w:rPr>
                <w:vertAlign w:val="superscript"/>
              </w:rPr>
              <w:t>2</w:t>
            </w:r>
          </w:p>
        </w:tc>
        <w:tc>
          <w:tcPr>
            <w:tcW w:w="611" w:type="pct"/>
            <w:shd w:val="clear" w:color="auto" w:fill="auto"/>
            <w:vAlign w:val="center"/>
          </w:tcPr>
          <w:p w14:paraId="63791918" w14:textId="3830C329" w:rsidR="004D3204" w:rsidRPr="00B47A9D" w:rsidRDefault="004D3204" w:rsidP="00AD2660">
            <w:pPr>
              <w:pStyle w:val="TableText0"/>
              <w:widowControl w:val="0"/>
              <w:jc w:val="center"/>
              <w:rPr>
                <w:highlight w:val="darkGray"/>
              </w:rPr>
            </w:pPr>
            <w:r w:rsidRPr="00524B9D">
              <w:t>-</w:t>
            </w:r>
            <w:r w:rsidR="006A414A" w:rsidRPr="006A414A">
              <w:rPr>
                <w:rFonts w:hint="eastAsia"/>
                <w:color w:val="000000"/>
                <w:w w:val="28"/>
                <w:shd w:val="solid" w:color="000000" w:fill="000000"/>
                <w:fitText w:val="126" w:id="-1303199484"/>
                <w14:textFill>
                  <w14:solidFill>
                    <w14:srgbClr w14:val="000000">
                      <w14:alpha w14:val="100000"/>
                    </w14:srgbClr>
                  </w14:solidFill>
                </w14:textFill>
              </w:rPr>
              <w:t xml:space="preserve">　</w:t>
            </w:r>
            <w:r w:rsidR="006A414A" w:rsidRPr="006A414A">
              <w:rPr>
                <w:color w:val="000000"/>
                <w:w w:val="28"/>
                <w:shd w:val="solid" w:color="000000" w:fill="000000"/>
                <w:fitText w:val="126" w:id="-1303199484"/>
                <w14:textFill>
                  <w14:solidFill>
                    <w14:srgbClr w14:val="000000">
                      <w14:alpha w14:val="100000"/>
                    </w14:srgbClr>
                  </w14:solidFill>
                </w14:textFill>
              </w:rPr>
              <w:t>|</w:t>
            </w:r>
            <w:r w:rsidR="006A414A" w:rsidRPr="006A414A">
              <w:rPr>
                <w:rFonts w:hint="eastAsia"/>
                <w:color w:val="000000"/>
                <w:spacing w:val="2"/>
                <w:w w:val="28"/>
                <w:shd w:val="solid" w:color="000000" w:fill="000000"/>
                <w:fitText w:val="126" w:id="-1303199484"/>
                <w14:textFill>
                  <w14:solidFill>
                    <w14:srgbClr w14:val="000000">
                      <w14:alpha w14:val="100000"/>
                    </w14:srgbClr>
                  </w14:solidFill>
                </w14:textFill>
              </w:rPr>
              <w:t xml:space="preserve">　</w:t>
            </w:r>
            <w:r w:rsidR="00524B9D">
              <w:rPr>
                <w:vertAlign w:val="superscript"/>
              </w:rPr>
              <w:t>2</w:t>
            </w:r>
          </w:p>
        </w:tc>
        <w:tc>
          <w:tcPr>
            <w:tcW w:w="611" w:type="pct"/>
            <w:shd w:val="clear" w:color="auto" w:fill="auto"/>
            <w:vAlign w:val="center"/>
          </w:tcPr>
          <w:p w14:paraId="37C4A681" w14:textId="7B23FD84" w:rsidR="004D3204" w:rsidRPr="00B47A9D" w:rsidRDefault="004D3204" w:rsidP="00AD2660">
            <w:pPr>
              <w:pStyle w:val="TableText0"/>
              <w:widowControl w:val="0"/>
              <w:jc w:val="center"/>
              <w:rPr>
                <w:highlight w:val="darkGray"/>
              </w:rPr>
            </w:pPr>
            <w:r w:rsidRPr="00524B9D">
              <w:t>-</w:t>
            </w:r>
            <w:r w:rsidR="006A414A" w:rsidRPr="006A414A">
              <w:rPr>
                <w:rFonts w:hint="eastAsia"/>
                <w:color w:val="000000"/>
                <w:w w:val="28"/>
                <w:shd w:val="solid" w:color="000000" w:fill="000000"/>
                <w:fitText w:val="125" w:id="-1303199483"/>
                <w14:textFill>
                  <w14:solidFill>
                    <w14:srgbClr w14:val="000000">
                      <w14:alpha w14:val="100000"/>
                    </w14:srgbClr>
                  </w14:solidFill>
                </w14:textFill>
              </w:rPr>
              <w:t xml:space="preserve">　</w:t>
            </w:r>
            <w:r w:rsidR="006A414A" w:rsidRPr="006A414A">
              <w:rPr>
                <w:color w:val="000000"/>
                <w:w w:val="28"/>
                <w:shd w:val="solid" w:color="000000" w:fill="000000"/>
                <w:fitText w:val="125" w:id="-1303199483"/>
                <w14:textFill>
                  <w14:solidFill>
                    <w14:srgbClr w14:val="000000">
                      <w14:alpha w14:val="100000"/>
                    </w14:srgbClr>
                  </w14:solidFill>
                </w14:textFill>
              </w:rPr>
              <w:t>|</w:t>
            </w:r>
            <w:r w:rsidR="006A414A" w:rsidRPr="006A414A">
              <w:rPr>
                <w:rFonts w:hint="eastAsia"/>
                <w:color w:val="000000"/>
                <w:spacing w:val="1"/>
                <w:w w:val="28"/>
                <w:shd w:val="solid" w:color="000000" w:fill="000000"/>
                <w:fitText w:val="125" w:id="-1303199483"/>
                <w14:textFill>
                  <w14:solidFill>
                    <w14:srgbClr w14:val="000000">
                      <w14:alpha w14:val="100000"/>
                    </w14:srgbClr>
                  </w14:solidFill>
                </w14:textFill>
              </w:rPr>
              <w:t xml:space="preserve">　</w:t>
            </w:r>
            <w:r w:rsidR="00524B9D">
              <w:rPr>
                <w:vertAlign w:val="superscript"/>
              </w:rPr>
              <w:t>2</w:t>
            </w:r>
          </w:p>
        </w:tc>
        <w:tc>
          <w:tcPr>
            <w:tcW w:w="611" w:type="pct"/>
            <w:shd w:val="clear" w:color="auto" w:fill="auto"/>
            <w:vAlign w:val="center"/>
          </w:tcPr>
          <w:p w14:paraId="0E347536" w14:textId="2EDD4913" w:rsidR="004D3204" w:rsidRPr="00B47A9D" w:rsidRDefault="004D3204" w:rsidP="00AD2660">
            <w:pPr>
              <w:pStyle w:val="TableText0"/>
              <w:widowControl w:val="0"/>
              <w:jc w:val="center"/>
              <w:rPr>
                <w:highlight w:val="darkGray"/>
              </w:rPr>
            </w:pPr>
            <w:r w:rsidRPr="00524B9D">
              <w:t>-</w:t>
            </w:r>
            <w:r w:rsidR="006A414A" w:rsidRPr="006A414A">
              <w:rPr>
                <w:rFonts w:hint="eastAsia"/>
                <w:color w:val="000000"/>
                <w:w w:val="28"/>
                <w:shd w:val="solid" w:color="000000" w:fill="000000"/>
                <w:fitText w:val="125" w:id="-1303199482"/>
                <w14:textFill>
                  <w14:solidFill>
                    <w14:srgbClr w14:val="000000">
                      <w14:alpha w14:val="100000"/>
                    </w14:srgbClr>
                  </w14:solidFill>
                </w14:textFill>
              </w:rPr>
              <w:t xml:space="preserve">　</w:t>
            </w:r>
            <w:r w:rsidR="006A414A" w:rsidRPr="006A414A">
              <w:rPr>
                <w:color w:val="000000"/>
                <w:w w:val="28"/>
                <w:shd w:val="solid" w:color="000000" w:fill="000000"/>
                <w:fitText w:val="125" w:id="-1303199482"/>
                <w14:textFill>
                  <w14:solidFill>
                    <w14:srgbClr w14:val="000000">
                      <w14:alpha w14:val="100000"/>
                    </w14:srgbClr>
                  </w14:solidFill>
                </w14:textFill>
              </w:rPr>
              <w:t>|</w:t>
            </w:r>
            <w:r w:rsidR="006A414A" w:rsidRPr="006A414A">
              <w:rPr>
                <w:rFonts w:hint="eastAsia"/>
                <w:color w:val="000000"/>
                <w:spacing w:val="1"/>
                <w:w w:val="28"/>
                <w:shd w:val="solid" w:color="000000" w:fill="000000"/>
                <w:fitText w:val="125" w:id="-1303199482"/>
                <w14:textFill>
                  <w14:solidFill>
                    <w14:srgbClr w14:val="000000">
                      <w14:alpha w14:val="100000"/>
                    </w14:srgbClr>
                  </w14:solidFill>
                </w14:textFill>
              </w:rPr>
              <w:t xml:space="preserve">　</w:t>
            </w:r>
            <w:r w:rsidR="00524B9D">
              <w:rPr>
                <w:vertAlign w:val="superscript"/>
              </w:rPr>
              <w:t>2</w:t>
            </w:r>
          </w:p>
        </w:tc>
        <w:tc>
          <w:tcPr>
            <w:tcW w:w="611" w:type="pct"/>
            <w:shd w:val="clear" w:color="auto" w:fill="auto"/>
            <w:vAlign w:val="center"/>
          </w:tcPr>
          <w:p w14:paraId="0D816400" w14:textId="78BA5233" w:rsidR="004D3204" w:rsidRPr="00B47A9D" w:rsidRDefault="004D3204" w:rsidP="00AD2660">
            <w:pPr>
              <w:pStyle w:val="TableText0"/>
              <w:widowControl w:val="0"/>
              <w:jc w:val="center"/>
              <w:rPr>
                <w:highlight w:val="darkGray"/>
              </w:rPr>
            </w:pPr>
            <w:r w:rsidRPr="00524B9D">
              <w:t>-</w:t>
            </w:r>
            <w:r w:rsidR="006A414A" w:rsidRPr="006A414A">
              <w:rPr>
                <w:rFonts w:hint="eastAsia"/>
                <w:color w:val="000000"/>
                <w:w w:val="28"/>
                <w:shd w:val="solid" w:color="000000" w:fill="000000"/>
                <w:fitText w:val="125" w:id="-1303199481"/>
                <w14:textFill>
                  <w14:solidFill>
                    <w14:srgbClr w14:val="000000">
                      <w14:alpha w14:val="100000"/>
                    </w14:srgbClr>
                  </w14:solidFill>
                </w14:textFill>
              </w:rPr>
              <w:t xml:space="preserve">　</w:t>
            </w:r>
            <w:r w:rsidR="006A414A" w:rsidRPr="006A414A">
              <w:rPr>
                <w:color w:val="000000"/>
                <w:w w:val="28"/>
                <w:shd w:val="solid" w:color="000000" w:fill="000000"/>
                <w:fitText w:val="125" w:id="-1303199481"/>
                <w14:textFill>
                  <w14:solidFill>
                    <w14:srgbClr w14:val="000000">
                      <w14:alpha w14:val="100000"/>
                    </w14:srgbClr>
                  </w14:solidFill>
                </w14:textFill>
              </w:rPr>
              <w:t>|</w:t>
            </w:r>
            <w:r w:rsidR="006A414A" w:rsidRPr="006A414A">
              <w:rPr>
                <w:rFonts w:hint="eastAsia"/>
                <w:color w:val="000000"/>
                <w:spacing w:val="1"/>
                <w:w w:val="28"/>
                <w:shd w:val="solid" w:color="000000" w:fill="000000"/>
                <w:fitText w:val="125" w:id="-1303199481"/>
                <w14:textFill>
                  <w14:solidFill>
                    <w14:srgbClr w14:val="000000">
                      <w14:alpha w14:val="100000"/>
                    </w14:srgbClr>
                  </w14:solidFill>
                </w14:textFill>
              </w:rPr>
              <w:t xml:space="preserve">　</w:t>
            </w:r>
            <w:r w:rsidR="00524B9D">
              <w:rPr>
                <w:vertAlign w:val="superscript"/>
              </w:rPr>
              <w:t>2</w:t>
            </w:r>
          </w:p>
        </w:tc>
        <w:tc>
          <w:tcPr>
            <w:tcW w:w="613" w:type="pct"/>
            <w:vAlign w:val="center"/>
          </w:tcPr>
          <w:p w14:paraId="37E5FD23" w14:textId="11EA7756" w:rsidR="004D3204" w:rsidRPr="00B47A9D" w:rsidRDefault="004D3204" w:rsidP="00AD2660">
            <w:pPr>
              <w:pStyle w:val="TableText0"/>
              <w:widowControl w:val="0"/>
              <w:jc w:val="center"/>
              <w:rPr>
                <w:highlight w:val="darkGray"/>
              </w:rPr>
            </w:pPr>
            <w:r w:rsidRPr="00524B9D">
              <w:t>-</w:t>
            </w:r>
            <w:r w:rsidR="006A414A" w:rsidRPr="006A414A">
              <w:rPr>
                <w:rFonts w:hint="eastAsia"/>
                <w:color w:val="000000"/>
                <w:w w:val="28"/>
                <w:shd w:val="solid" w:color="000000" w:fill="000000"/>
                <w:fitText w:val="125" w:id="-1303199480"/>
                <w14:textFill>
                  <w14:solidFill>
                    <w14:srgbClr w14:val="000000">
                      <w14:alpha w14:val="100000"/>
                    </w14:srgbClr>
                  </w14:solidFill>
                </w14:textFill>
              </w:rPr>
              <w:t xml:space="preserve">　</w:t>
            </w:r>
            <w:r w:rsidR="006A414A" w:rsidRPr="006A414A">
              <w:rPr>
                <w:color w:val="000000"/>
                <w:w w:val="28"/>
                <w:shd w:val="solid" w:color="000000" w:fill="000000"/>
                <w:fitText w:val="125" w:id="-1303199480"/>
                <w14:textFill>
                  <w14:solidFill>
                    <w14:srgbClr w14:val="000000">
                      <w14:alpha w14:val="100000"/>
                    </w14:srgbClr>
                  </w14:solidFill>
                </w14:textFill>
              </w:rPr>
              <w:t>|</w:t>
            </w:r>
            <w:r w:rsidR="006A414A" w:rsidRPr="006A414A">
              <w:rPr>
                <w:rFonts w:hint="eastAsia"/>
                <w:color w:val="000000"/>
                <w:spacing w:val="1"/>
                <w:w w:val="28"/>
                <w:shd w:val="solid" w:color="000000" w:fill="000000"/>
                <w:fitText w:val="125" w:id="-1303199480"/>
                <w14:textFill>
                  <w14:solidFill>
                    <w14:srgbClr w14:val="000000">
                      <w14:alpha w14:val="100000"/>
                    </w14:srgbClr>
                  </w14:solidFill>
                </w14:textFill>
              </w:rPr>
              <w:t xml:space="preserve">　</w:t>
            </w:r>
            <w:r w:rsidR="00524B9D">
              <w:rPr>
                <w:vertAlign w:val="superscript"/>
              </w:rPr>
              <w:t>2</w:t>
            </w:r>
          </w:p>
        </w:tc>
      </w:tr>
      <w:tr w:rsidR="004D3204" w:rsidRPr="00464C9D" w14:paraId="3DED7500" w14:textId="77777777" w:rsidTr="009A477A">
        <w:tc>
          <w:tcPr>
            <w:tcW w:w="5000" w:type="pct"/>
            <w:gridSpan w:val="7"/>
            <w:shd w:val="clear" w:color="auto" w:fill="auto"/>
            <w:vAlign w:val="center"/>
          </w:tcPr>
          <w:p w14:paraId="110668C1" w14:textId="2852130A" w:rsidR="004D3204" w:rsidRPr="00D94F59" w:rsidRDefault="004D3204" w:rsidP="00AD2660">
            <w:pPr>
              <w:pStyle w:val="TableText0"/>
              <w:widowControl w:val="0"/>
              <w:rPr>
                <w:b/>
                <w:bCs w:val="0"/>
                <w:vertAlign w:val="superscript"/>
              </w:rPr>
            </w:pPr>
            <w:r w:rsidRPr="00E45D95">
              <w:rPr>
                <w:b/>
                <w:bCs w:val="0"/>
              </w:rPr>
              <w:t>Estimated financial implications of 20vPCV</w:t>
            </w:r>
            <w:r>
              <w:rPr>
                <w:b/>
                <w:bCs w:val="0"/>
                <w:vertAlign w:val="superscript"/>
              </w:rPr>
              <w:t>a</w:t>
            </w:r>
          </w:p>
        </w:tc>
      </w:tr>
      <w:tr w:rsidR="004D3204" w:rsidRPr="00464C9D" w14:paraId="05340034" w14:textId="77777777" w:rsidTr="006F4EF8">
        <w:tc>
          <w:tcPr>
            <w:tcW w:w="1332" w:type="pct"/>
            <w:shd w:val="clear" w:color="auto" w:fill="auto"/>
            <w:vAlign w:val="center"/>
          </w:tcPr>
          <w:p w14:paraId="59AE6660" w14:textId="659109C0" w:rsidR="004D3204" w:rsidRPr="00464C9D" w:rsidRDefault="004D3204" w:rsidP="00AD2660">
            <w:pPr>
              <w:pStyle w:val="TableText0"/>
              <w:widowControl w:val="0"/>
            </w:pPr>
            <w:r w:rsidRPr="3738BD90">
              <w:t>Cost to NIP</w:t>
            </w:r>
            <w:r w:rsidRPr="3738BD90">
              <w:rPr>
                <w:vertAlign w:val="superscript"/>
              </w:rPr>
              <w:t xml:space="preserve"> b</w:t>
            </w:r>
            <w:r w:rsidRPr="3738BD90">
              <w:t xml:space="preserve"> </w:t>
            </w:r>
            <w:r w:rsidR="00B47A9D">
              <w:t>($)</w:t>
            </w:r>
          </w:p>
        </w:tc>
        <w:tc>
          <w:tcPr>
            <w:tcW w:w="611" w:type="pct"/>
            <w:shd w:val="clear" w:color="auto" w:fill="auto"/>
          </w:tcPr>
          <w:p w14:paraId="129A67DD" w14:textId="2B064FA9"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479"/>
                <w14:textFill>
                  <w14:solidFill>
                    <w14:srgbClr w14:val="000000">
                      <w14:alpha w14:val="100000"/>
                    </w14:srgbClr>
                  </w14:solidFill>
                </w14:textFill>
              </w:rPr>
              <w:t xml:space="preserve">　</w:t>
            </w:r>
            <w:r w:rsidRPr="006A414A">
              <w:rPr>
                <w:color w:val="000000"/>
                <w:w w:val="25"/>
                <w:shd w:val="solid" w:color="000000" w:fill="000000"/>
                <w:fitText w:val="113" w:id="-1303199479"/>
                <w14:textFill>
                  <w14:solidFill>
                    <w14:srgbClr w14:val="000000">
                      <w14:alpha w14:val="100000"/>
                    </w14:srgbClr>
                  </w14:solidFill>
                </w14:textFill>
              </w:rPr>
              <w:t>|</w:t>
            </w:r>
            <w:r w:rsidRPr="006A414A">
              <w:rPr>
                <w:rFonts w:hint="eastAsia"/>
                <w:color w:val="000000"/>
                <w:spacing w:val="2"/>
                <w:w w:val="25"/>
                <w:shd w:val="solid" w:color="000000" w:fill="000000"/>
                <w:fitText w:val="113" w:id="-1303199479"/>
                <w14:textFill>
                  <w14:solidFill>
                    <w14:srgbClr w14:val="000000">
                      <w14:alpha w14:val="100000"/>
                    </w14:srgbClr>
                  </w14:solidFill>
                </w14:textFill>
              </w:rPr>
              <w:t xml:space="preserve">　</w:t>
            </w:r>
            <w:r w:rsidR="00524B9D">
              <w:rPr>
                <w:vertAlign w:val="superscript"/>
              </w:rPr>
              <w:t>7</w:t>
            </w:r>
          </w:p>
        </w:tc>
        <w:tc>
          <w:tcPr>
            <w:tcW w:w="611" w:type="pct"/>
            <w:shd w:val="clear" w:color="auto" w:fill="auto"/>
          </w:tcPr>
          <w:p w14:paraId="488F4DD8" w14:textId="0AC26FA7"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78"/>
                <w14:textFill>
                  <w14:solidFill>
                    <w14:srgbClr w14:val="000000">
                      <w14:alpha w14:val="100000"/>
                    </w14:srgbClr>
                  </w14:solidFill>
                </w14:textFill>
              </w:rPr>
              <w:t xml:space="preserve">　</w:t>
            </w:r>
            <w:r w:rsidRPr="006A414A">
              <w:rPr>
                <w:color w:val="000000"/>
                <w:w w:val="25"/>
                <w:shd w:val="solid" w:color="000000" w:fill="000000"/>
                <w:fitText w:val="112" w:id="-1303199478"/>
                <w14:textFill>
                  <w14:solidFill>
                    <w14:srgbClr w14:val="000000">
                      <w14:alpha w14:val="100000"/>
                    </w14:srgbClr>
                  </w14:solidFill>
                </w14:textFill>
              </w:rPr>
              <w:t>|</w:t>
            </w:r>
            <w:r w:rsidRPr="006A414A">
              <w:rPr>
                <w:rFonts w:hint="eastAsia"/>
                <w:color w:val="000000"/>
                <w:spacing w:val="1"/>
                <w:w w:val="25"/>
                <w:shd w:val="solid" w:color="000000" w:fill="000000"/>
                <w:fitText w:val="112" w:id="-1303199478"/>
                <w14:textFill>
                  <w14:solidFill>
                    <w14:srgbClr w14:val="000000">
                      <w14:alpha w14:val="100000"/>
                    </w14:srgbClr>
                  </w14:solidFill>
                </w14:textFill>
              </w:rPr>
              <w:t xml:space="preserve">　</w:t>
            </w:r>
            <w:r w:rsidR="00524B9D">
              <w:rPr>
                <w:vertAlign w:val="superscript"/>
              </w:rPr>
              <w:t>7</w:t>
            </w:r>
          </w:p>
        </w:tc>
        <w:tc>
          <w:tcPr>
            <w:tcW w:w="611" w:type="pct"/>
            <w:shd w:val="clear" w:color="auto" w:fill="auto"/>
          </w:tcPr>
          <w:p w14:paraId="3CAA3907" w14:textId="73CFCF85"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77"/>
                <w14:textFill>
                  <w14:solidFill>
                    <w14:srgbClr w14:val="000000">
                      <w14:alpha w14:val="100000"/>
                    </w14:srgbClr>
                  </w14:solidFill>
                </w14:textFill>
              </w:rPr>
              <w:t xml:space="preserve">　</w:t>
            </w:r>
            <w:r w:rsidRPr="006A414A">
              <w:rPr>
                <w:color w:val="000000"/>
                <w:w w:val="25"/>
                <w:shd w:val="solid" w:color="000000" w:fill="000000"/>
                <w:fitText w:val="112" w:id="-1303199477"/>
                <w14:textFill>
                  <w14:solidFill>
                    <w14:srgbClr w14:val="000000">
                      <w14:alpha w14:val="100000"/>
                    </w14:srgbClr>
                  </w14:solidFill>
                </w14:textFill>
              </w:rPr>
              <w:t>|</w:t>
            </w:r>
            <w:r w:rsidRPr="006A414A">
              <w:rPr>
                <w:rFonts w:hint="eastAsia"/>
                <w:color w:val="000000"/>
                <w:spacing w:val="1"/>
                <w:w w:val="25"/>
                <w:shd w:val="solid" w:color="000000" w:fill="000000"/>
                <w:fitText w:val="112" w:id="-1303199477"/>
                <w14:textFill>
                  <w14:solidFill>
                    <w14:srgbClr w14:val="000000">
                      <w14:alpha w14:val="100000"/>
                    </w14:srgbClr>
                  </w14:solidFill>
                </w14:textFill>
              </w:rPr>
              <w:t xml:space="preserve">　</w:t>
            </w:r>
            <w:r w:rsidR="00524B9D">
              <w:rPr>
                <w:vertAlign w:val="superscript"/>
              </w:rPr>
              <w:t>7</w:t>
            </w:r>
          </w:p>
        </w:tc>
        <w:tc>
          <w:tcPr>
            <w:tcW w:w="611" w:type="pct"/>
            <w:shd w:val="clear" w:color="auto" w:fill="auto"/>
          </w:tcPr>
          <w:p w14:paraId="695A880C" w14:textId="220282C6"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76"/>
                <w14:textFill>
                  <w14:solidFill>
                    <w14:srgbClr w14:val="000000">
                      <w14:alpha w14:val="100000"/>
                    </w14:srgbClr>
                  </w14:solidFill>
                </w14:textFill>
              </w:rPr>
              <w:t xml:space="preserve">　</w:t>
            </w:r>
            <w:r w:rsidRPr="006A414A">
              <w:rPr>
                <w:color w:val="000000"/>
                <w:w w:val="25"/>
                <w:shd w:val="solid" w:color="000000" w:fill="000000"/>
                <w:fitText w:val="112" w:id="-1303199476"/>
                <w14:textFill>
                  <w14:solidFill>
                    <w14:srgbClr w14:val="000000">
                      <w14:alpha w14:val="100000"/>
                    </w14:srgbClr>
                  </w14:solidFill>
                </w14:textFill>
              </w:rPr>
              <w:t>|</w:t>
            </w:r>
            <w:r w:rsidRPr="006A414A">
              <w:rPr>
                <w:rFonts w:hint="eastAsia"/>
                <w:color w:val="000000"/>
                <w:spacing w:val="1"/>
                <w:w w:val="25"/>
                <w:shd w:val="solid" w:color="000000" w:fill="000000"/>
                <w:fitText w:val="112" w:id="-1303199476"/>
                <w14:textFill>
                  <w14:solidFill>
                    <w14:srgbClr w14:val="000000">
                      <w14:alpha w14:val="100000"/>
                    </w14:srgbClr>
                  </w14:solidFill>
                </w14:textFill>
              </w:rPr>
              <w:t xml:space="preserve">　</w:t>
            </w:r>
            <w:r w:rsidR="00524B9D">
              <w:rPr>
                <w:vertAlign w:val="superscript"/>
              </w:rPr>
              <w:t>7</w:t>
            </w:r>
          </w:p>
        </w:tc>
        <w:tc>
          <w:tcPr>
            <w:tcW w:w="611" w:type="pct"/>
            <w:shd w:val="clear" w:color="auto" w:fill="auto"/>
          </w:tcPr>
          <w:p w14:paraId="512231A4" w14:textId="42243EB5"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475"/>
                <w14:textFill>
                  <w14:solidFill>
                    <w14:srgbClr w14:val="000000">
                      <w14:alpha w14:val="100000"/>
                    </w14:srgbClr>
                  </w14:solidFill>
                </w14:textFill>
              </w:rPr>
              <w:t xml:space="preserve">　</w:t>
            </w:r>
            <w:r w:rsidRPr="006A414A">
              <w:rPr>
                <w:color w:val="000000"/>
                <w:w w:val="25"/>
                <w:shd w:val="solid" w:color="000000" w:fill="000000"/>
                <w:fitText w:val="113" w:id="-1303199475"/>
                <w14:textFill>
                  <w14:solidFill>
                    <w14:srgbClr w14:val="000000">
                      <w14:alpha w14:val="100000"/>
                    </w14:srgbClr>
                  </w14:solidFill>
                </w14:textFill>
              </w:rPr>
              <w:t>|</w:t>
            </w:r>
            <w:r w:rsidRPr="006A414A">
              <w:rPr>
                <w:rFonts w:hint="eastAsia"/>
                <w:color w:val="000000"/>
                <w:spacing w:val="2"/>
                <w:w w:val="25"/>
                <w:shd w:val="solid" w:color="000000" w:fill="000000"/>
                <w:fitText w:val="113" w:id="-1303199475"/>
                <w14:textFill>
                  <w14:solidFill>
                    <w14:srgbClr w14:val="000000">
                      <w14:alpha w14:val="100000"/>
                    </w14:srgbClr>
                  </w14:solidFill>
                </w14:textFill>
              </w:rPr>
              <w:t xml:space="preserve">　</w:t>
            </w:r>
            <w:r w:rsidR="00524B9D">
              <w:rPr>
                <w:vertAlign w:val="superscript"/>
              </w:rPr>
              <w:t>7</w:t>
            </w:r>
          </w:p>
        </w:tc>
        <w:tc>
          <w:tcPr>
            <w:tcW w:w="613" w:type="pct"/>
          </w:tcPr>
          <w:p w14:paraId="27D72F08" w14:textId="61E03D7C" w:rsidR="004D3204" w:rsidRPr="00B47A9D" w:rsidRDefault="006A414A" w:rsidP="00AD2660">
            <w:pPr>
              <w:pStyle w:val="TableText0"/>
              <w:widowControl w:val="0"/>
              <w:jc w:val="center"/>
              <w:rPr>
                <w:highlight w:val="darkGray"/>
              </w:rPr>
            </w:pPr>
            <w:r w:rsidRPr="006A414A">
              <w:rPr>
                <w:rFonts w:hint="eastAsia"/>
                <w:color w:val="000000"/>
                <w:w w:val="22"/>
                <w:shd w:val="solid" w:color="000000" w:fill="000000"/>
                <w:fitText w:val="100" w:id="-1303199474"/>
                <w14:textFill>
                  <w14:solidFill>
                    <w14:srgbClr w14:val="000000">
                      <w14:alpha w14:val="100000"/>
                    </w14:srgbClr>
                  </w14:solidFill>
                </w14:textFill>
              </w:rPr>
              <w:t xml:space="preserve">　</w:t>
            </w:r>
            <w:r w:rsidRPr="006A414A">
              <w:rPr>
                <w:color w:val="000000"/>
                <w:w w:val="22"/>
                <w:shd w:val="solid" w:color="000000" w:fill="000000"/>
                <w:fitText w:val="100" w:id="-1303199474"/>
                <w14:textFill>
                  <w14:solidFill>
                    <w14:srgbClr w14:val="000000">
                      <w14:alpha w14:val="100000"/>
                    </w14:srgbClr>
                  </w14:solidFill>
                </w14:textFill>
              </w:rPr>
              <w:t>|</w:t>
            </w:r>
            <w:r w:rsidRPr="006A414A">
              <w:rPr>
                <w:rFonts w:hint="eastAsia"/>
                <w:color w:val="000000"/>
                <w:spacing w:val="2"/>
                <w:w w:val="22"/>
                <w:shd w:val="solid" w:color="000000" w:fill="000000"/>
                <w:fitText w:val="100" w:id="-1303199474"/>
                <w14:textFill>
                  <w14:solidFill>
                    <w14:srgbClr w14:val="000000">
                      <w14:alpha w14:val="100000"/>
                    </w14:srgbClr>
                  </w14:solidFill>
                </w14:textFill>
              </w:rPr>
              <w:t xml:space="preserve">　</w:t>
            </w:r>
            <w:r w:rsidR="00524B9D">
              <w:rPr>
                <w:vertAlign w:val="superscript"/>
              </w:rPr>
              <w:t>7</w:t>
            </w:r>
          </w:p>
        </w:tc>
      </w:tr>
      <w:tr w:rsidR="004D3204" w:rsidRPr="00464C9D" w14:paraId="627E4DF2" w14:textId="77777777" w:rsidTr="009A477A">
        <w:tc>
          <w:tcPr>
            <w:tcW w:w="5000" w:type="pct"/>
            <w:gridSpan w:val="7"/>
            <w:shd w:val="clear" w:color="auto" w:fill="auto"/>
            <w:vAlign w:val="center"/>
          </w:tcPr>
          <w:p w14:paraId="1D15A597" w14:textId="3C3A47E2" w:rsidR="004D3204" w:rsidRPr="00D94F59" w:rsidRDefault="004D3204" w:rsidP="00AD2660">
            <w:pPr>
              <w:pStyle w:val="TableText0"/>
              <w:widowControl w:val="0"/>
              <w:rPr>
                <w:b/>
                <w:vertAlign w:val="superscript"/>
              </w:rPr>
            </w:pPr>
            <w:r w:rsidRPr="00464C9D">
              <w:rPr>
                <w:b/>
              </w:rPr>
              <w:t>Estimated financial implications for 13vPCV (or 15vPCV)</w:t>
            </w:r>
            <w:r>
              <w:rPr>
                <w:b/>
                <w:vertAlign w:val="superscript"/>
              </w:rPr>
              <w:t>a</w:t>
            </w:r>
          </w:p>
        </w:tc>
      </w:tr>
      <w:tr w:rsidR="004D3204" w:rsidRPr="00464C9D" w14:paraId="413C68A3" w14:textId="77777777" w:rsidTr="006F4EF8">
        <w:tc>
          <w:tcPr>
            <w:tcW w:w="1332" w:type="pct"/>
            <w:shd w:val="clear" w:color="auto" w:fill="auto"/>
            <w:vAlign w:val="center"/>
          </w:tcPr>
          <w:p w14:paraId="228130AE" w14:textId="5BB41FFF" w:rsidR="004D3204" w:rsidRPr="00464C9D" w:rsidRDefault="004D3204" w:rsidP="00AD2660">
            <w:pPr>
              <w:pStyle w:val="TableText0"/>
              <w:widowControl w:val="0"/>
            </w:pPr>
            <w:r w:rsidRPr="3738BD90">
              <w:t>Cost to NIP</w:t>
            </w:r>
            <w:r w:rsidRPr="3738BD90">
              <w:rPr>
                <w:vertAlign w:val="superscript"/>
              </w:rPr>
              <w:t xml:space="preserve"> b</w:t>
            </w:r>
            <w:r w:rsidRPr="3738BD90">
              <w:t xml:space="preserve"> </w:t>
            </w:r>
            <w:r w:rsidR="00B47A9D">
              <w:t>($)</w:t>
            </w:r>
          </w:p>
        </w:tc>
        <w:tc>
          <w:tcPr>
            <w:tcW w:w="611" w:type="pct"/>
            <w:shd w:val="clear" w:color="auto" w:fill="auto"/>
            <w:vAlign w:val="center"/>
          </w:tcPr>
          <w:p w14:paraId="51354F0A" w14:textId="4475812D"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473"/>
                <w14:textFill>
                  <w14:solidFill>
                    <w14:srgbClr w14:val="000000">
                      <w14:alpha w14:val="100000"/>
                    </w14:srgbClr>
                  </w14:solidFill>
                </w14:textFill>
              </w:rPr>
              <w:t xml:space="preserve">　</w:t>
            </w:r>
            <w:r w:rsidRPr="006A414A">
              <w:rPr>
                <w:color w:val="000000"/>
                <w:w w:val="25"/>
                <w:shd w:val="solid" w:color="000000" w:fill="000000"/>
                <w:fitText w:val="113" w:id="-1303199473"/>
                <w14:textFill>
                  <w14:solidFill>
                    <w14:srgbClr w14:val="000000">
                      <w14:alpha w14:val="100000"/>
                    </w14:srgbClr>
                  </w14:solidFill>
                </w14:textFill>
              </w:rPr>
              <w:t>|</w:t>
            </w:r>
            <w:r w:rsidRPr="006A414A">
              <w:rPr>
                <w:rFonts w:hint="eastAsia"/>
                <w:color w:val="000000"/>
                <w:spacing w:val="2"/>
                <w:w w:val="25"/>
                <w:shd w:val="solid" w:color="000000" w:fill="000000"/>
                <w:fitText w:val="113" w:id="-1303199473"/>
                <w14:textFill>
                  <w14:solidFill>
                    <w14:srgbClr w14:val="000000">
                      <w14:alpha w14:val="100000"/>
                    </w14:srgbClr>
                  </w14:solidFill>
                </w14:textFill>
              </w:rPr>
              <w:t xml:space="preserve">　</w:t>
            </w:r>
            <w:r w:rsidR="00524B9D">
              <w:rPr>
                <w:vertAlign w:val="superscript"/>
              </w:rPr>
              <w:t>8</w:t>
            </w:r>
          </w:p>
        </w:tc>
        <w:tc>
          <w:tcPr>
            <w:tcW w:w="611" w:type="pct"/>
            <w:shd w:val="clear" w:color="auto" w:fill="auto"/>
            <w:vAlign w:val="center"/>
          </w:tcPr>
          <w:p w14:paraId="05260595" w14:textId="3FE7CA37"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72"/>
                <w14:textFill>
                  <w14:solidFill>
                    <w14:srgbClr w14:val="000000">
                      <w14:alpha w14:val="100000"/>
                    </w14:srgbClr>
                  </w14:solidFill>
                </w14:textFill>
              </w:rPr>
              <w:t xml:space="preserve">　</w:t>
            </w:r>
            <w:r w:rsidRPr="006A414A">
              <w:rPr>
                <w:color w:val="000000"/>
                <w:w w:val="25"/>
                <w:shd w:val="solid" w:color="000000" w:fill="000000"/>
                <w:fitText w:val="112" w:id="-1303199472"/>
                <w14:textFill>
                  <w14:solidFill>
                    <w14:srgbClr w14:val="000000">
                      <w14:alpha w14:val="100000"/>
                    </w14:srgbClr>
                  </w14:solidFill>
                </w14:textFill>
              </w:rPr>
              <w:t>|</w:t>
            </w:r>
            <w:r w:rsidRPr="006A414A">
              <w:rPr>
                <w:rFonts w:hint="eastAsia"/>
                <w:color w:val="000000"/>
                <w:spacing w:val="1"/>
                <w:w w:val="25"/>
                <w:shd w:val="solid" w:color="000000" w:fill="000000"/>
                <w:fitText w:val="112" w:id="-1303199472"/>
                <w14:textFill>
                  <w14:solidFill>
                    <w14:srgbClr w14:val="000000">
                      <w14:alpha w14:val="100000"/>
                    </w14:srgbClr>
                  </w14:solidFill>
                </w14:textFill>
              </w:rPr>
              <w:t xml:space="preserve">　</w:t>
            </w:r>
            <w:r w:rsidR="00524B9D">
              <w:rPr>
                <w:vertAlign w:val="superscript"/>
              </w:rPr>
              <w:t>8</w:t>
            </w:r>
          </w:p>
        </w:tc>
        <w:tc>
          <w:tcPr>
            <w:tcW w:w="611" w:type="pct"/>
            <w:shd w:val="clear" w:color="auto" w:fill="auto"/>
            <w:vAlign w:val="center"/>
          </w:tcPr>
          <w:p w14:paraId="1EB0DB87" w14:textId="41A3372B"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88"/>
                <w14:textFill>
                  <w14:solidFill>
                    <w14:srgbClr w14:val="000000">
                      <w14:alpha w14:val="100000"/>
                    </w14:srgbClr>
                  </w14:solidFill>
                </w14:textFill>
              </w:rPr>
              <w:t xml:space="preserve">　</w:t>
            </w:r>
            <w:r w:rsidRPr="006A414A">
              <w:rPr>
                <w:color w:val="000000"/>
                <w:w w:val="25"/>
                <w:shd w:val="solid" w:color="000000" w:fill="000000"/>
                <w:fitText w:val="112" w:id="-1303199488"/>
                <w14:textFill>
                  <w14:solidFill>
                    <w14:srgbClr w14:val="000000">
                      <w14:alpha w14:val="100000"/>
                    </w14:srgbClr>
                  </w14:solidFill>
                </w14:textFill>
              </w:rPr>
              <w:t>|</w:t>
            </w:r>
            <w:r w:rsidRPr="006A414A">
              <w:rPr>
                <w:rFonts w:hint="eastAsia"/>
                <w:color w:val="000000"/>
                <w:spacing w:val="1"/>
                <w:w w:val="25"/>
                <w:shd w:val="solid" w:color="000000" w:fill="000000"/>
                <w:fitText w:val="112" w:id="-1303199488"/>
                <w14:textFill>
                  <w14:solidFill>
                    <w14:srgbClr w14:val="000000">
                      <w14:alpha w14:val="100000"/>
                    </w14:srgbClr>
                  </w14:solidFill>
                </w14:textFill>
              </w:rPr>
              <w:t xml:space="preserve">　</w:t>
            </w:r>
            <w:r w:rsidR="00524B9D">
              <w:rPr>
                <w:vertAlign w:val="superscript"/>
              </w:rPr>
              <w:t>8</w:t>
            </w:r>
          </w:p>
        </w:tc>
        <w:tc>
          <w:tcPr>
            <w:tcW w:w="611" w:type="pct"/>
            <w:shd w:val="clear" w:color="auto" w:fill="auto"/>
            <w:vAlign w:val="center"/>
          </w:tcPr>
          <w:p w14:paraId="01E29EF1" w14:textId="05AD3F17"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87"/>
                <w14:textFill>
                  <w14:solidFill>
                    <w14:srgbClr w14:val="000000">
                      <w14:alpha w14:val="100000"/>
                    </w14:srgbClr>
                  </w14:solidFill>
                </w14:textFill>
              </w:rPr>
              <w:t xml:space="preserve">　</w:t>
            </w:r>
            <w:r w:rsidRPr="006A414A">
              <w:rPr>
                <w:color w:val="000000"/>
                <w:w w:val="25"/>
                <w:shd w:val="solid" w:color="000000" w:fill="000000"/>
                <w:fitText w:val="112" w:id="-1303199487"/>
                <w14:textFill>
                  <w14:solidFill>
                    <w14:srgbClr w14:val="000000">
                      <w14:alpha w14:val="100000"/>
                    </w14:srgbClr>
                  </w14:solidFill>
                </w14:textFill>
              </w:rPr>
              <w:t>|</w:t>
            </w:r>
            <w:r w:rsidRPr="006A414A">
              <w:rPr>
                <w:rFonts w:hint="eastAsia"/>
                <w:color w:val="000000"/>
                <w:spacing w:val="1"/>
                <w:w w:val="25"/>
                <w:shd w:val="solid" w:color="000000" w:fill="000000"/>
                <w:fitText w:val="112" w:id="-1303199487"/>
                <w14:textFill>
                  <w14:solidFill>
                    <w14:srgbClr w14:val="000000">
                      <w14:alpha w14:val="100000"/>
                    </w14:srgbClr>
                  </w14:solidFill>
                </w14:textFill>
              </w:rPr>
              <w:t xml:space="preserve">　</w:t>
            </w:r>
            <w:r w:rsidR="00524B9D">
              <w:rPr>
                <w:vertAlign w:val="superscript"/>
              </w:rPr>
              <w:t>8</w:t>
            </w:r>
          </w:p>
        </w:tc>
        <w:tc>
          <w:tcPr>
            <w:tcW w:w="611" w:type="pct"/>
            <w:shd w:val="clear" w:color="auto" w:fill="auto"/>
            <w:vAlign w:val="center"/>
          </w:tcPr>
          <w:p w14:paraId="6DF82F4E" w14:textId="09193808"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486"/>
                <w14:textFill>
                  <w14:solidFill>
                    <w14:srgbClr w14:val="000000">
                      <w14:alpha w14:val="100000"/>
                    </w14:srgbClr>
                  </w14:solidFill>
                </w14:textFill>
              </w:rPr>
              <w:t xml:space="preserve">　</w:t>
            </w:r>
            <w:r w:rsidRPr="006A414A">
              <w:rPr>
                <w:color w:val="000000"/>
                <w:w w:val="25"/>
                <w:shd w:val="solid" w:color="000000" w:fill="000000"/>
                <w:fitText w:val="113" w:id="-1303199486"/>
                <w14:textFill>
                  <w14:solidFill>
                    <w14:srgbClr w14:val="000000">
                      <w14:alpha w14:val="100000"/>
                    </w14:srgbClr>
                  </w14:solidFill>
                </w14:textFill>
              </w:rPr>
              <w:t>|</w:t>
            </w:r>
            <w:r w:rsidRPr="006A414A">
              <w:rPr>
                <w:rFonts w:hint="eastAsia"/>
                <w:color w:val="000000"/>
                <w:spacing w:val="2"/>
                <w:w w:val="25"/>
                <w:shd w:val="solid" w:color="000000" w:fill="000000"/>
                <w:fitText w:val="113" w:id="-1303199486"/>
                <w14:textFill>
                  <w14:solidFill>
                    <w14:srgbClr w14:val="000000">
                      <w14:alpha w14:val="100000"/>
                    </w14:srgbClr>
                  </w14:solidFill>
                </w14:textFill>
              </w:rPr>
              <w:t xml:space="preserve">　</w:t>
            </w:r>
            <w:r w:rsidR="00524B9D">
              <w:rPr>
                <w:vertAlign w:val="superscript"/>
              </w:rPr>
              <w:t>8</w:t>
            </w:r>
          </w:p>
        </w:tc>
        <w:tc>
          <w:tcPr>
            <w:tcW w:w="613" w:type="pct"/>
            <w:vAlign w:val="center"/>
          </w:tcPr>
          <w:p w14:paraId="653BC689" w14:textId="213DC20F" w:rsidR="004D3204" w:rsidRPr="00B47A9D" w:rsidRDefault="006A414A" w:rsidP="00AD2660">
            <w:pPr>
              <w:pStyle w:val="TableText0"/>
              <w:widowControl w:val="0"/>
              <w:jc w:val="center"/>
              <w:rPr>
                <w:highlight w:val="darkGray"/>
              </w:rPr>
            </w:pPr>
            <w:r w:rsidRPr="006A414A">
              <w:rPr>
                <w:rFonts w:hint="eastAsia"/>
                <w:color w:val="000000"/>
                <w:w w:val="22"/>
                <w:shd w:val="solid" w:color="000000" w:fill="000000"/>
                <w:fitText w:val="100" w:id="-1303199485"/>
                <w14:textFill>
                  <w14:solidFill>
                    <w14:srgbClr w14:val="000000">
                      <w14:alpha w14:val="100000"/>
                    </w14:srgbClr>
                  </w14:solidFill>
                </w14:textFill>
              </w:rPr>
              <w:t xml:space="preserve">　</w:t>
            </w:r>
            <w:r w:rsidRPr="006A414A">
              <w:rPr>
                <w:color w:val="000000"/>
                <w:w w:val="22"/>
                <w:shd w:val="solid" w:color="000000" w:fill="000000"/>
                <w:fitText w:val="100" w:id="-1303199485"/>
                <w14:textFill>
                  <w14:solidFill>
                    <w14:srgbClr w14:val="000000">
                      <w14:alpha w14:val="100000"/>
                    </w14:srgbClr>
                  </w14:solidFill>
                </w14:textFill>
              </w:rPr>
              <w:t>|</w:t>
            </w:r>
            <w:r w:rsidRPr="006A414A">
              <w:rPr>
                <w:rFonts w:hint="eastAsia"/>
                <w:color w:val="000000"/>
                <w:spacing w:val="2"/>
                <w:w w:val="22"/>
                <w:shd w:val="solid" w:color="000000" w:fill="000000"/>
                <w:fitText w:val="100" w:id="-1303199485"/>
                <w14:textFill>
                  <w14:solidFill>
                    <w14:srgbClr w14:val="000000">
                      <w14:alpha w14:val="100000"/>
                    </w14:srgbClr>
                  </w14:solidFill>
                </w14:textFill>
              </w:rPr>
              <w:t xml:space="preserve">　</w:t>
            </w:r>
            <w:r w:rsidR="00524B9D">
              <w:rPr>
                <w:vertAlign w:val="superscript"/>
              </w:rPr>
              <w:t>8</w:t>
            </w:r>
          </w:p>
        </w:tc>
      </w:tr>
      <w:tr w:rsidR="004D3204" w:rsidRPr="00464C9D" w14:paraId="13FB2886" w14:textId="77777777" w:rsidTr="009A477A">
        <w:tc>
          <w:tcPr>
            <w:tcW w:w="5000" w:type="pct"/>
            <w:gridSpan w:val="7"/>
            <w:shd w:val="clear" w:color="auto" w:fill="auto"/>
            <w:vAlign w:val="center"/>
          </w:tcPr>
          <w:p w14:paraId="03EF7228" w14:textId="4ACAFA52" w:rsidR="004D3204" w:rsidRPr="00E45D95" w:rsidRDefault="004D3204" w:rsidP="00AD2660">
            <w:pPr>
              <w:pStyle w:val="TableText0"/>
              <w:widowControl w:val="0"/>
              <w:rPr>
                <w:b/>
                <w:bCs w:val="0"/>
              </w:rPr>
            </w:pPr>
            <w:r w:rsidRPr="00E45D95">
              <w:rPr>
                <w:b/>
                <w:bCs w:val="0"/>
              </w:rPr>
              <w:t>Net financial implications</w:t>
            </w:r>
          </w:p>
        </w:tc>
      </w:tr>
      <w:tr w:rsidR="004D3204" w:rsidRPr="00464C9D" w14:paraId="2C2B63D0" w14:textId="77777777" w:rsidTr="006F4EF8">
        <w:tc>
          <w:tcPr>
            <w:tcW w:w="1332" w:type="pct"/>
            <w:shd w:val="clear" w:color="auto" w:fill="auto"/>
            <w:vAlign w:val="center"/>
          </w:tcPr>
          <w:p w14:paraId="254E54CE" w14:textId="2C32AA9B" w:rsidR="004D3204" w:rsidRPr="00464C9D" w:rsidRDefault="004D3204" w:rsidP="00AD2660">
            <w:pPr>
              <w:pStyle w:val="TableText0"/>
              <w:widowControl w:val="0"/>
            </w:pPr>
            <w:r w:rsidRPr="00464C9D">
              <w:t>Net cost to MBS</w:t>
            </w:r>
            <w:r w:rsidR="00B47A9D">
              <w:t xml:space="preserve"> ($)</w:t>
            </w:r>
          </w:p>
        </w:tc>
        <w:tc>
          <w:tcPr>
            <w:tcW w:w="611" w:type="pct"/>
            <w:shd w:val="clear" w:color="auto" w:fill="auto"/>
            <w:vAlign w:val="center"/>
          </w:tcPr>
          <w:p w14:paraId="4918182F" w14:textId="26331E3E"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484"/>
                <w14:textFill>
                  <w14:solidFill>
                    <w14:srgbClr w14:val="000000">
                      <w14:alpha w14:val="100000"/>
                    </w14:srgbClr>
                  </w14:solidFill>
                </w14:textFill>
              </w:rPr>
              <w:t xml:space="preserve">　</w:t>
            </w:r>
            <w:r w:rsidRPr="006A414A">
              <w:rPr>
                <w:color w:val="000000"/>
                <w:w w:val="25"/>
                <w:shd w:val="solid" w:color="000000" w:fill="000000"/>
                <w:fitText w:val="113" w:id="-1303199484"/>
                <w14:textFill>
                  <w14:solidFill>
                    <w14:srgbClr w14:val="000000">
                      <w14:alpha w14:val="100000"/>
                    </w14:srgbClr>
                  </w14:solidFill>
                </w14:textFill>
              </w:rPr>
              <w:t>|</w:t>
            </w:r>
            <w:r w:rsidRPr="006A414A">
              <w:rPr>
                <w:rFonts w:hint="eastAsia"/>
                <w:color w:val="000000"/>
                <w:spacing w:val="2"/>
                <w:w w:val="25"/>
                <w:shd w:val="solid" w:color="000000" w:fill="000000"/>
                <w:fitText w:val="113" w:id="-1303199484"/>
                <w14:textFill>
                  <w14:solidFill>
                    <w14:srgbClr w14:val="000000">
                      <w14:alpha w14:val="100000"/>
                    </w14:srgbClr>
                  </w14:solidFill>
                </w14:textFill>
              </w:rPr>
              <w:t xml:space="preserve">　</w:t>
            </w:r>
            <w:r w:rsidR="00524B9D">
              <w:rPr>
                <w:vertAlign w:val="superscript"/>
              </w:rPr>
              <w:t>7</w:t>
            </w:r>
          </w:p>
        </w:tc>
        <w:tc>
          <w:tcPr>
            <w:tcW w:w="611" w:type="pct"/>
            <w:shd w:val="clear" w:color="auto" w:fill="auto"/>
            <w:vAlign w:val="center"/>
          </w:tcPr>
          <w:p w14:paraId="3C64A980" w14:textId="29A08F90"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83"/>
                <w14:textFill>
                  <w14:solidFill>
                    <w14:srgbClr w14:val="000000">
                      <w14:alpha w14:val="100000"/>
                    </w14:srgbClr>
                  </w14:solidFill>
                </w14:textFill>
              </w:rPr>
              <w:t xml:space="preserve">　</w:t>
            </w:r>
            <w:r w:rsidRPr="006A414A">
              <w:rPr>
                <w:color w:val="000000"/>
                <w:w w:val="25"/>
                <w:shd w:val="solid" w:color="000000" w:fill="000000"/>
                <w:fitText w:val="112" w:id="-1303199483"/>
                <w14:textFill>
                  <w14:solidFill>
                    <w14:srgbClr w14:val="000000">
                      <w14:alpha w14:val="100000"/>
                    </w14:srgbClr>
                  </w14:solidFill>
                </w14:textFill>
              </w:rPr>
              <w:t>|</w:t>
            </w:r>
            <w:r w:rsidRPr="006A414A">
              <w:rPr>
                <w:rFonts w:hint="eastAsia"/>
                <w:color w:val="000000"/>
                <w:spacing w:val="1"/>
                <w:w w:val="25"/>
                <w:shd w:val="solid" w:color="000000" w:fill="000000"/>
                <w:fitText w:val="112" w:id="-1303199483"/>
                <w14:textFill>
                  <w14:solidFill>
                    <w14:srgbClr w14:val="000000">
                      <w14:alpha w14:val="100000"/>
                    </w14:srgbClr>
                  </w14:solidFill>
                </w14:textFill>
              </w:rPr>
              <w:t xml:space="preserve">　</w:t>
            </w:r>
            <w:r w:rsidR="00524B9D">
              <w:rPr>
                <w:vertAlign w:val="superscript"/>
              </w:rPr>
              <w:t>7</w:t>
            </w:r>
          </w:p>
        </w:tc>
        <w:tc>
          <w:tcPr>
            <w:tcW w:w="611" w:type="pct"/>
            <w:shd w:val="clear" w:color="auto" w:fill="auto"/>
            <w:vAlign w:val="center"/>
          </w:tcPr>
          <w:p w14:paraId="7CC778F3" w14:textId="4E8D4B79"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82"/>
                <w14:textFill>
                  <w14:solidFill>
                    <w14:srgbClr w14:val="000000">
                      <w14:alpha w14:val="100000"/>
                    </w14:srgbClr>
                  </w14:solidFill>
                </w14:textFill>
              </w:rPr>
              <w:t xml:space="preserve">　</w:t>
            </w:r>
            <w:r w:rsidRPr="006A414A">
              <w:rPr>
                <w:color w:val="000000"/>
                <w:w w:val="25"/>
                <w:shd w:val="solid" w:color="000000" w:fill="000000"/>
                <w:fitText w:val="112" w:id="-1303199482"/>
                <w14:textFill>
                  <w14:solidFill>
                    <w14:srgbClr w14:val="000000">
                      <w14:alpha w14:val="100000"/>
                    </w14:srgbClr>
                  </w14:solidFill>
                </w14:textFill>
              </w:rPr>
              <w:t>|</w:t>
            </w:r>
            <w:r w:rsidRPr="006A414A">
              <w:rPr>
                <w:rFonts w:hint="eastAsia"/>
                <w:color w:val="000000"/>
                <w:spacing w:val="1"/>
                <w:w w:val="25"/>
                <w:shd w:val="solid" w:color="000000" w:fill="000000"/>
                <w:fitText w:val="112" w:id="-1303199482"/>
                <w14:textFill>
                  <w14:solidFill>
                    <w14:srgbClr w14:val="000000">
                      <w14:alpha w14:val="100000"/>
                    </w14:srgbClr>
                  </w14:solidFill>
                </w14:textFill>
              </w:rPr>
              <w:t xml:space="preserve">　</w:t>
            </w:r>
            <w:r w:rsidR="00524B9D">
              <w:rPr>
                <w:vertAlign w:val="superscript"/>
              </w:rPr>
              <w:t>7</w:t>
            </w:r>
          </w:p>
        </w:tc>
        <w:tc>
          <w:tcPr>
            <w:tcW w:w="611" w:type="pct"/>
            <w:shd w:val="clear" w:color="auto" w:fill="auto"/>
            <w:vAlign w:val="center"/>
          </w:tcPr>
          <w:p w14:paraId="0B78003C" w14:textId="3AE3A780"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81"/>
                <w14:textFill>
                  <w14:solidFill>
                    <w14:srgbClr w14:val="000000">
                      <w14:alpha w14:val="100000"/>
                    </w14:srgbClr>
                  </w14:solidFill>
                </w14:textFill>
              </w:rPr>
              <w:t xml:space="preserve">　</w:t>
            </w:r>
            <w:r w:rsidRPr="006A414A">
              <w:rPr>
                <w:color w:val="000000"/>
                <w:w w:val="25"/>
                <w:shd w:val="solid" w:color="000000" w:fill="000000"/>
                <w:fitText w:val="112" w:id="-1303199481"/>
                <w14:textFill>
                  <w14:solidFill>
                    <w14:srgbClr w14:val="000000">
                      <w14:alpha w14:val="100000"/>
                    </w14:srgbClr>
                  </w14:solidFill>
                </w14:textFill>
              </w:rPr>
              <w:t>|</w:t>
            </w:r>
            <w:r w:rsidRPr="006A414A">
              <w:rPr>
                <w:rFonts w:hint="eastAsia"/>
                <w:color w:val="000000"/>
                <w:spacing w:val="1"/>
                <w:w w:val="25"/>
                <w:shd w:val="solid" w:color="000000" w:fill="000000"/>
                <w:fitText w:val="112" w:id="-1303199481"/>
                <w14:textFill>
                  <w14:solidFill>
                    <w14:srgbClr w14:val="000000">
                      <w14:alpha w14:val="100000"/>
                    </w14:srgbClr>
                  </w14:solidFill>
                </w14:textFill>
              </w:rPr>
              <w:t xml:space="preserve">　</w:t>
            </w:r>
            <w:r w:rsidR="00524B9D">
              <w:rPr>
                <w:vertAlign w:val="superscript"/>
              </w:rPr>
              <w:t>7</w:t>
            </w:r>
          </w:p>
        </w:tc>
        <w:tc>
          <w:tcPr>
            <w:tcW w:w="611" w:type="pct"/>
            <w:shd w:val="clear" w:color="auto" w:fill="auto"/>
            <w:vAlign w:val="center"/>
          </w:tcPr>
          <w:p w14:paraId="15ADBE50" w14:textId="7A7E85C6"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480"/>
                <w14:textFill>
                  <w14:solidFill>
                    <w14:srgbClr w14:val="000000">
                      <w14:alpha w14:val="100000"/>
                    </w14:srgbClr>
                  </w14:solidFill>
                </w14:textFill>
              </w:rPr>
              <w:t xml:space="preserve">　</w:t>
            </w:r>
            <w:r w:rsidRPr="006A414A">
              <w:rPr>
                <w:color w:val="000000"/>
                <w:w w:val="25"/>
                <w:shd w:val="solid" w:color="000000" w:fill="000000"/>
                <w:fitText w:val="113" w:id="-1303199480"/>
                <w14:textFill>
                  <w14:solidFill>
                    <w14:srgbClr w14:val="000000">
                      <w14:alpha w14:val="100000"/>
                    </w14:srgbClr>
                  </w14:solidFill>
                </w14:textFill>
              </w:rPr>
              <w:t>|</w:t>
            </w:r>
            <w:r w:rsidRPr="006A414A">
              <w:rPr>
                <w:rFonts w:hint="eastAsia"/>
                <w:color w:val="000000"/>
                <w:spacing w:val="2"/>
                <w:w w:val="25"/>
                <w:shd w:val="solid" w:color="000000" w:fill="000000"/>
                <w:fitText w:val="113" w:id="-1303199480"/>
                <w14:textFill>
                  <w14:solidFill>
                    <w14:srgbClr w14:val="000000">
                      <w14:alpha w14:val="100000"/>
                    </w14:srgbClr>
                  </w14:solidFill>
                </w14:textFill>
              </w:rPr>
              <w:t xml:space="preserve">　</w:t>
            </w:r>
            <w:r w:rsidR="00524B9D">
              <w:rPr>
                <w:vertAlign w:val="superscript"/>
              </w:rPr>
              <w:t>7</w:t>
            </w:r>
          </w:p>
        </w:tc>
        <w:tc>
          <w:tcPr>
            <w:tcW w:w="613" w:type="pct"/>
            <w:vAlign w:val="center"/>
          </w:tcPr>
          <w:p w14:paraId="456AC599" w14:textId="270ED159" w:rsidR="004D3204" w:rsidRPr="00B47A9D" w:rsidRDefault="006A414A" w:rsidP="00AD2660">
            <w:pPr>
              <w:pStyle w:val="TableText0"/>
              <w:widowControl w:val="0"/>
              <w:jc w:val="center"/>
              <w:rPr>
                <w:highlight w:val="darkGray"/>
              </w:rPr>
            </w:pPr>
            <w:r w:rsidRPr="006A414A">
              <w:rPr>
                <w:rFonts w:hint="eastAsia"/>
                <w:color w:val="000000"/>
                <w:w w:val="22"/>
                <w:shd w:val="solid" w:color="000000" w:fill="000000"/>
                <w:fitText w:val="100" w:id="-1303199479"/>
                <w14:textFill>
                  <w14:solidFill>
                    <w14:srgbClr w14:val="000000">
                      <w14:alpha w14:val="100000"/>
                    </w14:srgbClr>
                  </w14:solidFill>
                </w14:textFill>
              </w:rPr>
              <w:t xml:space="preserve">　</w:t>
            </w:r>
            <w:r w:rsidRPr="006A414A">
              <w:rPr>
                <w:color w:val="000000"/>
                <w:w w:val="22"/>
                <w:shd w:val="solid" w:color="000000" w:fill="000000"/>
                <w:fitText w:val="100" w:id="-1303199479"/>
                <w14:textFill>
                  <w14:solidFill>
                    <w14:srgbClr w14:val="000000">
                      <w14:alpha w14:val="100000"/>
                    </w14:srgbClr>
                  </w14:solidFill>
                </w14:textFill>
              </w:rPr>
              <w:t>|</w:t>
            </w:r>
            <w:r w:rsidRPr="006A414A">
              <w:rPr>
                <w:rFonts w:hint="eastAsia"/>
                <w:color w:val="000000"/>
                <w:spacing w:val="2"/>
                <w:w w:val="22"/>
                <w:shd w:val="solid" w:color="000000" w:fill="000000"/>
                <w:fitText w:val="100" w:id="-1303199479"/>
                <w14:textFill>
                  <w14:solidFill>
                    <w14:srgbClr w14:val="000000">
                      <w14:alpha w14:val="100000"/>
                    </w14:srgbClr>
                  </w14:solidFill>
                </w14:textFill>
              </w:rPr>
              <w:t xml:space="preserve">　</w:t>
            </w:r>
            <w:r w:rsidR="00524B9D">
              <w:rPr>
                <w:vertAlign w:val="superscript"/>
              </w:rPr>
              <w:t>7</w:t>
            </w:r>
          </w:p>
        </w:tc>
      </w:tr>
      <w:tr w:rsidR="004D3204" w:rsidRPr="00464C9D" w14:paraId="022FABB7" w14:textId="77777777" w:rsidTr="006F4EF8">
        <w:tc>
          <w:tcPr>
            <w:tcW w:w="1332" w:type="pct"/>
            <w:shd w:val="clear" w:color="auto" w:fill="auto"/>
            <w:vAlign w:val="center"/>
          </w:tcPr>
          <w:p w14:paraId="17A0E540" w14:textId="7428796F" w:rsidR="004D3204" w:rsidRPr="00464C9D" w:rsidRDefault="004D3204" w:rsidP="00AD2660">
            <w:pPr>
              <w:pStyle w:val="TableText0"/>
              <w:widowControl w:val="0"/>
              <w:rPr>
                <w:lang w:val="en-US"/>
              </w:rPr>
            </w:pPr>
            <w:r w:rsidRPr="00464C9D">
              <w:rPr>
                <w:lang w:val="en-US"/>
              </w:rPr>
              <w:t>Net cost to NIP</w:t>
            </w:r>
            <w:r w:rsidR="00B47A9D">
              <w:rPr>
                <w:lang w:val="en-US"/>
              </w:rPr>
              <w:t xml:space="preserve"> ($)</w:t>
            </w:r>
          </w:p>
        </w:tc>
        <w:tc>
          <w:tcPr>
            <w:tcW w:w="611" w:type="pct"/>
            <w:shd w:val="clear" w:color="auto" w:fill="auto"/>
            <w:vAlign w:val="center"/>
          </w:tcPr>
          <w:p w14:paraId="1287950E" w14:textId="2CDC185A"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478"/>
                <w14:textFill>
                  <w14:solidFill>
                    <w14:srgbClr w14:val="000000">
                      <w14:alpha w14:val="100000"/>
                    </w14:srgbClr>
                  </w14:solidFill>
                </w14:textFill>
              </w:rPr>
              <w:t xml:space="preserve">　</w:t>
            </w:r>
            <w:r w:rsidRPr="006A414A">
              <w:rPr>
                <w:color w:val="000000"/>
                <w:w w:val="25"/>
                <w:shd w:val="solid" w:color="000000" w:fill="000000"/>
                <w:fitText w:val="113" w:id="-1303199478"/>
                <w14:textFill>
                  <w14:solidFill>
                    <w14:srgbClr w14:val="000000">
                      <w14:alpha w14:val="100000"/>
                    </w14:srgbClr>
                  </w14:solidFill>
                </w14:textFill>
              </w:rPr>
              <w:t>|</w:t>
            </w:r>
            <w:r w:rsidRPr="006A414A">
              <w:rPr>
                <w:rFonts w:hint="eastAsia"/>
                <w:color w:val="000000"/>
                <w:spacing w:val="2"/>
                <w:w w:val="25"/>
                <w:shd w:val="solid" w:color="000000" w:fill="000000"/>
                <w:fitText w:val="113" w:id="-1303199478"/>
                <w14:textFill>
                  <w14:solidFill>
                    <w14:srgbClr w14:val="000000">
                      <w14:alpha w14:val="100000"/>
                    </w14:srgbClr>
                  </w14:solidFill>
                </w14:textFill>
              </w:rPr>
              <w:t xml:space="preserve">　</w:t>
            </w:r>
            <w:r w:rsidR="00524B9D">
              <w:rPr>
                <w:vertAlign w:val="superscript"/>
              </w:rPr>
              <w:t>7</w:t>
            </w:r>
          </w:p>
        </w:tc>
        <w:tc>
          <w:tcPr>
            <w:tcW w:w="611" w:type="pct"/>
            <w:shd w:val="clear" w:color="auto" w:fill="auto"/>
            <w:vAlign w:val="center"/>
          </w:tcPr>
          <w:p w14:paraId="766DF487" w14:textId="59128290"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77"/>
                <w14:textFill>
                  <w14:solidFill>
                    <w14:srgbClr w14:val="000000">
                      <w14:alpha w14:val="100000"/>
                    </w14:srgbClr>
                  </w14:solidFill>
                </w14:textFill>
              </w:rPr>
              <w:t xml:space="preserve">　</w:t>
            </w:r>
            <w:r w:rsidRPr="006A414A">
              <w:rPr>
                <w:color w:val="000000"/>
                <w:w w:val="25"/>
                <w:shd w:val="solid" w:color="000000" w:fill="000000"/>
                <w:fitText w:val="112" w:id="-1303199477"/>
                <w14:textFill>
                  <w14:solidFill>
                    <w14:srgbClr w14:val="000000">
                      <w14:alpha w14:val="100000"/>
                    </w14:srgbClr>
                  </w14:solidFill>
                </w14:textFill>
              </w:rPr>
              <w:t>|</w:t>
            </w:r>
            <w:r w:rsidRPr="006A414A">
              <w:rPr>
                <w:rFonts w:hint="eastAsia"/>
                <w:color w:val="000000"/>
                <w:spacing w:val="1"/>
                <w:w w:val="25"/>
                <w:shd w:val="solid" w:color="000000" w:fill="000000"/>
                <w:fitText w:val="112" w:id="-1303199477"/>
                <w14:textFill>
                  <w14:solidFill>
                    <w14:srgbClr w14:val="000000">
                      <w14:alpha w14:val="100000"/>
                    </w14:srgbClr>
                  </w14:solidFill>
                </w14:textFill>
              </w:rPr>
              <w:t xml:space="preserve">　</w:t>
            </w:r>
            <w:r w:rsidR="00524B9D">
              <w:rPr>
                <w:vertAlign w:val="superscript"/>
              </w:rPr>
              <w:t>7</w:t>
            </w:r>
          </w:p>
        </w:tc>
        <w:tc>
          <w:tcPr>
            <w:tcW w:w="611" w:type="pct"/>
            <w:shd w:val="clear" w:color="auto" w:fill="auto"/>
            <w:vAlign w:val="center"/>
          </w:tcPr>
          <w:p w14:paraId="734AD2F4" w14:textId="0B24E695"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76"/>
                <w14:textFill>
                  <w14:solidFill>
                    <w14:srgbClr w14:val="000000">
                      <w14:alpha w14:val="100000"/>
                    </w14:srgbClr>
                  </w14:solidFill>
                </w14:textFill>
              </w:rPr>
              <w:t xml:space="preserve">　</w:t>
            </w:r>
            <w:r w:rsidRPr="006A414A">
              <w:rPr>
                <w:color w:val="000000"/>
                <w:w w:val="25"/>
                <w:shd w:val="solid" w:color="000000" w:fill="000000"/>
                <w:fitText w:val="112" w:id="-1303199476"/>
                <w14:textFill>
                  <w14:solidFill>
                    <w14:srgbClr w14:val="000000">
                      <w14:alpha w14:val="100000"/>
                    </w14:srgbClr>
                  </w14:solidFill>
                </w14:textFill>
              </w:rPr>
              <w:t>|</w:t>
            </w:r>
            <w:r w:rsidRPr="006A414A">
              <w:rPr>
                <w:rFonts w:hint="eastAsia"/>
                <w:color w:val="000000"/>
                <w:spacing w:val="1"/>
                <w:w w:val="25"/>
                <w:shd w:val="solid" w:color="000000" w:fill="000000"/>
                <w:fitText w:val="112" w:id="-1303199476"/>
                <w14:textFill>
                  <w14:solidFill>
                    <w14:srgbClr w14:val="000000">
                      <w14:alpha w14:val="100000"/>
                    </w14:srgbClr>
                  </w14:solidFill>
                </w14:textFill>
              </w:rPr>
              <w:t xml:space="preserve">　</w:t>
            </w:r>
            <w:r w:rsidR="00524B9D">
              <w:rPr>
                <w:vertAlign w:val="superscript"/>
              </w:rPr>
              <w:t>7</w:t>
            </w:r>
          </w:p>
        </w:tc>
        <w:tc>
          <w:tcPr>
            <w:tcW w:w="611" w:type="pct"/>
            <w:shd w:val="clear" w:color="auto" w:fill="auto"/>
            <w:vAlign w:val="center"/>
          </w:tcPr>
          <w:p w14:paraId="188BDAD8" w14:textId="5FB6B416"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2" w:id="-1303199475"/>
                <w14:textFill>
                  <w14:solidFill>
                    <w14:srgbClr w14:val="000000">
                      <w14:alpha w14:val="100000"/>
                    </w14:srgbClr>
                  </w14:solidFill>
                </w14:textFill>
              </w:rPr>
              <w:t xml:space="preserve">　</w:t>
            </w:r>
            <w:r w:rsidRPr="006A414A">
              <w:rPr>
                <w:color w:val="000000"/>
                <w:w w:val="25"/>
                <w:shd w:val="solid" w:color="000000" w:fill="000000"/>
                <w:fitText w:val="112" w:id="-1303199475"/>
                <w14:textFill>
                  <w14:solidFill>
                    <w14:srgbClr w14:val="000000">
                      <w14:alpha w14:val="100000"/>
                    </w14:srgbClr>
                  </w14:solidFill>
                </w14:textFill>
              </w:rPr>
              <w:t>|</w:t>
            </w:r>
            <w:r w:rsidRPr="006A414A">
              <w:rPr>
                <w:rFonts w:hint="eastAsia"/>
                <w:color w:val="000000"/>
                <w:spacing w:val="1"/>
                <w:w w:val="25"/>
                <w:shd w:val="solid" w:color="000000" w:fill="000000"/>
                <w:fitText w:val="112" w:id="-1303199475"/>
                <w14:textFill>
                  <w14:solidFill>
                    <w14:srgbClr w14:val="000000">
                      <w14:alpha w14:val="100000"/>
                    </w14:srgbClr>
                  </w14:solidFill>
                </w14:textFill>
              </w:rPr>
              <w:t xml:space="preserve">　</w:t>
            </w:r>
            <w:r w:rsidR="00524B9D">
              <w:rPr>
                <w:vertAlign w:val="superscript"/>
              </w:rPr>
              <w:t>7</w:t>
            </w:r>
          </w:p>
        </w:tc>
        <w:tc>
          <w:tcPr>
            <w:tcW w:w="611" w:type="pct"/>
            <w:shd w:val="clear" w:color="auto" w:fill="auto"/>
            <w:vAlign w:val="center"/>
          </w:tcPr>
          <w:p w14:paraId="48576237" w14:textId="0D261DD7" w:rsidR="004D3204" w:rsidRPr="00B47A9D" w:rsidRDefault="006A414A" w:rsidP="00AD2660">
            <w:pPr>
              <w:pStyle w:val="TableText0"/>
              <w:widowControl w:val="0"/>
              <w:jc w:val="center"/>
              <w:rPr>
                <w:highlight w:val="darkGray"/>
              </w:rPr>
            </w:pPr>
            <w:r w:rsidRPr="006A414A">
              <w:rPr>
                <w:rFonts w:hint="eastAsia"/>
                <w:color w:val="000000"/>
                <w:w w:val="25"/>
                <w:shd w:val="solid" w:color="000000" w:fill="000000"/>
                <w:fitText w:val="113" w:id="-1303199474"/>
                <w14:textFill>
                  <w14:solidFill>
                    <w14:srgbClr w14:val="000000">
                      <w14:alpha w14:val="100000"/>
                    </w14:srgbClr>
                  </w14:solidFill>
                </w14:textFill>
              </w:rPr>
              <w:t xml:space="preserve">　</w:t>
            </w:r>
            <w:r w:rsidRPr="006A414A">
              <w:rPr>
                <w:color w:val="000000"/>
                <w:w w:val="25"/>
                <w:shd w:val="solid" w:color="000000" w:fill="000000"/>
                <w:fitText w:val="113" w:id="-1303199474"/>
                <w14:textFill>
                  <w14:solidFill>
                    <w14:srgbClr w14:val="000000">
                      <w14:alpha w14:val="100000"/>
                    </w14:srgbClr>
                  </w14:solidFill>
                </w14:textFill>
              </w:rPr>
              <w:t>|</w:t>
            </w:r>
            <w:r w:rsidRPr="006A414A">
              <w:rPr>
                <w:rFonts w:hint="eastAsia"/>
                <w:color w:val="000000"/>
                <w:spacing w:val="2"/>
                <w:w w:val="25"/>
                <w:shd w:val="solid" w:color="000000" w:fill="000000"/>
                <w:fitText w:val="113" w:id="-1303199474"/>
                <w14:textFill>
                  <w14:solidFill>
                    <w14:srgbClr w14:val="000000">
                      <w14:alpha w14:val="100000"/>
                    </w14:srgbClr>
                  </w14:solidFill>
                </w14:textFill>
              </w:rPr>
              <w:t xml:space="preserve">　</w:t>
            </w:r>
            <w:r w:rsidR="00524B9D">
              <w:rPr>
                <w:vertAlign w:val="superscript"/>
              </w:rPr>
              <w:t>7</w:t>
            </w:r>
          </w:p>
        </w:tc>
        <w:tc>
          <w:tcPr>
            <w:tcW w:w="613" w:type="pct"/>
            <w:vAlign w:val="center"/>
          </w:tcPr>
          <w:p w14:paraId="5B5FB856" w14:textId="32DAAD8F" w:rsidR="004D3204" w:rsidRPr="00B47A9D" w:rsidRDefault="006A414A" w:rsidP="00AD2660">
            <w:pPr>
              <w:pStyle w:val="TableText0"/>
              <w:widowControl w:val="0"/>
              <w:jc w:val="center"/>
              <w:rPr>
                <w:highlight w:val="darkGray"/>
              </w:rPr>
            </w:pPr>
            <w:r w:rsidRPr="006A414A">
              <w:rPr>
                <w:rFonts w:hint="eastAsia"/>
                <w:color w:val="000000"/>
                <w:w w:val="22"/>
                <w:shd w:val="solid" w:color="000000" w:fill="000000"/>
                <w:fitText w:val="100" w:id="-1303199473"/>
                <w14:textFill>
                  <w14:solidFill>
                    <w14:srgbClr w14:val="000000">
                      <w14:alpha w14:val="100000"/>
                    </w14:srgbClr>
                  </w14:solidFill>
                </w14:textFill>
              </w:rPr>
              <w:t xml:space="preserve">　</w:t>
            </w:r>
            <w:r w:rsidRPr="006A414A">
              <w:rPr>
                <w:color w:val="000000"/>
                <w:w w:val="22"/>
                <w:shd w:val="solid" w:color="000000" w:fill="000000"/>
                <w:fitText w:val="100" w:id="-1303199473"/>
                <w14:textFill>
                  <w14:solidFill>
                    <w14:srgbClr w14:val="000000">
                      <w14:alpha w14:val="100000"/>
                    </w14:srgbClr>
                  </w14:solidFill>
                </w14:textFill>
              </w:rPr>
              <w:t>|</w:t>
            </w:r>
            <w:r w:rsidRPr="006A414A">
              <w:rPr>
                <w:rFonts w:hint="eastAsia"/>
                <w:color w:val="000000"/>
                <w:spacing w:val="2"/>
                <w:w w:val="22"/>
                <w:shd w:val="solid" w:color="000000" w:fill="000000"/>
                <w:fitText w:val="100" w:id="-1303199473"/>
                <w14:textFill>
                  <w14:solidFill>
                    <w14:srgbClr w14:val="000000">
                      <w14:alpha w14:val="100000"/>
                    </w14:srgbClr>
                  </w14:solidFill>
                </w14:textFill>
              </w:rPr>
              <w:t xml:space="preserve">　</w:t>
            </w:r>
            <w:r w:rsidR="00524B9D">
              <w:rPr>
                <w:vertAlign w:val="superscript"/>
              </w:rPr>
              <w:t>7</w:t>
            </w:r>
          </w:p>
        </w:tc>
      </w:tr>
    </w:tbl>
    <w:p w14:paraId="35D1D47A" w14:textId="069A5418" w:rsidR="004D3204" w:rsidRDefault="004D3204" w:rsidP="00AD2660">
      <w:pPr>
        <w:pStyle w:val="FooterTableFigure"/>
        <w:keepNext/>
        <w:widowControl w:val="0"/>
        <w:rPr>
          <w:rFonts w:eastAsiaTheme="majorEastAsia"/>
        </w:rPr>
      </w:pPr>
      <w:r>
        <w:t xml:space="preserve">Source: </w:t>
      </w:r>
      <w:r w:rsidR="293F14B0">
        <w:t xml:space="preserve"> Table </w:t>
      </w:r>
      <w:r w:rsidR="092528DB">
        <w:t xml:space="preserve">4.2.5 p509/510 of the submission, </w:t>
      </w:r>
      <w:r w:rsidR="12D6F03C">
        <w:t>Table 4.2.6 p511 of the submission,</w:t>
      </w:r>
      <w:r w:rsidR="293F14B0">
        <w:t xml:space="preserve"> </w:t>
      </w:r>
      <w:r w:rsidR="12D6F03C">
        <w:t xml:space="preserve">Table </w:t>
      </w:r>
      <w:r w:rsidR="523FFB32">
        <w:t>4.</w:t>
      </w:r>
      <w:r w:rsidR="12D6F03C">
        <w:t xml:space="preserve">3.1 p512/513 of the submission, </w:t>
      </w:r>
      <w:r>
        <w:t>Table</w:t>
      </w:r>
      <w:r w:rsidR="12D6F03C">
        <w:t xml:space="preserve"> 4.3.3 p513/514 of </w:t>
      </w:r>
      <w:r w:rsidR="5061EF4E">
        <w:t>t</w:t>
      </w:r>
      <w:r w:rsidR="12D6F03C">
        <w:t xml:space="preserve">he </w:t>
      </w:r>
      <w:r w:rsidR="000E2773">
        <w:t>submission, Table</w:t>
      </w:r>
      <w:r w:rsidR="546FD77F">
        <w:t xml:space="preserve"> 4.4.1 p515 of the submission, Table 4.5.1 p516 of the submission, </w:t>
      </w:r>
      <w:r w:rsidR="5EA151FA">
        <w:t>Table 4.5.2 p517 of the submission</w:t>
      </w:r>
      <w:r w:rsidR="004E375B">
        <w:t xml:space="preserve"> and calculated during the evaluation</w:t>
      </w:r>
    </w:p>
    <w:p w14:paraId="1A888A9C" w14:textId="449AEA74" w:rsidR="63E43C21" w:rsidRDefault="63E43C21" w:rsidP="00AD2660">
      <w:pPr>
        <w:pStyle w:val="FooterTableFigure"/>
        <w:keepNext/>
        <w:widowControl w:val="0"/>
        <w:rPr>
          <w:rStyle w:val="eop"/>
        </w:rPr>
      </w:pPr>
      <w:r>
        <w:t xml:space="preserve">Abbreviations: 13vPCV 13-valent pneumococcal conjugate vaccine; 15vPCV 15-valent pneumococcal conjugate vaccine; 20vPCV, 20-valent pneumococcal conjugate vaccine; MBS, Medicare Benefits Schedule; NIP, National Immunisation Program </w:t>
      </w:r>
    </w:p>
    <w:p w14:paraId="4DD10A83" w14:textId="77777777" w:rsidR="004D3204" w:rsidRDefault="004D3204" w:rsidP="00AD2660">
      <w:pPr>
        <w:pStyle w:val="FooterTableFigure"/>
        <w:keepNext/>
        <w:widowControl w:val="0"/>
      </w:pPr>
      <w:proofErr w:type="spellStart"/>
      <w:proofErr w:type="gramStart"/>
      <w:r>
        <w:t>a</w:t>
      </w:r>
      <w:proofErr w:type="spellEnd"/>
      <w:proofErr w:type="gramEnd"/>
      <w:r>
        <w:t xml:space="preserve"> Assuming a single dose of vaccination as estimated by the submission. </w:t>
      </w:r>
    </w:p>
    <w:p w14:paraId="678D1449" w14:textId="6607C914" w:rsidR="004D3204" w:rsidRDefault="00131DBF" w:rsidP="002D598C">
      <w:pPr>
        <w:pStyle w:val="FooterTableFigure"/>
        <w:keepNext/>
        <w:widowControl w:val="0"/>
        <w:spacing w:after="0"/>
      </w:pPr>
      <w:r>
        <w:t>b</w:t>
      </w:r>
      <w:r w:rsidR="004D3204">
        <w:t xml:space="preserve"> </w:t>
      </w:r>
      <w:r w:rsidR="004D3204" w:rsidRPr="3738BD90">
        <w:t>No co-payments were required for any of the financial estimates</w:t>
      </w:r>
    </w:p>
    <w:p w14:paraId="729BFD8B" w14:textId="77777777" w:rsidR="002D598C" w:rsidRDefault="002D598C" w:rsidP="002D598C">
      <w:pPr>
        <w:rPr>
          <w:rFonts w:ascii="Arial Narrow" w:hAnsi="Arial Narrow"/>
          <w:i/>
          <w:sz w:val="18"/>
          <w:szCs w:val="18"/>
        </w:rPr>
      </w:pPr>
      <w:r>
        <w:rPr>
          <w:rFonts w:ascii="Arial Narrow" w:hAnsi="Arial Narrow"/>
          <w:i/>
          <w:sz w:val="18"/>
          <w:szCs w:val="18"/>
        </w:rPr>
        <w:t xml:space="preserve">The redacted values correspond to the following ranges: </w:t>
      </w:r>
    </w:p>
    <w:p w14:paraId="655AC3EA" w14:textId="63B4C744" w:rsidR="002D598C" w:rsidRDefault="002D598C" w:rsidP="002D598C">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2D598C">
        <w:rPr>
          <w:rFonts w:ascii="Arial Narrow" w:hAnsi="Arial Narrow"/>
          <w:i/>
          <w:sz w:val="18"/>
          <w:szCs w:val="18"/>
        </w:rPr>
        <w:t>200,000 to &lt; 300,000</w:t>
      </w:r>
    </w:p>
    <w:p w14:paraId="661AE31D" w14:textId="68510199" w:rsidR="002D598C" w:rsidRDefault="002D598C" w:rsidP="002D598C">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2D598C">
        <w:rPr>
          <w:rFonts w:ascii="Arial Narrow" w:hAnsi="Arial Narrow"/>
          <w:i/>
          <w:sz w:val="18"/>
          <w:szCs w:val="18"/>
        </w:rPr>
        <w:t>100,000 to &lt; 200,000</w:t>
      </w:r>
    </w:p>
    <w:p w14:paraId="3087BA16" w14:textId="5D875840" w:rsidR="002D598C" w:rsidRDefault="002D598C" w:rsidP="002D598C">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2D598C">
        <w:rPr>
          <w:rFonts w:ascii="Arial Narrow" w:hAnsi="Arial Narrow"/>
          <w:i/>
          <w:sz w:val="18"/>
          <w:szCs w:val="18"/>
        </w:rPr>
        <w:t>20,000 to &lt; 30,000</w:t>
      </w:r>
    </w:p>
    <w:p w14:paraId="61FA9CB5" w14:textId="7C51FAFC" w:rsidR="002D598C" w:rsidRDefault="002D598C" w:rsidP="002D598C">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2D598C">
        <w:rPr>
          <w:rFonts w:ascii="Arial Narrow" w:hAnsi="Arial Narrow"/>
          <w:i/>
          <w:sz w:val="18"/>
          <w:szCs w:val="18"/>
        </w:rPr>
        <w:t>500 to &lt; 5,000</w:t>
      </w:r>
    </w:p>
    <w:p w14:paraId="665AA6DD" w14:textId="47B86E77" w:rsidR="002D598C" w:rsidRDefault="002D598C" w:rsidP="002D598C">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2D598C">
        <w:rPr>
          <w:rFonts w:ascii="Arial Narrow" w:hAnsi="Arial Narrow"/>
          <w:i/>
          <w:sz w:val="18"/>
          <w:szCs w:val="18"/>
        </w:rPr>
        <w:t>10,000 to &lt; 20,000</w:t>
      </w:r>
    </w:p>
    <w:p w14:paraId="3EC067B1" w14:textId="01F0547D" w:rsidR="002D598C" w:rsidRDefault="002D598C" w:rsidP="002D598C">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2D598C">
        <w:rPr>
          <w:rFonts w:ascii="Arial Narrow" w:hAnsi="Arial Narrow"/>
          <w:i/>
          <w:sz w:val="18"/>
          <w:szCs w:val="18"/>
        </w:rPr>
        <w:t>5,000 to &lt; 10,000</w:t>
      </w:r>
    </w:p>
    <w:p w14:paraId="7656D15B" w14:textId="1332511A" w:rsidR="002D598C" w:rsidRPr="00E5290F" w:rsidRDefault="008F04C7" w:rsidP="00E5290F">
      <w:pPr>
        <w:rPr>
          <w:rFonts w:ascii="Arial Narrow" w:hAnsi="Arial Narrow"/>
          <w:i/>
          <w:sz w:val="18"/>
          <w:szCs w:val="18"/>
          <w:vertAlign w:val="superscript"/>
        </w:rPr>
      </w:pPr>
      <w:r>
        <w:rPr>
          <w:rFonts w:ascii="Arial Narrow" w:hAnsi="Arial Narrow"/>
          <w:i/>
          <w:sz w:val="18"/>
          <w:szCs w:val="18"/>
          <w:vertAlign w:val="superscript"/>
        </w:rPr>
        <w:t xml:space="preserve">7 </w:t>
      </w:r>
      <w:r w:rsidR="00524B9D" w:rsidRPr="008F04C7">
        <w:rPr>
          <w:rFonts w:ascii="Arial Narrow" w:hAnsi="Arial Narrow"/>
          <w:i/>
          <w:sz w:val="18"/>
          <w:szCs w:val="18"/>
        </w:rPr>
        <w:t>$0 to &lt; $10 million</w:t>
      </w:r>
    </w:p>
    <w:p w14:paraId="04C9D501" w14:textId="275F11E0" w:rsidR="00E5290F" w:rsidRPr="00E5290F" w:rsidRDefault="00E5290F" w:rsidP="00E5290F">
      <w:pPr>
        <w:rPr>
          <w:rFonts w:ascii="Arial Narrow" w:hAnsi="Arial Narrow"/>
          <w:i/>
          <w:sz w:val="18"/>
          <w:szCs w:val="18"/>
          <w:vertAlign w:val="superscript"/>
        </w:rPr>
      </w:pPr>
      <w:r>
        <w:rPr>
          <w:rFonts w:ascii="Arial Narrow" w:hAnsi="Arial Narrow"/>
          <w:i/>
          <w:sz w:val="18"/>
          <w:szCs w:val="18"/>
          <w:vertAlign w:val="superscript"/>
        </w:rPr>
        <w:t>8</w:t>
      </w:r>
      <w:r w:rsidRPr="00E5290F">
        <w:rPr>
          <w:rFonts w:ascii="Arial Narrow" w:hAnsi="Arial Narrow"/>
          <w:i/>
          <w:sz w:val="18"/>
          <w:szCs w:val="18"/>
          <w:vertAlign w:val="superscript"/>
        </w:rPr>
        <w:t xml:space="preserve"> </w:t>
      </w:r>
      <w:r w:rsidRPr="008F04C7">
        <w:rPr>
          <w:rFonts w:ascii="Arial Narrow" w:hAnsi="Arial Narrow"/>
          <w:i/>
          <w:sz w:val="18"/>
          <w:szCs w:val="18"/>
        </w:rPr>
        <w:t>net cost saving</w:t>
      </w:r>
    </w:p>
    <w:p w14:paraId="0906ABCA" w14:textId="6BE07250" w:rsidR="00614D0C" w:rsidRDefault="00E5290F" w:rsidP="00F06F8F">
      <w:pPr>
        <w:pStyle w:val="3-BodyText"/>
      </w:pPr>
      <w:r>
        <w:t xml:space="preserve">The </w:t>
      </w:r>
      <w:r w:rsidR="004D3204" w:rsidRPr="001F74EA">
        <w:t xml:space="preserve">estimate of the cost to the NIP of listing 20vPCV was estimated </w:t>
      </w:r>
      <w:r w:rsidR="002519B1">
        <w:t xml:space="preserve">in the submission </w:t>
      </w:r>
      <w:r w:rsidR="004D3204" w:rsidRPr="001F74EA">
        <w:t xml:space="preserve">to be </w:t>
      </w:r>
      <w:bookmarkStart w:id="125" w:name="_Hlk113629090"/>
      <w:r w:rsidR="00F06F8F" w:rsidRPr="00F06F8F">
        <w:t>$0 to &lt; $10 million</w:t>
      </w:r>
      <w:bookmarkEnd w:id="125"/>
      <w:r w:rsidR="00F06F8F">
        <w:t xml:space="preserve"> </w:t>
      </w:r>
      <w:r w:rsidR="004D3204" w:rsidRPr="001F74EA">
        <w:t xml:space="preserve">in year 1 and </w:t>
      </w:r>
      <w:r w:rsidR="00F06F8F" w:rsidRPr="00F06F8F">
        <w:t>$0 to &lt; $10 million</w:t>
      </w:r>
      <w:r w:rsidR="00F06F8F">
        <w:t xml:space="preserve"> </w:t>
      </w:r>
      <w:r w:rsidR="004D3204" w:rsidRPr="001F74EA">
        <w:t xml:space="preserve">in year 6, and a total of </w:t>
      </w:r>
      <w:bookmarkStart w:id="126" w:name="_Hlk113629385"/>
      <w:r w:rsidR="00F06F8F" w:rsidRPr="00F06F8F">
        <w:t>$50 million to &lt; $60 million</w:t>
      </w:r>
      <w:bookmarkEnd w:id="126"/>
      <w:r w:rsidR="00F06F8F">
        <w:t xml:space="preserve"> </w:t>
      </w:r>
      <w:r w:rsidR="004D3204" w:rsidRPr="001F74EA">
        <w:t xml:space="preserve">in the first 6 years of listing. </w:t>
      </w:r>
      <w:r w:rsidR="004D3204">
        <w:t xml:space="preserve">The financial impact of </w:t>
      </w:r>
      <w:r w:rsidR="00131DBF">
        <w:t xml:space="preserve">reduced use of </w:t>
      </w:r>
      <w:r w:rsidR="004D3204">
        <w:t xml:space="preserve">13vPCV (or 15vPCV) over the first 6 years of the proposed listing of 20vPCV is </w:t>
      </w:r>
      <w:r w:rsidR="00F06F8F" w:rsidRPr="00F06F8F">
        <w:t>$0 to &lt; $10 million</w:t>
      </w:r>
      <w:r w:rsidR="00F06F8F">
        <w:t xml:space="preserve"> </w:t>
      </w:r>
      <w:r w:rsidR="004D3204">
        <w:t xml:space="preserve">in </w:t>
      </w:r>
      <w:r w:rsidR="00131DBF">
        <w:t xml:space="preserve">year 1 </w:t>
      </w:r>
      <w:r w:rsidR="004D3204">
        <w:t xml:space="preserve">increasing to </w:t>
      </w:r>
      <w:r w:rsidR="00F06F8F" w:rsidRPr="00F06F8F">
        <w:t>$0 to &lt; $10 million</w:t>
      </w:r>
      <w:r w:rsidR="00F06F8F">
        <w:t xml:space="preserve"> </w:t>
      </w:r>
      <w:r w:rsidR="004D3204">
        <w:t xml:space="preserve">in </w:t>
      </w:r>
      <w:r w:rsidR="00131DBF">
        <w:t>year 6</w:t>
      </w:r>
      <w:r w:rsidR="004D3204">
        <w:t xml:space="preserve">. </w:t>
      </w:r>
      <w:proofErr w:type="gramStart"/>
      <w:r w:rsidR="00993A25">
        <w:t>Thus</w:t>
      </w:r>
      <w:proofErr w:type="gramEnd"/>
      <w:r w:rsidR="00993A25">
        <w:t xml:space="preserve"> the net cost to the NIP was </w:t>
      </w:r>
      <w:r w:rsidR="00F06F8F" w:rsidRPr="00F06F8F">
        <w:t>$0 to &lt; $10 million</w:t>
      </w:r>
      <w:r w:rsidR="00F06F8F">
        <w:t xml:space="preserve"> </w:t>
      </w:r>
      <w:r w:rsidR="00993A25">
        <w:t xml:space="preserve">in year 1 and </w:t>
      </w:r>
      <w:r w:rsidR="00F06F8F" w:rsidRPr="00F06F8F">
        <w:t>$0 to &lt; $10 million</w:t>
      </w:r>
      <w:r w:rsidR="00F06F8F">
        <w:t xml:space="preserve"> </w:t>
      </w:r>
      <w:r w:rsidR="00993A25">
        <w:t>in year 6.</w:t>
      </w:r>
    </w:p>
    <w:p w14:paraId="64BF37CA" w14:textId="166E3659" w:rsidR="004D3204" w:rsidRPr="00566762" w:rsidRDefault="004D3204" w:rsidP="00071793">
      <w:pPr>
        <w:pStyle w:val="3-BodyText"/>
        <w:spacing w:before="120"/>
        <w:rPr>
          <w:color w:val="0066FF"/>
        </w:rPr>
      </w:pPr>
      <w:r>
        <w:t xml:space="preserve">The net cost to MBS comprises the costs of vaccination </w:t>
      </w:r>
      <w:r w:rsidR="003B27D8">
        <w:t xml:space="preserve">administration </w:t>
      </w:r>
      <w:r>
        <w:t xml:space="preserve">for the proposed expanded NIP listing to include Aboriginal and Torres Strait Islanders aged </w:t>
      </w:r>
      <w:r>
        <w:lastRenderedPageBreak/>
        <w:t>25-</w:t>
      </w:r>
      <w:r w:rsidR="00CE1F16">
        <w:t>49</w:t>
      </w:r>
      <w:r>
        <w:t xml:space="preserve"> years (who were not eligible for vaccination in years prior). The additional vaccine administration cost was estimated to be </w:t>
      </w:r>
      <w:r w:rsidR="00F06F8F" w:rsidRPr="00F06F8F">
        <w:t>$0 to &lt; $10 million</w:t>
      </w:r>
      <w:r w:rsidR="00F06F8F">
        <w:t xml:space="preserve"> </w:t>
      </w:r>
      <w:r>
        <w:t xml:space="preserve">in year 1, decreasing to </w:t>
      </w:r>
      <w:r w:rsidR="00F06F8F" w:rsidRPr="00F06F8F">
        <w:t>$0 to &lt; $10 million</w:t>
      </w:r>
      <w:r w:rsidR="00F06F8F">
        <w:t xml:space="preserve"> </w:t>
      </w:r>
      <w:r>
        <w:t xml:space="preserve">in year 6 and a total of </w:t>
      </w:r>
      <w:r w:rsidR="00F06F8F" w:rsidRPr="00F06F8F">
        <w:t>$0 to &lt; $10 million</w:t>
      </w:r>
      <w:r w:rsidR="00F06F8F">
        <w:t xml:space="preserve"> </w:t>
      </w:r>
      <w:r>
        <w:t xml:space="preserve">in the first 6 years of listing. </w:t>
      </w:r>
    </w:p>
    <w:p w14:paraId="45C94B40" w14:textId="73E22053" w:rsidR="00566762" w:rsidRPr="00614D0C" w:rsidRDefault="00566762" w:rsidP="00F7273C">
      <w:pPr>
        <w:pStyle w:val="3-BodyText"/>
        <w:rPr>
          <w:rStyle w:val="normaltextrun"/>
          <w:iCs/>
        </w:rPr>
      </w:pPr>
      <w:r>
        <w:rPr>
          <w:lang w:eastAsia="en-US"/>
        </w:rPr>
        <w:t>T</w:t>
      </w:r>
      <w:r w:rsidRPr="3738BD90">
        <w:rPr>
          <w:lang w:eastAsia="en-US"/>
        </w:rPr>
        <w:t xml:space="preserve">he </w:t>
      </w:r>
      <w:r>
        <w:t xml:space="preserve">submission assumed that subsequent 23vPPV usage will not be changed by the availability of 20vPCV and therefore </w:t>
      </w:r>
      <w:r w:rsidRPr="00560D37">
        <w:rPr>
          <w:iCs/>
        </w:rPr>
        <w:t xml:space="preserve">a subsequent dose of 23vPPV for the proposed expanded Aboriginal and Torres Strait Islander </w:t>
      </w:r>
      <w:proofErr w:type="gramStart"/>
      <w:r w:rsidRPr="00560D37">
        <w:rPr>
          <w:iCs/>
        </w:rPr>
        <w:t>25-49 year old</w:t>
      </w:r>
      <w:proofErr w:type="gramEnd"/>
      <w:r w:rsidRPr="00560D37">
        <w:rPr>
          <w:iCs/>
        </w:rPr>
        <w:t xml:space="preserve"> population was not considered</w:t>
      </w:r>
      <w:r>
        <w:t>.</w:t>
      </w:r>
      <w:r w:rsidR="00CA0D9F">
        <w:rPr>
          <w:iCs/>
        </w:rPr>
        <w:t xml:space="preserve"> </w:t>
      </w:r>
      <w:r w:rsidR="00CA0D9F" w:rsidRPr="00560D37">
        <w:rPr>
          <w:iCs/>
        </w:rPr>
        <w:t xml:space="preserve">ATAGI noted it is unclear if the expanded population of Aboriginal and Torres Strait Islander adults aged 25-49 years would require another dose of pneumococcal vaccine in their lifetime (p11, </w:t>
      </w:r>
      <w:r w:rsidR="000C165F" w:rsidRPr="00560D37">
        <w:rPr>
          <w:iCs/>
        </w:rPr>
        <w:t>Prevenar 20,</w:t>
      </w:r>
      <w:r w:rsidR="000C165F" w:rsidRPr="004E375B">
        <w:t xml:space="preserve"> </w:t>
      </w:r>
      <w:r w:rsidR="00CA0D9F" w:rsidRPr="00560D37">
        <w:rPr>
          <w:iCs/>
        </w:rPr>
        <w:t>ATAGI pre-submission advice</w:t>
      </w:r>
      <w:r w:rsidR="000C165F" w:rsidRPr="00560D37">
        <w:rPr>
          <w:iCs/>
        </w:rPr>
        <w:t xml:space="preserve"> to PBAC</w:t>
      </w:r>
      <w:r w:rsidR="00CA0D9F" w:rsidRPr="00560D37">
        <w:rPr>
          <w:iCs/>
        </w:rPr>
        <w:t xml:space="preserve">, April 2022). </w:t>
      </w:r>
      <w:r w:rsidR="002B13DF" w:rsidRPr="00560D37">
        <w:rPr>
          <w:iCs/>
        </w:rPr>
        <w:t xml:space="preserve">The evaluation considered that the exclusion of subsequent 23vPPV usage in this population may have led to underestimated financial costs. </w:t>
      </w:r>
      <w:r w:rsidR="00CA0D9F" w:rsidRPr="00560D37">
        <w:t>T</w:t>
      </w:r>
      <w:r w:rsidRPr="00560D37">
        <w:t>he PSCR presented financial estimates including the cost of one subsequent dose of 23vPPV for the expanded population. The revised financial</w:t>
      </w:r>
      <w:r w:rsidRPr="00560D37">
        <w:rPr>
          <w:rStyle w:val="normaltextrun"/>
        </w:rPr>
        <w:t xml:space="preserve"> estimates provided in the PSCR are provided in </w:t>
      </w:r>
      <w:r w:rsidRPr="00560D37">
        <w:rPr>
          <w:rStyle w:val="normaltextrun"/>
        </w:rPr>
        <w:fldChar w:fldCharType="begin"/>
      </w:r>
      <w:r w:rsidRPr="00560D37">
        <w:rPr>
          <w:rStyle w:val="normaltextrun"/>
        </w:rPr>
        <w:instrText xml:space="preserve"> REF _Ref116492544 \h  \* MERGEFORMAT </w:instrText>
      </w:r>
      <w:r w:rsidRPr="00560D37">
        <w:rPr>
          <w:rStyle w:val="normaltextrun"/>
        </w:rPr>
      </w:r>
      <w:r w:rsidRPr="00560D37">
        <w:rPr>
          <w:rStyle w:val="normaltextrun"/>
        </w:rPr>
        <w:fldChar w:fldCharType="separate"/>
      </w:r>
      <w:r w:rsidR="00137984" w:rsidRPr="00137984">
        <w:rPr>
          <w:rStyle w:val="normaltextrun"/>
        </w:rPr>
        <w:t>Table 24</w:t>
      </w:r>
      <w:r w:rsidRPr="00560D37">
        <w:rPr>
          <w:rStyle w:val="normaltextrun"/>
        </w:rPr>
        <w:fldChar w:fldCharType="end"/>
      </w:r>
      <w:r w:rsidRPr="00560D37">
        <w:rPr>
          <w:rStyle w:val="normaltextrun"/>
        </w:rPr>
        <w:t>. For these estimates, the PSCR stated that compliance to the first dose of 23vPPV is assumed to be 80%. The PSCR also stated that a second dose of 23vPPV was not considered in the financial estimates, as it was assumed that it would not be received within the financial forecasted period. This is consistent with current NIP recommendations</w:t>
      </w:r>
      <w:r w:rsidRPr="00560D37">
        <w:rPr>
          <w:rStyle w:val="FootnoteReference"/>
        </w:rPr>
        <w:footnoteReference w:id="3"/>
      </w:r>
      <w:r w:rsidRPr="00560D37">
        <w:rPr>
          <w:rStyle w:val="normaltextrun"/>
        </w:rPr>
        <w:t>.</w:t>
      </w:r>
      <w:r w:rsidR="004A2E8A">
        <w:rPr>
          <w:rStyle w:val="normaltextrun"/>
        </w:rPr>
        <w:t xml:space="preserve"> </w:t>
      </w:r>
    </w:p>
    <w:p w14:paraId="5658AC31" w14:textId="1AA81C49" w:rsidR="00566762" w:rsidRPr="00560D37" w:rsidRDefault="00566762" w:rsidP="00F7273C">
      <w:pPr>
        <w:pStyle w:val="Caption"/>
        <w:keepLines w:val="0"/>
        <w:widowControl w:val="0"/>
        <w:rPr>
          <w:rStyle w:val="CommentReference"/>
          <w:b/>
          <w:bCs/>
          <w:iCs/>
          <w:szCs w:val="24"/>
        </w:rPr>
      </w:pPr>
      <w:bookmarkStart w:id="127" w:name="_Ref116492544"/>
      <w:r w:rsidRPr="00560D37">
        <w:rPr>
          <w:rStyle w:val="CommentReference"/>
          <w:b/>
          <w:bCs/>
          <w:iCs/>
          <w:szCs w:val="24"/>
        </w:rPr>
        <w:t xml:space="preserve">Table </w:t>
      </w:r>
      <w:r w:rsidRPr="00560D37">
        <w:rPr>
          <w:rStyle w:val="CommentReference"/>
          <w:b/>
          <w:bCs/>
          <w:iCs/>
          <w:szCs w:val="24"/>
        </w:rPr>
        <w:fldChar w:fldCharType="begin"/>
      </w:r>
      <w:r w:rsidRPr="00560D37">
        <w:rPr>
          <w:rStyle w:val="CommentReference"/>
          <w:b/>
          <w:bCs/>
          <w:iCs/>
          <w:szCs w:val="24"/>
        </w:rPr>
        <w:instrText>SEQ Table \* ARABIC</w:instrText>
      </w:r>
      <w:r w:rsidRPr="00560D37">
        <w:rPr>
          <w:rStyle w:val="CommentReference"/>
          <w:b/>
          <w:bCs/>
          <w:iCs/>
          <w:szCs w:val="24"/>
        </w:rPr>
        <w:fldChar w:fldCharType="separate"/>
      </w:r>
      <w:r w:rsidR="00137984">
        <w:rPr>
          <w:rStyle w:val="CommentReference"/>
          <w:b/>
          <w:bCs/>
          <w:iCs/>
          <w:noProof/>
          <w:szCs w:val="24"/>
        </w:rPr>
        <w:t>24</w:t>
      </w:r>
      <w:r w:rsidRPr="00560D37">
        <w:rPr>
          <w:rStyle w:val="CommentReference"/>
          <w:b/>
          <w:bCs/>
          <w:iCs/>
          <w:szCs w:val="24"/>
        </w:rPr>
        <w:fldChar w:fldCharType="end"/>
      </w:r>
      <w:bookmarkEnd w:id="127"/>
      <w:r w:rsidRPr="00560D37">
        <w:rPr>
          <w:rStyle w:val="CommentReference"/>
          <w:b/>
          <w:bCs/>
          <w:iCs/>
          <w:szCs w:val="24"/>
        </w:rPr>
        <w:t>: Estimated use and financial implications of one subsequent dose of 23vPPV for Aboriginal and Torres Strait Islander persons aged 25-49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960"/>
        <w:gridCol w:w="960"/>
        <w:gridCol w:w="960"/>
        <w:gridCol w:w="959"/>
        <w:gridCol w:w="959"/>
        <w:gridCol w:w="961"/>
      </w:tblGrid>
      <w:tr w:rsidR="003E2970" w:rsidRPr="00560D37" w14:paraId="1E853D68" w14:textId="77777777" w:rsidTr="003E2970">
        <w:trPr>
          <w:trHeight w:val="315"/>
        </w:trPr>
        <w:tc>
          <w:tcPr>
            <w:tcW w:w="1805" w:type="pct"/>
            <w:shd w:val="clear" w:color="auto" w:fill="auto"/>
            <w:vAlign w:val="bottom"/>
          </w:tcPr>
          <w:p w14:paraId="22D2BAC1" w14:textId="77777777" w:rsidR="00566762" w:rsidRPr="00560D37" w:rsidRDefault="00566762" w:rsidP="00CC71B0">
            <w:pPr>
              <w:pStyle w:val="TableText0"/>
              <w:widowControl w:val="0"/>
              <w:rPr>
                <w:iCs/>
              </w:rPr>
            </w:pPr>
            <w:r w:rsidRPr="00560D37">
              <w:rPr>
                <w:iCs/>
              </w:rPr>
              <w:t xml:space="preserve"> </w:t>
            </w:r>
          </w:p>
        </w:tc>
        <w:tc>
          <w:tcPr>
            <w:tcW w:w="532" w:type="pct"/>
            <w:shd w:val="clear" w:color="auto" w:fill="auto"/>
            <w:vAlign w:val="center"/>
          </w:tcPr>
          <w:p w14:paraId="0953479F" w14:textId="77777777" w:rsidR="00566762" w:rsidRPr="00560D37" w:rsidRDefault="00566762" w:rsidP="00CC71B0">
            <w:pPr>
              <w:pStyle w:val="TableText0"/>
              <w:widowControl w:val="0"/>
              <w:rPr>
                <w:b/>
                <w:iCs/>
              </w:rPr>
            </w:pPr>
            <w:r w:rsidRPr="00560D37">
              <w:rPr>
                <w:b/>
                <w:bCs w:val="0"/>
                <w:iCs/>
              </w:rPr>
              <w:t>2024</w:t>
            </w:r>
          </w:p>
        </w:tc>
        <w:tc>
          <w:tcPr>
            <w:tcW w:w="532" w:type="pct"/>
            <w:shd w:val="clear" w:color="auto" w:fill="auto"/>
            <w:vAlign w:val="center"/>
          </w:tcPr>
          <w:p w14:paraId="5AEF5981" w14:textId="77777777" w:rsidR="00566762" w:rsidRPr="00560D37" w:rsidRDefault="00566762" w:rsidP="00CC71B0">
            <w:pPr>
              <w:pStyle w:val="TableText0"/>
              <w:widowControl w:val="0"/>
              <w:rPr>
                <w:b/>
                <w:iCs/>
              </w:rPr>
            </w:pPr>
            <w:r w:rsidRPr="00560D37">
              <w:rPr>
                <w:b/>
                <w:bCs w:val="0"/>
                <w:iCs/>
              </w:rPr>
              <w:t>2025</w:t>
            </w:r>
          </w:p>
        </w:tc>
        <w:tc>
          <w:tcPr>
            <w:tcW w:w="532" w:type="pct"/>
            <w:shd w:val="clear" w:color="auto" w:fill="auto"/>
            <w:vAlign w:val="center"/>
          </w:tcPr>
          <w:p w14:paraId="2B49934A" w14:textId="77777777" w:rsidR="00566762" w:rsidRPr="00560D37" w:rsidRDefault="00566762" w:rsidP="00CC71B0">
            <w:pPr>
              <w:pStyle w:val="TableText0"/>
              <w:widowControl w:val="0"/>
              <w:rPr>
                <w:b/>
                <w:iCs/>
              </w:rPr>
            </w:pPr>
            <w:r w:rsidRPr="00560D37">
              <w:rPr>
                <w:b/>
                <w:bCs w:val="0"/>
                <w:iCs/>
              </w:rPr>
              <w:t>2026</w:t>
            </w:r>
          </w:p>
        </w:tc>
        <w:tc>
          <w:tcPr>
            <w:tcW w:w="532" w:type="pct"/>
            <w:shd w:val="clear" w:color="auto" w:fill="auto"/>
            <w:vAlign w:val="center"/>
          </w:tcPr>
          <w:p w14:paraId="40A4472A" w14:textId="77777777" w:rsidR="00566762" w:rsidRPr="00560D37" w:rsidRDefault="00566762" w:rsidP="00CC71B0">
            <w:pPr>
              <w:pStyle w:val="TableText0"/>
              <w:widowControl w:val="0"/>
              <w:rPr>
                <w:b/>
                <w:iCs/>
              </w:rPr>
            </w:pPr>
            <w:r w:rsidRPr="00560D37">
              <w:rPr>
                <w:b/>
                <w:bCs w:val="0"/>
                <w:iCs/>
              </w:rPr>
              <w:t>2027</w:t>
            </w:r>
          </w:p>
        </w:tc>
        <w:tc>
          <w:tcPr>
            <w:tcW w:w="532" w:type="pct"/>
            <w:shd w:val="clear" w:color="auto" w:fill="auto"/>
            <w:vAlign w:val="center"/>
          </w:tcPr>
          <w:p w14:paraId="794AE275" w14:textId="77777777" w:rsidR="00566762" w:rsidRPr="00560D37" w:rsidRDefault="00566762" w:rsidP="00CC71B0">
            <w:pPr>
              <w:pStyle w:val="TableText0"/>
              <w:widowControl w:val="0"/>
              <w:rPr>
                <w:b/>
                <w:iCs/>
              </w:rPr>
            </w:pPr>
            <w:r w:rsidRPr="00560D37">
              <w:rPr>
                <w:b/>
                <w:bCs w:val="0"/>
                <w:iCs/>
              </w:rPr>
              <w:t>2028</w:t>
            </w:r>
          </w:p>
        </w:tc>
        <w:tc>
          <w:tcPr>
            <w:tcW w:w="533" w:type="pct"/>
            <w:shd w:val="clear" w:color="auto" w:fill="auto"/>
            <w:vAlign w:val="center"/>
          </w:tcPr>
          <w:p w14:paraId="48DE984A" w14:textId="77777777" w:rsidR="00566762" w:rsidRPr="00560D37" w:rsidRDefault="00566762" w:rsidP="00CC71B0">
            <w:pPr>
              <w:pStyle w:val="TableText0"/>
              <w:widowControl w:val="0"/>
              <w:rPr>
                <w:b/>
                <w:iCs/>
              </w:rPr>
            </w:pPr>
            <w:r w:rsidRPr="00560D37">
              <w:rPr>
                <w:b/>
                <w:bCs w:val="0"/>
                <w:iCs/>
              </w:rPr>
              <w:t>2029</w:t>
            </w:r>
          </w:p>
        </w:tc>
      </w:tr>
      <w:tr w:rsidR="003E2970" w:rsidRPr="00560D37" w14:paraId="1CA55340" w14:textId="77777777" w:rsidTr="003E2970">
        <w:trPr>
          <w:trHeight w:val="285"/>
        </w:trPr>
        <w:tc>
          <w:tcPr>
            <w:tcW w:w="1805" w:type="pct"/>
            <w:shd w:val="clear" w:color="auto" w:fill="auto"/>
            <w:vAlign w:val="center"/>
          </w:tcPr>
          <w:p w14:paraId="78916F2F" w14:textId="44DC31F0" w:rsidR="00566762" w:rsidRPr="00077E8B" w:rsidRDefault="00566762" w:rsidP="00CC71B0">
            <w:pPr>
              <w:pStyle w:val="TableText0"/>
              <w:widowControl w:val="0"/>
              <w:rPr>
                <w:iCs/>
              </w:rPr>
            </w:pPr>
            <w:r w:rsidRPr="00560D37">
              <w:rPr>
                <w:iCs/>
              </w:rPr>
              <w:t xml:space="preserve">Cost of additional 23vPPV doses </w:t>
            </w:r>
            <w:r w:rsidRPr="00560D37">
              <w:rPr>
                <w:iCs/>
                <w:vertAlign w:val="superscript"/>
              </w:rPr>
              <w:t>a</w:t>
            </w:r>
            <w:r w:rsidR="00077E8B">
              <w:rPr>
                <w:iCs/>
              </w:rPr>
              <w:t xml:space="preserve"> ($)</w:t>
            </w:r>
          </w:p>
        </w:tc>
        <w:tc>
          <w:tcPr>
            <w:tcW w:w="532" w:type="pct"/>
            <w:shd w:val="clear" w:color="auto" w:fill="auto"/>
            <w:vAlign w:val="center"/>
          </w:tcPr>
          <w:p w14:paraId="7E6344F3" w14:textId="23C9D277" w:rsidR="00566762" w:rsidRPr="00E51B52" w:rsidRDefault="006A414A" w:rsidP="00CC71B0">
            <w:pPr>
              <w:pStyle w:val="TableText0"/>
              <w:widowControl w:val="0"/>
              <w:rPr>
                <w:iCs/>
                <w:highlight w:val="darkGray"/>
                <w:vertAlign w:val="superscript"/>
              </w:rPr>
            </w:pPr>
            <w:r w:rsidRPr="006A414A">
              <w:rPr>
                <w:iCs/>
                <w:color w:val="000000"/>
                <w:spacing w:val="64"/>
                <w:shd w:val="solid" w:color="000000" w:fill="000000"/>
                <w:fitText w:val="363" w:id="-1303199472"/>
                <w14:textFill>
                  <w14:solidFill>
                    <w14:srgbClr w14:val="000000">
                      <w14:alpha w14:val="100000"/>
                    </w14:srgbClr>
                  </w14:solidFill>
                </w14:textFill>
              </w:rPr>
              <w:t>|||</w:t>
            </w:r>
            <w:r w:rsidRPr="006A414A">
              <w:rPr>
                <w:iCs/>
                <w:color w:val="000000"/>
                <w:spacing w:val="1"/>
                <w:shd w:val="solid" w:color="000000" w:fill="000000"/>
                <w:fitText w:val="363" w:id="-1303199472"/>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41590741" w14:textId="37F7E9CB" w:rsidR="00566762" w:rsidRPr="00077E8B" w:rsidRDefault="006A414A" w:rsidP="00CC71B0">
            <w:pPr>
              <w:pStyle w:val="TableText0"/>
              <w:widowControl w:val="0"/>
              <w:rPr>
                <w:iCs/>
                <w:highlight w:val="darkGray"/>
              </w:rPr>
            </w:pPr>
            <w:r w:rsidRPr="006A414A">
              <w:rPr>
                <w:iCs/>
                <w:color w:val="000000"/>
                <w:spacing w:val="64"/>
                <w:shd w:val="solid" w:color="000000" w:fill="000000"/>
                <w:fitText w:val="363" w:id="-1303199488"/>
                <w14:textFill>
                  <w14:solidFill>
                    <w14:srgbClr w14:val="000000">
                      <w14:alpha w14:val="100000"/>
                    </w14:srgbClr>
                  </w14:solidFill>
                </w14:textFill>
              </w:rPr>
              <w:t>|||</w:t>
            </w:r>
            <w:r w:rsidRPr="006A414A">
              <w:rPr>
                <w:iCs/>
                <w:color w:val="000000"/>
                <w:spacing w:val="1"/>
                <w:shd w:val="solid" w:color="000000" w:fill="000000"/>
                <w:fitText w:val="363" w:id="-1303199488"/>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0F780E86" w14:textId="3DC42F8A" w:rsidR="00566762" w:rsidRPr="00077E8B" w:rsidRDefault="006A414A" w:rsidP="00CC71B0">
            <w:pPr>
              <w:pStyle w:val="TableText0"/>
              <w:widowControl w:val="0"/>
              <w:rPr>
                <w:iCs/>
                <w:highlight w:val="darkGray"/>
              </w:rPr>
            </w:pPr>
            <w:r w:rsidRPr="006A414A">
              <w:rPr>
                <w:iCs/>
                <w:color w:val="000000"/>
                <w:spacing w:val="64"/>
                <w:shd w:val="solid" w:color="000000" w:fill="000000"/>
                <w:fitText w:val="363" w:id="-1303199487"/>
                <w14:textFill>
                  <w14:solidFill>
                    <w14:srgbClr w14:val="000000">
                      <w14:alpha w14:val="100000"/>
                    </w14:srgbClr>
                  </w14:solidFill>
                </w14:textFill>
              </w:rPr>
              <w:t>|||</w:t>
            </w:r>
            <w:r w:rsidRPr="006A414A">
              <w:rPr>
                <w:iCs/>
                <w:color w:val="000000"/>
                <w:spacing w:val="1"/>
                <w:shd w:val="solid" w:color="000000" w:fill="000000"/>
                <w:fitText w:val="363" w:id="-1303199487"/>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0BD1F037" w14:textId="12741B06" w:rsidR="00566762" w:rsidRPr="00077E8B" w:rsidRDefault="006A414A" w:rsidP="00CC71B0">
            <w:pPr>
              <w:pStyle w:val="TableText0"/>
              <w:widowControl w:val="0"/>
              <w:rPr>
                <w:iCs/>
                <w:highlight w:val="darkGray"/>
              </w:rPr>
            </w:pPr>
            <w:r w:rsidRPr="006A414A">
              <w:rPr>
                <w:iCs/>
                <w:color w:val="000000"/>
                <w:spacing w:val="64"/>
                <w:shd w:val="solid" w:color="000000" w:fill="000000"/>
                <w:fitText w:val="363" w:id="-1303199486"/>
                <w14:textFill>
                  <w14:solidFill>
                    <w14:srgbClr w14:val="000000">
                      <w14:alpha w14:val="100000"/>
                    </w14:srgbClr>
                  </w14:solidFill>
                </w14:textFill>
              </w:rPr>
              <w:t>|||</w:t>
            </w:r>
            <w:r w:rsidRPr="006A414A">
              <w:rPr>
                <w:iCs/>
                <w:color w:val="000000"/>
                <w:spacing w:val="1"/>
                <w:shd w:val="solid" w:color="000000" w:fill="000000"/>
                <w:fitText w:val="363" w:id="-1303199486"/>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0FF9370A" w14:textId="6A8B0F43" w:rsidR="00566762" w:rsidRPr="00077E8B" w:rsidRDefault="006A414A" w:rsidP="00CC71B0">
            <w:pPr>
              <w:pStyle w:val="TableText0"/>
              <w:widowControl w:val="0"/>
              <w:rPr>
                <w:iCs/>
                <w:highlight w:val="darkGray"/>
              </w:rPr>
            </w:pPr>
            <w:r w:rsidRPr="006A414A">
              <w:rPr>
                <w:iCs/>
                <w:color w:val="000000"/>
                <w:spacing w:val="64"/>
                <w:shd w:val="solid" w:color="000000" w:fill="000000"/>
                <w:fitText w:val="363" w:id="-1303199485"/>
                <w14:textFill>
                  <w14:solidFill>
                    <w14:srgbClr w14:val="000000">
                      <w14:alpha w14:val="100000"/>
                    </w14:srgbClr>
                  </w14:solidFill>
                </w14:textFill>
              </w:rPr>
              <w:t>|||</w:t>
            </w:r>
            <w:r w:rsidRPr="006A414A">
              <w:rPr>
                <w:iCs/>
                <w:color w:val="000000"/>
                <w:spacing w:val="1"/>
                <w:shd w:val="solid" w:color="000000" w:fill="000000"/>
                <w:fitText w:val="363" w:id="-1303199485"/>
                <w14:textFill>
                  <w14:solidFill>
                    <w14:srgbClr w14:val="000000">
                      <w14:alpha w14:val="100000"/>
                    </w14:srgbClr>
                  </w14:solidFill>
                </w14:textFill>
              </w:rPr>
              <w:t>|</w:t>
            </w:r>
            <w:r w:rsidR="00E51B52" w:rsidRPr="00E51B52">
              <w:rPr>
                <w:iCs/>
                <w:vertAlign w:val="superscript"/>
              </w:rPr>
              <w:t>1</w:t>
            </w:r>
          </w:p>
        </w:tc>
        <w:tc>
          <w:tcPr>
            <w:tcW w:w="533" w:type="pct"/>
            <w:shd w:val="clear" w:color="auto" w:fill="auto"/>
            <w:vAlign w:val="center"/>
          </w:tcPr>
          <w:p w14:paraId="66C131EE" w14:textId="401CE2A6" w:rsidR="00566762" w:rsidRPr="00077E8B" w:rsidRDefault="006A414A" w:rsidP="00CC71B0">
            <w:pPr>
              <w:pStyle w:val="TableText0"/>
              <w:widowControl w:val="0"/>
              <w:rPr>
                <w:iCs/>
                <w:highlight w:val="darkGray"/>
              </w:rPr>
            </w:pPr>
            <w:r w:rsidRPr="006A414A">
              <w:rPr>
                <w:iCs/>
                <w:color w:val="000000"/>
                <w:spacing w:val="64"/>
                <w:shd w:val="solid" w:color="000000" w:fill="000000"/>
                <w:fitText w:val="363" w:id="-1303199232"/>
                <w14:textFill>
                  <w14:solidFill>
                    <w14:srgbClr w14:val="000000">
                      <w14:alpha w14:val="100000"/>
                    </w14:srgbClr>
                  </w14:solidFill>
                </w14:textFill>
              </w:rPr>
              <w:t>|||</w:t>
            </w:r>
            <w:r w:rsidRPr="006A414A">
              <w:rPr>
                <w:iCs/>
                <w:color w:val="000000"/>
                <w:spacing w:val="1"/>
                <w:shd w:val="solid" w:color="000000" w:fill="000000"/>
                <w:fitText w:val="363" w:id="-1303199232"/>
                <w14:textFill>
                  <w14:solidFill>
                    <w14:srgbClr w14:val="000000">
                      <w14:alpha w14:val="100000"/>
                    </w14:srgbClr>
                  </w14:solidFill>
                </w14:textFill>
              </w:rPr>
              <w:t>|</w:t>
            </w:r>
            <w:r w:rsidR="00E51B52" w:rsidRPr="00E51B52">
              <w:rPr>
                <w:iCs/>
                <w:vertAlign w:val="superscript"/>
              </w:rPr>
              <w:t>1</w:t>
            </w:r>
          </w:p>
        </w:tc>
      </w:tr>
      <w:tr w:rsidR="003E2970" w:rsidRPr="00560D37" w14:paraId="66E57DDD" w14:textId="77777777" w:rsidTr="003E2970">
        <w:trPr>
          <w:trHeight w:val="285"/>
        </w:trPr>
        <w:tc>
          <w:tcPr>
            <w:tcW w:w="1805" w:type="pct"/>
            <w:shd w:val="clear" w:color="auto" w:fill="auto"/>
            <w:vAlign w:val="center"/>
          </w:tcPr>
          <w:p w14:paraId="0D778549" w14:textId="7F11E085" w:rsidR="00566762" w:rsidRPr="00560D37" w:rsidRDefault="00566762" w:rsidP="00CC71B0">
            <w:pPr>
              <w:pStyle w:val="TableText0"/>
              <w:widowControl w:val="0"/>
              <w:rPr>
                <w:iCs/>
              </w:rPr>
            </w:pPr>
            <w:r w:rsidRPr="00560D37">
              <w:rPr>
                <w:iCs/>
              </w:rPr>
              <w:t>Cost of administration of additional 23vPPV doses</w:t>
            </w:r>
            <w:r w:rsidR="00077E8B">
              <w:rPr>
                <w:iCs/>
              </w:rPr>
              <w:t xml:space="preserve"> ($)</w:t>
            </w:r>
          </w:p>
        </w:tc>
        <w:tc>
          <w:tcPr>
            <w:tcW w:w="532" w:type="pct"/>
            <w:shd w:val="clear" w:color="auto" w:fill="auto"/>
            <w:vAlign w:val="center"/>
          </w:tcPr>
          <w:p w14:paraId="3D40FC7D" w14:textId="3C3058C2" w:rsidR="00566762" w:rsidRPr="00077E8B" w:rsidRDefault="006A414A" w:rsidP="00CC71B0">
            <w:pPr>
              <w:pStyle w:val="TableText0"/>
              <w:widowControl w:val="0"/>
              <w:rPr>
                <w:iCs/>
                <w:highlight w:val="darkGray"/>
              </w:rPr>
            </w:pPr>
            <w:r w:rsidRPr="006A414A">
              <w:rPr>
                <w:iCs/>
                <w:color w:val="000000"/>
                <w:spacing w:val="64"/>
                <w:shd w:val="solid" w:color="000000" w:fill="000000"/>
                <w:fitText w:val="363" w:id="-1303199231"/>
                <w14:textFill>
                  <w14:solidFill>
                    <w14:srgbClr w14:val="000000">
                      <w14:alpha w14:val="100000"/>
                    </w14:srgbClr>
                  </w14:solidFill>
                </w14:textFill>
              </w:rPr>
              <w:t>|||</w:t>
            </w:r>
            <w:r w:rsidRPr="006A414A">
              <w:rPr>
                <w:iCs/>
                <w:color w:val="000000"/>
                <w:spacing w:val="1"/>
                <w:shd w:val="solid" w:color="000000" w:fill="000000"/>
                <w:fitText w:val="363" w:id="-1303199231"/>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01231F61" w14:textId="3F636072" w:rsidR="00566762" w:rsidRPr="00077E8B" w:rsidRDefault="006A414A" w:rsidP="00CC71B0">
            <w:pPr>
              <w:pStyle w:val="TableText0"/>
              <w:widowControl w:val="0"/>
              <w:rPr>
                <w:iCs/>
                <w:highlight w:val="darkGray"/>
              </w:rPr>
            </w:pPr>
            <w:r w:rsidRPr="006A414A">
              <w:rPr>
                <w:iCs/>
                <w:color w:val="000000"/>
                <w:spacing w:val="64"/>
                <w:shd w:val="solid" w:color="000000" w:fill="000000"/>
                <w:fitText w:val="363" w:id="-1303199230"/>
                <w14:textFill>
                  <w14:solidFill>
                    <w14:srgbClr w14:val="000000">
                      <w14:alpha w14:val="100000"/>
                    </w14:srgbClr>
                  </w14:solidFill>
                </w14:textFill>
              </w:rPr>
              <w:t>|||</w:t>
            </w:r>
            <w:r w:rsidRPr="006A414A">
              <w:rPr>
                <w:iCs/>
                <w:color w:val="000000"/>
                <w:spacing w:val="1"/>
                <w:shd w:val="solid" w:color="000000" w:fill="000000"/>
                <w:fitText w:val="363" w:id="-1303199230"/>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3B778928" w14:textId="5B4461AD" w:rsidR="00566762" w:rsidRPr="00077E8B" w:rsidRDefault="006A414A" w:rsidP="00CC71B0">
            <w:pPr>
              <w:pStyle w:val="TableText0"/>
              <w:widowControl w:val="0"/>
              <w:rPr>
                <w:iCs/>
                <w:highlight w:val="darkGray"/>
              </w:rPr>
            </w:pPr>
            <w:r w:rsidRPr="006A414A">
              <w:rPr>
                <w:iCs/>
                <w:color w:val="000000"/>
                <w:spacing w:val="64"/>
                <w:shd w:val="solid" w:color="000000" w:fill="000000"/>
                <w:fitText w:val="363" w:id="-1303199229"/>
                <w14:textFill>
                  <w14:solidFill>
                    <w14:srgbClr w14:val="000000">
                      <w14:alpha w14:val="100000"/>
                    </w14:srgbClr>
                  </w14:solidFill>
                </w14:textFill>
              </w:rPr>
              <w:t>|||</w:t>
            </w:r>
            <w:r w:rsidRPr="006A414A">
              <w:rPr>
                <w:iCs/>
                <w:color w:val="000000"/>
                <w:spacing w:val="1"/>
                <w:shd w:val="solid" w:color="000000" w:fill="000000"/>
                <w:fitText w:val="363" w:id="-1303199229"/>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73D590DB" w14:textId="665EFB7B" w:rsidR="00566762" w:rsidRPr="00077E8B" w:rsidRDefault="006A414A" w:rsidP="00CC71B0">
            <w:pPr>
              <w:pStyle w:val="TableText0"/>
              <w:widowControl w:val="0"/>
              <w:rPr>
                <w:iCs/>
                <w:highlight w:val="darkGray"/>
              </w:rPr>
            </w:pPr>
            <w:r w:rsidRPr="006A414A">
              <w:rPr>
                <w:iCs/>
                <w:color w:val="000000"/>
                <w:spacing w:val="64"/>
                <w:shd w:val="solid" w:color="000000" w:fill="000000"/>
                <w:fitText w:val="363" w:id="-1303199228"/>
                <w14:textFill>
                  <w14:solidFill>
                    <w14:srgbClr w14:val="000000">
                      <w14:alpha w14:val="100000"/>
                    </w14:srgbClr>
                  </w14:solidFill>
                </w14:textFill>
              </w:rPr>
              <w:t>|||</w:t>
            </w:r>
            <w:r w:rsidRPr="006A414A">
              <w:rPr>
                <w:iCs/>
                <w:color w:val="000000"/>
                <w:spacing w:val="1"/>
                <w:shd w:val="solid" w:color="000000" w:fill="000000"/>
                <w:fitText w:val="363" w:id="-1303199228"/>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6323183E" w14:textId="14884983" w:rsidR="00566762" w:rsidRPr="00077E8B" w:rsidRDefault="006A414A" w:rsidP="00CC71B0">
            <w:pPr>
              <w:pStyle w:val="TableText0"/>
              <w:widowControl w:val="0"/>
              <w:rPr>
                <w:iCs/>
                <w:highlight w:val="darkGray"/>
              </w:rPr>
            </w:pPr>
            <w:r w:rsidRPr="006A414A">
              <w:rPr>
                <w:iCs/>
                <w:color w:val="000000"/>
                <w:spacing w:val="64"/>
                <w:shd w:val="solid" w:color="000000" w:fill="000000"/>
                <w:fitText w:val="363" w:id="-1303199227"/>
                <w14:textFill>
                  <w14:solidFill>
                    <w14:srgbClr w14:val="000000">
                      <w14:alpha w14:val="100000"/>
                    </w14:srgbClr>
                  </w14:solidFill>
                </w14:textFill>
              </w:rPr>
              <w:t>|||</w:t>
            </w:r>
            <w:r w:rsidRPr="006A414A">
              <w:rPr>
                <w:iCs/>
                <w:color w:val="000000"/>
                <w:spacing w:val="1"/>
                <w:shd w:val="solid" w:color="000000" w:fill="000000"/>
                <w:fitText w:val="363" w:id="-1303199227"/>
                <w14:textFill>
                  <w14:solidFill>
                    <w14:srgbClr w14:val="000000">
                      <w14:alpha w14:val="100000"/>
                    </w14:srgbClr>
                  </w14:solidFill>
                </w14:textFill>
              </w:rPr>
              <w:t>|</w:t>
            </w:r>
            <w:r w:rsidR="00E51B52" w:rsidRPr="00E51B52">
              <w:rPr>
                <w:iCs/>
                <w:vertAlign w:val="superscript"/>
              </w:rPr>
              <w:t>1</w:t>
            </w:r>
          </w:p>
        </w:tc>
        <w:tc>
          <w:tcPr>
            <w:tcW w:w="533" w:type="pct"/>
            <w:shd w:val="clear" w:color="auto" w:fill="auto"/>
            <w:vAlign w:val="center"/>
          </w:tcPr>
          <w:p w14:paraId="5465F7EF" w14:textId="05AA456E" w:rsidR="00566762" w:rsidRPr="00077E8B" w:rsidRDefault="006A414A" w:rsidP="00CC71B0">
            <w:pPr>
              <w:pStyle w:val="TableText0"/>
              <w:widowControl w:val="0"/>
              <w:rPr>
                <w:iCs/>
                <w:highlight w:val="darkGray"/>
              </w:rPr>
            </w:pPr>
            <w:r w:rsidRPr="006A414A">
              <w:rPr>
                <w:iCs/>
                <w:color w:val="000000"/>
                <w:spacing w:val="64"/>
                <w:shd w:val="solid" w:color="000000" w:fill="000000"/>
                <w:fitText w:val="363" w:id="-1303199226"/>
                <w14:textFill>
                  <w14:solidFill>
                    <w14:srgbClr w14:val="000000">
                      <w14:alpha w14:val="100000"/>
                    </w14:srgbClr>
                  </w14:solidFill>
                </w14:textFill>
              </w:rPr>
              <w:t>|||</w:t>
            </w:r>
            <w:r w:rsidRPr="006A414A">
              <w:rPr>
                <w:iCs/>
                <w:color w:val="000000"/>
                <w:spacing w:val="1"/>
                <w:shd w:val="solid" w:color="000000" w:fill="000000"/>
                <w:fitText w:val="363" w:id="-1303199226"/>
                <w14:textFill>
                  <w14:solidFill>
                    <w14:srgbClr w14:val="000000">
                      <w14:alpha w14:val="100000"/>
                    </w14:srgbClr>
                  </w14:solidFill>
                </w14:textFill>
              </w:rPr>
              <w:t>|</w:t>
            </w:r>
            <w:r w:rsidR="00E51B52" w:rsidRPr="00E51B52">
              <w:rPr>
                <w:iCs/>
                <w:vertAlign w:val="superscript"/>
              </w:rPr>
              <w:t>1</w:t>
            </w:r>
          </w:p>
        </w:tc>
      </w:tr>
      <w:tr w:rsidR="003E2970" w:rsidRPr="00560D37" w14:paraId="63FFB571" w14:textId="77777777" w:rsidTr="003E2970">
        <w:trPr>
          <w:trHeight w:val="285"/>
        </w:trPr>
        <w:tc>
          <w:tcPr>
            <w:tcW w:w="1805" w:type="pct"/>
            <w:shd w:val="clear" w:color="auto" w:fill="auto"/>
            <w:vAlign w:val="center"/>
          </w:tcPr>
          <w:p w14:paraId="0D1A72A9" w14:textId="1F9F8882" w:rsidR="00566762" w:rsidRPr="00560D37" w:rsidRDefault="00566762" w:rsidP="00CC71B0">
            <w:pPr>
              <w:pStyle w:val="TableText0"/>
              <w:widowControl w:val="0"/>
              <w:rPr>
                <w:iCs/>
              </w:rPr>
            </w:pPr>
            <w:r w:rsidRPr="00560D37">
              <w:rPr>
                <w:iCs/>
              </w:rPr>
              <w:t xml:space="preserve">Total cost of additional 23vPPV doses </w:t>
            </w:r>
            <w:r w:rsidR="00077E8B">
              <w:rPr>
                <w:iCs/>
              </w:rPr>
              <w:t>($)</w:t>
            </w:r>
          </w:p>
        </w:tc>
        <w:tc>
          <w:tcPr>
            <w:tcW w:w="532" w:type="pct"/>
            <w:shd w:val="clear" w:color="auto" w:fill="auto"/>
            <w:vAlign w:val="center"/>
          </w:tcPr>
          <w:p w14:paraId="4AAD7C09" w14:textId="31F99454" w:rsidR="00566762" w:rsidRPr="00077E8B" w:rsidRDefault="006A414A" w:rsidP="00CC71B0">
            <w:pPr>
              <w:pStyle w:val="TableText0"/>
              <w:widowControl w:val="0"/>
              <w:rPr>
                <w:bCs w:val="0"/>
                <w:iCs/>
                <w:highlight w:val="darkGray"/>
              </w:rPr>
            </w:pPr>
            <w:r w:rsidRPr="006A414A">
              <w:rPr>
                <w:iCs/>
                <w:color w:val="000000"/>
                <w:spacing w:val="64"/>
                <w:shd w:val="solid" w:color="000000" w:fill="000000"/>
                <w:fitText w:val="363" w:id="-1303199225"/>
                <w14:textFill>
                  <w14:solidFill>
                    <w14:srgbClr w14:val="000000">
                      <w14:alpha w14:val="100000"/>
                    </w14:srgbClr>
                  </w14:solidFill>
                </w14:textFill>
              </w:rPr>
              <w:t>|||</w:t>
            </w:r>
            <w:r w:rsidRPr="006A414A">
              <w:rPr>
                <w:iCs/>
                <w:color w:val="000000"/>
                <w:spacing w:val="1"/>
                <w:shd w:val="solid" w:color="000000" w:fill="000000"/>
                <w:fitText w:val="363" w:id="-1303199225"/>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7C7C3969" w14:textId="7953D5C4" w:rsidR="00566762" w:rsidRPr="00077E8B" w:rsidRDefault="006A414A" w:rsidP="00CC71B0">
            <w:pPr>
              <w:pStyle w:val="TableText0"/>
              <w:widowControl w:val="0"/>
              <w:rPr>
                <w:bCs w:val="0"/>
                <w:iCs/>
                <w:highlight w:val="darkGray"/>
              </w:rPr>
            </w:pPr>
            <w:r w:rsidRPr="006A414A">
              <w:rPr>
                <w:iCs/>
                <w:color w:val="000000"/>
                <w:spacing w:val="64"/>
                <w:shd w:val="solid" w:color="000000" w:fill="000000"/>
                <w:fitText w:val="363" w:id="-1303199224"/>
                <w14:textFill>
                  <w14:solidFill>
                    <w14:srgbClr w14:val="000000">
                      <w14:alpha w14:val="100000"/>
                    </w14:srgbClr>
                  </w14:solidFill>
                </w14:textFill>
              </w:rPr>
              <w:t>|||</w:t>
            </w:r>
            <w:r w:rsidRPr="006A414A">
              <w:rPr>
                <w:iCs/>
                <w:color w:val="000000"/>
                <w:spacing w:val="1"/>
                <w:shd w:val="solid" w:color="000000" w:fill="000000"/>
                <w:fitText w:val="363" w:id="-1303199224"/>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44B370AC" w14:textId="64C2A685" w:rsidR="00566762" w:rsidRPr="00077E8B" w:rsidRDefault="006A414A" w:rsidP="00CC71B0">
            <w:pPr>
              <w:pStyle w:val="TableText0"/>
              <w:widowControl w:val="0"/>
              <w:rPr>
                <w:bCs w:val="0"/>
                <w:iCs/>
                <w:highlight w:val="darkGray"/>
              </w:rPr>
            </w:pPr>
            <w:r w:rsidRPr="006A414A">
              <w:rPr>
                <w:iCs/>
                <w:color w:val="000000"/>
                <w:spacing w:val="64"/>
                <w:shd w:val="solid" w:color="000000" w:fill="000000"/>
                <w:fitText w:val="363" w:id="-1303199223"/>
                <w14:textFill>
                  <w14:solidFill>
                    <w14:srgbClr w14:val="000000">
                      <w14:alpha w14:val="100000"/>
                    </w14:srgbClr>
                  </w14:solidFill>
                </w14:textFill>
              </w:rPr>
              <w:t>|||</w:t>
            </w:r>
            <w:r w:rsidRPr="006A414A">
              <w:rPr>
                <w:iCs/>
                <w:color w:val="000000"/>
                <w:spacing w:val="1"/>
                <w:shd w:val="solid" w:color="000000" w:fill="000000"/>
                <w:fitText w:val="363" w:id="-1303199223"/>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32F65652" w14:textId="6B3A43C6" w:rsidR="00566762" w:rsidRPr="00077E8B" w:rsidRDefault="006A414A" w:rsidP="00CC71B0">
            <w:pPr>
              <w:pStyle w:val="TableText0"/>
              <w:widowControl w:val="0"/>
              <w:rPr>
                <w:bCs w:val="0"/>
                <w:iCs/>
                <w:highlight w:val="darkGray"/>
              </w:rPr>
            </w:pPr>
            <w:r w:rsidRPr="006A414A">
              <w:rPr>
                <w:iCs/>
                <w:color w:val="000000"/>
                <w:spacing w:val="64"/>
                <w:shd w:val="solid" w:color="000000" w:fill="000000"/>
                <w:fitText w:val="363" w:id="-1303199222"/>
                <w14:textFill>
                  <w14:solidFill>
                    <w14:srgbClr w14:val="000000">
                      <w14:alpha w14:val="100000"/>
                    </w14:srgbClr>
                  </w14:solidFill>
                </w14:textFill>
              </w:rPr>
              <w:t>|||</w:t>
            </w:r>
            <w:r w:rsidRPr="006A414A">
              <w:rPr>
                <w:iCs/>
                <w:color w:val="000000"/>
                <w:spacing w:val="1"/>
                <w:shd w:val="solid" w:color="000000" w:fill="000000"/>
                <w:fitText w:val="363" w:id="-1303199222"/>
                <w14:textFill>
                  <w14:solidFill>
                    <w14:srgbClr w14:val="000000">
                      <w14:alpha w14:val="100000"/>
                    </w14:srgbClr>
                  </w14:solidFill>
                </w14:textFill>
              </w:rPr>
              <w:t>|</w:t>
            </w:r>
            <w:r w:rsidR="00E51B52" w:rsidRPr="00E51B52">
              <w:rPr>
                <w:iCs/>
                <w:vertAlign w:val="superscript"/>
              </w:rPr>
              <w:t>1</w:t>
            </w:r>
          </w:p>
        </w:tc>
        <w:tc>
          <w:tcPr>
            <w:tcW w:w="532" w:type="pct"/>
            <w:shd w:val="clear" w:color="auto" w:fill="auto"/>
            <w:vAlign w:val="center"/>
          </w:tcPr>
          <w:p w14:paraId="2F5A477B" w14:textId="39E23CB7" w:rsidR="00566762" w:rsidRPr="00077E8B" w:rsidRDefault="006A414A" w:rsidP="00CC71B0">
            <w:pPr>
              <w:pStyle w:val="TableText0"/>
              <w:widowControl w:val="0"/>
              <w:rPr>
                <w:bCs w:val="0"/>
                <w:iCs/>
                <w:highlight w:val="darkGray"/>
              </w:rPr>
            </w:pPr>
            <w:r w:rsidRPr="006A414A">
              <w:rPr>
                <w:iCs/>
                <w:color w:val="000000"/>
                <w:spacing w:val="64"/>
                <w:shd w:val="solid" w:color="000000" w:fill="000000"/>
                <w:fitText w:val="363" w:id="-1303199221"/>
                <w14:textFill>
                  <w14:solidFill>
                    <w14:srgbClr w14:val="000000">
                      <w14:alpha w14:val="100000"/>
                    </w14:srgbClr>
                  </w14:solidFill>
                </w14:textFill>
              </w:rPr>
              <w:t>|||</w:t>
            </w:r>
            <w:r w:rsidRPr="006A414A">
              <w:rPr>
                <w:iCs/>
                <w:color w:val="000000"/>
                <w:spacing w:val="1"/>
                <w:shd w:val="solid" w:color="000000" w:fill="000000"/>
                <w:fitText w:val="363" w:id="-1303199221"/>
                <w14:textFill>
                  <w14:solidFill>
                    <w14:srgbClr w14:val="000000">
                      <w14:alpha w14:val="100000"/>
                    </w14:srgbClr>
                  </w14:solidFill>
                </w14:textFill>
              </w:rPr>
              <w:t>|</w:t>
            </w:r>
            <w:r w:rsidR="00E51B52" w:rsidRPr="00E51B52">
              <w:rPr>
                <w:iCs/>
                <w:vertAlign w:val="superscript"/>
              </w:rPr>
              <w:t>1</w:t>
            </w:r>
          </w:p>
        </w:tc>
        <w:tc>
          <w:tcPr>
            <w:tcW w:w="533" w:type="pct"/>
            <w:shd w:val="clear" w:color="auto" w:fill="auto"/>
            <w:vAlign w:val="center"/>
          </w:tcPr>
          <w:p w14:paraId="3574FC4C" w14:textId="5A6D4277" w:rsidR="00566762" w:rsidRPr="00077E8B" w:rsidRDefault="006A414A" w:rsidP="00CC71B0">
            <w:pPr>
              <w:pStyle w:val="TableText0"/>
              <w:widowControl w:val="0"/>
              <w:rPr>
                <w:bCs w:val="0"/>
                <w:iCs/>
                <w:highlight w:val="darkGray"/>
              </w:rPr>
            </w:pPr>
            <w:r w:rsidRPr="006A414A">
              <w:rPr>
                <w:iCs/>
                <w:color w:val="000000"/>
                <w:spacing w:val="64"/>
                <w:shd w:val="solid" w:color="000000" w:fill="000000"/>
                <w:fitText w:val="363" w:id="-1303199220"/>
                <w14:textFill>
                  <w14:solidFill>
                    <w14:srgbClr w14:val="000000">
                      <w14:alpha w14:val="100000"/>
                    </w14:srgbClr>
                  </w14:solidFill>
                </w14:textFill>
              </w:rPr>
              <w:t>|||</w:t>
            </w:r>
            <w:r w:rsidRPr="006A414A">
              <w:rPr>
                <w:iCs/>
                <w:color w:val="000000"/>
                <w:spacing w:val="1"/>
                <w:shd w:val="solid" w:color="000000" w:fill="000000"/>
                <w:fitText w:val="363" w:id="-1303199220"/>
                <w14:textFill>
                  <w14:solidFill>
                    <w14:srgbClr w14:val="000000">
                      <w14:alpha w14:val="100000"/>
                    </w14:srgbClr>
                  </w14:solidFill>
                </w14:textFill>
              </w:rPr>
              <w:t>|</w:t>
            </w:r>
            <w:r w:rsidR="00E51B52" w:rsidRPr="00E51B52">
              <w:rPr>
                <w:iCs/>
                <w:vertAlign w:val="superscript"/>
              </w:rPr>
              <w:t>1</w:t>
            </w:r>
          </w:p>
        </w:tc>
      </w:tr>
    </w:tbl>
    <w:p w14:paraId="63E094FA" w14:textId="7B1E0D5C" w:rsidR="00566762" w:rsidRPr="00560D37" w:rsidRDefault="00566762" w:rsidP="00566762">
      <w:pPr>
        <w:rPr>
          <w:rFonts w:ascii="Arial Narrow" w:hAnsi="Arial Narrow"/>
          <w:iCs/>
          <w:sz w:val="16"/>
          <w:szCs w:val="16"/>
        </w:rPr>
      </w:pPr>
      <w:r w:rsidRPr="00560D37">
        <w:rPr>
          <w:rFonts w:ascii="Arial Narrow" w:hAnsi="Arial Narrow"/>
          <w:iCs/>
          <w:sz w:val="16"/>
          <w:szCs w:val="16"/>
        </w:rPr>
        <w:t>Source:</w:t>
      </w:r>
      <w:r w:rsidR="00EB5430">
        <w:rPr>
          <w:rFonts w:ascii="Arial Narrow" w:hAnsi="Arial Narrow"/>
          <w:iCs/>
          <w:sz w:val="16"/>
          <w:szCs w:val="16"/>
        </w:rPr>
        <w:t xml:space="preserve"> </w:t>
      </w:r>
      <w:r w:rsidRPr="00560D37">
        <w:rPr>
          <w:rFonts w:ascii="Arial Narrow" w:hAnsi="Arial Narrow"/>
          <w:iCs/>
          <w:sz w:val="16"/>
          <w:szCs w:val="16"/>
        </w:rPr>
        <w:t>PSCR</w:t>
      </w:r>
    </w:p>
    <w:p w14:paraId="7DB5E2C3" w14:textId="1F531995" w:rsidR="00566762" w:rsidRDefault="00566762" w:rsidP="00566762">
      <w:pPr>
        <w:rPr>
          <w:rFonts w:ascii="Arial Narrow" w:hAnsi="Arial Narrow"/>
          <w:iCs/>
          <w:sz w:val="16"/>
          <w:szCs w:val="16"/>
        </w:rPr>
      </w:pPr>
      <w:r w:rsidRPr="00560D37">
        <w:rPr>
          <w:rFonts w:ascii="Arial Narrow" w:hAnsi="Arial Narrow"/>
          <w:iCs/>
          <w:sz w:val="16"/>
          <w:szCs w:val="16"/>
        </w:rPr>
        <w:t>a Cost per dose of 23vPPV is assumed to be $20 (consistent with the economic evaluation).</w:t>
      </w:r>
    </w:p>
    <w:p w14:paraId="43DD297F" w14:textId="77777777" w:rsidR="00077E8B" w:rsidRDefault="00077E8B" w:rsidP="00077E8B">
      <w:pPr>
        <w:rPr>
          <w:rFonts w:ascii="Arial Narrow" w:hAnsi="Arial Narrow"/>
          <w:i/>
          <w:sz w:val="18"/>
          <w:szCs w:val="18"/>
        </w:rPr>
      </w:pPr>
      <w:r>
        <w:rPr>
          <w:rFonts w:ascii="Arial Narrow" w:hAnsi="Arial Narrow"/>
          <w:i/>
          <w:sz w:val="18"/>
          <w:szCs w:val="18"/>
        </w:rPr>
        <w:t xml:space="preserve">The redacted values correspond to the following ranges: </w:t>
      </w:r>
    </w:p>
    <w:p w14:paraId="520924FF" w14:textId="4F8FD4AE" w:rsidR="00077E8B" w:rsidRPr="00077E8B" w:rsidRDefault="00077E8B" w:rsidP="00566762">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524B9D">
        <w:rPr>
          <w:rFonts w:ascii="Arial Narrow" w:hAnsi="Arial Narrow"/>
          <w:i/>
          <w:sz w:val="18"/>
          <w:szCs w:val="18"/>
        </w:rPr>
        <w:t>$0 to &lt; $10 million</w:t>
      </w:r>
    </w:p>
    <w:p w14:paraId="16CC34E6" w14:textId="572CBC94" w:rsidR="004D3204" w:rsidRPr="00BD1102" w:rsidRDefault="004D3204" w:rsidP="00566762">
      <w:pPr>
        <w:pStyle w:val="3-BodyText"/>
        <w:spacing w:before="120"/>
      </w:pPr>
      <w:r w:rsidRPr="00454CDA">
        <w:t xml:space="preserve">The submission identified uptake rates as the key sources of uncertainty. </w:t>
      </w:r>
      <w:r w:rsidRPr="00BD1102">
        <w:t xml:space="preserve">For the non-Indigenous adults aged 70-years, </w:t>
      </w:r>
      <w:r w:rsidR="003E2970">
        <w:t>there would be</w:t>
      </w:r>
      <w:r w:rsidRPr="00BD1102">
        <w:t xml:space="preserve"> a 17% increase to the net cost to </w:t>
      </w:r>
      <w:r w:rsidR="003E2970">
        <w:t xml:space="preserve">the </w:t>
      </w:r>
      <w:r w:rsidRPr="00BD1102">
        <w:t xml:space="preserve">NIP if the upper uptake rate </w:t>
      </w:r>
      <w:r w:rsidR="00BE40F3">
        <w:t xml:space="preserve">(75%) </w:t>
      </w:r>
      <w:r w:rsidR="003E2970">
        <w:t>wa</w:t>
      </w:r>
      <w:r w:rsidRPr="00BD1102">
        <w:t>s used</w:t>
      </w:r>
      <w:r w:rsidR="003E2970">
        <w:t>,</w:t>
      </w:r>
      <w:r w:rsidRPr="00BD1102">
        <w:t xml:space="preserve"> and a 14% decrease if the lower uptake rate</w:t>
      </w:r>
      <w:r w:rsidR="00BE40F3">
        <w:t xml:space="preserve"> (35%)</w:t>
      </w:r>
      <w:r w:rsidRPr="00BD1102">
        <w:t xml:space="preserve"> </w:t>
      </w:r>
      <w:r w:rsidR="003E2970">
        <w:t>wa</w:t>
      </w:r>
      <w:r w:rsidRPr="00BD1102">
        <w:t>s used. For the Aboriginal and Torres Strait Islanders aged 25-49 years old, using the upper limit of uptake rate</w:t>
      </w:r>
      <w:r w:rsidR="00BE40F3">
        <w:t xml:space="preserve"> (60%</w:t>
      </w:r>
      <w:r w:rsidR="00192FEA">
        <w:t xml:space="preserve"> in 2024-26 and 2% in 2028-29</w:t>
      </w:r>
      <w:r w:rsidR="00BE40F3">
        <w:t>)</w:t>
      </w:r>
      <w:r w:rsidR="00993A25">
        <w:t xml:space="preserve"> </w:t>
      </w:r>
      <w:r w:rsidRPr="00BD1102">
        <w:t xml:space="preserve">there </w:t>
      </w:r>
      <w:r w:rsidR="001C47DF">
        <w:t>would</w:t>
      </w:r>
      <w:r w:rsidR="001C47DF" w:rsidRPr="00BD1102">
        <w:t xml:space="preserve"> </w:t>
      </w:r>
      <w:r w:rsidRPr="00BD1102">
        <w:t>be a</w:t>
      </w:r>
      <w:r w:rsidR="003E2970">
        <w:t>n</w:t>
      </w:r>
      <w:r w:rsidRPr="00BD1102">
        <w:t xml:space="preserve"> 18% increase and using the lower limit</w:t>
      </w:r>
      <w:r w:rsidR="00BE40F3">
        <w:t xml:space="preserve"> (10%</w:t>
      </w:r>
      <w:r w:rsidR="00192FEA">
        <w:t>/0.5%</w:t>
      </w:r>
      <w:r w:rsidR="00BE40F3">
        <w:t>)</w:t>
      </w:r>
      <w:r w:rsidRPr="00BD1102">
        <w:t xml:space="preserve"> there </w:t>
      </w:r>
      <w:r w:rsidR="001C47DF">
        <w:t>would</w:t>
      </w:r>
      <w:r w:rsidR="001C47DF" w:rsidRPr="00BD1102">
        <w:t xml:space="preserve"> </w:t>
      </w:r>
      <w:r w:rsidRPr="00BD1102">
        <w:t xml:space="preserve">be a 20% decrease in net </w:t>
      </w:r>
      <w:r w:rsidR="003E2970">
        <w:t>cost to the NIP</w:t>
      </w:r>
      <w:r w:rsidRPr="00BD1102">
        <w:t xml:space="preserve">. Finally, </w:t>
      </w:r>
      <w:r w:rsidR="00192FEA">
        <w:t>for</w:t>
      </w:r>
      <w:r w:rsidRPr="00BD1102">
        <w:t xml:space="preserve"> the non-indigenous population </w:t>
      </w:r>
      <w:r w:rsidR="001C47DF">
        <w:t xml:space="preserve">aged &gt; 70 years </w:t>
      </w:r>
      <w:r w:rsidRPr="00BD1102">
        <w:t xml:space="preserve">there </w:t>
      </w:r>
      <w:r w:rsidR="001C47DF">
        <w:t>would</w:t>
      </w:r>
      <w:r w:rsidR="001C47DF" w:rsidRPr="00BD1102">
        <w:t xml:space="preserve"> </w:t>
      </w:r>
      <w:r w:rsidRPr="00BD1102">
        <w:t xml:space="preserve">be a 12% increase and 5% decrease to </w:t>
      </w:r>
      <w:r w:rsidR="00192FEA">
        <w:t>the net NIP costs</w:t>
      </w:r>
      <w:r w:rsidRPr="00BD1102">
        <w:t xml:space="preserve"> if using upper</w:t>
      </w:r>
      <w:r w:rsidR="00BE40F3">
        <w:t xml:space="preserve"> (4.6%)</w:t>
      </w:r>
      <w:r w:rsidRPr="00BD1102">
        <w:t xml:space="preserve"> and lower</w:t>
      </w:r>
      <w:r w:rsidR="00BE40F3">
        <w:t xml:space="preserve"> (0.6%)</w:t>
      </w:r>
      <w:r w:rsidRPr="00BD1102">
        <w:t xml:space="preserve"> sensitivity uptake rates</w:t>
      </w:r>
      <w:r w:rsidR="001C47DF">
        <w:t>,</w:t>
      </w:r>
      <w:r w:rsidRPr="00BD1102">
        <w:t xml:space="preserve"> respectively.</w:t>
      </w:r>
    </w:p>
    <w:p w14:paraId="045F8915" w14:textId="4AF38638" w:rsidR="00614D0C" w:rsidRPr="00CA3FCF" w:rsidRDefault="00614D0C" w:rsidP="00614D0C">
      <w:pPr>
        <w:pStyle w:val="3-BodyText"/>
      </w:pPr>
      <w:r w:rsidRPr="00560D37">
        <w:rPr>
          <w:iCs/>
        </w:rPr>
        <w:t xml:space="preserve">The ESC considered the key inputs of the financial estimates reasonable. However, the ESC considered the financial estimates may be underestimated for Aboriginal and Torres Strait Islander people, noting that population estimates for Aboriginal and </w:t>
      </w:r>
      <w:r w:rsidRPr="00560D37">
        <w:rPr>
          <w:iCs/>
        </w:rPr>
        <w:lastRenderedPageBreak/>
        <w:t>Torres Strait Islander people have recently increased following the 2021 Census</w:t>
      </w:r>
      <w:r w:rsidRPr="00560D37">
        <w:rPr>
          <w:rStyle w:val="FootnoteReference"/>
          <w:iCs/>
        </w:rPr>
        <w:footnoteReference w:id="4"/>
      </w:r>
      <w:r w:rsidRPr="00560D37">
        <w:rPr>
          <w:iCs/>
        </w:rPr>
        <w:t xml:space="preserve">. </w:t>
      </w:r>
      <w:r w:rsidR="003A76C2">
        <w:rPr>
          <w:iCs/>
        </w:rPr>
        <w:t xml:space="preserve">The pre-PBAC response </w:t>
      </w:r>
      <w:r w:rsidR="00437580">
        <w:rPr>
          <w:iCs/>
        </w:rPr>
        <w:t xml:space="preserve">agreed </w:t>
      </w:r>
      <w:r w:rsidR="001C47DF">
        <w:rPr>
          <w:iCs/>
        </w:rPr>
        <w:t xml:space="preserve">with the ESC </w:t>
      </w:r>
      <w:r w:rsidR="00437580">
        <w:rPr>
          <w:iCs/>
        </w:rPr>
        <w:t>that</w:t>
      </w:r>
      <w:r w:rsidR="001C47DF">
        <w:rPr>
          <w:iCs/>
        </w:rPr>
        <w:t xml:space="preserve"> the</w:t>
      </w:r>
      <w:r w:rsidR="00437580">
        <w:rPr>
          <w:iCs/>
        </w:rPr>
        <w:t xml:space="preserve"> </w:t>
      </w:r>
      <w:r w:rsidR="003A76C2" w:rsidRPr="003A76C2">
        <w:rPr>
          <w:iCs/>
        </w:rPr>
        <w:t xml:space="preserve">financial estimates for the Aboriginal and Torres Strait Islander population </w:t>
      </w:r>
      <w:r w:rsidR="001C47DF">
        <w:rPr>
          <w:iCs/>
        </w:rPr>
        <w:t xml:space="preserve">are likely to </w:t>
      </w:r>
      <w:r w:rsidR="003A76C2" w:rsidRPr="003A76C2">
        <w:rPr>
          <w:iCs/>
        </w:rPr>
        <w:t>be underestimated</w:t>
      </w:r>
      <w:r w:rsidR="00BF5D4A">
        <w:rPr>
          <w:iCs/>
        </w:rPr>
        <w:t>. The pre-PBAC response</w:t>
      </w:r>
      <w:r w:rsidR="003A76C2" w:rsidRPr="003A76C2">
        <w:rPr>
          <w:iCs/>
        </w:rPr>
        <w:t xml:space="preserve"> </w:t>
      </w:r>
      <w:r w:rsidR="003A76C2">
        <w:rPr>
          <w:iCs/>
        </w:rPr>
        <w:t>not</w:t>
      </w:r>
      <w:r w:rsidR="00BF5D4A">
        <w:rPr>
          <w:iCs/>
        </w:rPr>
        <w:t>ed</w:t>
      </w:r>
      <w:r w:rsidR="003A76C2">
        <w:rPr>
          <w:iCs/>
        </w:rPr>
        <w:t xml:space="preserve"> that t</w:t>
      </w:r>
      <w:r w:rsidR="003A76C2" w:rsidRPr="003A76C2">
        <w:rPr>
          <w:iCs/>
        </w:rPr>
        <w:t>he latest census data</w:t>
      </w:r>
      <w:r w:rsidR="00BF5D4A">
        <w:rPr>
          <w:iCs/>
        </w:rPr>
        <w:t>,</w:t>
      </w:r>
      <w:r w:rsidR="003A76C2" w:rsidRPr="003A76C2">
        <w:rPr>
          <w:iCs/>
        </w:rPr>
        <w:t xml:space="preserve"> published on 21 September 2022</w:t>
      </w:r>
      <w:r w:rsidR="00BF5D4A">
        <w:rPr>
          <w:iCs/>
        </w:rPr>
        <w:t>,</w:t>
      </w:r>
      <w:r w:rsidR="003A76C2" w:rsidRPr="003A76C2">
        <w:rPr>
          <w:iCs/>
        </w:rPr>
        <w:t xml:space="preserve"> indicates that the number of Aboriginal and Torres Strait Islander persons (≥</w:t>
      </w:r>
      <w:r w:rsidR="001C47DF">
        <w:rPr>
          <w:iCs/>
        </w:rPr>
        <w:t xml:space="preserve"> </w:t>
      </w:r>
      <w:r w:rsidR="003A76C2" w:rsidRPr="003A76C2">
        <w:rPr>
          <w:iCs/>
        </w:rPr>
        <w:t>20 years) reported for the year to June 2021</w:t>
      </w:r>
      <w:r w:rsidR="00BF5D4A">
        <w:rPr>
          <w:iCs/>
        </w:rPr>
        <w:t>,</w:t>
      </w:r>
      <w:r w:rsidR="003A76C2" w:rsidRPr="003A76C2">
        <w:rPr>
          <w:iCs/>
        </w:rPr>
        <w:t xml:space="preserve"> is approximately 10% higher than the projection for the 2021 year in the Australian Bureau of Statistics (ABS) projections 2006-2031 (3238.0, Series B) which informed</w:t>
      </w:r>
      <w:r w:rsidR="001C47DF">
        <w:rPr>
          <w:iCs/>
        </w:rPr>
        <w:t xml:space="preserve"> the</w:t>
      </w:r>
      <w:r w:rsidR="003A76C2" w:rsidRPr="003A76C2">
        <w:rPr>
          <w:iCs/>
        </w:rPr>
        <w:t xml:space="preserve"> submission estimates</w:t>
      </w:r>
      <w:r w:rsidR="003A76C2">
        <w:rPr>
          <w:iCs/>
        </w:rPr>
        <w:t xml:space="preserve">. </w:t>
      </w:r>
    </w:p>
    <w:p w14:paraId="72752D58" w14:textId="73D399C9" w:rsidR="00A72472" w:rsidRPr="00A72472" w:rsidRDefault="00614D0C" w:rsidP="00614D0C">
      <w:pPr>
        <w:pStyle w:val="3-BodyText"/>
      </w:pPr>
      <w:r w:rsidRPr="00560D37">
        <w:rPr>
          <w:iCs/>
        </w:rPr>
        <w:t xml:space="preserve">The </w:t>
      </w:r>
      <w:r w:rsidR="00A50F47">
        <w:rPr>
          <w:iCs/>
        </w:rPr>
        <w:t xml:space="preserve">pre-PBAC response acknowledged that </w:t>
      </w:r>
      <w:r w:rsidRPr="00560D37">
        <w:rPr>
          <w:iCs/>
        </w:rPr>
        <w:t xml:space="preserve">ESC considered the cost to the MBS may be slightly underestimated, noting that the MBS item cost for a general practitioner Level A consultation has increased from $17.90 to $18.20 (as of 1 July 2022) and bulk-billing incentives were not considered. </w:t>
      </w:r>
      <w:r w:rsidR="00A72472" w:rsidRPr="00560D37">
        <w:rPr>
          <w:iCs/>
        </w:rPr>
        <w:t xml:space="preserve">The ESC also noted that the total cost for general practitioner consultations was based on an 80% benefit. </w:t>
      </w:r>
      <w:r w:rsidR="00473455" w:rsidRPr="00560D37">
        <w:rPr>
          <w:iCs/>
        </w:rPr>
        <w:t>However,</w:t>
      </w:r>
      <w:r w:rsidR="00A72472" w:rsidRPr="00560D37">
        <w:rPr>
          <w:iCs/>
        </w:rPr>
        <w:t xml:space="preserve"> the cost to the MBS for a Level A consultation is 100% of the benefit. </w:t>
      </w:r>
    </w:p>
    <w:p w14:paraId="1E604A71" w14:textId="2382435C" w:rsidR="007F4AA8" w:rsidRPr="00E942AD" w:rsidRDefault="00614D0C" w:rsidP="005B7B37">
      <w:pPr>
        <w:pStyle w:val="3-BodyText"/>
      </w:pPr>
      <w:r w:rsidRPr="00560D37">
        <w:rPr>
          <w:iCs/>
        </w:rPr>
        <w:t>The ESC also considered a proportion of the expanded population may receive vaccines through the Aboriginal Community Controlled Health (ACCHO), not a general practitioner.</w:t>
      </w:r>
      <w:r w:rsidR="00824517" w:rsidRPr="00560D37">
        <w:rPr>
          <w:iCs/>
        </w:rPr>
        <w:t xml:space="preserve"> </w:t>
      </w:r>
    </w:p>
    <w:p w14:paraId="575EE009" w14:textId="7B2EDDB0" w:rsidR="00E942AD" w:rsidRPr="00E942AD" w:rsidRDefault="00E942AD" w:rsidP="005B7B37">
      <w:pPr>
        <w:pStyle w:val="3-BodyText"/>
      </w:pPr>
      <w:r>
        <w:rPr>
          <w:iCs/>
        </w:rPr>
        <w:t>The PBAC noted for the existing NIP populations, with the cost per dose for 20vPCV being the same as for 13vPCV and 15vPCV, there will be no additional cost to the NIP associated with the listing of 20vPCV.</w:t>
      </w:r>
    </w:p>
    <w:p w14:paraId="57CDEF73" w14:textId="39E69738" w:rsidR="00E942AD" w:rsidRPr="00383C3B" w:rsidRDefault="00E942AD" w:rsidP="005B7B37">
      <w:pPr>
        <w:pStyle w:val="3-BodyText"/>
      </w:pPr>
      <w:r>
        <w:rPr>
          <w:iCs/>
        </w:rPr>
        <w:t xml:space="preserve">The PBAC noted for the expanded NIP population, </w:t>
      </w:r>
      <w:r w:rsidR="006C4FA7">
        <w:rPr>
          <w:iCs/>
        </w:rPr>
        <w:t>applying</w:t>
      </w:r>
      <w:r>
        <w:rPr>
          <w:iCs/>
        </w:rPr>
        <w:t xml:space="preserve"> the reduced cost per dose for 20vPCV as per the pre-PBAC response ($</w:t>
      </w:r>
      <w:r w:rsidR="006A414A" w:rsidRPr="00137984">
        <w:rPr>
          <w:iCs/>
          <w:color w:val="000000"/>
          <w:w w:val="15"/>
          <w:shd w:val="solid" w:color="000000" w:fill="000000"/>
          <w:fitText w:val="-20" w:id="-1303199219"/>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199219"/>
          <w14:textFill>
            <w14:solidFill>
              <w14:srgbClr w14:val="000000">
                <w14:alpha w14:val="100000"/>
              </w14:srgbClr>
            </w14:solidFill>
          </w14:textFill>
        </w:rPr>
        <w:t>|</w:t>
      </w:r>
      <w:r>
        <w:rPr>
          <w:iCs/>
        </w:rPr>
        <w:t xml:space="preserve"> as compared with $</w:t>
      </w:r>
      <w:r w:rsidR="006A414A" w:rsidRPr="00137984">
        <w:rPr>
          <w:iCs/>
          <w:color w:val="000000"/>
          <w:w w:val="15"/>
          <w:shd w:val="solid" w:color="000000" w:fill="000000"/>
          <w:fitText w:val="-20" w:id="-1303199218"/>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199218"/>
          <w14:textFill>
            <w14:solidFill>
              <w14:srgbClr w14:val="000000">
                <w14:alpha w14:val="100000"/>
              </w14:srgbClr>
            </w14:solidFill>
          </w14:textFill>
        </w:rPr>
        <w:t>|</w:t>
      </w:r>
      <w:r>
        <w:rPr>
          <w:iCs/>
        </w:rPr>
        <w:t>),</w:t>
      </w:r>
      <w:r w:rsidR="006C4FA7">
        <w:rPr>
          <w:iCs/>
        </w:rPr>
        <w:t xml:space="preserve"> will reduce the </w:t>
      </w:r>
      <w:r w:rsidR="006B6EB2">
        <w:rPr>
          <w:iCs/>
        </w:rPr>
        <w:t xml:space="preserve">associated </w:t>
      </w:r>
      <w:r w:rsidR="006C4FA7">
        <w:rPr>
          <w:iCs/>
        </w:rPr>
        <w:t xml:space="preserve">cost to the NIP by approximately </w:t>
      </w:r>
      <w:r w:rsidR="006B6EB2">
        <w:rPr>
          <w:iCs/>
        </w:rPr>
        <w:t>10% ($</w:t>
      </w:r>
      <w:r w:rsidR="006A414A" w:rsidRPr="00137984">
        <w:rPr>
          <w:iCs/>
          <w:color w:val="000000"/>
          <w:w w:val="15"/>
          <w:shd w:val="solid" w:color="000000" w:fill="000000"/>
          <w:fitText w:val="-20" w:id="-1303199217"/>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199217"/>
          <w14:textFill>
            <w14:solidFill>
              <w14:srgbClr w14:val="000000">
                <w14:alpha w14:val="100000"/>
              </w14:srgbClr>
            </w14:solidFill>
          </w14:textFill>
        </w:rPr>
        <w:t>|</w:t>
      </w:r>
      <w:r w:rsidR="006B6EB2">
        <w:rPr>
          <w:iCs/>
        </w:rPr>
        <w:t>/$</w:t>
      </w:r>
      <w:r w:rsidR="006A414A" w:rsidRPr="00137984">
        <w:rPr>
          <w:iCs/>
          <w:color w:val="000000"/>
          <w:w w:val="15"/>
          <w:shd w:val="solid" w:color="000000" w:fill="000000"/>
          <w:fitText w:val="-20" w:id="-1303199216"/>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199216"/>
          <w14:textFill>
            <w14:solidFill>
              <w14:srgbClr w14:val="000000">
                <w14:alpha w14:val="100000"/>
              </w14:srgbClr>
            </w14:solidFill>
          </w14:textFill>
        </w:rPr>
        <w:t>|</w:t>
      </w:r>
      <w:r w:rsidR="006B6EB2">
        <w:rPr>
          <w:iCs/>
        </w:rPr>
        <w:t>).</w:t>
      </w:r>
      <w:r>
        <w:rPr>
          <w:iCs/>
        </w:rPr>
        <w:t xml:space="preserve"> </w:t>
      </w:r>
    </w:p>
    <w:p w14:paraId="55B7A397" w14:textId="7161E3D2" w:rsidR="007D4D11" w:rsidRPr="00C9624D" w:rsidRDefault="007D4D11" w:rsidP="007D4D11">
      <w:pPr>
        <w:pStyle w:val="4-SubsectionHeading"/>
      </w:pPr>
      <w:bookmarkStart w:id="128" w:name="_Toc114061404"/>
      <w:r w:rsidRPr="00C9624D">
        <w:t>Quality Use of Medicines</w:t>
      </w:r>
      <w:bookmarkEnd w:id="128"/>
    </w:p>
    <w:p w14:paraId="4C4B1499" w14:textId="0C16B2B9" w:rsidR="00A21BB2" w:rsidRPr="00CF3247" w:rsidRDefault="007D4D11" w:rsidP="00CD1C10">
      <w:pPr>
        <w:pStyle w:val="3-BodyText"/>
      </w:pPr>
      <w:r>
        <w:t>The submission indicated that the use of 20vPCV involved a replacement of 20vPCV for 13vPCV, without removal of 23PPV doses, therefore, the implementation of 20vPCV on the NIP is expected to be straightforward. The submission did not propose a post</w:t>
      </w:r>
      <w:r w:rsidR="00CC3495">
        <w:t>-</w:t>
      </w:r>
      <w:r>
        <w:t xml:space="preserve">marketing surveillance study but indicated that </w:t>
      </w:r>
      <w:r w:rsidR="00CC3495">
        <w:t xml:space="preserve">a </w:t>
      </w:r>
      <w:r>
        <w:t xml:space="preserve">pharmacovigilance system is in place for collection and notification of any adverse reactions.  </w:t>
      </w:r>
      <w:bookmarkStart w:id="129" w:name="_Hlk117847240"/>
    </w:p>
    <w:p w14:paraId="5B378ED4" w14:textId="02BDBC53" w:rsidR="00C7641C" w:rsidRPr="00BD1102" w:rsidRDefault="00A21BB2" w:rsidP="00A21BB2">
      <w:pPr>
        <w:pStyle w:val="3-BodyText"/>
        <w:numPr>
          <w:ilvl w:val="0"/>
          <w:numId w:val="0"/>
        </w:numPr>
        <w:ind w:left="720"/>
      </w:pPr>
      <w:r>
        <w:rPr>
          <w:i/>
          <w:iCs/>
          <w:color w:val="000000" w:themeColor="text1"/>
        </w:rPr>
        <w:t>For more detail on PBAC’s view, see section 7 PBAC outcome.</w:t>
      </w:r>
      <w:bookmarkEnd w:id="129"/>
    </w:p>
    <w:p w14:paraId="5BC5CE7A" w14:textId="77777777" w:rsidR="00245D27" w:rsidRPr="00CD1C10" w:rsidRDefault="00245D27" w:rsidP="00AA77E6">
      <w:pPr>
        <w:pStyle w:val="2-SectionHeading"/>
        <w:numPr>
          <w:ilvl w:val="0"/>
          <w:numId w:val="15"/>
        </w:numPr>
        <w:spacing w:after="120"/>
        <w:jc w:val="left"/>
        <w:outlineLvl w:val="0"/>
        <w:rPr>
          <w:rFonts w:asciiTheme="minorHAnsi" w:hAnsiTheme="minorHAnsi"/>
          <w:bCs w:val="0"/>
          <w:snapToGrid w:val="0"/>
        </w:rPr>
      </w:pPr>
      <w:bookmarkStart w:id="130" w:name="_Hlk76381249"/>
      <w:bookmarkStart w:id="131" w:name="_Hlk76377955"/>
      <w:bookmarkStart w:id="132" w:name="_Hlk117850588"/>
      <w:bookmarkStart w:id="133" w:name="_Hlk117851544"/>
      <w:r w:rsidRPr="00CD1C10">
        <w:rPr>
          <w:rFonts w:asciiTheme="minorHAnsi" w:hAnsiTheme="minorHAnsi"/>
          <w:bCs w:val="0"/>
          <w:snapToGrid w:val="0"/>
        </w:rPr>
        <w:t>PBAC Outcome</w:t>
      </w:r>
    </w:p>
    <w:p w14:paraId="6FC167BB" w14:textId="1977125B" w:rsidR="00927CC1" w:rsidRDefault="00927CC1" w:rsidP="00927CC1">
      <w:pPr>
        <w:pStyle w:val="3-BodyText"/>
      </w:pPr>
      <w:bookmarkStart w:id="134" w:name="_Hlk87972578"/>
      <w:bookmarkStart w:id="135" w:name="_Hlk111543188"/>
      <w:r>
        <w:t>The PBAC recommended that 20</w:t>
      </w:r>
      <w:r w:rsidRPr="00E67015">
        <w:t xml:space="preserve">-valent pneumococcal conjugate vaccine </w:t>
      </w:r>
      <w:r>
        <w:t xml:space="preserve">(20vPCV, Prevenar 20) be a designated vaccine for the purposes of the </w:t>
      </w:r>
      <w:r w:rsidRPr="00A40838">
        <w:rPr>
          <w:i/>
          <w:iCs/>
        </w:rPr>
        <w:t>National Health Act 1953</w:t>
      </w:r>
      <w:r>
        <w:t xml:space="preserve">, for the </w:t>
      </w:r>
      <w:r w:rsidRPr="00A40838">
        <w:t xml:space="preserve">prevention of pneumococcal disease in </w:t>
      </w:r>
      <w:r>
        <w:t xml:space="preserve">individuals with an at-risk condition </w:t>
      </w:r>
      <w:r w:rsidR="002F2A83">
        <w:t xml:space="preserve">aged </w:t>
      </w:r>
      <w:r>
        <w:t>≥ 18 years, non-Indigenous adults aged ≥ 70 years and Aboriginal and Torres Strait Islander adults aged ≥ 25 years</w:t>
      </w:r>
      <w:r w:rsidRPr="00A40838">
        <w:t xml:space="preserve">. </w:t>
      </w:r>
      <w:r>
        <w:t xml:space="preserve">The PBAC’s recommendation for listing </w:t>
      </w:r>
      <w:r w:rsidR="00AE048F">
        <w:lastRenderedPageBreak/>
        <w:t xml:space="preserve">for the </w:t>
      </w:r>
      <w:r w:rsidR="00CF540C">
        <w:t>existing</w:t>
      </w:r>
      <w:r w:rsidR="00AE048F">
        <w:t xml:space="preserve"> NIP populations </w:t>
      </w:r>
      <w:r w:rsidR="00162893">
        <w:t xml:space="preserve">(individuals with an at-risk condition aged ≥ 18 years, non-Indigenous adults aged ≥ 70 years and Aboriginal and Torres Strait Islander adults aged ≥ 50 years) </w:t>
      </w:r>
      <w:r>
        <w:t xml:space="preserve">was based on, among other matters, its assessment that the cost-effectiveness of </w:t>
      </w:r>
      <w:r w:rsidR="002F2A83">
        <w:t>20vPCV</w:t>
      </w:r>
      <w:r>
        <w:t xml:space="preserve"> would be acceptable if it were cost-minimised against the nominated comparator</w:t>
      </w:r>
      <w:r w:rsidR="006735D6">
        <w:t>s</w:t>
      </w:r>
      <w:r>
        <w:t>, 13-valent pneumococcal conjugate vaccine (</w:t>
      </w:r>
      <w:r w:rsidR="00F5588F">
        <w:t>13vPCV</w:t>
      </w:r>
      <w:r>
        <w:t>)</w:t>
      </w:r>
      <w:r w:rsidR="006735D6">
        <w:t xml:space="preserve"> and 15-valent pneumococcal conjugate vaccine (</w:t>
      </w:r>
      <w:r w:rsidR="004A2E8A">
        <w:t>15vPCV</w:t>
      </w:r>
      <w:r w:rsidR="006735D6">
        <w:t>)</w:t>
      </w:r>
      <w:r>
        <w:t>.</w:t>
      </w:r>
      <w:r w:rsidR="00AE048F">
        <w:t xml:space="preserve"> </w:t>
      </w:r>
      <w:r w:rsidR="0010748F">
        <w:t>The PBAC acknowledged the disproportionate</w:t>
      </w:r>
      <w:r w:rsidR="00D33FAC">
        <w:t>ly high</w:t>
      </w:r>
      <w:r w:rsidR="0010748F">
        <w:t xml:space="preserve"> burden of pneumococcal disease </w:t>
      </w:r>
      <w:r w:rsidR="006B6EB2">
        <w:t xml:space="preserve">in </w:t>
      </w:r>
      <w:r w:rsidR="0010748F">
        <w:t xml:space="preserve">the proposed </w:t>
      </w:r>
      <w:r w:rsidR="00AE048F">
        <w:t>expanded NIP population</w:t>
      </w:r>
      <w:r w:rsidR="002D7E51">
        <w:t xml:space="preserve">, </w:t>
      </w:r>
      <w:r w:rsidR="00AE048F">
        <w:t>Aboriginal and Torres Strait Islander adults aged 25-49 years</w:t>
      </w:r>
      <w:r w:rsidR="002D7E51">
        <w:t>,</w:t>
      </w:r>
      <w:r w:rsidR="00AE048F">
        <w:t xml:space="preserve"> </w:t>
      </w:r>
      <w:r w:rsidR="0005493C">
        <w:t>and recommended listing on the basis</w:t>
      </w:r>
      <w:r w:rsidR="00AE048F">
        <w:t xml:space="preserve"> that 20vPCV, with or without </w:t>
      </w:r>
      <w:r w:rsidR="00BC55B3">
        <w:t xml:space="preserve">one or </w:t>
      </w:r>
      <w:r w:rsidR="00AE048F">
        <w:t>two subsequent doses of 23vPPV,</w:t>
      </w:r>
      <w:r w:rsidR="00B460DA">
        <w:t xml:space="preserve"> would be cost-effective</w:t>
      </w:r>
      <w:r w:rsidR="00AE048F">
        <w:t xml:space="preserve"> at a cost per dose of $</w:t>
      </w:r>
      <w:r w:rsidR="006A414A" w:rsidRPr="00137984">
        <w:rPr>
          <w:color w:val="000000"/>
          <w:w w:val="15"/>
          <w:shd w:val="solid" w:color="000000" w:fill="000000"/>
          <w:fitText w:val="-20" w:id="-1303199232"/>
          <w14:textFill>
            <w14:solidFill>
              <w14:srgbClr w14:val="000000">
                <w14:alpha w14:val="100000"/>
              </w14:srgbClr>
            </w14:solidFill>
          </w14:textFill>
        </w:rPr>
        <w:t xml:space="preserve">|  </w:t>
      </w:r>
      <w:r w:rsidR="006A414A" w:rsidRPr="00137984">
        <w:rPr>
          <w:color w:val="000000"/>
          <w:spacing w:val="-69"/>
          <w:w w:val="15"/>
          <w:shd w:val="solid" w:color="000000" w:fill="000000"/>
          <w:fitText w:val="-20" w:id="-1303199232"/>
          <w14:textFill>
            <w14:solidFill>
              <w14:srgbClr w14:val="000000">
                <w14:alpha w14:val="100000"/>
              </w14:srgbClr>
            </w14:solidFill>
          </w14:textFill>
        </w:rPr>
        <w:t>|</w:t>
      </w:r>
      <w:r w:rsidR="006B6EB2">
        <w:t xml:space="preserve"> as proposed in the sponsor’s pre-PBAC response</w:t>
      </w:r>
      <w:r w:rsidR="00AE048F">
        <w:t>.</w:t>
      </w:r>
    </w:p>
    <w:bookmarkEnd w:id="134"/>
    <w:p w14:paraId="69B57208" w14:textId="6632FE23" w:rsidR="00927CC1" w:rsidRDefault="00927CC1" w:rsidP="00927CC1">
      <w:pPr>
        <w:pStyle w:val="3-BodyText"/>
      </w:pPr>
      <w:r>
        <w:t xml:space="preserve">The PBAC considered that nomination of </w:t>
      </w:r>
      <w:r w:rsidR="00E7225B">
        <w:t>13vPCV</w:t>
      </w:r>
      <w:r>
        <w:t xml:space="preserve"> as the main comparator</w:t>
      </w:r>
      <w:r w:rsidR="00AE048F">
        <w:t xml:space="preserve"> for the </w:t>
      </w:r>
      <w:r w:rsidR="0094061D">
        <w:t>existing</w:t>
      </w:r>
      <w:r w:rsidR="00AE048F">
        <w:t xml:space="preserve"> NIP populations</w:t>
      </w:r>
      <w:r>
        <w:t xml:space="preserve"> was appropriate</w:t>
      </w:r>
      <w:r w:rsidR="00903FF6">
        <w:rPr>
          <w:lang w:val="en-US"/>
        </w:rPr>
        <w:t xml:space="preserve">. The PBAC accepted </w:t>
      </w:r>
      <w:r w:rsidR="00903FF6" w:rsidRPr="00903FF6">
        <w:rPr>
          <w:lang w:val="en-US"/>
        </w:rPr>
        <w:t>15vPCV</w:t>
      </w:r>
      <w:r w:rsidR="00903FF6">
        <w:rPr>
          <w:lang w:val="en-US"/>
        </w:rPr>
        <w:t xml:space="preserve"> </w:t>
      </w:r>
      <w:r w:rsidR="00903FF6" w:rsidRPr="00903FF6">
        <w:rPr>
          <w:lang w:val="en-US"/>
        </w:rPr>
        <w:t>as a near market comparator, which was recommended for NIP-listing by the PBAC at the November 2021 meeting</w:t>
      </w:r>
      <w:r w:rsidR="00903FF6">
        <w:rPr>
          <w:lang w:val="en-US"/>
        </w:rPr>
        <w:t xml:space="preserve"> but was not listed on the NIP</w:t>
      </w:r>
      <w:r w:rsidR="00C62AE7">
        <w:rPr>
          <w:lang w:val="en-US"/>
        </w:rPr>
        <w:t xml:space="preserve"> at the time of </w:t>
      </w:r>
      <w:r w:rsidR="002E1936">
        <w:rPr>
          <w:lang w:val="en-US"/>
        </w:rPr>
        <w:t xml:space="preserve">the </w:t>
      </w:r>
      <w:r w:rsidR="00C62AE7">
        <w:rPr>
          <w:lang w:val="en-US"/>
        </w:rPr>
        <w:t>20vPCV consideration</w:t>
      </w:r>
      <w:r w:rsidR="00903FF6">
        <w:rPr>
          <w:lang w:val="en-US"/>
        </w:rPr>
        <w:t>. For</w:t>
      </w:r>
      <w:r w:rsidR="00903FF6" w:rsidRPr="00825086">
        <w:rPr>
          <w:lang w:val="en-US"/>
        </w:rPr>
        <w:t xml:space="preserve"> the expanded population</w:t>
      </w:r>
      <w:r w:rsidR="00903FF6">
        <w:rPr>
          <w:lang w:val="en-US"/>
        </w:rPr>
        <w:t xml:space="preserve">, </w:t>
      </w:r>
      <w:r w:rsidR="00E7225B">
        <w:rPr>
          <w:lang w:val="en-US"/>
        </w:rPr>
        <w:t xml:space="preserve">the </w:t>
      </w:r>
      <w:r w:rsidR="00903FF6">
        <w:rPr>
          <w:lang w:val="en-US"/>
        </w:rPr>
        <w:t>PBAC accepted</w:t>
      </w:r>
      <w:r w:rsidR="00903FF6" w:rsidRPr="00825086">
        <w:rPr>
          <w:lang w:val="en-US"/>
        </w:rPr>
        <w:t xml:space="preserve"> ‘no vaccine’</w:t>
      </w:r>
      <w:r w:rsidR="00903FF6">
        <w:rPr>
          <w:lang w:val="en-US"/>
        </w:rPr>
        <w:t xml:space="preserve"> as the </w:t>
      </w:r>
      <w:r w:rsidR="00C64217">
        <w:rPr>
          <w:lang w:val="en-US"/>
        </w:rPr>
        <w:t xml:space="preserve">appropriate </w:t>
      </w:r>
      <w:r w:rsidR="00903FF6">
        <w:rPr>
          <w:lang w:val="en-US"/>
        </w:rPr>
        <w:t>comparator</w:t>
      </w:r>
      <w:r w:rsidR="00903FF6" w:rsidRPr="00825086">
        <w:rPr>
          <w:lang w:val="en-US"/>
        </w:rPr>
        <w:t xml:space="preserve">. </w:t>
      </w:r>
    </w:p>
    <w:p w14:paraId="74412290" w14:textId="4746D984" w:rsidR="002D7E51" w:rsidRPr="002D7E51" w:rsidRDefault="00BA50D9" w:rsidP="00A6211A">
      <w:pPr>
        <w:pStyle w:val="3-BodyText"/>
      </w:pPr>
      <w:r w:rsidRPr="00C7478D">
        <w:t xml:space="preserve">The </w:t>
      </w:r>
      <w:r w:rsidR="00A6211A" w:rsidRPr="00C7478D">
        <w:t xml:space="preserve">PBAC noted the </w:t>
      </w:r>
      <w:r w:rsidRPr="00C7478D">
        <w:t>clinical claims presented in the submission were based on serotype</w:t>
      </w:r>
      <w:r w:rsidR="002D7E51">
        <w:t xml:space="preserve"> </w:t>
      </w:r>
      <w:r w:rsidRPr="00C7478D">
        <w:t>specific opsonophagocytic activity (OPA) from immunogenicity trial</w:t>
      </w:r>
      <w:r w:rsidR="00F8264A">
        <w:t>s</w:t>
      </w:r>
      <w:r w:rsidRPr="00C7478D">
        <w:t xml:space="preserve"> and extrapolation to 13vPCV effectiveness studies. </w:t>
      </w:r>
    </w:p>
    <w:p w14:paraId="4CF7609D" w14:textId="28EBAE10" w:rsidR="006B6EB2" w:rsidRPr="006B6EB2" w:rsidRDefault="002D7E51" w:rsidP="00BC55B3">
      <w:pPr>
        <w:pStyle w:val="3-BodyText"/>
      </w:pPr>
      <w:r w:rsidRPr="00BC55B3">
        <w:t>St</w:t>
      </w:r>
      <w:r w:rsidR="00F8264A" w:rsidRPr="00BC55B3">
        <w:t>udy B7471007 was a phase 3, randomised, double-blind immunogenicity trial in pneumococcal vaccine–naïve adults aged ≥</w:t>
      </w:r>
      <w:r w:rsidR="005B7B37" w:rsidRPr="00BC55B3">
        <w:t xml:space="preserve"> </w:t>
      </w:r>
      <w:r w:rsidR="00F8264A" w:rsidRPr="00BC55B3">
        <w:t xml:space="preserve">18 years comparing 20vPCV and 13vPCV for the 13 shared serotypes and 20vPCV and 23vPPV for the additional 7 serotypes. </w:t>
      </w:r>
      <w:r w:rsidR="00616FB1" w:rsidRPr="00BC55B3">
        <w:t xml:space="preserve">The PBAC noted in Cohort 1 of Study B7471007 (adults aged ≥60 years) the lower bounds of the 95% </w:t>
      </w:r>
      <w:r w:rsidR="00162893" w:rsidRPr="00BC55B3">
        <w:t>confidence interval (</w:t>
      </w:r>
      <w:r w:rsidR="00616FB1" w:rsidRPr="00BC55B3">
        <w:t>CI</w:t>
      </w:r>
      <w:r w:rsidR="00162893" w:rsidRPr="00BC55B3">
        <w:t>)</w:t>
      </w:r>
      <w:r w:rsidR="00616FB1" w:rsidRPr="00BC55B3">
        <w:t xml:space="preserve"> for the </w:t>
      </w:r>
      <w:r w:rsidR="001B2EEB" w:rsidRPr="00BC55B3">
        <w:t xml:space="preserve">OPA </w:t>
      </w:r>
      <w:r w:rsidR="00616FB1" w:rsidRPr="00BC55B3">
        <w:t xml:space="preserve">geometric mean ratios (GMRs) </w:t>
      </w:r>
      <w:r w:rsidR="001B2EEB" w:rsidRPr="00BC55B3">
        <w:t xml:space="preserve">for </w:t>
      </w:r>
      <w:r w:rsidR="00616FB1" w:rsidRPr="00BC55B3">
        <w:t>20v</w:t>
      </w:r>
      <w:r w:rsidR="001B2EEB" w:rsidRPr="00BC55B3">
        <w:t xml:space="preserve">PCV versus 13vPCV </w:t>
      </w:r>
      <w:r w:rsidR="00616FB1" w:rsidRPr="00BC55B3">
        <w:t xml:space="preserve">were above 0.5 for </w:t>
      </w:r>
      <w:r w:rsidR="001B2EEB" w:rsidRPr="00BC55B3">
        <w:t>the</w:t>
      </w:r>
      <w:r w:rsidR="00616FB1" w:rsidRPr="00BC55B3">
        <w:t xml:space="preserve"> 13 </w:t>
      </w:r>
      <w:r w:rsidR="001B2EEB" w:rsidRPr="00BC55B3">
        <w:t xml:space="preserve">shared </w:t>
      </w:r>
      <w:r w:rsidR="00616FB1" w:rsidRPr="00BC55B3">
        <w:t xml:space="preserve">serotypes and therefore the nominated non-inferiority criteria were met. However, the PBAC noted </w:t>
      </w:r>
      <w:r w:rsidR="006B6EB2" w:rsidRPr="00BC55B3">
        <w:t>that the OPA GMRs for 11 of the 13 matched serotypes had upper bound 95% CIs &lt; 1, thus favouring 13vPCV</w:t>
      </w:r>
      <w:r w:rsidR="00616FB1" w:rsidRPr="00BC55B3">
        <w:t>.</w:t>
      </w:r>
      <w:r w:rsidR="008554DC" w:rsidRPr="00BC55B3">
        <w:t xml:space="preserve"> The PBAC noted there is </w:t>
      </w:r>
      <w:r w:rsidR="008554DC" w:rsidRPr="00C7478D">
        <w:t xml:space="preserve">no specific threshold of OPA titre that correlates with </w:t>
      </w:r>
      <w:r w:rsidR="008554DC">
        <w:t>disease prevention</w:t>
      </w:r>
      <w:r w:rsidR="008554DC" w:rsidRPr="00C7478D">
        <w:t xml:space="preserve"> </w:t>
      </w:r>
      <w:r w:rsidR="008554DC">
        <w:t>and therefore the impact of these differences is unknown.</w:t>
      </w:r>
    </w:p>
    <w:p w14:paraId="34A7E337" w14:textId="74815FC5" w:rsidR="001504E7" w:rsidRDefault="00F8264A" w:rsidP="001504E7">
      <w:pPr>
        <w:pStyle w:val="3-BodyText"/>
      </w:pPr>
      <w:r w:rsidRPr="001504E7">
        <w:rPr>
          <w:iCs/>
        </w:rPr>
        <w:t xml:space="preserve">The PBAC noted </w:t>
      </w:r>
      <w:r w:rsidR="001504E7">
        <w:t>indirect treatment comparisons (</w:t>
      </w:r>
      <w:r w:rsidR="001504E7" w:rsidRPr="00C23984">
        <w:t>ITCs</w:t>
      </w:r>
      <w:r w:rsidR="001504E7">
        <w:t>)</w:t>
      </w:r>
      <w:r w:rsidR="001504E7" w:rsidRPr="00C23984">
        <w:t xml:space="preserve"> </w:t>
      </w:r>
      <w:r w:rsidR="0094061D">
        <w:t xml:space="preserve">were presented in the submission </w:t>
      </w:r>
      <w:r w:rsidR="001504E7" w:rsidRPr="00C23984">
        <w:t>comparing serotype</w:t>
      </w:r>
      <w:r w:rsidR="002D7E51">
        <w:t xml:space="preserve"> </w:t>
      </w:r>
      <w:r w:rsidR="001504E7" w:rsidRPr="00C23984">
        <w:t xml:space="preserve">specific OPA GMRs between 20vPCV and 15vPCV, using 13vPCV as a common comparator, across nominated age </w:t>
      </w:r>
      <w:r w:rsidR="001504E7" w:rsidRPr="00825086">
        <w:t xml:space="preserve">groups: </w:t>
      </w:r>
      <w:r w:rsidR="001504E7">
        <w:t xml:space="preserve">indirect comparison 1 </w:t>
      </w:r>
      <w:r w:rsidR="001504E7" w:rsidRPr="00825086">
        <w:t>(IC1) age ≥</w:t>
      </w:r>
      <w:r w:rsidR="001504E7">
        <w:t xml:space="preserve"> </w:t>
      </w:r>
      <w:r w:rsidR="001504E7" w:rsidRPr="00825086">
        <w:t xml:space="preserve">50 years, and </w:t>
      </w:r>
      <w:r w:rsidR="001504E7">
        <w:t xml:space="preserve">indirect comparison 2 </w:t>
      </w:r>
      <w:r w:rsidR="001504E7" w:rsidRPr="00825086">
        <w:t xml:space="preserve">(IC2) age 18-49 years. Data used for IC1 were obtained from B7471007 Cohorts 1 and 2 for 20vPCV and PNEU-AGE, PNEU-PATH and PNEU-TRUE for 15vPCV. For IC2, data were from B7471007 Cohort 3 and B7471008 for 20vPCV and PNEU-DAY for 15vPCV. </w:t>
      </w:r>
      <w:r w:rsidR="001504E7">
        <w:t xml:space="preserve">The PBAC noted in IC1, </w:t>
      </w:r>
      <w:r w:rsidR="002C5382">
        <w:t xml:space="preserve">of the 13 shares serotypes, </w:t>
      </w:r>
      <w:r w:rsidR="001504E7">
        <w:t>serotypes 3, 6B, 23F did not meet the non-inferiority criteria of a</w:t>
      </w:r>
      <w:r w:rsidR="002D7E51">
        <w:t>n OPA</w:t>
      </w:r>
      <w:r w:rsidR="001504E7">
        <w:t xml:space="preserve"> GMR </w:t>
      </w:r>
      <w:r w:rsidR="001504E7">
        <w:rPr>
          <w:rFonts w:cstheme="minorHAnsi"/>
        </w:rPr>
        <w:t>≥</w:t>
      </w:r>
      <w:r w:rsidR="001504E7">
        <w:t xml:space="preserve"> 0.5</w:t>
      </w:r>
      <w:r w:rsidR="00F6114C">
        <w:t xml:space="preserve"> and favoured 15vPCV.I</w:t>
      </w:r>
      <w:r w:rsidR="001504E7">
        <w:t xml:space="preserve">n IC2 serotypes 6B, 18C, 23F did not meet </w:t>
      </w:r>
      <w:r w:rsidR="002D7E51">
        <w:t xml:space="preserve">the </w:t>
      </w:r>
      <w:r w:rsidR="001504E7">
        <w:t>non-inferiority criteria</w:t>
      </w:r>
      <w:r w:rsidR="00F6114C">
        <w:t xml:space="preserve"> and favoured 15vPCV</w:t>
      </w:r>
      <w:r w:rsidR="001504E7">
        <w:t>.</w:t>
      </w:r>
    </w:p>
    <w:p w14:paraId="00177F24" w14:textId="4BDB99A9" w:rsidR="007F4AA8" w:rsidRDefault="0094061D" w:rsidP="00CC71B0">
      <w:pPr>
        <w:pStyle w:val="3-BodyText"/>
      </w:pPr>
      <w:r>
        <w:lastRenderedPageBreak/>
        <w:t>The PBAC noted the vaccine effectiveness estimates</w:t>
      </w:r>
      <w:r w:rsidR="008554DC">
        <w:t xml:space="preserve"> for 20vPCV</w:t>
      </w:r>
      <w:r>
        <w:t xml:space="preserve"> in the economic model</w:t>
      </w:r>
      <w:r w:rsidR="008554DC">
        <w:t>,</w:t>
      </w:r>
      <w:r>
        <w:t xml:space="preserve"> for </w:t>
      </w:r>
      <w:r w:rsidR="00F952F3">
        <w:t xml:space="preserve">both the 13 shared serotypes </w:t>
      </w:r>
      <w:r w:rsidR="00415671">
        <w:t xml:space="preserve">with 13vPCV </w:t>
      </w:r>
      <w:r w:rsidR="00F952F3">
        <w:t>and the 7 additional</w:t>
      </w:r>
      <w:r>
        <w:t xml:space="preserve"> serotypes</w:t>
      </w:r>
      <w:r w:rsidR="008554DC">
        <w:t>,</w:t>
      </w:r>
      <w:r w:rsidR="00CC71B0">
        <w:t xml:space="preserve"> were sourced </w:t>
      </w:r>
      <w:r>
        <w:t xml:space="preserve">from </w:t>
      </w:r>
      <w:r w:rsidR="00CC71B0">
        <w:t xml:space="preserve">the </w:t>
      </w:r>
      <w:proofErr w:type="spellStart"/>
      <w:r w:rsidR="00CC71B0">
        <w:t>CAPiTA</w:t>
      </w:r>
      <w:proofErr w:type="spellEnd"/>
      <w:r w:rsidR="00CC71B0">
        <w:t xml:space="preserve"> trial. </w:t>
      </w:r>
      <w:r w:rsidR="00A13F99">
        <w:t xml:space="preserve">The </w:t>
      </w:r>
      <w:proofErr w:type="spellStart"/>
      <w:r w:rsidR="00A13F99">
        <w:t>CAPiTA</w:t>
      </w:r>
      <w:proofErr w:type="spellEnd"/>
      <w:r w:rsidR="00A13F99">
        <w:t xml:space="preserve"> trial was a randomised, placebo-controlled clinical trial of 13vPCV in 84,496 adults aged </w:t>
      </w:r>
      <w:r w:rsidR="00A13F99">
        <w:rPr>
          <w:rFonts w:cstheme="minorHAnsi"/>
        </w:rPr>
        <w:t>≥</w:t>
      </w:r>
      <w:r w:rsidR="005B7B37">
        <w:rPr>
          <w:rFonts w:cstheme="minorHAnsi"/>
        </w:rPr>
        <w:t xml:space="preserve"> </w:t>
      </w:r>
      <w:r w:rsidR="00A13F99">
        <w:t xml:space="preserve">65 years that assessed vaccine effectiveness in </w:t>
      </w:r>
      <w:r w:rsidR="00415671">
        <w:t>the</w:t>
      </w:r>
      <w:r w:rsidR="00A13F99">
        <w:t xml:space="preserve"> prevention of vaccine-serotype pneumococcal community-acquired pneumonia and invasive pneumococcal disease</w:t>
      </w:r>
      <w:r w:rsidR="00415671">
        <w:t xml:space="preserve"> (IPD)</w:t>
      </w:r>
      <w:r w:rsidR="00A13F99">
        <w:t>.</w:t>
      </w:r>
      <w:r w:rsidR="00CC71B0">
        <w:t xml:space="preserve"> Although</w:t>
      </w:r>
      <w:r w:rsidR="00CC71B0" w:rsidRPr="00CC71B0">
        <w:t xml:space="preserve"> </w:t>
      </w:r>
      <w:r w:rsidR="00CC71B0">
        <w:t xml:space="preserve">the PBAC considered </w:t>
      </w:r>
      <w:r w:rsidR="00DC5CFD">
        <w:t xml:space="preserve">20vPCV </w:t>
      </w:r>
      <w:r w:rsidR="00A13F99">
        <w:t xml:space="preserve">is </w:t>
      </w:r>
      <w:r w:rsidR="00DC5CFD">
        <w:t xml:space="preserve">likely superior in effectiveness to 13vPCV </w:t>
      </w:r>
      <w:r w:rsidR="00CC71B0">
        <w:t xml:space="preserve">for the additional 7 serotypes, </w:t>
      </w:r>
      <w:r w:rsidR="00DC5CFD">
        <w:t xml:space="preserve">the Committee noted </w:t>
      </w:r>
      <w:r w:rsidR="00CC71B0">
        <w:t xml:space="preserve">the </w:t>
      </w:r>
      <w:r w:rsidR="00DC5CFD">
        <w:t>benefit</w:t>
      </w:r>
      <w:r w:rsidR="00CC71B0" w:rsidRPr="00D32574">
        <w:t xml:space="preserve"> in </w:t>
      </w:r>
      <w:r w:rsidR="00CC71B0">
        <w:t xml:space="preserve">terms of </w:t>
      </w:r>
      <w:r w:rsidR="00CC71B0" w:rsidRPr="00D32574">
        <w:t xml:space="preserve">disease prevention </w:t>
      </w:r>
      <w:r w:rsidR="00CC71B0">
        <w:t xml:space="preserve">was </w:t>
      </w:r>
      <w:r w:rsidR="00CC71B0" w:rsidRPr="00D32574">
        <w:t>uncertain</w:t>
      </w:r>
      <w:r w:rsidR="00CC71B0">
        <w:t xml:space="preserve"> </w:t>
      </w:r>
      <w:r w:rsidR="00DC5CFD">
        <w:t>as</w:t>
      </w:r>
      <w:r w:rsidR="00CC71B0">
        <w:t xml:space="preserve"> </w:t>
      </w:r>
      <w:r w:rsidR="00BA50D9" w:rsidRPr="00C7478D">
        <w:t>there is no specific threshold of OPA titre that correlates with protection against IPD or pneumonia in adults</w:t>
      </w:r>
      <w:r w:rsidR="00DC5CFD">
        <w:t>,</w:t>
      </w:r>
      <w:r w:rsidR="00CC71B0">
        <w:t xml:space="preserve"> and </w:t>
      </w:r>
      <w:r w:rsidR="00A6211A" w:rsidRPr="002809B6">
        <w:t xml:space="preserve">the relationship to clinical outcomes </w:t>
      </w:r>
      <w:r w:rsidR="00CC71B0">
        <w:t xml:space="preserve">for the shared serotypes </w:t>
      </w:r>
      <w:r w:rsidR="00A6211A" w:rsidRPr="002809B6">
        <w:t xml:space="preserve">will </w:t>
      </w:r>
      <w:r w:rsidR="00CC71B0">
        <w:t xml:space="preserve">not </w:t>
      </w:r>
      <w:r w:rsidR="00A6211A" w:rsidRPr="002809B6">
        <w:t>necessarily hold for the 7 unmatched serotypes.</w:t>
      </w:r>
      <w:r w:rsidR="00A6211A" w:rsidRPr="00977E7E">
        <w:t xml:space="preserve"> </w:t>
      </w:r>
    </w:p>
    <w:p w14:paraId="3EB3D749" w14:textId="2A63B8BA" w:rsidR="00C64217" w:rsidRDefault="00CC71B0" w:rsidP="00CC71B0">
      <w:pPr>
        <w:pStyle w:val="3-BodyText"/>
        <w:snapToGrid w:val="0"/>
      </w:pPr>
      <w:r>
        <w:t xml:space="preserve">Overall, the PBAC considered the </w:t>
      </w:r>
      <w:r w:rsidR="00415671">
        <w:t xml:space="preserve">submission’s </w:t>
      </w:r>
      <w:r>
        <w:t>claim of non-inferior effectiveness for 20vPCV versus 13vPCV</w:t>
      </w:r>
      <w:r w:rsidR="00DC5CFD">
        <w:t xml:space="preserve"> (and</w:t>
      </w:r>
      <w:r>
        <w:t xml:space="preserve"> 15vPCV</w:t>
      </w:r>
      <w:r w:rsidR="00DC5CFD">
        <w:t>)</w:t>
      </w:r>
      <w:r>
        <w:t xml:space="preserve"> for the shared serotypes </w:t>
      </w:r>
      <w:r w:rsidR="00415671">
        <w:t>wa</w:t>
      </w:r>
      <w:r>
        <w:t xml:space="preserve">s not well supported. </w:t>
      </w:r>
      <w:r w:rsidR="00C64217">
        <w:t xml:space="preserve">The PBAC considered that the </w:t>
      </w:r>
      <w:r w:rsidR="00415671">
        <w:t xml:space="preserve">submission’s </w:t>
      </w:r>
      <w:r w:rsidR="00C64217">
        <w:t xml:space="preserve">claim of superior comparative effectiveness for the additional 7 (5) serotypes in 20vPCV versus 13vPCV (15vPCV) to be supported although the </w:t>
      </w:r>
      <w:r w:rsidR="00DC5CFD">
        <w:t>magnitude of benefit</w:t>
      </w:r>
      <w:r w:rsidR="00C64217" w:rsidRPr="00D32574">
        <w:t xml:space="preserve"> in </w:t>
      </w:r>
      <w:r w:rsidR="00C64217">
        <w:t xml:space="preserve">terms of </w:t>
      </w:r>
      <w:r w:rsidR="00C64217" w:rsidRPr="00D32574">
        <w:t xml:space="preserve">disease prevention </w:t>
      </w:r>
      <w:r w:rsidR="00C64217">
        <w:t xml:space="preserve">is </w:t>
      </w:r>
      <w:r w:rsidR="00C64217" w:rsidRPr="00D32574">
        <w:t>uncertain</w:t>
      </w:r>
      <w:r w:rsidR="00C64217">
        <w:t xml:space="preserve">. </w:t>
      </w:r>
      <w:proofErr w:type="gramStart"/>
      <w:r w:rsidR="00DC5CFD">
        <w:t>On the basis of</w:t>
      </w:r>
      <w:proofErr w:type="gramEnd"/>
      <w:r w:rsidR="00DC5CFD">
        <w:t xml:space="preserve"> the available evidence, t</w:t>
      </w:r>
      <w:r w:rsidR="00C64217">
        <w:t xml:space="preserve">he PBAC considered a claim of non-inferior comparative effectiveness of 20vPCV compared with 13vPCV (and 15vPCV) to be appropriate. </w:t>
      </w:r>
    </w:p>
    <w:p w14:paraId="57FDF7AC" w14:textId="5A23C837" w:rsidR="00D32574" w:rsidRDefault="00D32574" w:rsidP="00CC71B0">
      <w:pPr>
        <w:pStyle w:val="3-BodyText"/>
      </w:pPr>
      <w:r w:rsidRPr="00D32574">
        <w:t xml:space="preserve">For the existing NIP </w:t>
      </w:r>
      <w:proofErr w:type="gramStart"/>
      <w:r w:rsidRPr="00D32574">
        <w:t>populations</w:t>
      </w:r>
      <w:proofErr w:type="gramEnd"/>
      <w:r w:rsidRPr="00D32574">
        <w:t xml:space="preserve"> the submission claimed that 20vPCV has equivalent safety to 13vPCV and 15vPCV. For Aboriginal and Torres Strait Islander adults aged 25-49 </w:t>
      </w:r>
      <w:r w:rsidR="00432401">
        <w:t xml:space="preserve">years </w:t>
      </w:r>
      <w:r w:rsidRPr="00D32574">
        <w:t>the submission claimed that 20vPCV has inferior safety to no vaccine.</w:t>
      </w:r>
      <w:r w:rsidR="00F50D53">
        <w:t xml:space="preserve"> </w:t>
      </w:r>
      <w:r>
        <w:t xml:space="preserve">The </w:t>
      </w:r>
      <w:r w:rsidR="00F50D53">
        <w:t xml:space="preserve">PBAC </w:t>
      </w:r>
      <w:r>
        <w:t>considered the submission’s safety claim</w:t>
      </w:r>
      <w:r w:rsidR="00415671">
        <w:t>s were reasonable</w:t>
      </w:r>
      <w:r w:rsidR="009C2727">
        <w:t>, while noting that the submission</w:t>
      </w:r>
      <w:r>
        <w:t xml:space="preserve"> did not conduct indirect comparisons on the safety outcomes between 20vPCV and 15vPCV. </w:t>
      </w:r>
    </w:p>
    <w:p w14:paraId="714F28C7" w14:textId="50917F2C" w:rsidR="00432401" w:rsidRDefault="0083475D" w:rsidP="0083475D">
      <w:pPr>
        <w:pStyle w:val="3-BodyText"/>
      </w:pPr>
      <w:r>
        <w:t>For the existing NIP populations, the PBAC considered 20vPCV would be cost-effective if it were cost-minimised against 13vPCV and 15vPCV.</w:t>
      </w:r>
      <w:r w:rsidRPr="0083475D">
        <w:t xml:space="preserve"> </w:t>
      </w:r>
      <w:r>
        <w:t xml:space="preserve">The PBAC advised that the </w:t>
      </w:r>
      <w:proofErr w:type="spellStart"/>
      <w:r>
        <w:t>equi</w:t>
      </w:r>
      <w:proofErr w:type="spellEnd"/>
      <w:r>
        <w:t xml:space="preserve">-effective doses are </w:t>
      </w:r>
      <w:r w:rsidRPr="007F4AA8">
        <w:t xml:space="preserve">1 x 0.5 mL </w:t>
      </w:r>
      <w:r>
        <w:t xml:space="preserve">20vPCV </w:t>
      </w:r>
      <w:r w:rsidRPr="007F4AA8">
        <w:t>and</w:t>
      </w:r>
      <w:r>
        <w:t xml:space="preserve"> either</w:t>
      </w:r>
      <w:r w:rsidRPr="007F4AA8">
        <w:t xml:space="preserve"> 1 x 0.5 mL 13</w:t>
      </w:r>
      <w:r>
        <w:t>vPCV</w:t>
      </w:r>
      <w:r w:rsidRPr="007F4AA8">
        <w:t xml:space="preserve"> </w:t>
      </w:r>
      <w:r>
        <w:t>or</w:t>
      </w:r>
      <w:r w:rsidRPr="007F4AA8">
        <w:t xml:space="preserve"> 1 x 0.5 mL </w:t>
      </w:r>
      <w:proofErr w:type="gramStart"/>
      <w:r>
        <w:t>15vPCV</w:t>
      </w:r>
      <w:r w:rsidR="0010748F">
        <w:t>, and</w:t>
      </w:r>
      <w:proofErr w:type="gramEnd"/>
      <w:r w:rsidR="0010748F">
        <w:t xml:space="preserve"> noted that </w:t>
      </w:r>
      <w:r w:rsidR="0010748F">
        <w:rPr>
          <w:iCs/>
        </w:rPr>
        <w:t>a cost minimisation approach would result in the same price per dose for 20vPCV as for 15vPCV and 13vPCV</w:t>
      </w:r>
      <w:r w:rsidR="00432401">
        <w:rPr>
          <w:iCs/>
        </w:rPr>
        <w:t>.</w:t>
      </w:r>
    </w:p>
    <w:p w14:paraId="06F0A47F" w14:textId="15B0AB6A" w:rsidR="0083475D" w:rsidRDefault="00432401" w:rsidP="0083475D">
      <w:pPr>
        <w:pStyle w:val="3-BodyText"/>
      </w:pPr>
      <w:r>
        <w:t>The PBAC noted a cost-utility analysis was presented for 20vPCV versus no vaccin</w:t>
      </w:r>
      <w:r w:rsidR="00001ED4">
        <w:t>e</w:t>
      </w:r>
      <w:r>
        <w:t xml:space="preserve"> for </w:t>
      </w:r>
      <w:r w:rsidRPr="00D32574">
        <w:t xml:space="preserve">Aboriginal and Torres Strait Islander adults aged 25-49 </w:t>
      </w:r>
      <w:r>
        <w:t xml:space="preserve">years using an economic model with the same structure as for the model previously considered by the PBAC for the listing of 13vPCV. The PBAC noted the incidence of IPD in the proposed expanded population (34 per year per 100,000 persons), although less than in the Indigenous population aged </w:t>
      </w:r>
      <w:r>
        <w:rPr>
          <w:rFonts w:cstheme="minorHAnsi"/>
        </w:rPr>
        <w:t>≥</w:t>
      </w:r>
      <w:r>
        <w:t xml:space="preserve">50 years (72 per year per 100,000 persons), was higher than in the non-Indigenous population aged </w:t>
      </w:r>
      <w:r>
        <w:rPr>
          <w:rFonts w:cstheme="minorHAnsi"/>
        </w:rPr>
        <w:t>≥</w:t>
      </w:r>
      <w:r>
        <w:t xml:space="preserve">70 years (22 per year per 100,000 persons). The PBAC further noted the </w:t>
      </w:r>
      <w:r w:rsidR="00B26F7F">
        <w:t xml:space="preserve">serotype coverage with 20vPCV was potentially higher in the Indigenous population aged 25-49 years compared with the non-Indigenous </w:t>
      </w:r>
      <w:r w:rsidR="00B26F7F" w:rsidRPr="00B26F7F">
        <w:t>populations (</w:t>
      </w:r>
      <w:r w:rsidR="00B26F7F" w:rsidRPr="00B26F7F">
        <w:fldChar w:fldCharType="begin"/>
      </w:r>
      <w:r w:rsidR="00B26F7F" w:rsidRPr="00BC55B3">
        <w:instrText xml:space="preserve"> REF _Ref116561383 \h  \* MERGEFORMAT </w:instrText>
      </w:r>
      <w:r w:rsidR="00B26F7F" w:rsidRPr="00B26F7F">
        <w:fldChar w:fldCharType="separate"/>
      </w:r>
      <w:r w:rsidR="00137984" w:rsidRPr="00137984">
        <w:t>Table 10</w:t>
      </w:r>
      <w:r w:rsidR="00B26F7F" w:rsidRPr="00B26F7F">
        <w:fldChar w:fldCharType="end"/>
      </w:r>
      <w:r w:rsidR="00B26F7F" w:rsidRPr="00B26F7F">
        <w:t>)</w:t>
      </w:r>
      <w:r w:rsidR="00965EA0">
        <w:t xml:space="preserve">, although the estimates </w:t>
      </w:r>
      <w:r w:rsidR="00001ED4">
        <w:t xml:space="preserve">of coverage </w:t>
      </w:r>
      <w:r w:rsidR="00965EA0">
        <w:t>were based on relatively small sample sizes</w:t>
      </w:r>
      <w:r w:rsidR="00B26F7F">
        <w:t>.</w:t>
      </w:r>
    </w:p>
    <w:p w14:paraId="53CBEF38" w14:textId="22CE8399" w:rsidR="0026346A" w:rsidRPr="00E51B52" w:rsidRDefault="009757A1" w:rsidP="00E51B52">
      <w:pPr>
        <w:pStyle w:val="3-BodyText"/>
      </w:pPr>
      <w:r>
        <w:lastRenderedPageBreak/>
        <w:t>The PBAC noted for the expanded population the submission proposed a single dose of 20vPCV (with no subsequent doses of 23vPPV) and a cost per dose of $</w:t>
      </w:r>
      <w:r w:rsidR="006A414A" w:rsidRPr="00137984">
        <w:rPr>
          <w:color w:val="000000"/>
          <w:w w:val="15"/>
          <w:shd w:val="solid" w:color="000000" w:fill="000000"/>
          <w:fitText w:val="-20" w:id="-1303199231"/>
          <w14:textFill>
            <w14:solidFill>
              <w14:srgbClr w14:val="000000">
                <w14:alpha w14:val="100000"/>
              </w14:srgbClr>
            </w14:solidFill>
          </w14:textFill>
        </w:rPr>
        <w:t xml:space="preserve">|  </w:t>
      </w:r>
      <w:r w:rsidR="006A414A" w:rsidRPr="00137984">
        <w:rPr>
          <w:color w:val="000000"/>
          <w:spacing w:val="-69"/>
          <w:w w:val="15"/>
          <w:shd w:val="solid" w:color="000000" w:fill="000000"/>
          <w:fitText w:val="-20" w:id="-1303199231"/>
          <w14:textFill>
            <w14:solidFill>
              <w14:srgbClr w14:val="000000">
                <w14:alpha w14:val="100000"/>
              </w14:srgbClr>
            </w14:solidFill>
          </w14:textFill>
        </w:rPr>
        <w:t>|</w:t>
      </w:r>
      <w:r>
        <w:t xml:space="preserve">. The PBAC noted a substantial proportion of the vaccination costs were offset by a reduction in hospitalisation for the treatment of pneumococcal </w:t>
      </w:r>
      <w:r w:rsidRPr="009757A1">
        <w:t>disease (</w:t>
      </w:r>
      <w:r w:rsidRPr="009757A1">
        <w:fldChar w:fldCharType="begin"/>
      </w:r>
      <w:r w:rsidRPr="00BC55B3">
        <w:instrText xml:space="preserve"> REF _Ref112349196 \h  \* MERGEFORMAT </w:instrText>
      </w:r>
      <w:r w:rsidRPr="009757A1">
        <w:fldChar w:fldCharType="separate"/>
      </w:r>
      <w:r w:rsidR="00137984" w:rsidRPr="00137984">
        <w:t>Table 14</w:t>
      </w:r>
      <w:r w:rsidRPr="009757A1">
        <w:fldChar w:fldCharType="end"/>
      </w:r>
      <w:r w:rsidRPr="009757A1">
        <w:t>)</w:t>
      </w:r>
      <w:r w:rsidR="0026346A">
        <w:t xml:space="preserve">, and the incremental cost effectiveness ratio (ICER) for the submission scenario was </w:t>
      </w:r>
      <w:r w:rsidR="00E51B52" w:rsidRPr="00E51B52">
        <w:t>$35,000 to &lt; $45,000</w:t>
      </w:r>
      <w:r w:rsidR="00E51B52">
        <w:t xml:space="preserve"> </w:t>
      </w:r>
      <w:r w:rsidR="0026346A">
        <w:t>per QALY</w:t>
      </w:r>
      <w:r w:rsidR="00001ED4">
        <w:t xml:space="preserve"> gained</w:t>
      </w:r>
      <w:r w:rsidR="0026346A">
        <w:t>.</w:t>
      </w:r>
      <w:r>
        <w:t xml:space="preserve"> </w:t>
      </w:r>
      <w:r w:rsidR="0026346A">
        <w:t>The PBAC noted the pre-PBAC response provided a</w:t>
      </w:r>
      <w:r w:rsidR="0026346A" w:rsidRPr="00E4307D">
        <w:t xml:space="preserve">dditional </w:t>
      </w:r>
      <w:r w:rsidR="0026346A">
        <w:t xml:space="preserve">cost-effectiveness </w:t>
      </w:r>
      <w:r w:rsidR="0026346A" w:rsidRPr="00E4307D">
        <w:t xml:space="preserve">analyses for </w:t>
      </w:r>
      <w:r w:rsidR="0026346A">
        <w:t xml:space="preserve">the expanded population </w:t>
      </w:r>
      <w:r w:rsidR="0026346A" w:rsidRPr="00E4307D">
        <w:t xml:space="preserve">that assumed two booster doses of 23vPPV administered at one and five years following the initial dose of 20vPCV. </w:t>
      </w:r>
      <w:r w:rsidR="0026346A">
        <w:t>The pre-PBAC response stated that when c</w:t>
      </w:r>
      <w:r w:rsidR="0026346A" w:rsidRPr="00E4307D">
        <w:t xml:space="preserve">ompared </w:t>
      </w:r>
      <w:r w:rsidR="0026346A">
        <w:t>with</w:t>
      </w:r>
      <w:r w:rsidR="0026346A" w:rsidRPr="00E4307D">
        <w:t xml:space="preserve"> the </w:t>
      </w:r>
      <w:r w:rsidR="0026346A">
        <w:t>results from the submission, the addition of the two booster doses of 23vPPV</w:t>
      </w:r>
      <w:r w:rsidR="0026346A" w:rsidRPr="00E4307D">
        <w:t xml:space="preserve"> </w:t>
      </w:r>
      <w:r w:rsidR="0026346A">
        <w:t>resulted in an</w:t>
      </w:r>
      <w:r w:rsidR="0026346A" w:rsidRPr="00E4307D">
        <w:t xml:space="preserve"> additional 0.20 discounted QALY</w:t>
      </w:r>
      <w:r w:rsidR="0026346A">
        <w:t>s</w:t>
      </w:r>
      <w:r w:rsidR="0026346A" w:rsidRPr="00E4307D">
        <w:t xml:space="preserve"> </w:t>
      </w:r>
      <w:r w:rsidR="0026346A">
        <w:t>gained</w:t>
      </w:r>
      <w:r w:rsidR="0026346A" w:rsidRPr="00E4307D">
        <w:t xml:space="preserve"> (0.73 v</w:t>
      </w:r>
      <w:r w:rsidR="0026346A">
        <w:t>ersu</w:t>
      </w:r>
      <w:r w:rsidR="0026346A" w:rsidRPr="00E4307D">
        <w:t xml:space="preserve">s 0.53), and </w:t>
      </w:r>
      <w:r w:rsidR="00B460DA">
        <w:t>t</w:t>
      </w:r>
      <w:r w:rsidR="0026346A" w:rsidRPr="00E4307D">
        <w:t xml:space="preserve">he ICER </w:t>
      </w:r>
      <w:r w:rsidR="0026346A">
        <w:t>was reported as</w:t>
      </w:r>
      <w:r w:rsidR="0026346A" w:rsidRPr="00E4307D">
        <w:t xml:space="preserve"> </w:t>
      </w:r>
      <w:r w:rsidR="00E51B52" w:rsidRPr="00E51B52">
        <w:t xml:space="preserve">$55,000 to &lt; $75,000 </w:t>
      </w:r>
      <w:r w:rsidR="0026346A" w:rsidRPr="00E4307D">
        <w:t xml:space="preserve">per QALY </w:t>
      </w:r>
      <w:r w:rsidR="0026346A">
        <w:t>gained</w:t>
      </w:r>
      <w:r w:rsidR="0026346A" w:rsidRPr="00E4307D">
        <w:t xml:space="preserve"> (v</w:t>
      </w:r>
      <w:r w:rsidR="0026346A">
        <w:t>ersu</w:t>
      </w:r>
      <w:r w:rsidR="0026346A" w:rsidRPr="00E4307D">
        <w:t xml:space="preserve">s </w:t>
      </w:r>
      <w:r w:rsidR="00E51B52" w:rsidRPr="00E51B52">
        <w:t>$35,000 to &lt; $45,000</w:t>
      </w:r>
      <w:r w:rsidR="0026346A" w:rsidRPr="00E4307D">
        <w:t>)</w:t>
      </w:r>
      <w:r w:rsidR="0026346A" w:rsidRPr="007A305D">
        <w:t>. The</w:t>
      </w:r>
      <w:r w:rsidR="0026346A">
        <w:t xml:space="preserve"> pre-PBAC response </w:t>
      </w:r>
      <w:r w:rsidR="00B460DA">
        <w:t>stated</w:t>
      </w:r>
      <w:r w:rsidR="0026346A">
        <w:t xml:space="preserve"> that if</w:t>
      </w:r>
      <w:r w:rsidR="0026346A" w:rsidRPr="00E4307D">
        <w:t xml:space="preserve"> the price of 20vPCV was reduced from $</w:t>
      </w:r>
      <w:r w:rsidR="006A414A" w:rsidRPr="00137984">
        <w:rPr>
          <w:color w:val="000000"/>
          <w:w w:val="15"/>
          <w:shd w:val="solid" w:color="000000" w:fill="000000"/>
          <w:fitText w:val="-20" w:id="-1303199230"/>
          <w14:textFill>
            <w14:solidFill>
              <w14:srgbClr w14:val="000000">
                <w14:alpha w14:val="100000"/>
              </w14:srgbClr>
            </w14:solidFill>
          </w14:textFill>
        </w:rPr>
        <w:t xml:space="preserve">|  </w:t>
      </w:r>
      <w:r w:rsidR="006A414A" w:rsidRPr="00137984">
        <w:rPr>
          <w:color w:val="000000"/>
          <w:spacing w:val="-69"/>
          <w:w w:val="15"/>
          <w:shd w:val="solid" w:color="000000" w:fill="000000"/>
          <w:fitText w:val="-20" w:id="-1303199230"/>
          <w14:textFill>
            <w14:solidFill>
              <w14:srgbClr w14:val="000000">
                <w14:alpha w14:val="100000"/>
              </w14:srgbClr>
            </w14:solidFill>
          </w14:textFill>
        </w:rPr>
        <w:t>|</w:t>
      </w:r>
      <w:r w:rsidR="0026346A" w:rsidRPr="00E4307D">
        <w:t xml:space="preserve"> to $</w:t>
      </w:r>
      <w:r w:rsidR="006A414A" w:rsidRPr="00137984">
        <w:rPr>
          <w:color w:val="000000"/>
          <w:w w:val="15"/>
          <w:shd w:val="solid" w:color="000000" w:fill="000000"/>
          <w:fitText w:val="-20" w:id="-1303199229"/>
          <w14:textFill>
            <w14:solidFill>
              <w14:srgbClr w14:val="000000">
                <w14:alpha w14:val="100000"/>
              </w14:srgbClr>
            </w14:solidFill>
          </w14:textFill>
        </w:rPr>
        <w:t xml:space="preserve">|  </w:t>
      </w:r>
      <w:r w:rsidR="006A414A" w:rsidRPr="00137984">
        <w:rPr>
          <w:color w:val="000000"/>
          <w:spacing w:val="-69"/>
          <w:w w:val="15"/>
          <w:shd w:val="solid" w:color="000000" w:fill="000000"/>
          <w:fitText w:val="-20" w:id="-1303199229"/>
          <w14:textFill>
            <w14:solidFill>
              <w14:srgbClr w14:val="000000">
                <w14:alpha w14:val="100000"/>
              </w14:srgbClr>
            </w14:solidFill>
          </w14:textFill>
        </w:rPr>
        <w:t>|</w:t>
      </w:r>
      <w:r w:rsidR="0026346A" w:rsidRPr="00E4307D">
        <w:t xml:space="preserve">, the ICER would </w:t>
      </w:r>
      <w:r w:rsidR="00001ED4">
        <w:t>reduce to</w:t>
      </w:r>
      <w:r w:rsidR="0026346A" w:rsidRPr="00E4307D">
        <w:t xml:space="preserve"> </w:t>
      </w:r>
      <w:r w:rsidR="00E51B52" w:rsidRPr="00E51B52">
        <w:t>$45,000 to &lt; $55,000</w:t>
      </w:r>
      <w:r w:rsidR="00E51B52">
        <w:t xml:space="preserve"> </w:t>
      </w:r>
      <w:r w:rsidR="0026346A" w:rsidRPr="00E4307D">
        <w:t xml:space="preserve">per QALY </w:t>
      </w:r>
      <w:r w:rsidR="0026346A">
        <w:t>gained</w:t>
      </w:r>
      <w:r w:rsidR="0026346A" w:rsidRPr="00E4307D">
        <w:t>.</w:t>
      </w:r>
      <w:r w:rsidR="00B460DA">
        <w:t xml:space="preserve"> Noting the </w:t>
      </w:r>
      <w:r w:rsidR="00001ED4">
        <w:t>disproportionate</w:t>
      </w:r>
      <w:r w:rsidR="00D33FAC">
        <w:t>ly high</w:t>
      </w:r>
      <w:r w:rsidR="00001ED4">
        <w:t xml:space="preserve"> </w:t>
      </w:r>
      <w:r w:rsidR="00B460DA">
        <w:t>burden of disease in the proposed</w:t>
      </w:r>
      <w:r w:rsidR="0024730F">
        <w:t xml:space="preserve"> expanded</w:t>
      </w:r>
      <w:r w:rsidR="00B460DA">
        <w:t xml:space="preserve"> population</w:t>
      </w:r>
      <w:r w:rsidR="00001ED4">
        <w:t>,</w:t>
      </w:r>
      <w:r w:rsidR="00B460DA">
        <w:t xml:space="preserve"> the PBAC considered 20vPCV, with or without </w:t>
      </w:r>
      <w:r w:rsidR="00001ED4">
        <w:t xml:space="preserve">one or </w:t>
      </w:r>
      <w:r w:rsidR="00B460DA" w:rsidRPr="00E51B52">
        <w:rPr>
          <w:iCs/>
        </w:rPr>
        <w:t>two subsequent doses of 23vPPV, would be cost-effective at a cost per dose of $</w:t>
      </w:r>
      <w:r w:rsidR="006A414A" w:rsidRPr="00137984">
        <w:rPr>
          <w:iCs/>
          <w:color w:val="000000"/>
          <w:w w:val="15"/>
          <w:shd w:val="solid" w:color="000000" w:fill="000000"/>
          <w:fitText w:val="-20" w:id="-1303199228"/>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199228"/>
          <w14:textFill>
            <w14:solidFill>
              <w14:srgbClr w14:val="000000">
                <w14:alpha w14:val="100000"/>
              </w14:srgbClr>
            </w14:solidFill>
          </w14:textFill>
        </w:rPr>
        <w:t>|</w:t>
      </w:r>
      <w:r w:rsidR="00001ED4" w:rsidRPr="00E51B52">
        <w:rPr>
          <w:iCs/>
        </w:rPr>
        <w:t xml:space="preserve"> as proposed in the pre-PBAC response</w:t>
      </w:r>
      <w:r w:rsidR="00B460DA" w:rsidRPr="00E51B52">
        <w:rPr>
          <w:iCs/>
        </w:rPr>
        <w:t>.</w:t>
      </w:r>
    </w:p>
    <w:p w14:paraId="74F5AD58" w14:textId="55B07A5C" w:rsidR="00A8675C" w:rsidRPr="008A794B" w:rsidRDefault="00001ED4" w:rsidP="008A794B">
      <w:pPr>
        <w:pStyle w:val="3-BodyText"/>
        <w:rPr>
          <w:iCs/>
        </w:rPr>
      </w:pPr>
      <w:r w:rsidRPr="00BC55B3">
        <w:rPr>
          <w:iCs/>
        </w:rPr>
        <w:t xml:space="preserve">The PBAC noted the financial estimates were sensitive to the assumed uptake rates. However, for the </w:t>
      </w:r>
      <w:r>
        <w:rPr>
          <w:iCs/>
        </w:rPr>
        <w:t>existing NIP populations the listing of 20vPCV is not expected to impact on the</w:t>
      </w:r>
      <w:r w:rsidR="0047366B">
        <w:rPr>
          <w:iCs/>
        </w:rPr>
        <w:t xml:space="preserve"> current</w:t>
      </w:r>
      <w:r>
        <w:rPr>
          <w:iCs/>
        </w:rPr>
        <w:t xml:space="preserve"> uptake rates,</w:t>
      </w:r>
      <w:r w:rsidR="001D6C09">
        <w:rPr>
          <w:iCs/>
        </w:rPr>
        <w:t xml:space="preserve"> and hence</w:t>
      </w:r>
      <w:r>
        <w:rPr>
          <w:iCs/>
        </w:rPr>
        <w:t xml:space="preserve"> with the cost per dose for 20vPCV being the same as for 13vPCV and 15vPCV, there </w:t>
      </w:r>
      <w:r w:rsidR="001D6C09">
        <w:rPr>
          <w:iCs/>
        </w:rPr>
        <w:t>should</w:t>
      </w:r>
      <w:r>
        <w:rPr>
          <w:iCs/>
        </w:rPr>
        <w:t xml:space="preserve"> be no additional cost to the NIP associated with the listing of 20vPCV</w:t>
      </w:r>
      <w:r w:rsidR="001D6C09">
        <w:rPr>
          <w:iCs/>
        </w:rPr>
        <w:t xml:space="preserve"> for </w:t>
      </w:r>
      <w:r w:rsidR="001D6C09" w:rsidRPr="001D6C09">
        <w:rPr>
          <w:iCs/>
        </w:rPr>
        <w:t xml:space="preserve">individuals with an at-risk condition aged ≥ 18 years, non-Indigenous adults aged ≥ 70 years and Aboriginal and Torres Strait Islander adults aged ≥ </w:t>
      </w:r>
      <w:r w:rsidR="001D6C09" w:rsidRPr="008A794B">
        <w:rPr>
          <w:iCs/>
        </w:rPr>
        <w:t>50 years</w:t>
      </w:r>
      <w:r>
        <w:rPr>
          <w:iCs/>
        </w:rPr>
        <w:t>.</w:t>
      </w:r>
      <w:r w:rsidR="008A794B">
        <w:rPr>
          <w:iCs/>
        </w:rPr>
        <w:t xml:space="preserve"> </w:t>
      </w:r>
      <w:r w:rsidR="00204949">
        <w:rPr>
          <w:iCs/>
        </w:rPr>
        <w:t xml:space="preserve">The </w:t>
      </w:r>
      <w:r w:rsidR="00FD46F8">
        <w:rPr>
          <w:iCs/>
        </w:rPr>
        <w:t xml:space="preserve">PBAC </w:t>
      </w:r>
      <w:r w:rsidR="0047366B">
        <w:rPr>
          <w:iCs/>
        </w:rPr>
        <w:t>noted</w:t>
      </w:r>
      <w:r w:rsidR="00FD46F8">
        <w:rPr>
          <w:iCs/>
        </w:rPr>
        <w:t xml:space="preserve"> the </w:t>
      </w:r>
      <w:r w:rsidR="00204949">
        <w:rPr>
          <w:iCs/>
        </w:rPr>
        <w:t>uptake rate</w:t>
      </w:r>
      <w:r w:rsidR="00A10698">
        <w:rPr>
          <w:iCs/>
        </w:rPr>
        <w:t xml:space="preserve"> of 20%</w:t>
      </w:r>
      <w:r w:rsidR="00204949">
        <w:rPr>
          <w:iCs/>
        </w:rPr>
        <w:t xml:space="preserve"> for the expanded population </w:t>
      </w:r>
      <w:r w:rsidR="00A10698">
        <w:rPr>
          <w:iCs/>
        </w:rPr>
        <w:t>was</w:t>
      </w:r>
      <w:r w:rsidR="00204949">
        <w:rPr>
          <w:iCs/>
        </w:rPr>
        <w:t xml:space="preserve"> based on ATAGI advice </w:t>
      </w:r>
      <w:r w:rsidR="00A10698">
        <w:rPr>
          <w:iCs/>
        </w:rPr>
        <w:t xml:space="preserve">in </w:t>
      </w:r>
      <w:r w:rsidR="00204949">
        <w:rPr>
          <w:iCs/>
        </w:rPr>
        <w:t>which</w:t>
      </w:r>
      <w:r w:rsidR="00A10698">
        <w:rPr>
          <w:iCs/>
        </w:rPr>
        <w:t xml:space="preserve"> it was</w:t>
      </w:r>
      <w:r w:rsidR="00204949">
        <w:rPr>
          <w:iCs/>
        </w:rPr>
        <w:t xml:space="preserve"> </w:t>
      </w:r>
      <w:r w:rsidR="0047366B">
        <w:rPr>
          <w:iCs/>
        </w:rPr>
        <w:t>considered</w:t>
      </w:r>
      <w:r w:rsidR="00204949">
        <w:rPr>
          <w:iCs/>
        </w:rPr>
        <w:t xml:space="preserve"> </w:t>
      </w:r>
      <w:r w:rsidR="00A10698">
        <w:rPr>
          <w:iCs/>
        </w:rPr>
        <w:t xml:space="preserve">that </w:t>
      </w:r>
      <w:r w:rsidR="00FD46F8">
        <w:rPr>
          <w:iCs/>
        </w:rPr>
        <w:t xml:space="preserve">the uptake amongst those aged 25-49 years may be lower than for those aged </w:t>
      </w:r>
      <w:r w:rsidR="00FD46F8">
        <w:rPr>
          <w:rFonts w:cstheme="minorHAnsi"/>
          <w:iCs/>
        </w:rPr>
        <w:t>≥</w:t>
      </w:r>
      <w:r w:rsidR="00FD46F8">
        <w:rPr>
          <w:iCs/>
        </w:rPr>
        <w:t xml:space="preserve">50 years. The PBAC noted the financial estimates for the </w:t>
      </w:r>
      <w:r w:rsidR="00FD46F8" w:rsidRPr="001D6C09">
        <w:rPr>
          <w:iCs/>
        </w:rPr>
        <w:t xml:space="preserve">Aboriginal and Torres Strait Islander </w:t>
      </w:r>
      <w:r w:rsidR="00FD46F8">
        <w:rPr>
          <w:iCs/>
        </w:rPr>
        <w:t>population</w:t>
      </w:r>
      <w:r w:rsidR="00FD46F8" w:rsidRPr="001D6C09">
        <w:rPr>
          <w:iCs/>
        </w:rPr>
        <w:t xml:space="preserve"> aged </w:t>
      </w:r>
      <w:r w:rsidR="00FD46F8">
        <w:rPr>
          <w:iCs/>
        </w:rPr>
        <w:t>25-49</w:t>
      </w:r>
      <w:r w:rsidR="00FD46F8" w:rsidRPr="008A794B">
        <w:rPr>
          <w:iCs/>
        </w:rPr>
        <w:t xml:space="preserve"> years</w:t>
      </w:r>
      <w:r w:rsidR="00FD46F8">
        <w:rPr>
          <w:iCs/>
        </w:rPr>
        <w:t xml:space="preserve"> should be revised to account for </w:t>
      </w:r>
      <w:r w:rsidR="00A10698">
        <w:rPr>
          <w:iCs/>
        </w:rPr>
        <w:t>(</w:t>
      </w:r>
      <w:proofErr w:type="spellStart"/>
      <w:r w:rsidR="00A10698">
        <w:rPr>
          <w:iCs/>
        </w:rPr>
        <w:t>i</w:t>
      </w:r>
      <w:proofErr w:type="spellEnd"/>
      <w:r w:rsidR="00A10698">
        <w:rPr>
          <w:iCs/>
        </w:rPr>
        <w:t xml:space="preserve">) </w:t>
      </w:r>
      <w:r w:rsidR="00FD46F8">
        <w:rPr>
          <w:iCs/>
        </w:rPr>
        <w:t>the population size in the submission being underestimated (paragraph 6.87)</w:t>
      </w:r>
      <w:r w:rsidR="00A10698">
        <w:rPr>
          <w:iCs/>
        </w:rPr>
        <w:t>,</w:t>
      </w:r>
      <w:r w:rsidR="00FD46F8">
        <w:rPr>
          <w:iCs/>
        </w:rPr>
        <w:t xml:space="preserve"> and </w:t>
      </w:r>
      <w:r w:rsidR="00A10698">
        <w:rPr>
          <w:iCs/>
        </w:rPr>
        <w:t xml:space="preserve">(ii) </w:t>
      </w:r>
      <w:r w:rsidR="00FD46F8">
        <w:rPr>
          <w:iCs/>
        </w:rPr>
        <w:t>the reduced cost per dose ($</w:t>
      </w:r>
      <w:r w:rsidR="006A414A" w:rsidRPr="00137984">
        <w:rPr>
          <w:iCs/>
          <w:color w:val="000000"/>
          <w:w w:val="15"/>
          <w:shd w:val="solid" w:color="000000" w:fill="000000"/>
          <w:fitText w:val="-20" w:id="-1303199227"/>
          <w14:textFill>
            <w14:solidFill>
              <w14:srgbClr w14:val="000000">
                <w14:alpha w14:val="100000"/>
              </w14:srgbClr>
            </w14:solidFill>
          </w14:textFill>
        </w:rPr>
        <w:t xml:space="preserve">|  </w:t>
      </w:r>
      <w:r w:rsidR="006A414A" w:rsidRPr="00137984">
        <w:rPr>
          <w:iCs/>
          <w:color w:val="000000"/>
          <w:spacing w:val="-69"/>
          <w:w w:val="15"/>
          <w:shd w:val="solid" w:color="000000" w:fill="000000"/>
          <w:fitText w:val="-20" w:id="-1303199227"/>
          <w14:textFill>
            <w14:solidFill>
              <w14:srgbClr w14:val="000000">
                <w14:alpha w14:val="100000"/>
              </w14:srgbClr>
            </w14:solidFill>
          </w14:textFill>
        </w:rPr>
        <w:t>|</w:t>
      </w:r>
      <w:r w:rsidR="00FD46F8">
        <w:rPr>
          <w:iCs/>
        </w:rPr>
        <w:t>) as proposed in the pre-PBAC response.</w:t>
      </w:r>
      <w:r w:rsidR="00FD46F8" w:rsidRPr="00204949" w:rsidDel="00FD46F8">
        <w:rPr>
          <w:iCs/>
        </w:rPr>
        <w:t xml:space="preserve"> </w:t>
      </w:r>
    </w:p>
    <w:p w14:paraId="4424DDEA" w14:textId="1F9E8CEB" w:rsidR="001D1F4B" w:rsidRPr="004E375B" w:rsidRDefault="001D1F4B" w:rsidP="001D1F4B">
      <w:pPr>
        <w:pStyle w:val="3-BodyText"/>
        <w:rPr>
          <w:iCs/>
        </w:rPr>
      </w:pPr>
      <w:r w:rsidRPr="004E375B">
        <w:rPr>
          <w:iCs/>
        </w:rPr>
        <w:t>The</w:t>
      </w:r>
      <w:r>
        <w:rPr>
          <w:iCs/>
        </w:rPr>
        <w:t xml:space="preserve"> following</w:t>
      </w:r>
      <w:r w:rsidRPr="004E375B">
        <w:rPr>
          <w:iCs/>
        </w:rPr>
        <w:t xml:space="preserve"> risk factors have not been included in the suggested wording for the 20</w:t>
      </w:r>
      <w:r w:rsidR="00FF3CE1">
        <w:rPr>
          <w:iCs/>
        </w:rPr>
        <w:t>vPCV</w:t>
      </w:r>
      <w:r w:rsidRPr="004E375B">
        <w:rPr>
          <w:iCs/>
        </w:rPr>
        <w:t xml:space="preserve"> determination. The PBAC advise</w:t>
      </w:r>
      <w:r>
        <w:rPr>
          <w:iCs/>
        </w:rPr>
        <w:t>d</w:t>
      </w:r>
      <w:r w:rsidRPr="004E375B">
        <w:rPr>
          <w:iCs/>
        </w:rPr>
        <w:t xml:space="preserve"> </w:t>
      </w:r>
      <w:r>
        <w:rPr>
          <w:iCs/>
        </w:rPr>
        <w:t xml:space="preserve">the following </w:t>
      </w:r>
      <w:r w:rsidRPr="004E375B">
        <w:rPr>
          <w:iCs/>
        </w:rPr>
        <w:t xml:space="preserve">risk factors </w:t>
      </w:r>
      <w:r>
        <w:rPr>
          <w:iCs/>
        </w:rPr>
        <w:t xml:space="preserve">should be removed from </w:t>
      </w:r>
      <w:r w:rsidRPr="004E375B">
        <w:rPr>
          <w:iCs/>
        </w:rPr>
        <w:t xml:space="preserve">the recommended listing for </w:t>
      </w:r>
      <w:proofErr w:type="spellStart"/>
      <w:r w:rsidRPr="004E375B">
        <w:rPr>
          <w:iCs/>
        </w:rPr>
        <w:t>Vaxneuvance</w:t>
      </w:r>
      <w:proofErr w:type="spellEnd"/>
      <w:r>
        <w:rPr>
          <w:iCs/>
        </w:rPr>
        <w:t xml:space="preserve"> from the November 2021 PBAC recommendation </w:t>
      </w:r>
      <w:r w:rsidRPr="004E375B">
        <w:rPr>
          <w:iCs/>
        </w:rPr>
        <w:t>for the prevention of pneumococcal disease in non-Indigenous adults aged ≥</w:t>
      </w:r>
      <w:r w:rsidR="00396769">
        <w:rPr>
          <w:iCs/>
        </w:rPr>
        <w:t xml:space="preserve"> </w:t>
      </w:r>
      <w:r w:rsidRPr="004E375B">
        <w:rPr>
          <w:iCs/>
        </w:rPr>
        <w:t>70 years, Indigenous adults aged ≥50 years, and individuals at increased risk of pneumococcal disease aged ≥</w:t>
      </w:r>
      <w:r w:rsidR="00396769">
        <w:rPr>
          <w:iCs/>
        </w:rPr>
        <w:t xml:space="preserve"> </w:t>
      </w:r>
      <w:r w:rsidRPr="004E375B">
        <w:rPr>
          <w:iCs/>
        </w:rPr>
        <w:t>18 years.</w:t>
      </w:r>
    </w:p>
    <w:p w14:paraId="55622EFA" w14:textId="77777777" w:rsidR="001D1F4B" w:rsidRPr="00FD6DA6" w:rsidRDefault="001D1F4B" w:rsidP="001D1F4B">
      <w:pPr>
        <w:pStyle w:val="p3"/>
        <w:shd w:val="clear" w:color="auto" w:fill="FFFFFF"/>
        <w:spacing w:before="0" w:beforeAutospacing="0" w:after="0" w:afterAutospacing="0"/>
        <w:ind w:left="1440"/>
        <w:rPr>
          <w:rFonts w:ascii="Arial Narrow" w:hAnsi="Arial Narrow"/>
          <w:i/>
          <w:iCs/>
          <w:color w:val="000000"/>
          <w:sz w:val="20"/>
          <w:szCs w:val="20"/>
        </w:rPr>
      </w:pPr>
      <w:r w:rsidRPr="00FD6DA6">
        <w:rPr>
          <w:rFonts w:ascii="Arial Narrow" w:hAnsi="Arial Narrow"/>
          <w:i/>
          <w:iCs/>
          <w:color w:val="000000"/>
          <w:sz w:val="20"/>
          <w:szCs w:val="20"/>
        </w:rPr>
        <w:t>(I) born less than 28 weeks gestation; or</w:t>
      </w:r>
    </w:p>
    <w:p w14:paraId="32B105E9" w14:textId="77777777" w:rsidR="001D1F4B" w:rsidRPr="00FD6DA6" w:rsidRDefault="001D1F4B" w:rsidP="001D1F4B">
      <w:pPr>
        <w:pStyle w:val="p3"/>
        <w:shd w:val="clear" w:color="auto" w:fill="FFFFFF"/>
        <w:spacing w:before="0" w:beforeAutospacing="0" w:after="0" w:afterAutospacing="0"/>
        <w:ind w:left="1440"/>
        <w:rPr>
          <w:rFonts w:ascii="Arial Narrow" w:hAnsi="Arial Narrow"/>
          <w:i/>
          <w:iCs/>
          <w:color w:val="000000"/>
          <w:sz w:val="20"/>
          <w:szCs w:val="20"/>
        </w:rPr>
      </w:pPr>
      <w:r>
        <w:rPr>
          <w:rFonts w:ascii="Arial Narrow" w:hAnsi="Arial Narrow"/>
          <w:i/>
          <w:iCs/>
          <w:color w:val="000000"/>
          <w:sz w:val="20"/>
          <w:szCs w:val="20"/>
        </w:rPr>
        <w:t>(</w:t>
      </w:r>
      <w:r w:rsidRPr="00FD6DA6">
        <w:rPr>
          <w:rFonts w:ascii="Arial Narrow" w:hAnsi="Arial Narrow"/>
          <w:i/>
          <w:iCs/>
          <w:color w:val="000000"/>
          <w:sz w:val="20"/>
          <w:szCs w:val="20"/>
        </w:rPr>
        <w:t>J) trisomy 21; or</w:t>
      </w:r>
    </w:p>
    <w:p w14:paraId="4C3C945C" w14:textId="77777777" w:rsidR="001D1F4B" w:rsidRPr="00FD6DA6" w:rsidRDefault="001D1F4B" w:rsidP="001D1F4B">
      <w:pPr>
        <w:pStyle w:val="p3"/>
        <w:shd w:val="clear" w:color="auto" w:fill="FFFFFF"/>
        <w:spacing w:before="0" w:beforeAutospacing="0" w:after="0" w:afterAutospacing="0"/>
        <w:ind w:left="1440"/>
        <w:rPr>
          <w:rFonts w:ascii="Arial Narrow" w:hAnsi="Arial Narrow"/>
          <w:i/>
          <w:iCs/>
          <w:color w:val="000000"/>
          <w:sz w:val="20"/>
          <w:szCs w:val="20"/>
        </w:rPr>
      </w:pPr>
      <w:r w:rsidRPr="00FD6DA6">
        <w:rPr>
          <w:rFonts w:ascii="Arial Narrow" w:hAnsi="Arial Narrow"/>
          <w:i/>
          <w:iCs/>
          <w:color w:val="000000"/>
          <w:sz w:val="20"/>
          <w:szCs w:val="20"/>
        </w:rPr>
        <w:t xml:space="preserve">(K) chronic heart disease including cyanotic heart disease and heart </w:t>
      </w:r>
      <w:proofErr w:type="gramStart"/>
      <w:r w:rsidRPr="00FD6DA6">
        <w:rPr>
          <w:rFonts w:ascii="Arial Narrow" w:hAnsi="Arial Narrow"/>
          <w:i/>
          <w:iCs/>
          <w:color w:val="000000"/>
          <w:sz w:val="20"/>
          <w:szCs w:val="20"/>
        </w:rPr>
        <w:t>failure;</w:t>
      </w:r>
      <w:proofErr w:type="gramEnd"/>
    </w:p>
    <w:p w14:paraId="4B1469A9" w14:textId="77777777" w:rsidR="001D1F4B" w:rsidRDefault="001D1F4B" w:rsidP="00EF6BE7">
      <w:pPr>
        <w:pStyle w:val="p2"/>
        <w:shd w:val="clear" w:color="auto" w:fill="FFFFFF"/>
        <w:spacing w:before="0" w:beforeAutospacing="0" w:after="120" w:afterAutospacing="0"/>
        <w:ind w:left="1440"/>
        <w:rPr>
          <w:rFonts w:ascii="Arial Narrow" w:hAnsi="Arial Narrow"/>
          <w:i/>
          <w:iCs/>
          <w:color w:val="000000"/>
          <w:sz w:val="20"/>
          <w:szCs w:val="20"/>
        </w:rPr>
      </w:pPr>
      <w:r w:rsidRPr="009A4DC9">
        <w:rPr>
          <w:rFonts w:ascii="Arial Narrow" w:hAnsi="Arial Narrow"/>
          <w:i/>
          <w:iCs/>
          <w:color w:val="000000"/>
          <w:sz w:val="20"/>
          <w:szCs w:val="20"/>
        </w:rPr>
        <w:t>(ii) who is at least 18 years of age and has been newly diagnosed with one or more of the medical risk conditions contained in subparagraph (a)(</w:t>
      </w:r>
      <w:proofErr w:type="spellStart"/>
      <w:r w:rsidRPr="009A4DC9">
        <w:rPr>
          <w:rFonts w:ascii="Arial Narrow" w:hAnsi="Arial Narrow"/>
          <w:i/>
          <w:iCs/>
          <w:color w:val="000000"/>
          <w:sz w:val="20"/>
          <w:szCs w:val="20"/>
        </w:rPr>
        <w:t>i</w:t>
      </w:r>
      <w:proofErr w:type="spellEnd"/>
      <w:proofErr w:type="gramStart"/>
      <w:r w:rsidRPr="009A4DC9">
        <w:rPr>
          <w:rFonts w:ascii="Arial Narrow" w:hAnsi="Arial Narrow"/>
          <w:i/>
          <w:iCs/>
          <w:color w:val="000000"/>
          <w:sz w:val="20"/>
          <w:szCs w:val="20"/>
        </w:rPr>
        <w:t>);</w:t>
      </w:r>
      <w:proofErr w:type="gramEnd"/>
    </w:p>
    <w:p w14:paraId="0A38423B" w14:textId="42AF414B" w:rsidR="00B76800" w:rsidRPr="00B76800" w:rsidRDefault="008455D7" w:rsidP="00B76800">
      <w:pPr>
        <w:pStyle w:val="3-BodyText"/>
      </w:pPr>
      <w:r>
        <w:lastRenderedPageBreak/>
        <w:t xml:space="preserve">The </w:t>
      </w:r>
      <w:r w:rsidR="00B76800" w:rsidRPr="00B76800">
        <w:t>PBAC noted that this submission is not eligible for an independent review as independent review is only relevant to requests for PBS listing.</w:t>
      </w:r>
    </w:p>
    <w:p w14:paraId="2B5186DC" w14:textId="77777777" w:rsidR="00B76800" w:rsidRPr="00525B39" w:rsidRDefault="00B76800" w:rsidP="00B76800">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1AF6CF4" w14:textId="06C4AD96" w:rsidR="00B76800" w:rsidRDefault="00B76800" w:rsidP="00B76800">
      <w:pPr>
        <w:rPr>
          <w:rFonts w:asciiTheme="minorHAnsi" w:hAnsiTheme="minorHAnsi"/>
          <w:bCs/>
          <w:snapToGrid w:val="0"/>
          <w:lang w:val="en-GB"/>
        </w:rPr>
      </w:pPr>
      <w:r w:rsidRPr="00525B39">
        <w:rPr>
          <w:rFonts w:asciiTheme="minorHAnsi" w:hAnsiTheme="minorHAnsi"/>
          <w:bCs/>
          <w:snapToGrid w:val="0"/>
          <w:lang w:val="en-GB"/>
        </w:rPr>
        <w:t>Recommended</w:t>
      </w:r>
    </w:p>
    <w:p w14:paraId="14A99DF0" w14:textId="77777777" w:rsidR="008B1078" w:rsidRDefault="008B1078" w:rsidP="008B1078">
      <w:pPr>
        <w:pStyle w:val="2-SectionHeading"/>
        <w:numPr>
          <w:ilvl w:val="0"/>
          <w:numId w:val="15"/>
        </w:numPr>
        <w:spacing w:after="120"/>
        <w:jc w:val="left"/>
        <w:outlineLvl w:val="0"/>
      </w:pPr>
      <w:r>
        <w:t>Recommended listing</w:t>
      </w:r>
    </w:p>
    <w:p w14:paraId="4A1CBE3A" w14:textId="77777777" w:rsidR="008B1078" w:rsidRPr="006333ED" w:rsidRDefault="008B1078" w:rsidP="008B1078">
      <w:pPr>
        <w:pStyle w:val="3-BodyText"/>
        <w:rPr>
          <w:color w:val="0066FF"/>
        </w:rPr>
      </w:pPr>
      <w:r>
        <w:t>Add new item to the Determination:</w:t>
      </w:r>
    </w:p>
    <w:tbl>
      <w:tblPr>
        <w:tblW w:w="5000" w:type="pct"/>
        <w:tblInd w:w="28" w:type="dxa"/>
        <w:tblCellMar>
          <w:left w:w="28" w:type="dxa"/>
          <w:right w:w="28" w:type="dxa"/>
        </w:tblCellMar>
        <w:tblLook w:val="0000" w:firstRow="0" w:lastRow="0" w:firstColumn="0" w:lastColumn="0" w:noHBand="0" w:noVBand="0"/>
      </w:tblPr>
      <w:tblGrid>
        <w:gridCol w:w="2100"/>
        <w:gridCol w:w="1415"/>
        <w:gridCol w:w="2412"/>
        <w:gridCol w:w="3100"/>
      </w:tblGrid>
      <w:tr w:rsidR="008B1078" w:rsidRPr="004F7AC4" w14:paraId="5A1E99F8" w14:textId="77777777" w:rsidTr="008B1078">
        <w:trPr>
          <w:cantSplit/>
          <w:trHeight w:val="463"/>
        </w:trPr>
        <w:tc>
          <w:tcPr>
            <w:tcW w:w="1163" w:type="pct"/>
            <w:tcBorders>
              <w:top w:val="single" w:sz="4" w:space="0" w:color="auto"/>
              <w:bottom w:val="single" w:sz="4" w:space="0" w:color="auto"/>
            </w:tcBorders>
            <w:vAlign w:val="center"/>
          </w:tcPr>
          <w:p w14:paraId="61428599" w14:textId="77777777" w:rsidR="008B1078" w:rsidRPr="004F7AC4" w:rsidRDefault="008B1078" w:rsidP="00CC71B0">
            <w:pPr>
              <w:keepNext/>
              <w:rPr>
                <w:rFonts w:ascii="Arial Narrow" w:hAnsi="Arial Narrow"/>
                <w:b/>
                <w:i/>
                <w:iCs/>
                <w:sz w:val="20"/>
              </w:rPr>
            </w:pPr>
            <w:r w:rsidRPr="004F7AC4">
              <w:rPr>
                <w:rFonts w:ascii="Arial Narrow" w:hAnsi="Arial Narrow"/>
                <w:b/>
                <w:i/>
                <w:iCs/>
                <w:sz w:val="20"/>
              </w:rPr>
              <w:t>Vaccine and the circumstances in which vaccine may be provided</w:t>
            </w:r>
          </w:p>
        </w:tc>
        <w:tc>
          <w:tcPr>
            <w:tcW w:w="784" w:type="pct"/>
            <w:tcBorders>
              <w:top w:val="single" w:sz="4" w:space="0" w:color="auto"/>
              <w:bottom w:val="single" w:sz="4" w:space="0" w:color="auto"/>
            </w:tcBorders>
            <w:vAlign w:val="center"/>
          </w:tcPr>
          <w:p w14:paraId="500C2BAD" w14:textId="77777777" w:rsidR="008B1078" w:rsidRPr="004F7AC4" w:rsidRDefault="008B1078" w:rsidP="00CC71B0">
            <w:pPr>
              <w:keepNext/>
              <w:jc w:val="center"/>
              <w:rPr>
                <w:rFonts w:ascii="Arial Narrow" w:hAnsi="Arial Narrow"/>
                <w:b/>
                <w:i/>
                <w:iCs/>
                <w:sz w:val="20"/>
              </w:rPr>
            </w:pPr>
            <w:r w:rsidRPr="004F7AC4">
              <w:rPr>
                <w:rFonts w:ascii="Arial Narrow" w:hAnsi="Arial Narrow"/>
                <w:b/>
                <w:i/>
                <w:iCs/>
                <w:sz w:val="20"/>
              </w:rPr>
              <w:t>Brand</w:t>
            </w:r>
          </w:p>
        </w:tc>
        <w:tc>
          <w:tcPr>
            <w:tcW w:w="1336" w:type="pct"/>
            <w:tcBorders>
              <w:top w:val="single" w:sz="4" w:space="0" w:color="auto"/>
              <w:bottom w:val="single" w:sz="4" w:space="0" w:color="auto"/>
            </w:tcBorders>
            <w:vAlign w:val="center"/>
          </w:tcPr>
          <w:p w14:paraId="7DF477AA" w14:textId="77777777" w:rsidR="008B1078" w:rsidRPr="004F7AC4" w:rsidRDefault="008B1078" w:rsidP="00CC71B0">
            <w:pPr>
              <w:keepNext/>
              <w:jc w:val="center"/>
              <w:rPr>
                <w:rFonts w:ascii="Arial Narrow" w:hAnsi="Arial Narrow"/>
                <w:b/>
                <w:i/>
                <w:iCs/>
                <w:sz w:val="20"/>
              </w:rPr>
            </w:pPr>
            <w:r w:rsidRPr="004F7AC4">
              <w:rPr>
                <w:rFonts w:ascii="Arial Narrow" w:hAnsi="Arial Narrow"/>
                <w:b/>
                <w:i/>
                <w:iCs/>
                <w:sz w:val="20"/>
              </w:rPr>
              <w:t>Formulation</w:t>
            </w:r>
          </w:p>
        </w:tc>
        <w:tc>
          <w:tcPr>
            <w:tcW w:w="1717" w:type="pct"/>
            <w:tcBorders>
              <w:top w:val="single" w:sz="4" w:space="0" w:color="auto"/>
              <w:bottom w:val="single" w:sz="4" w:space="0" w:color="auto"/>
            </w:tcBorders>
            <w:vAlign w:val="center"/>
          </w:tcPr>
          <w:p w14:paraId="269FC393" w14:textId="77777777" w:rsidR="008B1078" w:rsidRPr="004F7AC4" w:rsidRDefault="008B1078" w:rsidP="00CC71B0">
            <w:pPr>
              <w:keepNext/>
              <w:jc w:val="center"/>
              <w:rPr>
                <w:rFonts w:ascii="Arial Narrow" w:hAnsi="Arial Narrow"/>
                <w:b/>
                <w:i/>
                <w:iCs/>
                <w:sz w:val="20"/>
                <w:lang w:val="fr-FR"/>
              </w:rPr>
            </w:pPr>
            <w:proofErr w:type="spellStart"/>
            <w:r w:rsidRPr="004F7AC4">
              <w:rPr>
                <w:rFonts w:ascii="Arial Narrow" w:hAnsi="Arial Narrow"/>
                <w:b/>
                <w:i/>
                <w:iCs/>
                <w:sz w:val="20"/>
                <w:lang w:val="fr-FR"/>
              </w:rPr>
              <w:t>Number</w:t>
            </w:r>
            <w:proofErr w:type="spellEnd"/>
            <w:r w:rsidRPr="004F7AC4">
              <w:rPr>
                <w:rFonts w:ascii="Arial Narrow" w:hAnsi="Arial Narrow"/>
                <w:b/>
                <w:i/>
                <w:iCs/>
                <w:sz w:val="20"/>
                <w:lang w:val="fr-FR"/>
              </w:rPr>
              <w:t xml:space="preserve"> and </w:t>
            </w:r>
            <w:proofErr w:type="gramStart"/>
            <w:r w:rsidRPr="004F7AC4">
              <w:rPr>
                <w:rFonts w:ascii="Arial Narrow" w:hAnsi="Arial Narrow"/>
                <w:b/>
                <w:i/>
                <w:iCs/>
                <w:sz w:val="20"/>
                <w:lang w:val="fr-FR"/>
              </w:rPr>
              <w:t>timing</w:t>
            </w:r>
            <w:proofErr w:type="gramEnd"/>
            <w:r w:rsidRPr="004F7AC4">
              <w:rPr>
                <w:rFonts w:ascii="Arial Narrow" w:hAnsi="Arial Narrow"/>
                <w:b/>
                <w:i/>
                <w:iCs/>
                <w:sz w:val="20"/>
                <w:lang w:val="fr-FR"/>
              </w:rPr>
              <w:t xml:space="preserve"> of doses</w:t>
            </w:r>
          </w:p>
        </w:tc>
      </w:tr>
      <w:tr w:rsidR="008B1078" w:rsidRPr="004F7AC4" w14:paraId="11DC7834" w14:textId="77777777" w:rsidTr="008B1078">
        <w:trPr>
          <w:cantSplit/>
          <w:trHeight w:val="567"/>
        </w:trPr>
        <w:tc>
          <w:tcPr>
            <w:tcW w:w="1163" w:type="pct"/>
            <w:tcBorders>
              <w:top w:val="single" w:sz="4" w:space="0" w:color="auto"/>
              <w:bottom w:val="single" w:sz="4" w:space="0" w:color="auto"/>
            </w:tcBorders>
            <w:vAlign w:val="center"/>
          </w:tcPr>
          <w:p w14:paraId="6305A871" w14:textId="77777777" w:rsidR="008B1078" w:rsidRPr="004F7AC4" w:rsidRDefault="008B1078" w:rsidP="00CC71B0">
            <w:pPr>
              <w:keepNext/>
              <w:rPr>
                <w:rFonts w:ascii="Arial Narrow" w:hAnsi="Arial Narrow"/>
                <w:i/>
                <w:iCs/>
                <w:sz w:val="20"/>
              </w:rPr>
            </w:pPr>
            <w:r>
              <w:rPr>
                <w:rFonts w:ascii="Arial Narrow" w:hAnsi="Arial Narrow"/>
                <w:i/>
                <w:iCs/>
                <w:sz w:val="20"/>
              </w:rPr>
              <w:t>Pneumococcal (conjugate, 20-valent)</w:t>
            </w:r>
          </w:p>
        </w:tc>
        <w:tc>
          <w:tcPr>
            <w:tcW w:w="784" w:type="pct"/>
            <w:tcBorders>
              <w:top w:val="single" w:sz="4" w:space="0" w:color="auto"/>
              <w:bottom w:val="single" w:sz="4" w:space="0" w:color="auto"/>
            </w:tcBorders>
            <w:vAlign w:val="center"/>
          </w:tcPr>
          <w:p w14:paraId="6B1BDFB9" w14:textId="77777777" w:rsidR="008B1078" w:rsidRPr="004F7AC4" w:rsidRDefault="008B1078" w:rsidP="00CC71B0">
            <w:pPr>
              <w:keepNext/>
              <w:jc w:val="center"/>
              <w:rPr>
                <w:rFonts w:ascii="Arial Narrow" w:hAnsi="Arial Narrow"/>
                <w:i/>
                <w:iCs/>
                <w:sz w:val="20"/>
              </w:rPr>
            </w:pPr>
            <w:r>
              <w:rPr>
                <w:rFonts w:ascii="Arial Narrow" w:hAnsi="Arial Narrow"/>
                <w:i/>
                <w:iCs/>
                <w:sz w:val="20"/>
              </w:rPr>
              <w:t>Prevenar 20</w:t>
            </w:r>
          </w:p>
        </w:tc>
        <w:tc>
          <w:tcPr>
            <w:tcW w:w="1336" w:type="pct"/>
            <w:tcBorders>
              <w:top w:val="single" w:sz="4" w:space="0" w:color="auto"/>
              <w:bottom w:val="single" w:sz="4" w:space="0" w:color="auto"/>
            </w:tcBorders>
            <w:vAlign w:val="center"/>
          </w:tcPr>
          <w:p w14:paraId="2762B2E5" w14:textId="77777777" w:rsidR="008B1078" w:rsidRPr="004F7AC4" w:rsidRDefault="008B1078" w:rsidP="00CC71B0">
            <w:pPr>
              <w:keepNext/>
              <w:jc w:val="center"/>
              <w:rPr>
                <w:rFonts w:ascii="Arial Narrow" w:hAnsi="Arial Narrow"/>
                <w:i/>
                <w:iCs/>
                <w:sz w:val="20"/>
              </w:rPr>
            </w:pPr>
            <w:r w:rsidRPr="004F7AC4">
              <w:rPr>
                <w:rFonts w:ascii="Arial Narrow" w:hAnsi="Arial Narrow"/>
                <w:i/>
                <w:iCs/>
                <w:sz w:val="20"/>
              </w:rPr>
              <w:t>Injection (0.5mL)</w:t>
            </w:r>
          </w:p>
        </w:tc>
        <w:tc>
          <w:tcPr>
            <w:tcW w:w="1717" w:type="pct"/>
            <w:tcBorders>
              <w:top w:val="single" w:sz="4" w:space="0" w:color="auto"/>
              <w:bottom w:val="single" w:sz="4" w:space="0" w:color="auto"/>
            </w:tcBorders>
            <w:vAlign w:val="center"/>
          </w:tcPr>
          <w:p w14:paraId="1075CA3E" w14:textId="77777777" w:rsidR="008B1078" w:rsidRPr="004F7AC4" w:rsidRDefault="008B1078" w:rsidP="00CC71B0">
            <w:pPr>
              <w:keepNext/>
              <w:rPr>
                <w:rFonts w:ascii="Arial Narrow" w:hAnsi="Arial Narrow"/>
                <w:i/>
                <w:iCs/>
                <w:sz w:val="20"/>
              </w:rPr>
            </w:pPr>
            <w:r>
              <w:rPr>
                <w:rFonts w:ascii="Arial Narrow" w:hAnsi="Arial Narrow"/>
                <w:i/>
                <w:iCs/>
                <w:sz w:val="20"/>
              </w:rPr>
              <w:t xml:space="preserve">1 </w:t>
            </w:r>
            <w:r w:rsidRPr="007F4815">
              <w:rPr>
                <w:rFonts w:ascii="Arial Narrow" w:hAnsi="Arial Narrow"/>
                <w:i/>
                <w:iCs/>
                <w:sz w:val="20"/>
              </w:rPr>
              <w:t>dose</w:t>
            </w:r>
          </w:p>
        </w:tc>
      </w:tr>
      <w:tr w:rsidR="008B1078" w:rsidRPr="004F7AC4" w14:paraId="695B9730" w14:textId="77777777" w:rsidTr="008B1078">
        <w:trPr>
          <w:cantSplit/>
          <w:trHeight w:val="567"/>
        </w:trPr>
        <w:tc>
          <w:tcPr>
            <w:tcW w:w="5000" w:type="pct"/>
            <w:gridSpan w:val="4"/>
            <w:tcBorders>
              <w:top w:val="single" w:sz="4" w:space="0" w:color="auto"/>
            </w:tcBorders>
            <w:vAlign w:val="center"/>
          </w:tcPr>
          <w:p w14:paraId="51FC27E6" w14:textId="77777777" w:rsidR="008B1078" w:rsidRPr="004F7AC4" w:rsidRDefault="008B1078" w:rsidP="00CC71B0">
            <w:pPr>
              <w:keepNext/>
              <w:rPr>
                <w:rFonts w:ascii="Arial Narrow" w:hAnsi="Arial Narrow"/>
                <w:i/>
                <w:iCs/>
                <w:sz w:val="20"/>
              </w:rPr>
            </w:pPr>
            <w:r w:rsidRPr="004F7AC4">
              <w:rPr>
                <w:rFonts w:ascii="Arial Narrow" w:hAnsi="Arial Narrow"/>
                <w:i/>
                <w:iCs/>
                <w:sz w:val="20"/>
              </w:rPr>
              <w:t>Circumstances</w:t>
            </w:r>
          </w:p>
          <w:p w14:paraId="5193878F" w14:textId="77777777" w:rsidR="008B1078" w:rsidRPr="004F7AC4" w:rsidRDefault="008B1078" w:rsidP="00CC71B0">
            <w:pPr>
              <w:keepNext/>
              <w:rPr>
                <w:rFonts w:ascii="Arial Narrow" w:hAnsi="Arial Narrow"/>
                <w:i/>
                <w:iCs/>
                <w:sz w:val="20"/>
              </w:rPr>
            </w:pPr>
            <w:r w:rsidRPr="004F7AC4">
              <w:rPr>
                <w:rFonts w:ascii="Arial Narrow" w:hAnsi="Arial Narrow"/>
                <w:i/>
                <w:iCs/>
                <w:sz w:val="20"/>
              </w:rPr>
              <w:t xml:space="preserve">Vaccine may be provided </w:t>
            </w:r>
            <w:r>
              <w:rPr>
                <w:rFonts w:ascii="Arial Narrow" w:hAnsi="Arial Narrow"/>
                <w:i/>
                <w:iCs/>
                <w:sz w:val="20"/>
              </w:rPr>
              <w:t>in the following circumstances:</w:t>
            </w:r>
          </w:p>
          <w:p w14:paraId="23C44D19" w14:textId="77777777" w:rsidR="008B1078" w:rsidRPr="00FD6DA6" w:rsidRDefault="008B1078" w:rsidP="00CC71B0">
            <w:pPr>
              <w:pStyle w:val="zr1"/>
              <w:shd w:val="clear" w:color="auto" w:fill="FFFFFF"/>
              <w:spacing w:before="0" w:beforeAutospacing="0" w:after="0" w:afterAutospacing="0"/>
              <w:rPr>
                <w:rFonts w:ascii="Arial Narrow" w:hAnsi="Arial Narrow"/>
                <w:i/>
                <w:iCs/>
                <w:color w:val="000000"/>
                <w:sz w:val="20"/>
                <w:szCs w:val="20"/>
              </w:rPr>
            </w:pPr>
            <w:r w:rsidRPr="00FD6DA6">
              <w:rPr>
                <w:rFonts w:ascii="Arial Narrow" w:hAnsi="Arial Narrow"/>
                <w:i/>
                <w:iCs/>
                <w:color w:val="000000"/>
                <w:sz w:val="20"/>
                <w:szCs w:val="20"/>
              </w:rPr>
              <w:t>(</w:t>
            </w:r>
            <w:r>
              <w:rPr>
                <w:rFonts w:ascii="Arial Narrow" w:hAnsi="Arial Narrow"/>
                <w:i/>
                <w:iCs/>
                <w:color w:val="000000"/>
                <w:sz w:val="20"/>
                <w:szCs w:val="20"/>
              </w:rPr>
              <w:t>a</w:t>
            </w:r>
            <w:r w:rsidRPr="00FD6DA6">
              <w:rPr>
                <w:rFonts w:ascii="Arial Narrow" w:hAnsi="Arial Narrow"/>
                <w:i/>
                <w:iCs/>
                <w:color w:val="000000"/>
                <w:sz w:val="20"/>
                <w:szCs w:val="20"/>
              </w:rPr>
              <w:t>) a dose of the vaccine may be provided to a person:</w:t>
            </w:r>
          </w:p>
          <w:p w14:paraId="3CCE6AE2" w14:textId="77777777" w:rsidR="008B1078" w:rsidRPr="00FD6DA6" w:rsidRDefault="008B1078" w:rsidP="00CC71B0">
            <w:pPr>
              <w:pStyle w:val="p2"/>
              <w:shd w:val="clear" w:color="auto" w:fill="FFFFFF"/>
              <w:spacing w:before="0" w:beforeAutospacing="0" w:after="0" w:afterAutospacing="0"/>
              <w:ind w:left="720"/>
              <w:rPr>
                <w:rFonts w:ascii="Arial Narrow" w:hAnsi="Arial Narrow"/>
                <w:i/>
                <w:iCs/>
                <w:color w:val="000000"/>
                <w:sz w:val="20"/>
                <w:szCs w:val="20"/>
              </w:rPr>
            </w:pPr>
            <w:r w:rsidRPr="00FD6DA6">
              <w:rPr>
                <w:rFonts w:ascii="Arial Narrow" w:hAnsi="Arial Narrow"/>
                <w:i/>
                <w:iCs/>
                <w:color w:val="000000"/>
                <w:sz w:val="20"/>
                <w:szCs w:val="20"/>
              </w:rPr>
              <w:t>(</w:t>
            </w:r>
            <w:proofErr w:type="spellStart"/>
            <w:r w:rsidRPr="00FD6DA6">
              <w:rPr>
                <w:rFonts w:ascii="Arial Narrow" w:hAnsi="Arial Narrow"/>
                <w:i/>
                <w:iCs/>
                <w:color w:val="000000"/>
                <w:sz w:val="20"/>
                <w:szCs w:val="20"/>
              </w:rPr>
              <w:t>i</w:t>
            </w:r>
            <w:proofErr w:type="spellEnd"/>
            <w:r w:rsidRPr="00FD6DA6">
              <w:rPr>
                <w:rFonts w:ascii="Arial Narrow" w:hAnsi="Arial Narrow"/>
                <w:i/>
                <w:iCs/>
                <w:color w:val="000000"/>
                <w:sz w:val="20"/>
                <w:szCs w:val="20"/>
              </w:rPr>
              <w:t>) who is</w:t>
            </w:r>
            <w:r>
              <w:rPr>
                <w:rFonts w:ascii="Arial Narrow" w:hAnsi="Arial Narrow"/>
                <w:i/>
                <w:iCs/>
                <w:color w:val="000000"/>
                <w:sz w:val="20"/>
                <w:szCs w:val="20"/>
              </w:rPr>
              <w:t xml:space="preserve"> at least</w:t>
            </w:r>
            <w:r w:rsidRPr="00FD6DA6">
              <w:rPr>
                <w:rFonts w:ascii="Arial Narrow" w:hAnsi="Arial Narrow"/>
                <w:i/>
                <w:iCs/>
                <w:color w:val="000000"/>
                <w:sz w:val="20"/>
                <w:szCs w:val="20"/>
              </w:rPr>
              <w:t xml:space="preserve"> </w:t>
            </w:r>
            <w:r>
              <w:rPr>
                <w:rFonts w:ascii="Arial Narrow" w:hAnsi="Arial Narrow"/>
                <w:i/>
                <w:iCs/>
                <w:color w:val="000000"/>
                <w:sz w:val="20"/>
                <w:szCs w:val="20"/>
              </w:rPr>
              <w:t>18 years of age and</w:t>
            </w:r>
            <w:r w:rsidRPr="00FD6DA6">
              <w:rPr>
                <w:rFonts w:ascii="Arial Narrow" w:hAnsi="Arial Narrow"/>
                <w:i/>
                <w:iCs/>
                <w:color w:val="000000"/>
                <w:sz w:val="20"/>
                <w:szCs w:val="20"/>
              </w:rPr>
              <w:t xml:space="preserve"> has one or more of the following medical risk conditions:</w:t>
            </w:r>
          </w:p>
          <w:p w14:paraId="55E73FC9" w14:textId="77777777" w:rsidR="008B1078" w:rsidRPr="00A72699" w:rsidRDefault="008B1078" w:rsidP="00CC71B0">
            <w:pPr>
              <w:pStyle w:val="p3"/>
              <w:shd w:val="clear" w:color="auto" w:fill="FFFFFF"/>
              <w:spacing w:before="0" w:beforeAutospacing="0" w:after="0" w:afterAutospacing="0"/>
              <w:ind w:left="1418"/>
              <w:rPr>
                <w:rFonts w:ascii="Arial Narrow" w:hAnsi="Arial Narrow"/>
                <w:i/>
                <w:iCs/>
                <w:color w:val="000000"/>
                <w:sz w:val="20"/>
                <w:szCs w:val="20"/>
              </w:rPr>
            </w:pPr>
            <w:r w:rsidRPr="00A72699">
              <w:rPr>
                <w:rFonts w:ascii="Arial Narrow" w:hAnsi="Arial Narrow"/>
                <w:i/>
                <w:iCs/>
                <w:color w:val="000000"/>
                <w:sz w:val="20"/>
                <w:szCs w:val="20"/>
              </w:rPr>
              <w:t>(A) functional or anatomical asplenia including sickle cell disease, other haemoglobinopathies, congenital or acquired asplenia (</w:t>
            </w:r>
            <w:proofErr w:type="gramStart"/>
            <w:r w:rsidRPr="00A72699">
              <w:rPr>
                <w:rFonts w:ascii="Arial Narrow" w:hAnsi="Arial Narrow"/>
                <w:i/>
                <w:iCs/>
                <w:color w:val="000000"/>
                <w:sz w:val="20"/>
                <w:szCs w:val="20"/>
              </w:rPr>
              <w:t>e.g.</w:t>
            </w:r>
            <w:proofErr w:type="gramEnd"/>
            <w:r w:rsidRPr="00A72699">
              <w:rPr>
                <w:rFonts w:ascii="Arial Narrow" w:hAnsi="Arial Narrow"/>
                <w:i/>
                <w:iCs/>
                <w:color w:val="000000"/>
                <w:sz w:val="20"/>
                <w:szCs w:val="20"/>
              </w:rPr>
              <w:t xml:space="preserve"> splenectomy) or </w:t>
            </w:r>
            <w:proofErr w:type="spellStart"/>
            <w:r w:rsidRPr="00A72699">
              <w:rPr>
                <w:rFonts w:ascii="Arial Narrow" w:hAnsi="Arial Narrow"/>
                <w:i/>
                <w:iCs/>
                <w:color w:val="000000"/>
                <w:sz w:val="20"/>
                <w:szCs w:val="20"/>
              </w:rPr>
              <w:t>hyposplenia</w:t>
            </w:r>
            <w:proofErr w:type="spellEnd"/>
            <w:r w:rsidRPr="00A72699">
              <w:rPr>
                <w:rFonts w:ascii="Arial Narrow" w:hAnsi="Arial Narrow"/>
                <w:i/>
                <w:iCs/>
                <w:color w:val="000000"/>
                <w:sz w:val="20"/>
                <w:szCs w:val="20"/>
              </w:rPr>
              <w:t>; or</w:t>
            </w:r>
          </w:p>
          <w:p w14:paraId="2386DA23" w14:textId="77777777" w:rsidR="008B1078" w:rsidRPr="00A72699" w:rsidRDefault="008B1078" w:rsidP="00CC71B0">
            <w:pPr>
              <w:pStyle w:val="p3"/>
              <w:shd w:val="clear" w:color="auto" w:fill="FFFFFF"/>
              <w:spacing w:before="0" w:beforeAutospacing="0" w:after="0" w:afterAutospacing="0"/>
              <w:ind w:left="1418"/>
              <w:rPr>
                <w:rFonts w:ascii="Arial Narrow" w:hAnsi="Arial Narrow"/>
                <w:i/>
                <w:iCs/>
                <w:color w:val="000000"/>
                <w:sz w:val="20"/>
                <w:szCs w:val="20"/>
              </w:rPr>
            </w:pPr>
            <w:r w:rsidRPr="00A72699">
              <w:rPr>
                <w:rFonts w:ascii="Arial Narrow" w:hAnsi="Arial Narrow"/>
                <w:i/>
                <w:iCs/>
                <w:color w:val="000000"/>
                <w:sz w:val="20"/>
                <w:szCs w:val="20"/>
              </w:rPr>
              <w:t>(B) immunocompromising conditions including congenital or acquired immune deficiency including symptomatic IgG subclass or isolated IgA deficiency, haematological malignancies, solid organ transplant haematopoietic stem cell transplant (HSCT) or HIV infection; or</w:t>
            </w:r>
          </w:p>
          <w:p w14:paraId="076B3B92" w14:textId="77777777" w:rsidR="008B1078" w:rsidRPr="00A72699" w:rsidRDefault="008B1078" w:rsidP="00CC71B0">
            <w:pPr>
              <w:pStyle w:val="p3"/>
              <w:shd w:val="clear" w:color="auto" w:fill="FFFFFF"/>
              <w:spacing w:before="0" w:beforeAutospacing="0" w:after="0" w:afterAutospacing="0"/>
              <w:ind w:left="1418"/>
              <w:rPr>
                <w:rFonts w:ascii="Arial Narrow" w:hAnsi="Arial Narrow"/>
                <w:i/>
                <w:iCs/>
                <w:color w:val="000000"/>
                <w:sz w:val="20"/>
                <w:szCs w:val="20"/>
              </w:rPr>
            </w:pPr>
            <w:r w:rsidRPr="00A72699">
              <w:rPr>
                <w:rFonts w:ascii="Arial Narrow" w:hAnsi="Arial Narrow"/>
                <w:i/>
                <w:iCs/>
                <w:color w:val="000000"/>
                <w:sz w:val="20"/>
                <w:szCs w:val="20"/>
              </w:rPr>
              <w:t>(C) chronic respiratory disease including suppurative lung disease, bronchiectasis and cystic fibrosis or chronic lung disease of prematurity; or</w:t>
            </w:r>
          </w:p>
          <w:p w14:paraId="37D91520" w14:textId="77777777" w:rsidR="008B1078" w:rsidRPr="00A72699" w:rsidRDefault="008B1078" w:rsidP="00CC71B0">
            <w:pPr>
              <w:pStyle w:val="p3"/>
              <w:shd w:val="clear" w:color="auto" w:fill="FFFFFF"/>
              <w:spacing w:before="0" w:beforeAutospacing="0" w:after="0" w:afterAutospacing="0"/>
              <w:ind w:left="1418"/>
              <w:rPr>
                <w:rFonts w:ascii="Arial Narrow" w:hAnsi="Arial Narrow"/>
                <w:i/>
                <w:iCs/>
                <w:color w:val="000000"/>
                <w:sz w:val="20"/>
                <w:szCs w:val="20"/>
              </w:rPr>
            </w:pPr>
            <w:r w:rsidRPr="00A72699">
              <w:rPr>
                <w:rFonts w:ascii="Arial Narrow" w:hAnsi="Arial Narrow"/>
                <w:i/>
                <w:iCs/>
                <w:color w:val="000000"/>
                <w:sz w:val="20"/>
                <w:szCs w:val="20"/>
              </w:rPr>
              <w:t xml:space="preserve">(D) chronic renal disease </w:t>
            </w:r>
            <w:proofErr w:type="gramStart"/>
            <w:r w:rsidRPr="00A72699">
              <w:rPr>
                <w:rFonts w:ascii="Arial Narrow" w:hAnsi="Arial Narrow"/>
                <w:i/>
                <w:iCs/>
                <w:color w:val="000000"/>
                <w:sz w:val="20"/>
                <w:szCs w:val="20"/>
              </w:rPr>
              <w:t>including:</w:t>
            </w:r>
            <w:proofErr w:type="gramEnd"/>
            <w:r w:rsidRPr="00A72699">
              <w:rPr>
                <w:rFonts w:ascii="Arial Narrow" w:hAnsi="Arial Narrow"/>
                <w:i/>
                <w:iCs/>
                <w:color w:val="000000"/>
                <w:sz w:val="20"/>
                <w:szCs w:val="20"/>
              </w:rPr>
              <w:t xml:space="preserve"> end stage renal disease – eGFR &lt;15mL/min or relapsing or persistent nephrotic syndrome; or</w:t>
            </w:r>
          </w:p>
          <w:p w14:paraId="1E0C323C" w14:textId="77777777" w:rsidR="008B1078" w:rsidRPr="00A72699" w:rsidRDefault="008B1078" w:rsidP="00CC71B0">
            <w:pPr>
              <w:pStyle w:val="p3"/>
              <w:shd w:val="clear" w:color="auto" w:fill="FFFFFF"/>
              <w:spacing w:before="0" w:beforeAutospacing="0" w:after="0" w:afterAutospacing="0"/>
              <w:ind w:left="2693" w:hanging="1253"/>
              <w:rPr>
                <w:rFonts w:ascii="Arial Narrow" w:hAnsi="Arial Narrow"/>
                <w:i/>
                <w:iCs/>
                <w:color w:val="000000"/>
                <w:sz w:val="20"/>
                <w:szCs w:val="20"/>
              </w:rPr>
            </w:pPr>
            <w:r w:rsidRPr="00A72699">
              <w:rPr>
                <w:rFonts w:ascii="Arial Narrow" w:hAnsi="Arial Narrow"/>
                <w:i/>
                <w:iCs/>
                <w:color w:val="000000"/>
                <w:sz w:val="20"/>
                <w:szCs w:val="20"/>
              </w:rPr>
              <w:t>(E) proven or presumptive cerebrospinal fluid (CSF) leak; or</w:t>
            </w:r>
          </w:p>
          <w:p w14:paraId="54EFF7D2" w14:textId="77777777" w:rsidR="008B1078" w:rsidRPr="00A72699" w:rsidRDefault="008B1078" w:rsidP="00CC71B0">
            <w:pPr>
              <w:pStyle w:val="p3"/>
              <w:shd w:val="clear" w:color="auto" w:fill="FFFFFF"/>
              <w:spacing w:before="0" w:beforeAutospacing="0" w:after="0" w:afterAutospacing="0"/>
              <w:ind w:left="4133" w:hanging="2693"/>
              <w:rPr>
                <w:rFonts w:ascii="Arial Narrow" w:hAnsi="Arial Narrow"/>
                <w:i/>
                <w:iCs/>
                <w:color w:val="000000"/>
                <w:sz w:val="20"/>
                <w:szCs w:val="20"/>
              </w:rPr>
            </w:pPr>
            <w:r w:rsidRPr="00A72699">
              <w:rPr>
                <w:rFonts w:ascii="Arial Narrow" w:hAnsi="Arial Narrow"/>
                <w:i/>
                <w:iCs/>
                <w:color w:val="000000"/>
                <w:sz w:val="20"/>
                <w:szCs w:val="20"/>
              </w:rPr>
              <w:t>(F) cochlear implants; or</w:t>
            </w:r>
          </w:p>
          <w:p w14:paraId="15030CD5" w14:textId="77777777" w:rsidR="008B1078" w:rsidRPr="00A72699" w:rsidRDefault="008B1078" w:rsidP="00CC71B0">
            <w:pPr>
              <w:pStyle w:val="p3"/>
              <w:shd w:val="clear" w:color="auto" w:fill="FFFFFF"/>
              <w:spacing w:before="0" w:beforeAutospacing="0" w:after="0" w:afterAutospacing="0"/>
              <w:ind w:left="4133" w:hanging="2693"/>
              <w:rPr>
                <w:rFonts w:ascii="Arial Narrow" w:hAnsi="Arial Narrow"/>
                <w:i/>
                <w:iCs/>
                <w:color w:val="000000"/>
                <w:sz w:val="20"/>
                <w:szCs w:val="20"/>
              </w:rPr>
            </w:pPr>
            <w:r w:rsidRPr="00A72699">
              <w:rPr>
                <w:rFonts w:ascii="Arial Narrow" w:hAnsi="Arial Narrow"/>
                <w:i/>
                <w:iCs/>
                <w:color w:val="000000"/>
                <w:sz w:val="20"/>
                <w:szCs w:val="20"/>
              </w:rPr>
              <w:t>(G) intracranial shunts; or</w:t>
            </w:r>
          </w:p>
          <w:p w14:paraId="310FFD2E" w14:textId="77777777" w:rsidR="008B1078" w:rsidRDefault="008B1078" w:rsidP="00CC71B0">
            <w:pPr>
              <w:pStyle w:val="p3"/>
              <w:shd w:val="clear" w:color="auto" w:fill="FFFFFF"/>
              <w:spacing w:before="0" w:beforeAutospacing="0" w:after="0" w:afterAutospacing="0"/>
              <w:ind w:left="4133" w:hanging="2693"/>
              <w:rPr>
                <w:rFonts w:ascii="Arial Narrow" w:hAnsi="Arial Narrow"/>
                <w:i/>
                <w:iCs/>
                <w:color w:val="000000"/>
                <w:sz w:val="20"/>
                <w:szCs w:val="20"/>
              </w:rPr>
            </w:pPr>
            <w:r w:rsidRPr="00A72699">
              <w:rPr>
                <w:rFonts w:ascii="Arial Narrow" w:hAnsi="Arial Narrow"/>
                <w:i/>
                <w:iCs/>
                <w:color w:val="000000"/>
                <w:sz w:val="20"/>
                <w:szCs w:val="20"/>
              </w:rPr>
              <w:t>(H) previous episode of invasive pneumococcal disease (IPD)</w:t>
            </w:r>
          </w:p>
          <w:p w14:paraId="4D709139" w14:textId="77777777" w:rsidR="008B1078" w:rsidRPr="00FD6DA6" w:rsidRDefault="008B1078" w:rsidP="00CC71B0">
            <w:pPr>
              <w:pStyle w:val="zp1"/>
              <w:shd w:val="clear" w:color="auto" w:fill="FFFFFF"/>
              <w:spacing w:before="0" w:beforeAutospacing="0" w:after="0" w:afterAutospacing="0"/>
              <w:ind w:left="1418" w:hanging="1418"/>
              <w:rPr>
                <w:rFonts w:ascii="Arial Narrow" w:hAnsi="Arial Narrow"/>
                <w:i/>
                <w:iCs/>
                <w:color w:val="000000"/>
                <w:sz w:val="20"/>
                <w:szCs w:val="20"/>
              </w:rPr>
            </w:pPr>
            <w:r w:rsidRPr="00FD6DA6">
              <w:rPr>
                <w:rFonts w:ascii="Arial Narrow" w:hAnsi="Arial Narrow"/>
                <w:i/>
                <w:iCs/>
                <w:color w:val="000000"/>
                <w:sz w:val="20"/>
                <w:szCs w:val="20"/>
              </w:rPr>
              <w:t>(</w:t>
            </w:r>
            <w:r>
              <w:rPr>
                <w:rFonts w:ascii="Arial Narrow" w:hAnsi="Arial Narrow"/>
                <w:i/>
                <w:iCs/>
                <w:color w:val="000000"/>
                <w:sz w:val="20"/>
                <w:szCs w:val="20"/>
              </w:rPr>
              <w:t>b</w:t>
            </w:r>
            <w:r w:rsidRPr="00FD6DA6">
              <w:rPr>
                <w:rFonts w:ascii="Arial Narrow" w:hAnsi="Arial Narrow"/>
                <w:i/>
                <w:iCs/>
                <w:color w:val="000000"/>
                <w:sz w:val="20"/>
                <w:szCs w:val="20"/>
              </w:rPr>
              <w:t>) a dose of the vaccine may be provided to a person:</w:t>
            </w:r>
          </w:p>
          <w:p w14:paraId="7280046E" w14:textId="77777777" w:rsidR="008B1078" w:rsidRPr="00FD6DA6" w:rsidRDefault="008B1078" w:rsidP="00CC71B0">
            <w:pPr>
              <w:pStyle w:val="p2"/>
              <w:shd w:val="clear" w:color="auto" w:fill="FFFFFF"/>
              <w:spacing w:before="0" w:beforeAutospacing="0" w:after="0" w:afterAutospacing="0"/>
              <w:ind w:left="2705" w:hanging="1985"/>
              <w:rPr>
                <w:rFonts w:ascii="Arial Narrow" w:hAnsi="Arial Narrow"/>
                <w:i/>
                <w:iCs/>
                <w:color w:val="000000"/>
                <w:sz w:val="20"/>
                <w:szCs w:val="20"/>
              </w:rPr>
            </w:pPr>
            <w:r w:rsidRPr="00FD6DA6">
              <w:rPr>
                <w:rFonts w:ascii="Arial Narrow" w:hAnsi="Arial Narrow"/>
                <w:i/>
                <w:iCs/>
                <w:color w:val="000000"/>
                <w:sz w:val="20"/>
                <w:szCs w:val="20"/>
              </w:rPr>
              <w:t>(</w:t>
            </w:r>
            <w:proofErr w:type="spellStart"/>
            <w:r w:rsidRPr="00FD6DA6">
              <w:rPr>
                <w:rFonts w:ascii="Arial Narrow" w:hAnsi="Arial Narrow"/>
                <w:i/>
                <w:iCs/>
                <w:color w:val="000000"/>
                <w:sz w:val="20"/>
                <w:szCs w:val="20"/>
              </w:rPr>
              <w:t>i</w:t>
            </w:r>
            <w:proofErr w:type="spellEnd"/>
            <w:r w:rsidRPr="00FD6DA6">
              <w:rPr>
                <w:rFonts w:ascii="Arial Narrow" w:hAnsi="Arial Narrow"/>
                <w:i/>
                <w:iCs/>
                <w:color w:val="000000"/>
                <w:sz w:val="20"/>
                <w:szCs w:val="20"/>
              </w:rPr>
              <w:t>) who is an Aboriginal and/or Torres Strait Islander; and</w:t>
            </w:r>
          </w:p>
          <w:p w14:paraId="3436F02A" w14:textId="77777777" w:rsidR="008B1078" w:rsidRPr="00FD6DA6" w:rsidRDefault="008B1078" w:rsidP="00CC71B0">
            <w:pPr>
              <w:pStyle w:val="p2"/>
              <w:shd w:val="clear" w:color="auto" w:fill="FFFFFF"/>
              <w:spacing w:before="0" w:beforeAutospacing="0" w:after="0" w:afterAutospacing="0"/>
              <w:ind w:left="2705" w:hanging="1985"/>
              <w:rPr>
                <w:rFonts w:ascii="Arial Narrow" w:hAnsi="Arial Narrow"/>
                <w:i/>
                <w:iCs/>
                <w:color w:val="000000"/>
                <w:sz w:val="20"/>
                <w:szCs w:val="20"/>
              </w:rPr>
            </w:pPr>
            <w:r w:rsidRPr="00FD6DA6">
              <w:rPr>
                <w:rFonts w:ascii="Arial Narrow" w:hAnsi="Arial Narrow"/>
                <w:i/>
                <w:iCs/>
                <w:color w:val="000000"/>
                <w:sz w:val="20"/>
                <w:szCs w:val="20"/>
              </w:rPr>
              <w:t xml:space="preserve">(ii) who is at least </w:t>
            </w:r>
            <w:r>
              <w:rPr>
                <w:rFonts w:ascii="Arial Narrow" w:hAnsi="Arial Narrow"/>
                <w:i/>
                <w:iCs/>
                <w:color w:val="000000"/>
                <w:sz w:val="20"/>
                <w:szCs w:val="20"/>
              </w:rPr>
              <w:t>25</w:t>
            </w:r>
            <w:r w:rsidRPr="00FD6DA6">
              <w:rPr>
                <w:rFonts w:ascii="Arial Narrow" w:hAnsi="Arial Narrow"/>
                <w:i/>
                <w:iCs/>
                <w:color w:val="000000"/>
                <w:sz w:val="20"/>
                <w:szCs w:val="20"/>
              </w:rPr>
              <w:t xml:space="preserve"> years.</w:t>
            </w:r>
          </w:p>
          <w:p w14:paraId="3AA84D01" w14:textId="77777777" w:rsidR="008B1078" w:rsidRPr="00FD6DA6" w:rsidRDefault="008B1078" w:rsidP="00CC71B0">
            <w:pPr>
              <w:pStyle w:val="zp1"/>
              <w:shd w:val="clear" w:color="auto" w:fill="FFFFFF"/>
              <w:spacing w:before="0" w:beforeAutospacing="0" w:after="0" w:afterAutospacing="0"/>
              <w:ind w:left="1418" w:hanging="1418"/>
              <w:rPr>
                <w:rFonts w:ascii="Arial Narrow" w:hAnsi="Arial Narrow"/>
                <w:i/>
                <w:iCs/>
                <w:color w:val="000000"/>
                <w:sz w:val="20"/>
                <w:szCs w:val="20"/>
              </w:rPr>
            </w:pPr>
            <w:r w:rsidRPr="00FD6DA6">
              <w:rPr>
                <w:rFonts w:ascii="Arial Narrow" w:hAnsi="Arial Narrow"/>
                <w:i/>
                <w:iCs/>
                <w:color w:val="000000"/>
                <w:sz w:val="20"/>
                <w:szCs w:val="20"/>
              </w:rPr>
              <w:t>(</w:t>
            </w:r>
            <w:r>
              <w:rPr>
                <w:rFonts w:ascii="Arial Narrow" w:hAnsi="Arial Narrow"/>
                <w:i/>
                <w:iCs/>
                <w:color w:val="000000"/>
                <w:sz w:val="20"/>
                <w:szCs w:val="20"/>
              </w:rPr>
              <w:t>c</w:t>
            </w:r>
            <w:r w:rsidRPr="00FD6DA6">
              <w:rPr>
                <w:rFonts w:ascii="Arial Narrow" w:hAnsi="Arial Narrow"/>
                <w:i/>
                <w:iCs/>
                <w:color w:val="000000"/>
                <w:sz w:val="20"/>
                <w:szCs w:val="20"/>
              </w:rPr>
              <w:t>) a dose of the vaccine may be provided to a person:</w:t>
            </w:r>
          </w:p>
          <w:p w14:paraId="659EFFB8" w14:textId="77777777" w:rsidR="008B1078" w:rsidRDefault="008B1078" w:rsidP="00CC71B0">
            <w:pPr>
              <w:pStyle w:val="p2"/>
              <w:shd w:val="clear" w:color="auto" w:fill="FFFFFF"/>
              <w:spacing w:before="0" w:beforeAutospacing="0" w:after="0" w:afterAutospacing="0"/>
              <w:ind w:left="2705" w:hanging="1985"/>
              <w:rPr>
                <w:rFonts w:ascii="Arial Narrow" w:hAnsi="Arial Narrow"/>
                <w:i/>
                <w:iCs/>
                <w:color w:val="000000"/>
                <w:sz w:val="20"/>
                <w:szCs w:val="20"/>
              </w:rPr>
            </w:pPr>
            <w:r w:rsidRPr="00FD6DA6">
              <w:rPr>
                <w:rFonts w:ascii="Arial Narrow" w:hAnsi="Arial Narrow"/>
                <w:i/>
                <w:iCs/>
                <w:color w:val="000000"/>
                <w:sz w:val="20"/>
                <w:szCs w:val="20"/>
              </w:rPr>
              <w:t>(</w:t>
            </w:r>
            <w:proofErr w:type="spellStart"/>
            <w:r w:rsidRPr="00FD6DA6">
              <w:rPr>
                <w:rFonts w:ascii="Arial Narrow" w:hAnsi="Arial Narrow"/>
                <w:i/>
                <w:iCs/>
                <w:color w:val="000000"/>
                <w:sz w:val="20"/>
                <w:szCs w:val="20"/>
              </w:rPr>
              <w:t>i</w:t>
            </w:r>
            <w:proofErr w:type="spellEnd"/>
            <w:r w:rsidRPr="00FD6DA6">
              <w:rPr>
                <w:rFonts w:ascii="Arial Narrow" w:hAnsi="Arial Narrow"/>
                <w:i/>
                <w:iCs/>
                <w:color w:val="000000"/>
                <w:sz w:val="20"/>
                <w:szCs w:val="20"/>
              </w:rPr>
              <w:t>) who is not an Aboriginal and/or Torres Strait Islander; and</w:t>
            </w:r>
          </w:p>
          <w:p w14:paraId="1FC52650" w14:textId="77777777" w:rsidR="008B1078" w:rsidRPr="007F4815" w:rsidRDefault="008B1078" w:rsidP="00F06F8F">
            <w:pPr>
              <w:pStyle w:val="p2"/>
              <w:shd w:val="clear" w:color="auto" w:fill="FFFFFF"/>
              <w:spacing w:before="0" w:beforeAutospacing="0" w:after="120" w:afterAutospacing="0"/>
              <w:ind w:left="2705" w:hanging="1985"/>
              <w:rPr>
                <w:rFonts w:ascii="Arial Narrow" w:hAnsi="Arial Narrow"/>
                <w:i/>
                <w:iCs/>
                <w:color w:val="000000"/>
                <w:sz w:val="20"/>
                <w:szCs w:val="20"/>
              </w:rPr>
            </w:pPr>
            <w:r w:rsidRPr="00C4017D">
              <w:rPr>
                <w:rFonts w:ascii="Arial Narrow" w:hAnsi="Arial Narrow"/>
                <w:i/>
                <w:iCs/>
                <w:color w:val="000000"/>
                <w:sz w:val="20"/>
                <w:szCs w:val="20"/>
              </w:rPr>
              <w:t>(ii) who is at least 70 years.</w:t>
            </w:r>
          </w:p>
        </w:tc>
      </w:tr>
    </w:tbl>
    <w:p w14:paraId="14287C61" w14:textId="05007396" w:rsidR="0079444A" w:rsidRPr="004E375B" w:rsidRDefault="00A66B3A" w:rsidP="0079444A">
      <w:pPr>
        <w:pStyle w:val="3-BodyText"/>
        <w:rPr>
          <w:iCs/>
        </w:rPr>
      </w:pPr>
      <w:r>
        <w:rPr>
          <w:iCs/>
        </w:rPr>
        <w:t>R</w:t>
      </w:r>
      <w:r w:rsidR="0079444A">
        <w:rPr>
          <w:iCs/>
        </w:rPr>
        <w:t>emove</w:t>
      </w:r>
      <w:r>
        <w:rPr>
          <w:iCs/>
        </w:rPr>
        <w:t xml:space="preserve"> the following risk factors</w:t>
      </w:r>
      <w:r w:rsidR="0079444A">
        <w:rPr>
          <w:iCs/>
        </w:rPr>
        <w:t xml:space="preserve"> from </w:t>
      </w:r>
      <w:r w:rsidR="0079444A" w:rsidRPr="004E375B">
        <w:rPr>
          <w:iCs/>
        </w:rPr>
        <w:t xml:space="preserve">the recommended listing for </w:t>
      </w:r>
      <w:proofErr w:type="spellStart"/>
      <w:r w:rsidR="0079444A" w:rsidRPr="004E375B">
        <w:rPr>
          <w:iCs/>
        </w:rPr>
        <w:t>Vaxneuvance</w:t>
      </w:r>
      <w:proofErr w:type="spellEnd"/>
      <w:r w:rsidR="0079444A">
        <w:rPr>
          <w:iCs/>
        </w:rPr>
        <w:t xml:space="preserve"> </w:t>
      </w:r>
      <w:r>
        <w:rPr>
          <w:iCs/>
        </w:rPr>
        <w:t>from the November 2021 PBAC recommendation</w:t>
      </w:r>
      <w:r w:rsidRPr="004E375B">
        <w:rPr>
          <w:iCs/>
        </w:rPr>
        <w:t xml:space="preserve"> </w:t>
      </w:r>
      <w:r w:rsidR="0079444A" w:rsidRPr="004E375B">
        <w:rPr>
          <w:iCs/>
        </w:rPr>
        <w:t>for the prevention of pneumococcal disease in non-Indigenous adults aged ≥70 years, Indigenous adults aged ≥50 years, and individuals at increased risk of pneumococcal disease aged ≥18 years.</w:t>
      </w:r>
    </w:p>
    <w:p w14:paraId="107BD187" w14:textId="77777777" w:rsidR="0079444A" w:rsidRPr="00FD6DA6" w:rsidRDefault="0079444A" w:rsidP="0079444A">
      <w:pPr>
        <w:pStyle w:val="p3"/>
        <w:shd w:val="clear" w:color="auto" w:fill="FFFFFF"/>
        <w:spacing w:before="0" w:beforeAutospacing="0" w:after="0" w:afterAutospacing="0"/>
        <w:ind w:left="1440"/>
        <w:rPr>
          <w:rFonts w:ascii="Arial Narrow" w:hAnsi="Arial Narrow"/>
          <w:i/>
          <w:iCs/>
          <w:color w:val="000000"/>
          <w:sz w:val="20"/>
          <w:szCs w:val="20"/>
        </w:rPr>
      </w:pPr>
      <w:r w:rsidRPr="00FD6DA6">
        <w:rPr>
          <w:rFonts w:ascii="Arial Narrow" w:hAnsi="Arial Narrow"/>
          <w:i/>
          <w:iCs/>
          <w:color w:val="000000"/>
          <w:sz w:val="20"/>
          <w:szCs w:val="20"/>
        </w:rPr>
        <w:t>(I) born less than 28 weeks gestation; or</w:t>
      </w:r>
    </w:p>
    <w:p w14:paraId="7921F1B2" w14:textId="77777777" w:rsidR="0079444A" w:rsidRPr="00FD6DA6" w:rsidRDefault="0079444A" w:rsidP="0079444A">
      <w:pPr>
        <w:pStyle w:val="p3"/>
        <w:shd w:val="clear" w:color="auto" w:fill="FFFFFF"/>
        <w:spacing w:before="0" w:beforeAutospacing="0" w:after="0" w:afterAutospacing="0"/>
        <w:ind w:left="1440"/>
        <w:rPr>
          <w:rFonts w:ascii="Arial Narrow" w:hAnsi="Arial Narrow"/>
          <w:i/>
          <w:iCs/>
          <w:color w:val="000000"/>
          <w:sz w:val="20"/>
          <w:szCs w:val="20"/>
        </w:rPr>
      </w:pPr>
      <w:r>
        <w:rPr>
          <w:rFonts w:ascii="Arial Narrow" w:hAnsi="Arial Narrow"/>
          <w:i/>
          <w:iCs/>
          <w:color w:val="000000"/>
          <w:sz w:val="20"/>
          <w:szCs w:val="20"/>
        </w:rPr>
        <w:t>(</w:t>
      </w:r>
      <w:r w:rsidRPr="00FD6DA6">
        <w:rPr>
          <w:rFonts w:ascii="Arial Narrow" w:hAnsi="Arial Narrow"/>
          <w:i/>
          <w:iCs/>
          <w:color w:val="000000"/>
          <w:sz w:val="20"/>
          <w:szCs w:val="20"/>
        </w:rPr>
        <w:t>J) trisomy 21; or</w:t>
      </w:r>
    </w:p>
    <w:p w14:paraId="264228B6" w14:textId="77777777" w:rsidR="0079444A" w:rsidRPr="00FD6DA6" w:rsidRDefault="0079444A" w:rsidP="0079444A">
      <w:pPr>
        <w:pStyle w:val="p3"/>
        <w:shd w:val="clear" w:color="auto" w:fill="FFFFFF"/>
        <w:spacing w:before="0" w:beforeAutospacing="0" w:after="0" w:afterAutospacing="0"/>
        <w:ind w:left="1440"/>
        <w:rPr>
          <w:rFonts w:ascii="Arial Narrow" w:hAnsi="Arial Narrow"/>
          <w:i/>
          <w:iCs/>
          <w:color w:val="000000"/>
          <w:sz w:val="20"/>
          <w:szCs w:val="20"/>
        </w:rPr>
      </w:pPr>
      <w:r w:rsidRPr="00FD6DA6">
        <w:rPr>
          <w:rFonts w:ascii="Arial Narrow" w:hAnsi="Arial Narrow"/>
          <w:i/>
          <w:iCs/>
          <w:color w:val="000000"/>
          <w:sz w:val="20"/>
          <w:szCs w:val="20"/>
        </w:rPr>
        <w:t xml:space="preserve">(K) chronic heart disease including cyanotic heart disease and heart </w:t>
      </w:r>
      <w:proofErr w:type="gramStart"/>
      <w:r w:rsidRPr="00FD6DA6">
        <w:rPr>
          <w:rFonts w:ascii="Arial Narrow" w:hAnsi="Arial Narrow"/>
          <w:i/>
          <w:iCs/>
          <w:color w:val="000000"/>
          <w:sz w:val="20"/>
          <w:szCs w:val="20"/>
        </w:rPr>
        <w:t>failure;</w:t>
      </w:r>
      <w:proofErr w:type="gramEnd"/>
    </w:p>
    <w:p w14:paraId="53208916" w14:textId="77777777" w:rsidR="0079444A" w:rsidRDefault="0079444A" w:rsidP="0079444A">
      <w:pPr>
        <w:pStyle w:val="p2"/>
        <w:shd w:val="clear" w:color="auto" w:fill="FFFFFF"/>
        <w:spacing w:before="0" w:beforeAutospacing="0" w:after="0" w:afterAutospacing="0"/>
        <w:ind w:left="1440"/>
        <w:rPr>
          <w:rFonts w:ascii="Arial Narrow" w:hAnsi="Arial Narrow"/>
          <w:i/>
          <w:iCs/>
          <w:color w:val="000000"/>
          <w:sz w:val="20"/>
          <w:szCs w:val="20"/>
        </w:rPr>
      </w:pPr>
      <w:r w:rsidRPr="009A4DC9">
        <w:rPr>
          <w:rFonts w:ascii="Arial Narrow" w:hAnsi="Arial Narrow"/>
          <w:i/>
          <w:iCs/>
          <w:color w:val="000000"/>
          <w:sz w:val="20"/>
          <w:szCs w:val="20"/>
        </w:rPr>
        <w:t>(ii) who is at least 18 years of age and has been newly diagnosed with one or more of the medical risk conditions contained in subparagraph (a)(</w:t>
      </w:r>
      <w:proofErr w:type="spellStart"/>
      <w:r w:rsidRPr="009A4DC9">
        <w:rPr>
          <w:rFonts w:ascii="Arial Narrow" w:hAnsi="Arial Narrow"/>
          <w:i/>
          <w:iCs/>
          <w:color w:val="000000"/>
          <w:sz w:val="20"/>
          <w:szCs w:val="20"/>
        </w:rPr>
        <w:t>i</w:t>
      </w:r>
      <w:proofErr w:type="spellEnd"/>
      <w:proofErr w:type="gramStart"/>
      <w:r w:rsidRPr="009A4DC9">
        <w:rPr>
          <w:rFonts w:ascii="Arial Narrow" w:hAnsi="Arial Narrow"/>
          <w:i/>
          <w:iCs/>
          <w:color w:val="000000"/>
          <w:sz w:val="20"/>
          <w:szCs w:val="20"/>
        </w:rPr>
        <w:t>);</w:t>
      </w:r>
      <w:proofErr w:type="gramEnd"/>
    </w:p>
    <w:p w14:paraId="2237E8F6" w14:textId="77777777" w:rsidR="0079444A" w:rsidRPr="00FD6DA6" w:rsidRDefault="0079444A" w:rsidP="0079444A">
      <w:pPr>
        <w:pStyle w:val="p2"/>
        <w:shd w:val="clear" w:color="auto" w:fill="FFFFFF"/>
        <w:spacing w:before="0" w:beforeAutospacing="0" w:after="0" w:afterAutospacing="0"/>
        <w:ind w:left="1440"/>
        <w:rPr>
          <w:rFonts w:ascii="Arial Narrow" w:hAnsi="Arial Narrow"/>
          <w:i/>
          <w:iCs/>
          <w:color w:val="000000"/>
          <w:sz w:val="20"/>
          <w:szCs w:val="20"/>
        </w:rPr>
      </w:pPr>
    </w:p>
    <w:p w14:paraId="5F8C9AF1" w14:textId="3B9B17EB" w:rsidR="00245D27" w:rsidRPr="00BA57B8" w:rsidRDefault="008B1078" w:rsidP="00BA57B8">
      <w:pPr>
        <w:spacing w:after="160" w:line="259" w:lineRule="auto"/>
        <w:jc w:val="left"/>
        <w:rPr>
          <w:rFonts w:eastAsia="Calibri" w:cs="Calibri"/>
          <w:b/>
          <w:i/>
          <w:lang w:eastAsia="en-US"/>
        </w:rPr>
      </w:pPr>
      <w:r w:rsidRPr="009639EE">
        <w:rPr>
          <w:b/>
          <w:i/>
        </w:rPr>
        <w:t>This restriction may be subject to further review. Should there be any changes made to the restriction the Sponsor will be informed.</w:t>
      </w:r>
      <w:bookmarkEnd w:id="130"/>
      <w:bookmarkEnd w:id="131"/>
      <w:bookmarkEnd w:id="135"/>
    </w:p>
    <w:bookmarkEnd w:id="2"/>
    <w:bookmarkEnd w:id="132"/>
    <w:bookmarkEnd w:id="133"/>
    <w:p w14:paraId="61F72EEA" w14:textId="46DF7FF7" w:rsidR="00EB5430" w:rsidRDefault="00EB5430" w:rsidP="00EB5430">
      <w:pPr>
        <w:pStyle w:val="2-SectionHeading"/>
        <w:numPr>
          <w:ilvl w:val="0"/>
          <w:numId w:val="15"/>
        </w:numPr>
        <w:spacing w:after="120"/>
        <w:jc w:val="left"/>
        <w:outlineLvl w:val="0"/>
        <w:rPr>
          <w:rFonts w:asciiTheme="minorHAnsi" w:hAnsiTheme="minorHAnsi"/>
          <w:bCs w:val="0"/>
          <w:lang w:val="en-GB"/>
        </w:rPr>
      </w:pPr>
      <w:r w:rsidRPr="00EB5430">
        <w:lastRenderedPageBreak/>
        <w:t>Context</w:t>
      </w:r>
      <w:r w:rsidRPr="00C07617">
        <w:rPr>
          <w:rFonts w:asciiTheme="minorHAnsi" w:hAnsiTheme="minorHAnsi"/>
        </w:rPr>
        <w:t xml:space="preserve"> for Decision</w:t>
      </w:r>
    </w:p>
    <w:p w14:paraId="62CFA03F" w14:textId="77777777" w:rsidR="00EB5430" w:rsidRPr="007129F2" w:rsidRDefault="00EB5430" w:rsidP="00EB5430">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243778A" w14:textId="460F2DE7" w:rsidR="00EB5430" w:rsidRPr="00C07617" w:rsidRDefault="00EB5430" w:rsidP="00EB5430">
      <w:pPr>
        <w:pStyle w:val="2-SectionHeading"/>
        <w:numPr>
          <w:ilvl w:val="0"/>
          <w:numId w:val="15"/>
        </w:numPr>
        <w:spacing w:after="120"/>
        <w:jc w:val="left"/>
        <w:outlineLvl w:val="0"/>
        <w:rPr>
          <w:rFonts w:asciiTheme="minorHAnsi" w:hAnsiTheme="minorHAnsi"/>
          <w:b w:val="0"/>
        </w:rPr>
      </w:pPr>
      <w:r w:rsidRPr="00EB5430">
        <w:t>Sponsor’s</w:t>
      </w:r>
      <w:r>
        <w:rPr>
          <w:rFonts w:asciiTheme="minorHAnsi" w:hAnsiTheme="minorHAnsi"/>
        </w:rPr>
        <w:t xml:space="preserve"> Comment</w:t>
      </w:r>
    </w:p>
    <w:p w14:paraId="3DB6F1FA" w14:textId="77777777" w:rsidR="00E20D47" w:rsidRPr="00C86452" w:rsidRDefault="00E20D47" w:rsidP="00E20D47">
      <w:pPr>
        <w:pStyle w:val="Source"/>
        <w:numPr>
          <w:ilvl w:val="0"/>
          <w:numId w:val="0"/>
        </w:numPr>
        <w:ind w:left="720"/>
      </w:pPr>
      <w:r w:rsidRPr="00C86452">
        <w:t xml:space="preserve">Pfizer welcomes the PBAC recommendation for 20vPCV for NIP-listing for the prevention of pneumococcal disease in adults. Additionally, the recommendation for expansion of NIP-listing to Aboriginal and Torres Strait Islander adults 25 years and older means that </w:t>
      </w:r>
      <w:r>
        <w:t>this population</w:t>
      </w:r>
      <w:r w:rsidRPr="00C86452">
        <w:t xml:space="preserve"> who have increased burden of disease will receive additional protection.</w:t>
      </w:r>
    </w:p>
    <w:p w14:paraId="2E6DCFA6" w14:textId="77777777" w:rsidR="00E20D47" w:rsidRPr="00EB5430" w:rsidRDefault="00E20D47" w:rsidP="00E20D47">
      <w:pPr>
        <w:pStyle w:val="Source"/>
        <w:numPr>
          <w:ilvl w:val="0"/>
          <w:numId w:val="0"/>
        </w:numPr>
        <w:ind w:left="720"/>
        <w:rPr>
          <w:rFonts w:asciiTheme="minorHAnsi" w:hAnsiTheme="minorHAnsi"/>
          <w:bCs/>
        </w:rPr>
      </w:pPr>
      <w:r>
        <w:t>While</w:t>
      </w:r>
      <w:r w:rsidRPr="00C86452">
        <w:t xml:space="preserve"> the PBAC recommended NIP-listing </w:t>
      </w:r>
      <w:proofErr w:type="gramStart"/>
      <w:r w:rsidRPr="00C86452">
        <w:t>on the basis of</w:t>
      </w:r>
      <w:proofErr w:type="gramEnd"/>
      <w:r w:rsidRPr="00C86452">
        <w:t xml:space="preserve"> a cost minimisation approach to 13vPCV or 15vPCV, Pfizer considers th</w:t>
      </w:r>
      <w:r>
        <w:t>e</w:t>
      </w:r>
      <w:r w:rsidRPr="00C86452">
        <w:t xml:space="preserve"> clinical and economic benefits</w:t>
      </w:r>
      <w:r>
        <w:t xml:space="preserve"> </w:t>
      </w:r>
      <w:r w:rsidRPr="00C86452">
        <w:t>of the additional serotype coverage</w:t>
      </w:r>
      <w:r>
        <w:t xml:space="preserve"> will have value for Australian adults vaccinated with PCV20.</w:t>
      </w:r>
    </w:p>
    <w:p w14:paraId="68EEADCF" w14:textId="5C9AE7AE" w:rsidR="004D3204" w:rsidRPr="00EB5430" w:rsidRDefault="004D3204" w:rsidP="00E20D47">
      <w:pPr>
        <w:spacing w:after="120"/>
        <w:ind w:left="720"/>
        <w:rPr>
          <w:rFonts w:asciiTheme="minorHAnsi" w:hAnsiTheme="minorHAnsi"/>
          <w:bCs/>
        </w:rPr>
      </w:pPr>
    </w:p>
    <w:sectPr w:rsidR="004D3204" w:rsidRPr="00EB5430" w:rsidSect="00245D27">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3F8D" w14:textId="77777777" w:rsidR="007D24D2" w:rsidRDefault="007D24D2">
      <w:r>
        <w:separator/>
      </w:r>
    </w:p>
  </w:endnote>
  <w:endnote w:type="continuationSeparator" w:id="0">
    <w:p w14:paraId="2FFFE805" w14:textId="77777777" w:rsidR="007D24D2" w:rsidRDefault="007D24D2">
      <w:r>
        <w:continuationSeparator/>
      </w:r>
    </w:p>
  </w:endnote>
  <w:endnote w:type="continuationNotice" w:id="1">
    <w:p w14:paraId="28470F9F" w14:textId="77777777" w:rsidR="007D24D2" w:rsidRDefault="007D2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00"/>
    <w:family w:val="auto"/>
    <w:notTrueType/>
    <w:pitch w:val="default"/>
    <w:sig w:usb0="00000003" w:usb1="08070000" w:usb2="00000010" w:usb3="00000000" w:csb0="00020001" w:csb1="00000000"/>
  </w:font>
  <w:font w:name="Univers LT Std 47 Cn Lt">
    <w:altName w:val="Calibri"/>
    <w:panose1 w:val="00000000000000000000"/>
    <w:charset w:val="00"/>
    <w:family w:val="swiss"/>
    <w:notTrueType/>
    <w:pitch w:val="default"/>
    <w:sig w:usb0="00000003" w:usb1="00000000" w:usb2="00000000" w:usb3="00000000" w:csb0="00000001" w:csb1="00000000"/>
  </w:font>
  <w:font w:name="FuturaStd-Bold">
    <w:altName w:val="Yu Gothic"/>
    <w:panose1 w:val="00000000000000000000"/>
    <w:charset w:val="80"/>
    <w:family w:val="swiss"/>
    <w:notTrueType/>
    <w:pitch w:val="default"/>
    <w:sig w:usb0="00000001" w:usb1="08070000" w:usb2="00000010" w:usb3="00000000" w:csb0="00020000" w:csb1="00000000"/>
  </w:font>
  <w:font w:name="UniversLTStd-BoldCn">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9D3C" w14:textId="77777777" w:rsidR="006A414A" w:rsidRDefault="006A4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61D0" w14:textId="4799BF35" w:rsidR="00E626DC" w:rsidRDefault="00C82D65" w:rsidP="00E626DC">
    <w:pPr>
      <w:pStyle w:val="Footer"/>
      <w:jc w:val="center"/>
    </w:pPr>
    <w:r>
      <w:t xml:space="preserve"> </w:t>
    </w:r>
  </w:p>
  <w:bookmarkStart w:id="137" w:name="_Hlk76375156"/>
  <w:p w14:paraId="0E9F9D72" w14:textId="4573A1AB" w:rsidR="000E483B" w:rsidRPr="00245D27" w:rsidRDefault="005A3C0E" w:rsidP="00245D27">
    <w:pPr>
      <w:pStyle w:val="Footer"/>
      <w:keepNext/>
      <w:ind w:left="360"/>
      <w:jc w:val="center"/>
      <w:rPr>
        <w:rFonts w:asciiTheme="minorHAnsi" w:hAnsiTheme="minorHAnsi"/>
      </w:rPr>
    </w:pPr>
    <w:r>
      <w:fldChar w:fldCharType="begin"/>
    </w:r>
    <w:r>
      <w:rPr>
        <w:b/>
      </w:rPr>
      <w:instrText xml:space="preserve"> PAGE   \* MERGEFORMAT </w:instrText>
    </w:r>
    <w:r>
      <w:fldChar w:fldCharType="separate"/>
    </w:r>
    <w:r>
      <w:rPr>
        <w:b/>
        <w:noProof/>
      </w:rPr>
      <w:t>1</w:t>
    </w:r>
    <w:r>
      <w:fldChar w:fldCharType="end"/>
    </w:r>
    <w:r>
      <w:rPr>
        <w:b/>
        <w:noProof/>
      </w:rPr>
      <w:t xml:space="preserve"> </w:t>
    </w:r>
    <w:bookmarkEnd w:id="13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0C47" w14:textId="77777777" w:rsidR="006A414A" w:rsidRDefault="006A4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8FFD" w14:textId="77777777" w:rsidR="007D24D2" w:rsidRDefault="007D24D2">
      <w:r>
        <w:separator/>
      </w:r>
    </w:p>
  </w:footnote>
  <w:footnote w:type="continuationSeparator" w:id="0">
    <w:p w14:paraId="3136F38E" w14:textId="77777777" w:rsidR="007D24D2" w:rsidRDefault="007D24D2">
      <w:r>
        <w:continuationSeparator/>
      </w:r>
    </w:p>
  </w:footnote>
  <w:footnote w:type="continuationNotice" w:id="1">
    <w:p w14:paraId="0A0ECE1C" w14:textId="77777777" w:rsidR="007D24D2" w:rsidRDefault="007D24D2"/>
  </w:footnote>
  <w:footnote w:id="2">
    <w:p w14:paraId="610FB512" w14:textId="77777777" w:rsidR="001B3B8D" w:rsidRDefault="003318D5" w:rsidP="003318D5">
      <w:pPr>
        <w:pStyle w:val="FootnoteText"/>
      </w:pPr>
      <w:r>
        <w:rPr>
          <w:rStyle w:val="FootnoteReference"/>
        </w:rPr>
        <w:footnoteRef/>
      </w:r>
      <w:r>
        <w:t xml:space="preserve"> World Health Organization (2016) Guidelines on clinical evaluation of vaccines: regulatory expectations Revision of WHO TRS 924, Annex 1, P49-50.</w:t>
      </w:r>
    </w:p>
    <w:p w14:paraId="53BADDCF" w14:textId="6E18A394" w:rsidR="003318D5" w:rsidRDefault="003318D5" w:rsidP="003318D5">
      <w:pPr>
        <w:pStyle w:val="FootnoteText"/>
      </w:pPr>
      <w:r>
        <w:t xml:space="preserve">https://www.who.int/biologicals/expert_committee/Clinical_changes_IK_final.pdf </w:t>
      </w:r>
    </w:p>
  </w:footnote>
  <w:footnote w:id="3">
    <w:p w14:paraId="1CBF5CB6" w14:textId="77777777" w:rsidR="00566762" w:rsidRDefault="00566762" w:rsidP="00566762">
      <w:pPr>
        <w:pStyle w:val="FootnoteText"/>
      </w:pPr>
      <w:r>
        <w:rPr>
          <w:rStyle w:val="FootnoteReference"/>
        </w:rPr>
        <w:footnoteRef/>
      </w:r>
      <w:r>
        <w:t xml:space="preserve"> </w:t>
      </w:r>
      <w:r w:rsidRPr="009F2B2A">
        <w:t>https://immunisationhandbook.health.gov.au/contents/vaccine-preventable-diseases/pneumococcal-disease</w:t>
      </w:r>
    </w:p>
  </w:footnote>
  <w:footnote w:id="4">
    <w:p w14:paraId="760B3C2E" w14:textId="77777777" w:rsidR="00614D0C" w:rsidRDefault="00614D0C" w:rsidP="00614D0C">
      <w:pPr>
        <w:pStyle w:val="FootnoteText"/>
      </w:pPr>
      <w:r>
        <w:rPr>
          <w:rStyle w:val="FootnoteReference"/>
        </w:rPr>
        <w:footnoteRef/>
      </w:r>
      <w:r>
        <w:t xml:space="preserve"> </w:t>
      </w:r>
      <w:r w:rsidRPr="00CC3885">
        <w:t>https://www.abs.gov.au/statistics/people/aboriginal-and-torres-strait-islander-peoples/estimates-aboriginal-and-torres-strait-islander-australians/jun-2021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E334" w14:textId="77777777" w:rsidR="006A414A" w:rsidRDefault="006A4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6D11" w14:textId="4ED14A64" w:rsidR="005A3C0E" w:rsidRDefault="00EB5430" w:rsidP="005A3C0E">
    <w:pPr>
      <w:pStyle w:val="Header"/>
      <w:ind w:left="360"/>
      <w:rPr>
        <w:rFonts w:asciiTheme="minorHAnsi" w:hAnsiTheme="minorHAnsi"/>
        <w:i/>
        <w:color w:val="808080"/>
      </w:rPr>
    </w:pPr>
    <w:bookmarkStart w:id="136" w:name="_Hlk76375146"/>
    <w:r>
      <w:rPr>
        <w:rFonts w:asciiTheme="minorHAnsi" w:hAnsiTheme="minorHAnsi"/>
        <w:i/>
        <w:color w:val="808080"/>
      </w:rPr>
      <w:t>Public Summary Document</w:t>
    </w:r>
    <w:r w:rsidR="005A3C0E">
      <w:rPr>
        <w:rFonts w:asciiTheme="minorHAnsi" w:hAnsiTheme="minorHAnsi"/>
        <w:i/>
        <w:color w:val="808080"/>
      </w:rPr>
      <w:t xml:space="preserve"> – November 2022 PBAC Meeting</w:t>
    </w:r>
  </w:p>
  <w:bookmarkEnd w:id="136"/>
  <w:p w14:paraId="33CF8ED3" w14:textId="77777777" w:rsidR="000E483B" w:rsidRDefault="000E48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0AEB" w14:textId="77777777" w:rsidR="006A414A" w:rsidRDefault="006A4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FCD7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A3A9B"/>
    <w:multiLevelType w:val="hybridMultilevel"/>
    <w:tmpl w:val="2A5A4E3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 w15:restartNumberingAfterBreak="0">
    <w:nsid w:val="07910593"/>
    <w:multiLevelType w:val="multilevel"/>
    <w:tmpl w:val="3E3E52B6"/>
    <w:lvl w:ilvl="0">
      <w:start w:val="1"/>
      <w:numFmt w:val="decimal"/>
      <w:pStyle w:val="Source"/>
      <w:lvlText w:val="%1"/>
      <w:lvlJc w:val="left"/>
      <w:pPr>
        <w:ind w:left="720" w:hanging="720"/>
      </w:pPr>
      <w:rPr>
        <w:rFonts w:hint="default"/>
        <w:b/>
        <w:sz w:val="32"/>
        <w:szCs w:val="32"/>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14:glow w14:rad="0">
          <w14:srgbClr w14:val="000000"/>
        </w14:glow>
        <w14:scene3d>
          <w14:camera w14:prst="orthographicFront"/>
          <w14:lightRig w14:rig="threePt" w14:dir="t">
            <w14:rot w14:lat="0" w14:lon="0" w14:rev="0"/>
          </w14:lightRig>
        </w14:scene3d>
      </w:rPr>
    </w:lvl>
  </w:abstractNum>
  <w:abstractNum w:abstractNumId="3" w15:restartNumberingAfterBreak="0">
    <w:nsid w:val="0DF773AC"/>
    <w:multiLevelType w:val="hybridMultilevel"/>
    <w:tmpl w:val="D0422848"/>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4" w15:restartNumberingAfterBreak="0">
    <w:nsid w:val="10BC372E"/>
    <w:multiLevelType w:val="hybridMultilevel"/>
    <w:tmpl w:val="319A3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D383609"/>
    <w:multiLevelType w:val="hybridMultilevel"/>
    <w:tmpl w:val="D7E05ED4"/>
    <w:lvl w:ilvl="0" w:tplc="A6D6EF40">
      <w:numFmt w:val="decimal"/>
      <w:pStyle w:val="TableBullet"/>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 w15:restartNumberingAfterBreak="0">
    <w:nsid w:val="222E66C7"/>
    <w:multiLevelType w:val="hybridMultilevel"/>
    <w:tmpl w:val="B35C6A28"/>
    <w:lvl w:ilvl="0" w:tplc="12C438E4">
      <w:numFmt w:val="decimal"/>
      <w:pStyle w:val="ListBulletlvl2"/>
      <w:lvlText w:val=""/>
      <w:lvlJc w:val="left"/>
    </w:lvl>
    <w:lvl w:ilvl="1" w:tplc="0C090001">
      <w:numFmt w:val="decimal"/>
      <w:pStyle w:val="ListBulletlvl2"/>
      <w:lvlText w:val=""/>
      <w:lvlJc w:val="left"/>
    </w:lvl>
    <w:lvl w:ilvl="2" w:tplc="D29405D6">
      <w:numFmt w:val="decimal"/>
      <w:lvlText w:val=""/>
      <w:lvlJc w:val="left"/>
    </w:lvl>
    <w:lvl w:ilvl="3" w:tplc="E382A41C">
      <w:numFmt w:val="decimal"/>
      <w:lvlText w:val=""/>
      <w:lvlJc w:val="left"/>
    </w:lvl>
    <w:lvl w:ilvl="4" w:tplc="9CB8CFEE">
      <w:numFmt w:val="decimal"/>
      <w:lvlText w:val=""/>
      <w:lvlJc w:val="left"/>
    </w:lvl>
    <w:lvl w:ilvl="5" w:tplc="E3EA1444">
      <w:numFmt w:val="decimal"/>
      <w:lvlText w:val=""/>
      <w:lvlJc w:val="left"/>
    </w:lvl>
    <w:lvl w:ilvl="6" w:tplc="CE6475DA">
      <w:numFmt w:val="decimal"/>
      <w:lvlText w:val=""/>
      <w:lvlJc w:val="left"/>
    </w:lvl>
    <w:lvl w:ilvl="7" w:tplc="955A214A">
      <w:numFmt w:val="decimal"/>
      <w:lvlText w:val=""/>
      <w:lvlJc w:val="left"/>
    </w:lvl>
    <w:lvl w:ilvl="8" w:tplc="81C04A4A">
      <w:numFmt w:val="decimal"/>
      <w:lvlText w:val=""/>
      <w:lvlJc w:val="left"/>
    </w:lvl>
  </w:abstractNum>
  <w:abstractNum w:abstractNumId="7" w15:restartNumberingAfterBreak="0">
    <w:nsid w:val="27703759"/>
    <w:multiLevelType w:val="hybridMultilevel"/>
    <w:tmpl w:val="44F26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9543E84"/>
    <w:multiLevelType w:val="hybridMultilevel"/>
    <w:tmpl w:val="0B6CA3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13F69F4"/>
    <w:multiLevelType w:val="hybridMultilevel"/>
    <w:tmpl w:val="BA52736E"/>
    <w:lvl w:ilvl="0" w:tplc="9C96C702">
      <w:numFmt w:val="decimal"/>
      <w:pStyle w:val="TableNoteBullet"/>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0" w15:restartNumberingAfterBreak="0">
    <w:nsid w:val="33CB2922"/>
    <w:multiLevelType w:val="hybridMultilevel"/>
    <w:tmpl w:val="FFFFFFFF"/>
    <w:styleLink w:val="AppendixHeading5"/>
    <w:lvl w:ilvl="0" w:tplc="111CD162">
      <w:numFmt w:val="decimal"/>
      <w:lvlText w:val=""/>
      <w:lvlJc w:val="left"/>
    </w:lvl>
    <w:lvl w:ilvl="1" w:tplc="55306E7A">
      <w:numFmt w:val="decimal"/>
      <w:lvlText w:val=""/>
      <w:lvlJc w:val="left"/>
    </w:lvl>
    <w:lvl w:ilvl="2" w:tplc="BC324860">
      <w:numFmt w:val="decimal"/>
      <w:lvlText w:val=""/>
      <w:lvlJc w:val="left"/>
    </w:lvl>
    <w:lvl w:ilvl="3" w:tplc="FC2CCACE">
      <w:numFmt w:val="decimal"/>
      <w:lvlText w:val=""/>
      <w:lvlJc w:val="left"/>
    </w:lvl>
    <w:lvl w:ilvl="4" w:tplc="E6FCEBE6">
      <w:numFmt w:val="decimal"/>
      <w:lvlText w:val=""/>
      <w:lvlJc w:val="left"/>
    </w:lvl>
    <w:lvl w:ilvl="5" w:tplc="638ED94E">
      <w:numFmt w:val="decimal"/>
      <w:lvlText w:val=""/>
      <w:lvlJc w:val="left"/>
    </w:lvl>
    <w:lvl w:ilvl="6" w:tplc="36780958">
      <w:numFmt w:val="decimal"/>
      <w:lvlText w:val=""/>
      <w:lvlJc w:val="left"/>
    </w:lvl>
    <w:lvl w:ilvl="7" w:tplc="F5461A1C">
      <w:numFmt w:val="decimal"/>
      <w:lvlText w:val=""/>
      <w:lvlJc w:val="left"/>
    </w:lvl>
    <w:lvl w:ilvl="8" w:tplc="2318C5CA">
      <w:numFmt w:val="decimal"/>
      <w:lvlText w:val=""/>
      <w:lvlJc w:val="left"/>
    </w:lvl>
  </w:abstractNum>
  <w:abstractNum w:abstractNumId="11" w15:restartNumberingAfterBreak="0">
    <w:nsid w:val="37394A2B"/>
    <w:multiLevelType w:val="hybridMultilevel"/>
    <w:tmpl w:val="4AFCF808"/>
    <w:lvl w:ilvl="0" w:tplc="04090001">
      <w:start w:val="1"/>
      <w:numFmt w:val="bullet"/>
      <w:pStyle w:val="sub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C9A0FC0"/>
    <w:multiLevelType w:val="hybridMultilevel"/>
    <w:tmpl w:val="CD8E6D92"/>
    <w:lvl w:ilvl="0" w:tplc="FAD0BD2C">
      <w:numFmt w:val="decimal"/>
      <w:pStyle w:val="Heading6-2"/>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13" w15:restartNumberingAfterBreak="0">
    <w:nsid w:val="3D60557F"/>
    <w:multiLevelType w:val="hybridMultilevel"/>
    <w:tmpl w:val="58A8BA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D9B261A"/>
    <w:multiLevelType w:val="hybridMultilevel"/>
    <w:tmpl w:val="E93C2A36"/>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5" w15:restartNumberingAfterBreak="0">
    <w:nsid w:val="44442297"/>
    <w:multiLevelType w:val="hybridMultilevel"/>
    <w:tmpl w:val="E6FE4E00"/>
    <w:lvl w:ilvl="0" w:tplc="C324F4FC">
      <w:numFmt w:val="decimal"/>
      <w:pStyle w:val="Bulletpoints"/>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6" w15:restartNumberingAfterBreak="0">
    <w:nsid w:val="458D67A6"/>
    <w:multiLevelType w:val="hybridMultilevel"/>
    <w:tmpl w:val="51CA1480"/>
    <w:lvl w:ilvl="0" w:tplc="04090001">
      <w:numFmt w:val="decimal"/>
      <w:pStyle w:val="ListParagraph"/>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15:restartNumberingAfterBreak="0">
    <w:nsid w:val="462F4A0B"/>
    <w:multiLevelType w:val="hybridMultilevel"/>
    <w:tmpl w:val="76D40658"/>
    <w:lvl w:ilvl="0" w:tplc="37762F46">
      <w:numFmt w:val="decimal"/>
      <w:pStyle w:val="TableBullet0"/>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8" w15:restartNumberingAfterBreak="0">
    <w:nsid w:val="47C231B2"/>
    <w:multiLevelType w:val="hybridMultilevel"/>
    <w:tmpl w:val="974CB4F6"/>
    <w:lvl w:ilvl="0" w:tplc="FFFFFFFF">
      <w:numFmt w:val="decimal"/>
      <w:lvlText w:val=""/>
      <w:lvlJc w:val="left"/>
    </w:lvl>
    <w:lvl w:ilvl="1" w:tplc="0C090001">
      <w:start w:val="1"/>
      <w:numFmt w:val="bullet"/>
      <w:lvlText w:val=""/>
      <w:lvlJc w:val="left"/>
      <w:pPr>
        <w:ind w:left="108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5AA25FA"/>
    <w:multiLevelType w:val="hybridMultilevel"/>
    <w:tmpl w:val="32DEF9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73D17CD"/>
    <w:multiLevelType w:val="hybridMultilevel"/>
    <w:tmpl w:val="A9A0E31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8FF7F8A"/>
    <w:multiLevelType w:val="hybridMultilevel"/>
    <w:tmpl w:val="B51EDD16"/>
    <w:lvl w:ilvl="0" w:tplc="A54CFBB4">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00478D"/>
    <w:multiLevelType w:val="hybridMultilevel"/>
    <w:tmpl w:val="6830564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3" w15:restartNumberingAfterBreak="0">
    <w:nsid w:val="5D39190C"/>
    <w:multiLevelType w:val="hybridMultilevel"/>
    <w:tmpl w:val="7800FC5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280204C"/>
    <w:multiLevelType w:val="multilevel"/>
    <w:tmpl w:val="58DC75D0"/>
    <w:lvl w:ilvl="0">
      <w:start w:val="1"/>
      <w:numFmt w:val="decimal"/>
      <w:lvlText w:val="%1"/>
      <w:lvlJc w:val="left"/>
      <w:pPr>
        <w:ind w:left="720" w:hanging="720"/>
      </w:pPr>
      <w:rPr>
        <w:rFonts w:hint="default"/>
        <w:b/>
        <w:sz w:val="32"/>
        <w:szCs w:val="32"/>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14:glow w14:rad="0">
          <w14:srgbClr w14:val="000000"/>
        </w14:glow>
        <w14:scene3d>
          <w14:camera w14:prst="orthographicFront"/>
          <w14:lightRig w14:rig="threePt" w14:dir="t">
            <w14:rot w14:lat="0" w14:lon="0" w14:rev="0"/>
          </w14:lightRig>
        </w14:scene3d>
      </w:rPr>
    </w:lvl>
  </w:abstractNum>
  <w:abstractNum w:abstractNumId="25" w15:restartNumberingAfterBreak="0">
    <w:nsid w:val="62A110A6"/>
    <w:multiLevelType w:val="hybridMultilevel"/>
    <w:tmpl w:val="D6BA5C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46E195B"/>
    <w:multiLevelType w:val="hybridMultilevel"/>
    <w:tmpl w:val="66FA0E62"/>
    <w:lvl w:ilvl="0" w:tplc="4ACCC8F0">
      <w:numFmt w:val="decimal"/>
      <w:pStyle w:val="bullet"/>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7" w15:restartNumberingAfterBreak="0">
    <w:nsid w:val="6D6E5E7C"/>
    <w:multiLevelType w:val="hybridMultilevel"/>
    <w:tmpl w:val="FEDCFBFA"/>
    <w:lvl w:ilvl="0" w:tplc="FFFFFFFF">
      <w:numFmt w:val="decimal"/>
      <w:lvlText w:val=""/>
      <w:lvlJc w:val="left"/>
    </w:lvl>
    <w:lvl w:ilvl="1" w:tplc="0C090001">
      <w:start w:val="1"/>
      <w:numFmt w:val="bullet"/>
      <w:lvlText w:val=""/>
      <w:lvlJc w:val="left"/>
      <w:pPr>
        <w:ind w:left="108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D1022D"/>
    <w:multiLevelType w:val="hybridMultilevel"/>
    <w:tmpl w:val="43D6E600"/>
    <w:lvl w:ilvl="0" w:tplc="4964148E">
      <w:start w:val="1"/>
      <w:numFmt w:val="bullet"/>
      <w:lvlText w:val=""/>
      <w:lvlJc w:val="left"/>
      <w:pPr>
        <w:tabs>
          <w:tab w:val="num" w:pos="1440"/>
        </w:tabs>
        <w:ind w:left="1440" w:hanging="360"/>
      </w:pPr>
      <w:rPr>
        <w:rFonts w:ascii="Symbol" w:hAnsi="Symbol" w:hint="default"/>
      </w:rPr>
    </w:lvl>
    <w:lvl w:ilvl="1" w:tplc="099ABF72" w:tentative="1">
      <w:start w:val="1"/>
      <w:numFmt w:val="bullet"/>
      <w:lvlText w:val=""/>
      <w:lvlJc w:val="left"/>
      <w:pPr>
        <w:tabs>
          <w:tab w:val="num" w:pos="2160"/>
        </w:tabs>
        <w:ind w:left="2160" w:hanging="360"/>
      </w:pPr>
      <w:rPr>
        <w:rFonts w:ascii="Symbol" w:hAnsi="Symbol" w:hint="default"/>
      </w:rPr>
    </w:lvl>
    <w:lvl w:ilvl="2" w:tplc="F0A6D31A" w:tentative="1">
      <w:start w:val="1"/>
      <w:numFmt w:val="bullet"/>
      <w:lvlText w:val=""/>
      <w:lvlJc w:val="left"/>
      <w:pPr>
        <w:tabs>
          <w:tab w:val="num" w:pos="2880"/>
        </w:tabs>
        <w:ind w:left="2880" w:hanging="360"/>
      </w:pPr>
      <w:rPr>
        <w:rFonts w:ascii="Symbol" w:hAnsi="Symbol" w:hint="default"/>
      </w:rPr>
    </w:lvl>
    <w:lvl w:ilvl="3" w:tplc="4A8434CE" w:tentative="1">
      <w:start w:val="1"/>
      <w:numFmt w:val="bullet"/>
      <w:lvlText w:val=""/>
      <w:lvlJc w:val="left"/>
      <w:pPr>
        <w:tabs>
          <w:tab w:val="num" w:pos="3600"/>
        </w:tabs>
        <w:ind w:left="3600" w:hanging="360"/>
      </w:pPr>
      <w:rPr>
        <w:rFonts w:ascii="Symbol" w:hAnsi="Symbol" w:hint="default"/>
      </w:rPr>
    </w:lvl>
    <w:lvl w:ilvl="4" w:tplc="446AEE92" w:tentative="1">
      <w:start w:val="1"/>
      <w:numFmt w:val="bullet"/>
      <w:lvlText w:val=""/>
      <w:lvlJc w:val="left"/>
      <w:pPr>
        <w:tabs>
          <w:tab w:val="num" w:pos="4320"/>
        </w:tabs>
        <w:ind w:left="4320" w:hanging="360"/>
      </w:pPr>
      <w:rPr>
        <w:rFonts w:ascii="Symbol" w:hAnsi="Symbol" w:hint="default"/>
      </w:rPr>
    </w:lvl>
    <w:lvl w:ilvl="5" w:tplc="EDA69BF8" w:tentative="1">
      <w:start w:val="1"/>
      <w:numFmt w:val="bullet"/>
      <w:lvlText w:val=""/>
      <w:lvlJc w:val="left"/>
      <w:pPr>
        <w:tabs>
          <w:tab w:val="num" w:pos="5040"/>
        </w:tabs>
        <w:ind w:left="5040" w:hanging="360"/>
      </w:pPr>
      <w:rPr>
        <w:rFonts w:ascii="Symbol" w:hAnsi="Symbol" w:hint="default"/>
      </w:rPr>
    </w:lvl>
    <w:lvl w:ilvl="6" w:tplc="F822B658" w:tentative="1">
      <w:start w:val="1"/>
      <w:numFmt w:val="bullet"/>
      <w:lvlText w:val=""/>
      <w:lvlJc w:val="left"/>
      <w:pPr>
        <w:tabs>
          <w:tab w:val="num" w:pos="5760"/>
        </w:tabs>
        <w:ind w:left="5760" w:hanging="360"/>
      </w:pPr>
      <w:rPr>
        <w:rFonts w:ascii="Symbol" w:hAnsi="Symbol" w:hint="default"/>
      </w:rPr>
    </w:lvl>
    <w:lvl w:ilvl="7" w:tplc="CAE68BB2" w:tentative="1">
      <w:start w:val="1"/>
      <w:numFmt w:val="bullet"/>
      <w:lvlText w:val=""/>
      <w:lvlJc w:val="left"/>
      <w:pPr>
        <w:tabs>
          <w:tab w:val="num" w:pos="6480"/>
        </w:tabs>
        <w:ind w:left="6480" w:hanging="360"/>
      </w:pPr>
      <w:rPr>
        <w:rFonts w:ascii="Symbol" w:hAnsi="Symbol" w:hint="default"/>
      </w:rPr>
    </w:lvl>
    <w:lvl w:ilvl="8" w:tplc="D0EA529C" w:tentative="1">
      <w:start w:val="1"/>
      <w:numFmt w:val="bullet"/>
      <w:lvlText w:val=""/>
      <w:lvlJc w:val="left"/>
      <w:pPr>
        <w:tabs>
          <w:tab w:val="num" w:pos="7200"/>
        </w:tabs>
        <w:ind w:left="7200" w:hanging="360"/>
      </w:pPr>
      <w:rPr>
        <w:rFonts w:ascii="Symbol" w:hAnsi="Symbol" w:hint="default"/>
      </w:rPr>
    </w:lvl>
  </w:abstractNum>
  <w:abstractNum w:abstractNumId="29" w15:restartNumberingAfterBreak="0">
    <w:nsid w:val="76A026D0"/>
    <w:multiLevelType w:val="hybridMultilevel"/>
    <w:tmpl w:val="974A856E"/>
    <w:lvl w:ilvl="0" w:tplc="A99C61D2">
      <w:numFmt w:val="decimal"/>
      <w:pStyle w:val="BulletedText"/>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30" w15:restartNumberingAfterBreak="0">
    <w:nsid w:val="786D2E75"/>
    <w:multiLevelType w:val="hybridMultilevel"/>
    <w:tmpl w:val="02A48A6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0"/>
  </w:num>
  <w:num w:numId="4">
    <w:abstractNumId w:val="26"/>
  </w:num>
  <w:num w:numId="5">
    <w:abstractNumId w:val="17"/>
  </w:num>
  <w:num w:numId="6">
    <w:abstractNumId w:val="29"/>
  </w:num>
  <w:num w:numId="7">
    <w:abstractNumId w:val="5"/>
  </w:num>
  <w:num w:numId="8">
    <w:abstractNumId w:val="10"/>
  </w:num>
  <w:num w:numId="9">
    <w:abstractNumId w:val="9"/>
  </w:num>
  <w:num w:numId="10">
    <w:abstractNumId w:val="6"/>
  </w:num>
  <w:num w:numId="11">
    <w:abstractNumId w:val="12"/>
  </w:num>
  <w:num w:numId="12">
    <w:abstractNumId w:val="14"/>
  </w:num>
  <w:num w:numId="13">
    <w:abstractNumId w:val="3"/>
  </w:num>
  <w:num w:numId="14">
    <w:abstractNumId w:val="22"/>
  </w:num>
  <w:num w:numId="15">
    <w:abstractNumId w:val="2"/>
  </w:num>
  <w:num w:numId="16">
    <w:abstractNumId w:val="20"/>
  </w:num>
  <w:num w:numId="17">
    <w:abstractNumId w:val="7"/>
  </w:num>
  <w:num w:numId="18">
    <w:abstractNumId w:val="25"/>
  </w:num>
  <w:num w:numId="19">
    <w:abstractNumId w:val="8"/>
  </w:num>
  <w:num w:numId="20">
    <w:abstractNumId w:val="27"/>
  </w:num>
  <w:num w:numId="21">
    <w:abstractNumId w:val="19"/>
  </w:num>
  <w:num w:numId="22">
    <w:abstractNumId w:val="1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0"/>
  </w:num>
  <w:num w:numId="26">
    <w:abstractNumId w:val="2"/>
  </w:num>
  <w:num w:numId="27">
    <w:abstractNumId w:val="21"/>
  </w:num>
  <w:num w:numId="28">
    <w:abstractNumId w:val="24"/>
  </w:num>
  <w:num w:numId="29">
    <w:abstractNumId w:val="4"/>
  </w:num>
  <w:num w:numId="30">
    <w:abstractNumId w:val="28"/>
  </w:num>
  <w:num w:numId="31">
    <w:abstractNumId w:val="13"/>
  </w:num>
  <w:num w:numId="32">
    <w:abstractNumId w:val="1"/>
  </w:num>
  <w:num w:numId="33">
    <w:abstractNumId w:val="11"/>
  </w:num>
  <w:num w:numId="34">
    <w:abstractNumId w:val="2"/>
  </w:num>
  <w:num w:numId="35">
    <w:abstractNumId w:val="2"/>
  </w:num>
  <w:num w:numId="36">
    <w:abstractNumId w:val="16"/>
  </w:num>
  <w:num w:numId="37">
    <w:abstractNumId w:val="16"/>
  </w:num>
  <w:num w:numId="38">
    <w:abstractNumId w:val="16"/>
  </w:num>
  <w:num w:numId="39">
    <w:abstractNumId w:val="2"/>
  </w:num>
  <w:num w:numId="40">
    <w:abstractNumId w:val="2"/>
  </w:num>
  <w:num w:numId="41">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11"/>
    <w:rsid w:val="000004EF"/>
    <w:rsid w:val="0000070F"/>
    <w:rsid w:val="00001074"/>
    <w:rsid w:val="000012BF"/>
    <w:rsid w:val="0000154F"/>
    <w:rsid w:val="000018B7"/>
    <w:rsid w:val="00001DA2"/>
    <w:rsid w:val="00001ED4"/>
    <w:rsid w:val="000021D6"/>
    <w:rsid w:val="000025CB"/>
    <w:rsid w:val="0000339C"/>
    <w:rsid w:val="00003673"/>
    <w:rsid w:val="00003C12"/>
    <w:rsid w:val="000044AF"/>
    <w:rsid w:val="00004A18"/>
    <w:rsid w:val="00006278"/>
    <w:rsid w:val="00006FA2"/>
    <w:rsid w:val="00007215"/>
    <w:rsid w:val="000109BC"/>
    <w:rsid w:val="00010A82"/>
    <w:rsid w:val="00011CD3"/>
    <w:rsid w:val="00011EB3"/>
    <w:rsid w:val="0001245B"/>
    <w:rsid w:val="00012665"/>
    <w:rsid w:val="00012F75"/>
    <w:rsid w:val="0001321D"/>
    <w:rsid w:val="00013CD4"/>
    <w:rsid w:val="00014A9F"/>
    <w:rsid w:val="00014BB6"/>
    <w:rsid w:val="000171FA"/>
    <w:rsid w:val="000179FB"/>
    <w:rsid w:val="00020511"/>
    <w:rsid w:val="00020C06"/>
    <w:rsid w:val="00020ECE"/>
    <w:rsid w:val="000216BA"/>
    <w:rsid w:val="00021827"/>
    <w:rsid w:val="0002251B"/>
    <w:rsid w:val="00023FBE"/>
    <w:rsid w:val="000250EF"/>
    <w:rsid w:val="000264C3"/>
    <w:rsid w:val="000266AB"/>
    <w:rsid w:val="000268D5"/>
    <w:rsid w:val="00026A5B"/>
    <w:rsid w:val="00027AD8"/>
    <w:rsid w:val="00027CA0"/>
    <w:rsid w:val="00027CA9"/>
    <w:rsid w:val="00031906"/>
    <w:rsid w:val="00032FA3"/>
    <w:rsid w:val="00033AE6"/>
    <w:rsid w:val="00033DC8"/>
    <w:rsid w:val="0003570C"/>
    <w:rsid w:val="00036519"/>
    <w:rsid w:val="00036A10"/>
    <w:rsid w:val="00036C51"/>
    <w:rsid w:val="00036CA3"/>
    <w:rsid w:val="00037CDC"/>
    <w:rsid w:val="000402A9"/>
    <w:rsid w:val="000406F1"/>
    <w:rsid w:val="000407DA"/>
    <w:rsid w:val="00041670"/>
    <w:rsid w:val="00042101"/>
    <w:rsid w:val="00042667"/>
    <w:rsid w:val="0004289F"/>
    <w:rsid w:val="000436E6"/>
    <w:rsid w:val="0004441A"/>
    <w:rsid w:val="00044466"/>
    <w:rsid w:val="00044475"/>
    <w:rsid w:val="00044EF2"/>
    <w:rsid w:val="00046AD0"/>
    <w:rsid w:val="00046DC4"/>
    <w:rsid w:val="0004703D"/>
    <w:rsid w:val="000471D5"/>
    <w:rsid w:val="0005016C"/>
    <w:rsid w:val="00051999"/>
    <w:rsid w:val="0005244A"/>
    <w:rsid w:val="00052730"/>
    <w:rsid w:val="00053789"/>
    <w:rsid w:val="00053845"/>
    <w:rsid w:val="00053A5B"/>
    <w:rsid w:val="000545D3"/>
    <w:rsid w:val="0005493C"/>
    <w:rsid w:val="00054BF6"/>
    <w:rsid w:val="00054F90"/>
    <w:rsid w:val="0005630B"/>
    <w:rsid w:val="000575CF"/>
    <w:rsid w:val="00061211"/>
    <w:rsid w:val="0006128E"/>
    <w:rsid w:val="00062279"/>
    <w:rsid w:val="00063796"/>
    <w:rsid w:val="00064C1B"/>
    <w:rsid w:val="00064D11"/>
    <w:rsid w:val="000657F7"/>
    <w:rsid w:val="0006615A"/>
    <w:rsid w:val="000663BF"/>
    <w:rsid w:val="00066900"/>
    <w:rsid w:val="00070185"/>
    <w:rsid w:val="000702A4"/>
    <w:rsid w:val="00070600"/>
    <w:rsid w:val="00070ABE"/>
    <w:rsid w:val="00070DDC"/>
    <w:rsid w:val="0007106A"/>
    <w:rsid w:val="00071793"/>
    <w:rsid w:val="00072426"/>
    <w:rsid w:val="000725C3"/>
    <w:rsid w:val="00072DFD"/>
    <w:rsid w:val="000746AB"/>
    <w:rsid w:val="0007521D"/>
    <w:rsid w:val="00076AD4"/>
    <w:rsid w:val="00077E8B"/>
    <w:rsid w:val="00077EB4"/>
    <w:rsid w:val="000801D9"/>
    <w:rsid w:val="00080D82"/>
    <w:rsid w:val="0008283E"/>
    <w:rsid w:val="000829DC"/>
    <w:rsid w:val="0008327A"/>
    <w:rsid w:val="00083793"/>
    <w:rsid w:val="00083F5D"/>
    <w:rsid w:val="00084079"/>
    <w:rsid w:val="00085C60"/>
    <w:rsid w:val="00086259"/>
    <w:rsid w:val="000872F6"/>
    <w:rsid w:val="00090044"/>
    <w:rsid w:val="00090F34"/>
    <w:rsid w:val="0009210D"/>
    <w:rsid w:val="00093346"/>
    <w:rsid w:val="000937AF"/>
    <w:rsid w:val="00093919"/>
    <w:rsid w:val="00093A6A"/>
    <w:rsid w:val="000967A0"/>
    <w:rsid w:val="00096F9E"/>
    <w:rsid w:val="000971BD"/>
    <w:rsid w:val="0009742A"/>
    <w:rsid w:val="00097722"/>
    <w:rsid w:val="000979CE"/>
    <w:rsid w:val="00097ABA"/>
    <w:rsid w:val="000A0569"/>
    <w:rsid w:val="000A0B3B"/>
    <w:rsid w:val="000A20D9"/>
    <w:rsid w:val="000A29BE"/>
    <w:rsid w:val="000A29CD"/>
    <w:rsid w:val="000A4655"/>
    <w:rsid w:val="000A6D2E"/>
    <w:rsid w:val="000B066E"/>
    <w:rsid w:val="000B0E39"/>
    <w:rsid w:val="000B1C50"/>
    <w:rsid w:val="000B1C81"/>
    <w:rsid w:val="000B1E69"/>
    <w:rsid w:val="000B1F48"/>
    <w:rsid w:val="000B20EC"/>
    <w:rsid w:val="000B334E"/>
    <w:rsid w:val="000B41B9"/>
    <w:rsid w:val="000B500F"/>
    <w:rsid w:val="000B6285"/>
    <w:rsid w:val="000B694F"/>
    <w:rsid w:val="000B7352"/>
    <w:rsid w:val="000C01E0"/>
    <w:rsid w:val="000C0D19"/>
    <w:rsid w:val="000C1407"/>
    <w:rsid w:val="000C1568"/>
    <w:rsid w:val="000C165F"/>
    <w:rsid w:val="000C168D"/>
    <w:rsid w:val="000C1A42"/>
    <w:rsid w:val="000C3B30"/>
    <w:rsid w:val="000C3F7F"/>
    <w:rsid w:val="000C41D0"/>
    <w:rsid w:val="000C4D25"/>
    <w:rsid w:val="000C63F4"/>
    <w:rsid w:val="000D2568"/>
    <w:rsid w:val="000D258C"/>
    <w:rsid w:val="000D417B"/>
    <w:rsid w:val="000D48E9"/>
    <w:rsid w:val="000D49F0"/>
    <w:rsid w:val="000D62BD"/>
    <w:rsid w:val="000D6E0B"/>
    <w:rsid w:val="000D6E85"/>
    <w:rsid w:val="000E0F84"/>
    <w:rsid w:val="000E17B1"/>
    <w:rsid w:val="000E2773"/>
    <w:rsid w:val="000E384E"/>
    <w:rsid w:val="000E3BE0"/>
    <w:rsid w:val="000E407A"/>
    <w:rsid w:val="000E483B"/>
    <w:rsid w:val="000E4869"/>
    <w:rsid w:val="000E652B"/>
    <w:rsid w:val="000E6B10"/>
    <w:rsid w:val="000E7C43"/>
    <w:rsid w:val="000E7F88"/>
    <w:rsid w:val="000F0441"/>
    <w:rsid w:val="000F07DB"/>
    <w:rsid w:val="000F07E7"/>
    <w:rsid w:val="000F0880"/>
    <w:rsid w:val="000F17F9"/>
    <w:rsid w:val="000F1B86"/>
    <w:rsid w:val="000F3E20"/>
    <w:rsid w:val="001003C6"/>
    <w:rsid w:val="00102D05"/>
    <w:rsid w:val="00102D92"/>
    <w:rsid w:val="00103CC3"/>
    <w:rsid w:val="001060AD"/>
    <w:rsid w:val="00107125"/>
    <w:rsid w:val="00107219"/>
    <w:rsid w:val="0010748F"/>
    <w:rsid w:val="00110658"/>
    <w:rsid w:val="00110B02"/>
    <w:rsid w:val="00110D4D"/>
    <w:rsid w:val="001112B9"/>
    <w:rsid w:val="001127E1"/>
    <w:rsid w:val="00112878"/>
    <w:rsid w:val="0011293D"/>
    <w:rsid w:val="00112B11"/>
    <w:rsid w:val="00112DFA"/>
    <w:rsid w:val="00113024"/>
    <w:rsid w:val="001133C3"/>
    <w:rsid w:val="00113B9E"/>
    <w:rsid w:val="00113EF5"/>
    <w:rsid w:val="00117BF0"/>
    <w:rsid w:val="00120585"/>
    <w:rsid w:val="00121952"/>
    <w:rsid w:val="00123038"/>
    <w:rsid w:val="00123377"/>
    <w:rsid w:val="00123982"/>
    <w:rsid w:val="00123C77"/>
    <w:rsid w:val="00123E7F"/>
    <w:rsid w:val="00124201"/>
    <w:rsid w:val="00126444"/>
    <w:rsid w:val="00126602"/>
    <w:rsid w:val="001270B8"/>
    <w:rsid w:val="00127429"/>
    <w:rsid w:val="00127C74"/>
    <w:rsid w:val="00130514"/>
    <w:rsid w:val="00130CE2"/>
    <w:rsid w:val="001312CD"/>
    <w:rsid w:val="001317E2"/>
    <w:rsid w:val="00131917"/>
    <w:rsid w:val="00131DBF"/>
    <w:rsid w:val="001328EF"/>
    <w:rsid w:val="00134D9D"/>
    <w:rsid w:val="001350D7"/>
    <w:rsid w:val="0013513D"/>
    <w:rsid w:val="00135CF7"/>
    <w:rsid w:val="0013604E"/>
    <w:rsid w:val="0013653A"/>
    <w:rsid w:val="00137984"/>
    <w:rsid w:val="0014029C"/>
    <w:rsid w:val="00140ACA"/>
    <w:rsid w:val="00140CB1"/>
    <w:rsid w:val="00141118"/>
    <w:rsid w:val="00141FF0"/>
    <w:rsid w:val="001448C0"/>
    <w:rsid w:val="00144A0C"/>
    <w:rsid w:val="0014724E"/>
    <w:rsid w:val="00147573"/>
    <w:rsid w:val="00147901"/>
    <w:rsid w:val="00147CDB"/>
    <w:rsid w:val="001504E7"/>
    <w:rsid w:val="001508E8"/>
    <w:rsid w:val="001511CA"/>
    <w:rsid w:val="00153CDA"/>
    <w:rsid w:val="001542D9"/>
    <w:rsid w:val="0015465F"/>
    <w:rsid w:val="00154C55"/>
    <w:rsid w:val="00156CD0"/>
    <w:rsid w:val="0015787D"/>
    <w:rsid w:val="001611C9"/>
    <w:rsid w:val="00161D89"/>
    <w:rsid w:val="00161FA6"/>
    <w:rsid w:val="001625B9"/>
    <w:rsid w:val="00162893"/>
    <w:rsid w:val="00163176"/>
    <w:rsid w:val="0016324A"/>
    <w:rsid w:val="001633FB"/>
    <w:rsid w:val="001639D5"/>
    <w:rsid w:val="00163B31"/>
    <w:rsid w:val="0016441B"/>
    <w:rsid w:val="001646ED"/>
    <w:rsid w:val="00164E14"/>
    <w:rsid w:val="00164F26"/>
    <w:rsid w:val="0016501B"/>
    <w:rsid w:val="0016597D"/>
    <w:rsid w:val="001676D7"/>
    <w:rsid w:val="0017012A"/>
    <w:rsid w:val="001705CF"/>
    <w:rsid w:val="00171197"/>
    <w:rsid w:val="0017148F"/>
    <w:rsid w:val="00171596"/>
    <w:rsid w:val="00171E14"/>
    <w:rsid w:val="00172221"/>
    <w:rsid w:val="00172581"/>
    <w:rsid w:val="00172A31"/>
    <w:rsid w:val="001738AB"/>
    <w:rsid w:val="00174A4B"/>
    <w:rsid w:val="00174BAE"/>
    <w:rsid w:val="00174C7C"/>
    <w:rsid w:val="00175DAD"/>
    <w:rsid w:val="0017657B"/>
    <w:rsid w:val="0017669B"/>
    <w:rsid w:val="00176A6E"/>
    <w:rsid w:val="00176DBD"/>
    <w:rsid w:val="0017713F"/>
    <w:rsid w:val="00177511"/>
    <w:rsid w:val="001802E9"/>
    <w:rsid w:val="00180ACE"/>
    <w:rsid w:val="0018103B"/>
    <w:rsid w:val="0018195E"/>
    <w:rsid w:val="00181AAA"/>
    <w:rsid w:val="00181D54"/>
    <w:rsid w:val="00182317"/>
    <w:rsid w:val="00182DFB"/>
    <w:rsid w:val="0018361C"/>
    <w:rsid w:val="00186CF1"/>
    <w:rsid w:val="001906A7"/>
    <w:rsid w:val="001919F1"/>
    <w:rsid w:val="00191E83"/>
    <w:rsid w:val="00191F86"/>
    <w:rsid w:val="001923C5"/>
    <w:rsid w:val="001927E6"/>
    <w:rsid w:val="00192FEA"/>
    <w:rsid w:val="0019320F"/>
    <w:rsid w:val="001938B0"/>
    <w:rsid w:val="00194A64"/>
    <w:rsid w:val="00195A64"/>
    <w:rsid w:val="001962C4"/>
    <w:rsid w:val="001965C7"/>
    <w:rsid w:val="00196F82"/>
    <w:rsid w:val="00197181"/>
    <w:rsid w:val="001974DE"/>
    <w:rsid w:val="001A0AEC"/>
    <w:rsid w:val="001A0B36"/>
    <w:rsid w:val="001A0B75"/>
    <w:rsid w:val="001A112C"/>
    <w:rsid w:val="001A1656"/>
    <w:rsid w:val="001A3A43"/>
    <w:rsid w:val="001A4AC5"/>
    <w:rsid w:val="001A532C"/>
    <w:rsid w:val="001A5366"/>
    <w:rsid w:val="001A619C"/>
    <w:rsid w:val="001AC739"/>
    <w:rsid w:val="001B040E"/>
    <w:rsid w:val="001B196F"/>
    <w:rsid w:val="001B21A7"/>
    <w:rsid w:val="001B28F3"/>
    <w:rsid w:val="001B2EEB"/>
    <w:rsid w:val="001B3534"/>
    <w:rsid w:val="001B3811"/>
    <w:rsid w:val="001B3B8D"/>
    <w:rsid w:val="001B3EF2"/>
    <w:rsid w:val="001B3F50"/>
    <w:rsid w:val="001B41C4"/>
    <w:rsid w:val="001B4AEF"/>
    <w:rsid w:val="001B4CAF"/>
    <w:rsid w:val="001B6762"/>
    <w:rsid w:val="001B70A5"/>
    <w:rsid w:val="001B7542"/>
    <w:rsid w:val="001C0EAB"/>
    <w:rsid w:val="001C209B"/>
    <w:rsid w:val="001C350F"/>
    <w:rsid w:val="001C3E4C"/>
    <w:rsid w:val="001C47DF"/>
    <w:rsid w:val="001C4E4D"/>
    <w:rsid w:val="001C57A3"/>
    <w:rsid w:val="001C794F"/>
    <w:rsid w:val="001D19A0"/>
    <w:rsid w:val="001D1F4B"/>
    <w:rsid w:val="001D29C5"/>
    <w:rsid w:val="001D359F"/>
    <w:rsid w:val="001D46CC"/>
    <w:rsid w:val="001D4C6C"/>
    <w:rsid w:val="001D500C"/>
    <w:rsid w:val="001D5187"/>
    <w:rsid w:val="001D6C09"/>
    <w:rsid w:val="001D6E21"/>
    <w:rsid w:val="001E08B7"/>
    <w:rsid w:val="001E13A7"/>
    <w:rsid w:val="001E16C7"/>
    <w:rsid w:val="001E19D2"/>
    <w:rsid w:val="001E2167"/>
    <w:rsid w:val="001E2D56"/>
    <w:rsid w:val="001E334B"/>
    <w:rsid w:val="001E3AB4"/>
    <w:rsid w:val="001E4C95"/>
    <w:rsid w:val="001E6082"/>
    <w:rsid w:val="001E63E2"/>
    <w:rsid w:val="001E6FF1"/>
    <w:rsid w:val="001F0326"/>
    <w:rsid w:val="001F0C32"/>
    <w:rsid w:val="001F10BF"/>
    <w:rsid w:val="001F24ED"/>
    <w:rsid w:val="001F3378"/>
    <w:rsid w:val="001F3557"/>
    <w:rsid w:val="001F3575"/>
    <w:rsid w:val="001F48C8"/>
    <w:rsid w:val="001F4FB3"/>
    <w:rsid w:val="001F5875"/>
    <w:rsid w:val="001F5E22"/>
    <w:rsid w:val="001F74EA"/>
    <w:rsid w:val="00200A3A"/>
    <w:rsid w:val="0020429D"/>
    <w:rsid w:val="00204397"/>
    <w:rsid w:val="00204949"/>
    <w:rsid w:val="002058EB"/>
    <w:rsid w:val="0020657E"/>
    <w:rsid w:val="00206B40"/>
    <w:rsid w:val="00206B46"/>
    <w:rsid w:val="00206D3A"/>
    <w:rsid w:val="00206D6A"/>
    <w:rsid w:val="002072DA"/>
    <w:rsid w:val="00207623"/>
    <w:rsid w:val="0021011B"/>
    <w:rsid w:val="00211B1F"/>
    <w:rsid w:val="00212B1E"/>
    <w:rsid w:val="00212C07"/>
    <w:rsid w:val="00212D37"/>
    <w:rsid w:val="00214272"/>
    <w:rsid w:val="00216344"/>
    <w:rsid w:val="002168CB"/>
    <w:rsid w:val="00216C8E"/>
    <w:rsid w:val="00217CAC"/>
    <w:rsid w:val="002214E9"/>
    <w:rsid w:val="0022153A"/>
    <w:rsid w:val="002215F0"/>
    <w:rsid w:val="002217D6"/>
    <w:rsid w:val="00221AE8"/>
    <w:rsid w:val="00221DAC"/>
    <w:rsid w:val="00222098"/>
    <w:rsid w:val="00222CE7"/>
    <w:rsid w:val="00222F89"/>
    <w:rsid w:val="0022397E"/>
    <w:rsid w:val="00224B42"/>
    <w:rsid w:val="002251E1"/>
    <w:rsid w:val="002268FF"/>
    <w:rsid w:val="00227023"/>
    <w:rsid w:val="00227608"/>
    <w:rsid w:val="00227C8B"/>
    <w:rsid w:val="0023006F"/>
    <w:rsid w:val="0023121F"/>
    <w:rsid w:val="00231276"/>
    <w:rsid w:val="00231E76"/>
    <w:rsid w:val="00231FDB"/>
    <w:rsid w:val="0023269E"/>
    <w:rsid w:val="00233FFA"/>
    <w:rsid w:val="00234B86"/>
    <w:rsid w:val="00234E26"/>
    <w:rsid w:val="00236199"/>
    <w:rsid w:val="00236223"/>
    <w:rsid w:val="002363FD"/>
    <w:rsid w:val="00240C8D"/>
    <w:rsid w:val="00240F92"/>
    <w:rsid w:val="00241222"/>
    <w:rsid w:val="002417F4"/>
    <w:rsid w:val="0024210B"/>
    <w:rsid w:val="002424AB"/>
    <w:rsid w:val="00242A11"/>
    <w:rsid w:val="00242B9F"/>
    <w:rsid w:val="00242D1B"/>
    <w:rsid w:val="00245244"/>
    <w:rsid w:val="00245715"/>
    <w:rsid w:val="00245D27"/>
    <w:rsid w:val="00246611"/>
    <w:rsid w:val="00246C6D"/>
    <w:rsid w:val="00246FD9"/>
    <w:rsid w:val="0024730F"/>
    <w:rsid w:val="00250837"/>
    <w:rsid w:val="002514DE"/>
    <w:rsid w:val="00251857"/>
    <w:rsid w:val="002519B1"/>
    <w:rsid w:val="0025499F"/>
    <w:rsid w:val="00255526"/>
    <w:rsid w:val="00255972"/>
    <w:rsid w:val="00257019"/>
    <w:rsid w:val="002574F3"/>
    <w:rsid w:val="00261C02"/>
    <w:rsid w:val="002620E6"/>
    <w:rsid w:val="0026326A"/>
    <w:rsid w:val="0026346A"/>
    <w:rsid w:val="00263ABD"/>
    <w:rsid w:val="002643F9"/>
    <w:rsid w:val="0026609B"/>
    <w:rsid w:val="002661BF"/>
    <w:rsid w:val="0026682F"/>
    <w:rsid w:val="00266DB2"/>
    <w:rsid w:val="00267B82"/>
    <w:rsid w:val="002703F9"/>
    <w:rsid w:val="00270816"/>
    <w:rsid w:val="00270BE1"/>
    <w:rsid w:val="00270D1A"/>
    <w:rsid w:val="002711A4"/>
    <w:rsid w:val="00271727"/>
    <w:rsid w:val="00272133"/>
    <w:rsid w:val="002723CC"/>
    <w:rsid w:val="00272C73"/>
    <w:rsid w:val="002730A8"/>
    <w:rsid w:val="0027321C"/>
    <w:rsid w:val="00274000"/>
    <w:rsid w:val="00274627"/>
    <w:rsid w:val="00274C74"/>
    <w:rsid w:val="00275FED"/>
    <w:rsid w:val="00277314"/>
    <w:rsid w:val="0027776F"/>
    <w:rsid w:val="002809B6"/>
    <w:rsid w:val="00281106"/>
    <w:rsid w:val="00281921"/>
    <w:rsid w:val="00282DEC"/>
    <w:rsid w:val="00282E77"/>
    <w:rsid w:val="002838A4"/>
    <w:rsid w:val="00284286"/>
    <w:rsid w:val="00284C98"/>
    <w:rsid w:val="00286D39"/>
    <w:rsid w:val="00286D88"/>
    <w:rsid w:val="0028772C"/>
    <w:rsid w:val="00294670"/>
    <w:rsid w:val="00294B6D"/>
    <w:rsid w:val="002954D2"/>
    <w:rsid w:val="00295869"/>
    <w:rsid w:val="00297039"/>
    <w:rsid w:val="002A0256"/>
    <w:rsid w:val="002A02E0"/>
    <w:rsid w:val="002A117F"/>
    <w:rsid w:val="002A1BC9"/>
    <w:rsid w:val="002A22AD"/>
    <w:rsid w:val="002A29D9"/>
    <w:rsid w:val="002A4D92"/>
    <w:rsid w:val="002A5787"/>
    <w:rsid w:val="002A6B5C"/>
    <w:rsid w:val="002A6ED9"/>
    <w:rsid w:val="002A6F24"/>
    <w:rsid w:val="002A6F95"/>
    <w:rsid w:val="002A7C0D"/>
    <w:rsid w:val="002B05BE"/>
    <w:rsid w:val="002B13DF"/>
    <w:rsid w:val="002B2524"/>
    <w:rsid w:val="002B2B02"/>
    <w:rsid w:val="002B42A6"/>
    <w:rsid w:val="002B43B5"/>
    <w:rsid w:val="002B5568"/>
    <w:rsid w:val="002B5E81"/>
    <w:rsid w:val="002B5F76"/>
    <w:rsid w:val="002B6644"/>
    <w:rsid w:val="002C0D13"/>
    <w:rsid w:val="002C0DC7"/>
    <w:rsid w:val="002C1F8B"/>
    <w:rsid w:val="002C246B"/>
    <w:rsid w:val="002C3665"/>
    <w:rsid w:val="002C39AB"/>
    <w:rsid w:val="002C446C"/>
    <w:rsid w:val="002C5382"/>
    <w:rsid w:val="002C66EE"/>
    <w:rsid w:val="002C6DD8"/>
    <w:rsid w:val="002D0572"/>
    <w:rsid w:val="002D0E19"/>
    <w:rsid w:val="002D0FE3"/>
    <w:rsid w:val="002D14FC"/>
    <w:rsid w:val="002D1BF0"/>
    <w:rsid w:val="002D24D3"/>
    <w:rsid w:val="002D26F4"/>
    <w:rsid w:val="002D319C"/>
    <w:rsid w:val="002D31B2"/>
    <w:rsid w:val="002D354A"/>
    <w:rsid w:val="002D3BA1"/>
    <w:rsid w:val="002D3E58"/>
    <w:rsid w:val="002D5755"/>
    <w:rsid w:val="002D57B3"/>
    <w:rsid w:val="002D598C"/>
    <w:rsid w:val="002D59B5"/>
    <w:rsid w:val="002D68BE"/>
    <w:rsid w:val="002D7E51"/>
    <w:rsid w:val="002E1936"/>
    <w:rsid w:val="002E1998"/>
    <w:rsid w:val="002E1F78"/>
    <w:rsid w:val="002E1FF8"/>
    <w:rsid w:val="002E2744"/>
    <w:rsid w:val="002E28DB"/>
    <w:rsid w:val="002E2DD0"/>
    <w:rsid w:val="002E3114"/>
    <w:rsid w:val="002E3480"/>
    <w:rsid w:val="002E3743"/>
    <w:rsid w:val="002E5049"/>
    <w:rsid w:val="002E5C6E"/>
    <w:rsid w:val="002E5DA9"/>
    <w:rsid w:val="002E5E1D"/>
    <w:rsid w:val="002E6C35"/>
    <w:rsid w:val="002E6CDC"/>
    <w:rsid w:val="002E7AE6"/>
    <w:rsid w:val="002E7FFC"/>
    <w:rsid w:val="002F196F"/>
    <w:rsid w:val="002F1EB9"/>
    <w:rsid w:val="002F2079"/>
    <w:rsid w:val="002F219F"/>
    <w:rsid w:val="002F2385"/>
    <w:rsid w:val="002F2934"/>
    <w:rsid w:val="002F2A83"/>
    <w:rsid w:val="002F2ACF"/>
    <w:rsid w:val="002F2B21"/>
    <w:rsid w:val="002F3D81"/>
    <w:rsid w:val="002F5722"/>
    <w:rsid w:val="002F58B3"/>
    <w:rsid w:val="002F645F"/>
    <w:rsid w:val="00300CDD"/>
    <w:rsid w:val="0030150B"/>
    <w:rsid w:val="0030211C"/>
    <w:rsid w:val="003022F5"/>
    <w:rsid w:val="00302792"/>
    <w:rsid w:val="00302E59"/>
    <w:rsid w:val="00303578"/>
    <w:rsid w:val="0030383C"/>
    <w:rsid w:val="00303AC3"/>
    <w:rsid w:val="00303E6B"/>
    <w:rsid w:val="00304725"/>
    <w:rsid w:val="0030695B"/>
    <w:rsid w:val="00311C9E"/>
    <w:rsid w:val="00311E47"/>
    <w:rsid w:val="00312AB1"/>
    <w:rsid w:val="00312C7C"/>
    <w:rsid w:val="0031313F"/>
    <w:rsid w:val="003133E1"/>
    <w:rsid w:val="003134D2"/>
    <w:rsid w:val="00313676"/>
    <w:rsid w:val="00313A1E"/>
    <w:rsid w:val="00313AF9"/>
    <w:rsid w:val="00313E31"/>
    <w:rsid w:val="00313F50"/>
    <w:rsid w:val="00314814"/>
    <w:rsid w:val="00315193"/>
    <w:rsid w:val="0031537E"/>
    <w:rsid w:val="00315C38"/>
    <w:rsid w:val="00316044"/>
    <w:rsid w:val="00317751"/>
    <w:rsid w:val="00317E7C"/>
    <w:rsid w:val="00321106"/>
    <w:rsid w:val="00321731"/>
    <w:rsid w:val="00321867"/>
    <w:rsid w:val="00321BB7"/>
    <w:rsid w:val="00321E3E"/>
    <w:rsid w:val="0032245A"/>
    <w:rsid w:val="00322DEB"/>
    <w:rsid w:val="00322E68"/>
    <w:rsid w:val="0032371B"/>
    <w:rsid w:val="0032398E"/>
    <w:rsid w:val="00324EC6"/>
    <w:rsid w:val="003259DA"/>
    <w:rsid w:val="00325BE9"/>
    <w:rsid w:val="00326486"/>
    <w:rsid w:val="00327AD0"/>
    <w:rsid w:val="00330FD0"/>
    <w:rsid w:val="003310AE"/>
    <w:rsid w:val="003318D5"/>
    <w:rsid w:val="003320B3"/>
    <w:rsid w:val="0033240D"/>
    <w:rsid w:val="003326FC"/>
    <w:rsid w:val="00332786"/>
    <w:rsid w:val="0033361D"/>
    <w:rsid w:val="0033440D"/>
    <w:rsid w:val="00334612"/>
    <w:rsid w:val="00334799"/>
    <w:rsid w:val="00335F99"/>
    <w:rsid w:val="003370DA"/>
    <w:rsid w:val="00337246"/>
    <w:rsid w:val="003376F7"/>
    <w:rsid w:val="003401EA"/>
    <w:rsid w:val="003420C0"/>
    <w:rsid w:val="0034321A"/>
    <w:rsid w:val="00343AC0"/>
    <w:rsid w:val="003465D4"/>
    <w:rsid w:val="0034665B"/>
    <w:rsid w:val="0034677C"/>
    <w:rsid w:val="0035265A"/>
    <w:rsid w:val="00352703"/>
    <w:rsid w:val="003542C3"/>
    <w:rsid w:val="00354748"/>
    <w:rsid w:val="00354D5A"/>
    <w:rsid w:val="00355A33"/>
    <w:rsid w:val="00355B45"/>
    <w:rsid w:val="00356C27"/>
    <w:rsid w:val="00356EE9"/>
    <w:rsid w:val="00357639"/>
    <w:rsid w:val="003602F8"/>
    <w:rsid w:val="00360CA0"/>
    <w:rsid w:val="003614B7"/>
    <w:rsid w:val="00361B8F"/>
    <w:rsid w:val="0036238A"/>
    <w:rsid w:val="00362713"/>
    <w:rsid w:val="00363E2C"/>
    <w:rsid w:val="0036662A"/>
    <w:rsid w:val="003707D2"/>
    <w:rsid w:val="00370EFD"/>
    <w:rsid w:val="00372616"/>
    <w:rsid w:val="003726A1"/>
    <w:rsid w:val="00372A16"/>
    <w:rsid w:val="00372E21"/>
    <w:rsid w:val="0037351A"/>
    <w:rsid w:val="00373E11"/>
    <w:rsid w:val="00374200"/>
    <w:rsid w:val="003742F6"/>
    <w:rsid w:val="00374B43"/>
    <w:rsid w:val="00375822"/>
    <w:rsid w:val="003762F3"/>
    <w:rsid w:val="003776D7"/>
    <w:rsid w:val="00377C2F"/>
    <w:rsid w:val="00380A77"/>
    <w:rsid w:val="00381229"/>
    <w:rsid w:val="003818B4"/>
    <w:rsid w:val="00383C3B"/>
    <w:rsid w:val="003841B9"/>
    <w:rsid w:val="00384279"/>
    <w:rsid w:val="0038452E"/>
    <w:rsid w:val="00384F4A"/>
    <w:rsid w:val="0038711A"/>
    <w:rsid w:val="003904EF"/>
    <w:rsid w:val="00390DAD"/>
    <w:rsid w:val="00390F00"/>
    <w:rsid w:val="00391ED7"/>
    <w:rsid w:val="003921B4"/>
    <w:rsid w:val="0039228A"/>
    <w:rsid w:val="0039324F"/>
    <w:rsid w:val="00393467"/>
    <w:rsid w:val="00393C8F"/>
    <w:rsid w:val="00394FA1"/>
    <w:rsid w:val="0039632A"/>
    <w:rsid w:val="00396769"/>
    <w:rsid w:val="00397295"/>
    <w:rsid w:val="003973CF"/>
    <w:rsid w:val="00397506"/>
    <w:rsid w:val="003979CD"/>
    <w:rsid w:val="00397B6A"/>
    <w:rsid w:val="003A13F1"/>
    <w:rsid w:val="003A1407"/>
    <w:rsid w:val="003A1757"/>
    <w:rsid w:val="003A23D6"/>
    <w:rsid w:val="003A247F"/>
    <w:rsid w:val="003A2776"/>
    <w:rsid w:val="003A2873"/>
    <w:rsid w:val="003A36BB"/>
    <w:rsid w:val="003A38EA"/>
    <w:rsid w:val="003A3D9F"/>
    <w:rsid w:val="003A4017"/>
    <w:rsid w:val="003A52FC"/>
    <w:rsid w:val="003A566B"/>
    <w:rsid w:val="003A76C2"/>
    <w:rsid w:val="003A7E50"/>
    <w:rsid w:val="003B0F7D"/>
    <w:rsid w:val="003B17E7"/>
    <w:rsid w:val="003B21F3"/>
    <w:rsid w:val="003B27D8"/>
    <w:rsid w:val="003B3C2F"/>
    <w:rsid w:val="003B46FA"/>
    <w:rsid w:val="003B522F"/>
    <w:rsid w:val="003B5781"/>
    <w:rsid w:val="003B59C1"/>
    <w:rsid w:val="003B6871"/>
    <w:rsid w:val="003B715B"/>
    <w:rsid w:val="003B7993"/>
    <w:rsid w:val="003B7A58"/>
    <w:rsid w:val="003C1959"/>
    <w:rsid w:val="003C2998"/>
    <w:rsid w:val="003C37AE"/>
    <w:rsid w:val="003C39FF"/>
    <w:rsid w:val="003C447C"/>
    <w:rsid w:val="003C6926"/>
    <w:rsid w:val="003C70E2"/>
    <w:rsid w:val="003C7D52"/>
    <w:rsid w:val="003D0975"/>
    <w:rsid w:val="003D118C"/>
    <w:rsid w:val="003D174A"/>
    <w:rsid w:val="003D213F"/>
    <w:rsid w:val="003D3BB4"/>
    <w:rsid w:val="003D4170"/>
    <w:rsid w:val="003D6FD4"/>
    <w:rsid w:val="003E0654"/>
    <w:rsid w:val="003E1203"/>
    <w:rsid w:val="003E152D"/>
    <w:rsid w:val="003E1C08"/>
    <w:rsid w:val="003E20AA"/>
    <w:rsid w:val="003E25BC"/>
    <w:rsid w:val="003E28AC"/>
    <w:rsid w:val="003E2970"/>
    <w:rsid w:val="003E2C28"/>
    <w:rsid w:val="003E47BD"/>
    <w:rsid w:val="003E54E0"/>
    <w:rsid w:val="003E5619"/>
    <w:rsid w:val="003E662D"/>
    <w:rsid w:val="003E7237"/>
    <w:rsid w:val="003EF813"/>
    <w:rsid w:val="003F14B7"/>
    <w:rsid w:val="003F3FFF"/>
    <w:rsid w:val="003F431B"/>
    <w:rsid w:val="003F5E0D"/>
    <w:rsid w:val="003F7998"/>
    <w:rsid w:val="003F79F1"/>
    <w:rsid w:val="003F7AB4"/>
    <w:rsid w:val="003F7E32"/>
    <w:rsid w:val="00400FAC"/>
    <w:rsid w:val="004011E9"/>
    <w:rsid w:val="00401BAC"/>
    <w:rsid w:val="00402212"/>
    <w:rsid w:val="004031C4"/>
    <w:rsid w:val="00405829"/>
    <w:rsid w:val="00405D00"/>
    <w:rsid w:val="00406128"/>
    <w:rsid w:val="004077FD"/>
    <w:rsid w:val="00407956"/>
    <w:rsid w:val="00410452"/>
    <w:rsid w:val="00410CB0"/>
    <w:rsid w:val="0041128B"/>
    <w:rsid w:val="00411328"/>
    <w:rsid w:val="00414152"/>
    <w:rsid w:val="00415671"/>
    <w:rsid w:val="00421D36"/>
    <w:rsid w:val="00423196"/>
    <w:rsid w:val="0042550D"/>
    <w:rsid w:val="004263C4"/>
    <w:rsid w:val="00426FB4"/>
    <w:rsid w:val="0042D564"/>
    <w:rsid w:val="0043076B"/>
    <w:rsid w:val="00431FDD"/>
    <w:rsid w:val="00432401"/>
    <w:rsid w:val="0043285C"/>
    <w:rsid w:val="00432A8C"/>
    <w:rsid w:val="00432FFB"/>
    <w:rsid w:val="00433368"/>
    <w:rsid w:val="00433B38"/>
    <w:rsid w:val="00434771"/>
    <w:rsid w:val="00435F8C"/>
    <w:rsid w:val="00436698"/>
    <w:rsid w:val="00436AF6"/>
    <w:rsid w:val="0043705A"/>
    <w:rsid w:val="00437481"/>
    <w:rsid w:val="00437514"/>
    <w:rsid w:val="00437580"/>
    <w:rsid w:val="00437A99"/>
    <w:rsid w:val="00440607"/>
    <w:rsid w:val="00440FB7"/>
    <w:rsid w:val="00441626"/>
    <w:rsid w:val="004416BF"/>
    <w:rsid w:val="00442E30"/>
    <w:rsid w:val="00442FDA"/>
    <w:rsid w:val="00443670"/>
    <w:rsid w:val="0044440D"/>
    <w:rsid w:val="00444E98"/>
    <w:rsid w:val="004453D5"/>
    <w:rsid w:val="00445809"/>
    <w:rsid w:val="004459F8"/>
    <w:rsid w:val="00445CF2"/>
    <w:rsid w:val="004465C6"/>
    <w:rsid w:val="00446EB3"/>
    <w:rsid w:val="004476AD"/>
    <w:rsid w:val="00447811"/>
    <w:rsid w:val="00450E86"/>
    <w:rsid w:val="004520D2"/>
    <w:rsid w:val="00452407"/>
    <w:rsid w:val="0045249C"/>
    <w:rsid w:val="00453227"/>
    <w:rsid w:val="00454852"/>
    <w:rsid w:val="00455307"/>
    <w:rsid w:val="00455398"/>
    <w:rsid w:val="00455F82"/>
    <w:rsid w:val="0045658C"/>
    <w:rsid w:val="00456796"/>
    <w:rsid w:val="00456D33"/>
    <w:rsid w:val="00456DB9"/>
    <w:rsid w:val="00457056"/>
    <w:rsid w:val="0045783E"/>
    <w:rsid w:val="0046081B"/>
    <w:rsid w:val="00460D57"/>
    <w:rsid w:val="004611A2"/>
    <w:rsid w:val="004629EF"/>
    <w:rsid w:val="004634C6"/>
    <w:rsid w:val="00463720"/>
    <w:rsid w:val="004638F2"/>
    <w:rsid w:val="00463A65"/>
    <w:rsid w:val="004651B1"/>
    <w:rsid w:val="0046570F"/>
    <w:rsid w:val="00467210"/>
    <w:rsid w:val="004704C7"/>
    <w:rsid w:val="00470532"/>
    <w:rsid w:val="004705F3"/>
    <w:rsid w:val="00473455"/>
    <w:rsid w:val="0047366B"/>
    <w:rsid w:val="0047492E"/>
    <w:rsid w:val="00475EE8"/>
    <w:rsid w:val="00476002"/>
    <w:rsid w:val="0047729C"/>
    <w:rsid w:val="004776FE"/>
    <w:rsid w:val="004807CF"/>
    <w:rsid w:val="00481DE0"/>
    <w:rsid w:val="004827B9"/>
    <w:rsid w:val="00482BF0"/>
    <w:rsid w:val="004833D8"/>
    <w:rsid w:val="00484775"/>
    <w:rsid w:val="00484C98"/>
    <w:rsid w:val="004851B0"/>
    <w:rsid w:val="00485F41"/>
    <w:rsid w:val="00486868"/>
    <w:rsid w:val="0048752E"/>
    <w:rsid w:val="004879D2"/>
    <w:rsid w:val="00490007"/>
    <w:rsid w:val="0049102E"/>
    <w:rsid w:val="00491331"/>
    <w:rsid w:val="004920E9"/>
    <w:rsid w:val="0049291F"/>
    <w:rsid w:val="00493C35"/>
    <w:rsid w:val="004942E7"/>
    <w:rsid w:val="004960CE"/>
    <w:rsid w:val="0049694E"/>
    <w:rsid w:val="00496D7E"/>
    <w:rsid w:val="004970B1"/>
    <w:rsid w:val="00497906"/>
    <w:rsid w:val="004979F9"/>
    <w:rsid w:val="00497DE6"/>
    <w:rsid w:val="004A0A79"/>
    <w:rsid w:val="004A0E55"/>
    <w:rsid w:val="004A16B2"/>
    <w:rsid w:val="004A1D42"/>
    <w:rsid w:val="004A27DC"/>
    <w:rsid w:val="004A2E8A"/>
    <w:rsid w:val="004A478C"/>
    <w:rsid w:val="004A5C7A"/>
    <w:rsid w:val="004A663E"/>
    <w:rsid w:val="004A6B3A"/>
    <w:rsid w:val="004B0095"/>
    <w:rsid w:val="004B0FB7"/>
    <w:rsid w:val="004B115F"/>
    <w:rsid w:val="004B11F0"/>
    <w:rsid w:val="004B1A6F"/>
    <w:rsid w:val="004B2A04"/>
    <w:rsid w:val="004B30FD"/>
    <w:rsid w:val="004B3826"/>
    <w:rsid w:val="004B41A7"/>
    <w:rsid w:val="004C149B"/>
    <w:rsid w:val="004C28F2"/>
    <w:rsid w:val="004C347C"/>
    <w:rsid w:val="004C3651"/>
    <w:rsid w:val="004C3773"/>
    <w:rsid w:val="004C4904"/>
    <w:rsid w:val="004C539D"/>
    <w:rsid w:val="004C53D0"/>
    <w:rsid w:val="004C5C47"/>
    <w:rsid w:val="004C5E78"/>
    <w:rsid w:val="004C6429"/>
    <w:rsid w:val="004C6821"/>
    <w:rsid w:val="004C6AF2"/>
    <w:rsid w:val="004C792A"/>
    <w:rsid w:val="004D1391"/>
    <w:rsid w:val="004D2165"/>
    <w:rsid w:val="004D29A7"/>
    <w:rsid w:val="004D3204"/>
    <w:rsid w:val="004D3485"/>
    <w:rsid w:val="004D3D26"/>
    <w:rsid w:val="004D3D65"/>
    <w:rsid w:val="004D57C8"/>
    <w:rsid w:val="004D5BE4"/>
    <w:rsid w:val="004D73F1"/>
    <w:rsid w:val="004E015C"/>
    <w:rsid w:val="004E2BDA"/>
    <w:rsid w:val="004E353F"/>
    <w:rsid w:val="004E375B"/>
    <w:rsid w:val="004E4786"/>
    <w:rsid w:val="004E4B31"/>
    <w:rsid w:val="004E4F83"/>
    <w:rsid w:val="004E5353"/>
    <w:rsid w:val="004E5403"/>
    <w:rsid w:val="004E653E"/>
    <w:rsid w:val="004E6885"/>
    <w:rsid w:val="004E6C6D"/>
    <w:rsid w:val="004E748E"/>
    <w:rsid w:val="004F03B1"/>
    <w:rsid w:val="004F09AC"/>
    <w:rsid w:val="004F13A8"/>
    <w:rsid w:val="004F197D"/>
    <w:rsid w:val="004F3F4C"/>
    <w:rsid w:val="004F42C7"/>
    <w:rsid w:val="004F4AC0"/>
    <w:rsid w:val="004F57C4"/>
    <w:rsid w:val="004F6915"/>
    <w:rsid w:val="004F6979"/>
    <w:rsid w:val="00500800"/>
    <w:rsid w:val="00500D59"/>
    <w:rsid w:val="0050179F"/>
    <w:rsid w:val="00502BA1"/>
    <w:rsid w:val="00503DA2"/>
    <w:rsid w:val="00504081"/>
    <w:rsid w:val="0050535A"/>
    <w:rsid w:val="005061D3"/>
    <w:rsid w:val="00506695"/>
    <w:rsid w:val="00506F3F"/>
    <w:rsid w:val="00507C99"/>
    <w:rsid w:val="00508F15"/>
    <w:rsid w:val="005103E7"/>
    <w:rsid w:val="00511296"/>
    <w:rsid w:val="00511FF7"/>
    <w:rsid w:val="0051253C"/>
    <w:rsid w:val="00512868"/>
    <w:rsid w:val="00512A30"/>
    <w:rsid w:val="00512EAA"/>
    <w:rsid w:val="00513215"/>
    <w:rsid w:val="0051438B"/>
    <w:rsid w:val="00514861"/>
    <w:rsid w:val="00515A0B"/>
    <w:rsid w:val="005161FB"/>
    <w:rsid w:val="005168B7"/>
    <w:rsid w:val="005169AB"/>
    <w:rsid w:val="00516E04"/>
    <w:rsid w:val="0051772C"/>
    <w:rsid w:val="00517A90"/>
    <w:rsid w:val="00517AAF"/>
    <w:rsid w:val="0052028C"/>
    <w:rsid w:val="00520A2D"/>
    <w:rsid w:val="00520B53"/>
    <w:rsid w:val="00521AD5"/>
    <w:rsid w:val="00521DFD"/>
    <w:rsid w:val="00522119"/>
    <w:rsid w:val="00524B9D"/>
    <w:rsid w:val="00524F52"/>
    <w:rsid w:val="00525619"/>
    <w:rsid w:val="0052582F"/>
    <w:rsid w:val="0052583C"/>
    <w:rsid w:val="0052610D"/>
    <w:rsid w:val="0052654D"/>
    <w:rsid w:val="00526E7F"/>
    <w:rsid w:val="00527114"/>
    <w:rsid w:val="00530380"/>
    <w:rsid w:val="0053076F"/>
    <w:rsid w:val="00530CD7"/>
    <w:rsid w:val="00531B48"/>
    <w:rsid w:val="005321EF"/>
    <w:rsid w:val="00532D00"/>
    <w:rsid w:val="005339D1"/>
    <w:rsid w:val="00533E87"/>
    <w:rsid w:val="0053475F"/>
    <w:rsid w:val="00534EF1"/>
    <w:rsid w:val="005355AB"/>
    <w:rsid w:val="00536A0D"/>
    <w:rsid w:val="00537FAF"/>
    <w:rsid w:val="00541676"/>
    <w:rsid w:val="00542C4C"/>
    <w:rsid w:val="00543199"/>
    <w:rsid w:val="005448B3"/>
    <w:rsid w:val="00545016"/>
    <w:rsid w:val="00546E7A"/>
    <w:rsid w:val="0054750D"/>
    <w:rsid w:val="005479BA"/>
    <w:rsid w:val="00547C36"/>
    <w:rsid w:val="005500C9"/>
    <w:rsid w:val="00551300"/>
    <w:rsid w:val="0055196D"/>
    <w:rsid w:val="00551C8D"/>
    <w:rsid w:val="00552430"/>
    <w:rsid w:val="00553208"/>
    <w:rsid w:val="005532EC"/>
    <w:rsid w:val="00554249"/>
    <w:rsid w:val="005547CB"/>
    <w:rsid w:val="00555241"/>
    <w:rsid w:val="005554BE"/>
    <w:rsid w:val="0055574A"/>
    <w:rsid w:val="00555BF3"/>
    <w:rsid w:val="00555C85"/>
    <w:rsid w:val="00556C78"/>
    <w:rsid w:val="00560D37"/>
    <w:rsid w:val="005616A1"/>
    <w:rsid w:val="00561F5A"/>
    <w:rsid w:val="00562CBB"/>
    <w:rsid w:val="00562DFF"/>
    <w:rsid w:val="00562FD9"/>
    <w:rsid w:val="0056320B"/>
    <w:rsid w:val="00563211"/>
    <w:rsid w:val="00564124"/>
    <w:rsid w:val="005646E6"/>
    <w:rsid w:val="00564B35"/>
    <w:rsid w:val="00564B91"/>
    <w:rsid w:val="00564F88"/>
    <w:rsid w:val="005651E9"/>
    <w:rsid w:val="005655B7"/>
    <w:rsid w:val="00565F85"/>
    <w:rsid w:val="00566762"/>
    <w:rsid w:val="00567832"/>
    <w:rsid w:val="00570900"/>
    <w:rsid w:val="00571C05"/>
    <w:rsid w:val="00572FF8"/>
    <w:rsid w:val="00573119"/>
    <w:rsid w:val="00573167"/>
    <w:rsid w:val="00573C1C"/>
    <w:rsid w:val="00573DC6"/>
    <w:rsid w:val="00574B0A"/>
    <w:rsid w:val="00576C2E"/>
    <w:rsid w:val="00580E54"/>
    <w:rsid w:val="00582212"/>
    <w:rsid w:val="00582914"/>
    <w:rsid w:val="00584382"/>
    <w:rsid w:val="00584B13"/>
    <w:rsid w:val="00585A23"/>
    <w:rsid w:val="00585ADD"/>
    <w:rsid w:val="00586334"/>
    <w:rsid w:val="00586AD2"/>
    <w:rsid w:val="00586E5C"/>
    <w:rsid w:val="00587284"/>
    <w:rsid w:val="00587642"/>
    <w:rsid w:val="0058D504"/>
    <w:rsid w:val="0059084C"/>
    <w:rsid w:val="00590B55"/>
    <w:rsid w:val="00590EB1"/>
    <w:rsid w:val="00590F83"/>
    <w:rsid w:val="00593B5D"/>
    <w:rsid w:val="00593D7E"/>
    <w:rsid w:val="00593F60"/>
    <w:rsid w:val="0059445C"/>
    <w:rsid w:val="00594E6F"/>
    <w:rsid w:val="00594F47"/>
    <w:rsid w:val="005958CB"/>
    <w:rsid w:val="0059643A"/>
    <w:rsid w:val="00596494"/>
    <w:rsid w:val="005967F3"/>
    <w:rsid w:val="005A0E88"/>
    <w:rsid w:val="005A102F"/>
    <w:rsid w:val="005A132C"/>
    <w:rsid w:val="005A27D4"/>
    <w:rsid w:val="005A2848"/>
    <w:rsid w:val="005A2AA8"/>
    <w:rsid w:val="005A3743"/>
    <w:rsid w:val="005A3C0E"/>
    <w:rsid w:val="005A3D21"/>
    <w:rsid w:val="005A40F2"/>
    <w:rsid w:val="005A4853"/>
    <w:rsid w:val="005A5E12"/>
    <w:rsid w:val="005A61A9"/>
    <w:rsid w:val="005A6838"/>
    <w:rsid w:val="005B0F9F"/>
    <w:rsid w:val="005B13B8"/>
    <w:rsid w:val="005B302E"/>
    <w:rsid w:val="005B3668"/>
    <w:rsid w:val="005B4641"/>
    <w:rsid w:val="005B4B2F"/>
    <w:rsid w:val="005B51BD"/>
    <w:rsid w:val="005B5484"/>
    <w:rsid w:val="005B5532"/>
    <w:rsid w:val="005B5543"/>
    <w:rsid w:val="005B5731"/>
    <w:rsid w:val="005B6A02"/>
    <w:rsid w:val="005B703C"/>
    <w:rsid w:val="005B714C"/>
    <w:rsid w:val="005B7B37"/>
    <w:rsid w:val="005C1790"/>
    <w:rsid w:val="005C1B02"/>
    <w:rsid w:val="005C31BB"/>
    <w:rsid w:val="005C40BA"/>
    <w:rsid w:val="005C4F9B"/>
    <w:rsid w:val="005C53C5"/>
    <w:rsid w:val="005C5E3D"/>
    <w:rsid w:val="005C61AA"/>
    <w:rsid w:val="005C6FE1"/>
    <w:rsid w:val="005C799C"/>
    <w:rsid w:val="005D158E"/>
    <w:rsid w:val="005D17A6"/>
    <w:rsid w:val="005D24A3"/>
    <w:rsid w:val="005D38B3"/>
    <w:rsid w:val="005D3F94"/>
    <w:rsid w:val="005D6F10"/>
    <w:rsid w:val="005D7539"/>
    <w:rsid w:val="005E0960"/>
    <w:rsid w:val="005E1FB5"/>
    <w:rsid w:val="005E2312"/>
    <w:rsid w:val="005E2DD4"/>
    <w:rsid w:val="005E4E54"/>
    <w:rsid w:val="005E5C57"/>
    <w:rsid w:val="005E69A0"/>
    <w:rsid w:val="005E69EC"/>
    <w:rsid w:val="005E6E88"/>
    <w:rsid w:val="005E77AA"/>
    <w:rsid w:val="005F0668"/>
    <w:rsid w:val="005F0F5E"/>
    <w:rsid w:val="005F2A6A"/>
    <w:rsid w:val="005F30F0"/>
    <w:rsid w:val="005F37CD"/>
    <w:rsid w:val="005F4237"/>
    <w:rsid w:val="005F4778"/>
    <w:rsid w:val="005F4998"/>
    <w:rsid w:val="005F5483"/>
    <w:rsid w:val="005F677A"/>
    <w:rsid w:val="005F76D4"/>
    <w:rsid w:val="00600CA2"/>
    <w:rsid w:val="00601418"/>
    <w:rsid w:val="006018B3"/>
    <w:rsid w:val="00602C56"/>
    <w:rsid w:val="006030AA"/>
    <w:rsid w:val="0060648F"/>
    <w:rsid w:val="006064A2"/>
    <w:rsid w:val="00606D54"/>
    <w:rsid w:val="00607C65"/>
    <w:rsid w:val="006102EC"/>
    <w:rsid w:val="00612243"/>
    <w:rsid w:val="00612FAD"/>
    <w:rsid w:val="00613437"/>
    <w:rsid w:val="00614046"/>
    <w:rsid w:val="00614A8A"/>
    <w:rsid w:val="00614D0C"/>
    <w:rsid w:val="006154A1"/>
    <w:rsid w:val="00615DAD"/>
    <w:rsid w:val="00616FB1"/>
    <w:rsid w:val="00617F6E"/>
    <w:rsid w:val="00621DA9"/>
    <w:rsid w:val="006226A6"/>
    <w:rsid w:val="00624D43"/>
    <w:rsid w:val="0062518C"/>
    <w:rsid w:val="00626773"/>
    <w:rsid w:val="00627DC0"/>
    <w:rsid w:val="00627FE3"/>
    <w:rsid w:val="00630A24"/>
    <w:rsid w:val="006322B1"/>
    <w:rsid w:val="00632C37"/>
    <w:rsid w:val="00633F4B"/>
    <w:rsid w:val="0063411C"/>
    <w:rsid w:val="00634CCC"/>
    <w:rsid w:val="00635583"/>
    <w:rsid w:val="00637155"/>
    <w:rsid w:val="006401EE"/>
    <w:rsid w:val="00642358"/>
    <w:rsid w:val="006424AA"/>
    <w:rsid w:val="00644163"/>
    <w:rsid w:val="006442FB"/>
    <w:rsid w:val="0064548C"/>
    <w:rsid w:val="00645B27"/>
    <w:rsid w:val="0064623D"/>
    <w:rsid w:val="006466ED"/>
    <w:rsid w:val="00646ED9"/>
    <w:rsid w:val="00646F2B"/>
    <w:rsid w:val="006475E7"/>
    <w:rsid w:val="00647716"/>
    <w:rsid w:val="00653746"/>
    <w:rsid w:val="00653926"/>
    <w:rsid w:val="00653D3C"/>
    <w:rsid w:val="00653E5C"/>
    <w:rsid w:val="006550CD"/>
    <w:rsid w:val="0065521B"/>
    <w:rsid w:val="006553B7"/>
    <w:rsid w:val="006553E6"/>
    <w:rsid w:val="006557EE"/>
    <w:rsid w:val="00655DD5"/>
    <w:rsid w:val="00656541"/>
    <w:rsid w:val="0065679E"/>
    <w:rsid w:val="00657F1D"/>
    <w:rsid w:val="00660D27"/>
    <w:rsid w:val="006613F7"/>
    <w:rsid w:val="0066271F"/>
    <w:rsid w:val="006627FE"/>
    <w:rsid w:val="00662F78"/>
    <w:rsid w:val="006630C7"/>
    <w:rsid w:val="006637C6"/>
    <w:rsid w:val="006651C2"/>
    <w:rsid w:val="006651D2"/>
    <w:rsid w:val="00665387"/>
    <w:rsid w:val="00667948"/>
    <w:rsid w:val="006679B2"/>
    <w:rsid w:val="00670BC0"/>
    <w:rsid w:val="00671440"/>
    <w:rsid w:val="00671587"/>
    <w:rsid w:val="00671D93"/>
    <w:rsid w:val="006735D6"/>
    <w:rsid w:val="00674061"/>
    <w:rsid w:val="006741DE"/>
    <w:rsid w:val="00674A42"/>
    <w:rsid w:val="006754BB"/>
    <w:rsid w:val="0067564B"/>
    <w:rsid w:val="00675997"/>
    <w:rsid w:val="00675B58"/>
    <w:rsid w:val="00676752"/>
    <w:rsid w:val="00676AC5"/>
    <w:rsid w:val="00677279"/>
    <w:rsid w:val="00677CC1"/>
    <w:rsid w:val="00677FAD"/>
    <w:rsid w:val="0068094C"/>
    <w:rsid w:val="00680FD2"/>
    <w:rsid w:val="00681202"/>
    <w:rsid w:val="00682803"/>
    <w:rsid w:val="0068317F"/>
    <w:rsid w:val="00683533"/>
    <w:rsid w:val="006844B5"/>
    <w:rsid w:val="0068612A"/>
    <w:rsid w:val="00686529"/>
    <w:rsid w:val="00686A4C"/>
    <w:rsid w:val="00686DB0"/>
    <w:rsid w:val="0069286C"/>
    <w:rsid w:val="0069408C"/>
    <w:rsid w:val="0069485F"/>
    <w:rsid w:val="00694FA9"/>
    <w:rsid w:val="00695637"/>
    <w:rsid w:val="00695D6F"/>
    <w:rsid w:val="0069658A"/>
    <w:rsid w:val="00696C6F"/>
    <w:rsid w:val="0069727A"/>
    <w:rsid w:val="006A0914"/>
    <w:rsid w:val="006A14B0"/>
    <w:rsid w:val="006A1597"/>
    <w:rsid w:val="006A2BB7"/>
    <w:rsid w:val="006A31A8"/>
    <w:rsid w:val="006A414A"/>
    <w:rsid w:val="006A4645"/>
    <w:rsid w:val="006A5A00"/>
    <w:rsid w:val="006A5B68"/>
    <w:rsid w:val="006A70C9"/>
    <w:rsid w:val="006A7126"/>
    <w:rsid w:val="006A7332"/>
    <w:rsid w:val="006B24AE"/>
    <w:rsid w:val="006B277B"/>
    <w:rsid w:val="006B2A71"/>
    <w:rsid w:val="006B3013"/>
    <w:rsid w:val="006B3EA0"/>
    <w:rsid w:val="006B4EB3"/>
    <w:rsid w:val="006B5218"/>
    <w:rsid w:val="006B6399"/>
    <w:rsid w:val="006B6EB2"/>
    <w:rsid w:val="006C0359"/>
    <w:rsid w:val="006C0884"/>
    <w:rsid w:val="006C0964"/>
    <w:rsid w:val="006C3B5C"/>
    <w:rsid w:val="006C3BDF"/>
    <w:rsid w:val="006C4FA7"/>
    <w:rsid w:val="006C5E79"/>
    <w:rsid w:val="006C64DB"/>
    <w:rsid w:val="006C6B4D"/>
    <w:rsid w:val="006C6F74"/>
    <w:rsid w:val="006C73AD"/>
    <w:rsid w:val="006D0A4A"/>
    <w:rsid w:val="006D11A1"/>
    <w:rsid w:val="006D1563"/>
    <w:rsid w:val="006D165D"/>
    <w:rsid w:val="006D1E70"/>
    <w:rsid w:val="006D3561"/>
    <w:rsid w:val="006D37C4"/>
    <w:rsid w:val="006D45A2"/>
    <w:rsid w:val="006D5A45"/>
    <w:rsid w:val="006D7D16"/>
    <w:rsid w:val="006E17AE"/>
    <w:rsid w:val="006E3385"/>
    <w:rsid w:val="006E4D3E"/>
    <w:rsid w:val="006E4D8B"/>
    <w:rsid w:val="006E61DC"/>
    <w:rsid w:val="006E6205"/>
    <w:rsid w:val="006E6997"/>
    <w:rsid w:val="006E6EC8"/>
    <w:rsid w:val="006E7985"/>
    <w:rsid w:val="006F0212"/>
    <w:rsid w:val="006F0B99"/>
    <w:rsid w:val="006F0C28"/>
    <w:rsid w:val="006F1EDF"/>
    <w:rsid w:val="006F20A4"/>
    <w:rsid w:val="006F2361"/>
    <w:rsid w:val="006F33E6"/>
    <w:rsid w:val="006F4EF8"/>
    <w:rsid w:val="006F5187"/>
    <w:rsid w:val="006F64D7"/>
    <w:rsid w:val="006F6E86"/>
    <w:rsid w:val="006F7FB6"/>
    <w:rsid w:val="007001BB"/>
    <w:rsid w:val="00700770"/>
    <w:rsid w:val="007008EB"/>
    <w:rsid w:val="00701259"/>
    <w:rsid w:val="007013B7"/>
    <w:rsid w:val="0070265D"/>
    <w:rsid w:val="007033AF"/>
    <w:rsid w:val="007036BE"/>
    <w:rsid w:val="00703BAA"/>
    <w:rsid w:val="00704382"/>
    <w:rsid w:val="00704726"/>
    <w:rsid w:val="00704B95"/>
    <w:rsid w:val="00705495"/>
    <w:rsid w:val="007061D9"/>
    <w:rsid w:val="007064EF"/>
    <w:rsid w:val="00707E15"/>
    <w:rsid w:val="007103C0"/>
    <w:rsid w:val="0071045F"/>
    <w:rsid w:val="007114A6"/>
    <w:rsid w:val="00711703"/>
    <w:rsid w:val="0071186F"/>
    <w:rsid w:val="007119A6"/>
    <w:rsid w:val="00712A11"/>
    <w:rsid w:val="00713036"/>
    <w:rsid w:val="00713A8F"/>
    <w:rsid w:val="00714812"/>
    <w:rsid w:val="00714997"/>
    <w:rsid w:val="00715EEC"/>
    <w:rsid w:val="00715F46"/>
    <w:rsid w:val="00716079"/>
    <w:rsid w:val="0071677E"/>
    <w:rsid w:val="00720C2C"/>
    <w:rsid w:val="007217D8"/>
    <w:rsid w:val="0072271B"/>
    <w:rsid w:val="0072297C"/>
    <w:rsid w:val="007233D8"/>
    <w:rsid w:val="007239DE"/>
    <w:rsid w:val="00724FCE"/>
    <w:rsid w:val="00725D41"/>
    <w:rsid w:val="007267C9"/>
    <w:rsid w:val="007276C2"/>
    <w:rsid w:val="00730050"/>
    <w:rsid w:val="00730D81"/>
    <w:rsid w:val="007320B8"/>
    <w:rsid w:val="0073217C"/>
    <w:rsid w:val="00732F9D"/>
    <w:rsid w:val="00733609"/>
    <w:rsid w:val="00733EF5"/>
    <w:rsid w:val="0073468C"/>
    <w:rsid w:val="00734AAB"/>
    <w:rsid w:val="0073682B"/>
    <w:rsid w:val="007371DB"/>
    <w:rsid w:val="007379CC"/>
    <w:rsid w:val="00737DF5"/>
    <w:rsid w:val="00740640"/>
    <w:rsid w:val="007421E3"/>
    <w:rsid w:val="00742691"/>
    <w:rsid w:val="00742863"/>
    <w:rsid w:val="00742C9A"/>
    <w:rsid w:val="007431C9"/>
    <w:rsid w:val="00743696"/>
    <w:rsid w:val="00744C0F"/>
    <w:rsid w:val="0074507B"/>
    <w:rsid w:val="00745A14"/>
    <w:rsid w:val="00746C2C"/>
    <w:rsid w:val="0074706E"/>
    <w:rsid w:val="0074720A"/>
    <w:rsid w:val="007477C0"/>
    <w:rsid w:val="00750AF5"/>
    <w:rsid w:val="00751014"/>
    <w:rsid w:val="007521C9"/>
    <w:rsid w:val="007523CD"/>
    <w:rsid w:val="00753CFB"/>
    <w:rsid w:val="00754342"/>
    <w:rsid w:val="00754A23"/>
    <w:rsid w:val="00754EA1"/>
    <w:rsid w:val="00754F9C"/>
    <w:rsid w:val="00755779"/>
    <w:rsid w:val="00755E34"/>
    <w:rsid w:val="00760724"/>
    <w:rsid w:val="00760CAA"/>
    <w:rsid w:val="00761423"/>
    <w:rsid w:val="0076267C"/>
    <w:rsid w:val="007629A9"/>
    <w:rsid w:val="00762FC4"/>
    <w:rsid w:val="007632C7"/>
    <w:rsid w:val="0076473F"/>
    <w:rsid w:val="00764EA6"/>
    <w:rsid w:val="0076687E"/>
    <w:rsid w:val="007668C1"/>
    <w:rsid w:val="00766DD6"/>
    <w:rsid w:val="00767054"/>
    <w:rsid w:val="00767155"/>
    <w:rsid w:val="00770187"/>
    <w:rsid w:val="00771A75"/>
    <w:rsid w:val="00771B7E"/>
    <w:rsid w:val="00771EBC"/>
    <w:rsid w:val="00772DCC"/>
    <w:rsid w:val="0077345C"/>
    <w:rsid w:val="00773ABF"/>
    <w:rsid w:val="00774642"/>
    <w:rsid w:val="00774A1A"/>
    <w:rsid w:val="00774AA1"/>
    <w:rsid w:val="00775139"/>
    <w:rsid w:val="00775394"/>
    <w:rsid w:val="0077625E"/>
    <w:rsid w:val="0077698B"/>
    <w:rsid w:val="007769D2"/>
    <w:rsid w:val="00776B3D"/>
    <w:rsid w:val="007774BF"/>
    <w:rsid w:val="007775D5"/>
    <w:rsid w:val="00777A0F"/>
    <w:rsid w:val="00777E30"/>
    <w:rsid w:val="00780AEB"/>
    <w:rsid w:val="00780B40"/>
    <w:rsid w:val="00781F9C"/>
    <w:rsid w:val="00783220"/>
    <w:rsid w:val="00784545"/>
    <w:rsid w:val="0078553D"/>
    <w:rsid w:val="0078668B"/>
    <w:rsid w:val="00786993"/>
    <w:rsid w:val="007902AF"/>
    <w:rsid w:val="00790B78"/>
    <w:rsid w:val="007920B9"/>
    <w:rsid w:val="00792538"/>
    <w:rsid w:val="00792682"/>
    <w:rsid w:val="00792D82"/>
    <w:rsid w:val="00793461"/>
    <w:rsid w:val="00793F8B"/>
    <w:rsid w:val="0079444A"/>
    <w:rsid w:val="0079490E"/>
    <w:rsid w:val="00794F60"/>
    <w:rsid w:val="007A242A"/>
    <w:rsid w:val="007A305D"/>
    <w:rsid w:val="007A3277"/>
    <w:rsid w:val="007A3562"/>
    <w:rsid w:val="007A4821"/>
    <w:rsid w:val="007A547C"/>
    <w:rsid w:val="007B0CBE"/>
    <w:rsid w:val="007B10A9"/>
    <w:rsid w:val="007B1E5A"/>
    <w:rsid w:val="007B2690"/>
    <w:rsid w:val="007B2959"/>
    <w:rsid w:val="007B39B9"/>
    <w:rsid w:val="007B3BCC"/>
    <w:rsid w:val="007B4B06"/>
    <w:rsid w:val="007B4BCC"/>
    <w:rsid w:val="007B58D9"/>
    <w:rsid w:val="007B6414"/>
    <w:rsid w:val="007B6DBB"/>
    <w:rsid w:val="007B6F90"/>
    <w:rsid w:val="007B7324"/>
    <w:rsid w:val="007B7379"/>
    <w:rsid w:val="007C01E2"/>
    <w:rsid w:val="007C081D"/>
    <w:rsid w:val="007C0D31"/>
    <w:rsid w:val="007C1DB6"/>
    <w:rsid w:val="007C3D2D"/>
    <w:rsid w:val="007C4A3B"/>
    <w:rsid w:val="007C5922"/>
    <w:rsid w:val="007C6F14"/>
    <w:rsid w:val="007C7197"/>
    <w:rsid w:val="007C73D1"/>
    <w:rsid w:val="007C7D60"/>
    <w:rsid w:val="007D1F0A"/>
    <w:rsid w:val="007D24D2"/>
    <w:rsid w:val="007D25BF"/>
    <w:rsid w:val="007D2AFB"/>
    <w:rsid w:val="007D2B2F"/>
    <w:rsid w:val="007D2F0D"/>
    <w:rsid w:val="007D33A8"/>
    <w:rsid w:val="007D3A53"/>
    <w:rsid w:val="007D3A89"/>
    <w:rsid w:val="007D467D"/>
    <w:rsid w:val="007D4D11"/>
    <w:rsid w:val="007D531C"/>
    <w:rsid w:val="007D6CEA"/>
    <w:rsid w:val="007D7453"/>
    <w:rsid w:val="007E02F9"/>
    <w:rsid w:val="007E0946"/>
    <w:rsid w:val="007E1917"/>
    <w:rsid w:val="007E1F50"/>
    <w:rsid w:val="007E3A63"/>
    <w:rsid w:val="007E552C"/>
    <w:rsid w:val="007E6BBF"/>
    <w:rsid w:val="007E72CA"/>
    <w:rsid w:val="007E76A5"/>
    <w:rsid w:val="007F2607"/>
    <w:rsid w:val="007F27AB"/>
    <w:rsid w:val="007F419A"/>
    <w:rsid w:val="007F452D"/>
    <w:rsid w:val="007F4AA8"/>
    <w:rsid w:val="007F5BAF"/>
    <w:rsid w:val="007F6A0E"/>
    <w:rsid w:val="007F6EB5"/>
    <w:rsid w:val="007F7964"/>
    <w:rsid w:val="0080048C"/>
    <w:rsid w:val="00800BE7"/>
    <w:rsid w:val="00800FAC"/>
    <w:rsid w:val="00801670"/>
    <w:rsid w:val="008025C4"/>
    <w:rsid w:val="00802C3B"/>
    <w:rsid w:val="00802D3E"/>
    <w:rsid w:val="00802F3C"/>
    <w:rsid w:val="00804392"/>
    <w:rsid w:val="00804E48"/>
    <w:rsid w:val="0080507F"/>
    <w:rsid w:val="00805628"/>
    <w:rsid w:val="00805F5D"/>
    <w:rsid w:val="00806E94"/>
    <w:rsid w:val="00806F51"/>
    <w:rsid w:val="00807778"/>
    <w:rsid w:val="00807AD0"/>
    <w:rsid w:val="00810861"/>
    <w:rsid w:val="00810ADA"/>
    <w:rsid w:val="00810B2F"/>
    <w:rsid w:val="00810B31"/>
    <w:rsid w:val="008115CB"/>
    <w:rsid w:val="00811F62"/>
    <w:rsid w:val="0081314E"/>
    <w:rsid w:val="0081447D"/>
    <w:rsid w:val="00814723"/>
    <w:rsid w:val="00815173"/>
    <w:rsid w:val="0081589C"/>
    <w:rsid w:val="00815A0F"/>
    <w:rsid w:val="0081638C"/>
    <w:rsid w:val="00817330"/>
    <w:rsid w:val="00820ABA"/>
    <w:rsid w:val="008218CA"/>
    <w:rsid w:val="00821F56"/>
    <w:rsid w:val="008223FF"/>
    <w:rsid w:val="008226FE"/>
    <w:rsid w:val="00822E03"/>
    <w:rsid w:val="00822F9C"/>
    <w:rsid w:val="00823086"/>
    <w:rsid w:val="00823E52"/>
    <w:rsid w:val="00824517"/>
    <w:rsid w:val="00825086"/>
    <w:rsid w:val="00825108"/>
    <w:rsid w:val="008253F5"/>
    <w:rsid w:val="008260ED"/>
    <w:rsid w:val="008261A7"/>
    <w:rsid w:val="0082699C"/>
    <w:rsid w:val="00826ADA"/>
    <w:rsid w:val="00826CFA"/>
    <w:rsid w:val="00826EE4"/>
    <w:rsid w:val="00827045"/>
    <w:rsid w:val="008301DC"/>
    <w:rsid w:val="008312C6"/>
    <w:rsid w:val="00831BD9"/>
    <w:rsid w:val="00832046"/>
    <w:rsid w:val="00834419"/>
    <w:rsid w:val="0083475D"/>
    <w:rsid w:val="00834D9D"/>
    <w:rsid w:val="00834F4C"/>
    <w:rsid w:val="00835E00"/>
    <w:rsid w:val="008365D5"/>
    <w:rsid w:val="00837A4F"/>
    <w:rsid w:val="00841718"/>
    <w:rsid w:val="00841F65"/>
    <w:rsid w:val="0084525A"/>
    <w:rsid w:val="008455D7"/>
    <w:rsid w:val="00845B9A"/>
    <w:rsid w:val="00846123"/>
    <w:rsid w:val="00847ACA"/>
    <w:rsid w:val="008501FB"/>
    <w:rsid w:val="00850621"/>
    <w:rsid w:val="00854770"/>
    <w:rsid w:val="008547DD"/>
    <w:rsid w:val="00854C66"/>
    <w:rsid w:val="00854E08"/>
    <w:rsid w:val="008554DC"/>
    <w:rsid w:val="00855831"/>
    <w:rsid w:val="00856303"/>
    <w:rsid w:val="0085651E"/>
    <w:rsid w:val="00856A45"/>
    <w:rsid w:val="00857488"/>
    <w:rsid w:val="008577A8"/>
    <w:rsid w:val="0086004F"/>
    <w:rsid w:val="0086077C"/>
    <w:rsid w:val="008619DC"/>
    <w:rsid w:val="00861A88"/>
    <w:rsid w:val="008635C5"/>
    <w:rsid w:val="00863654"/>
    <w:rsid w:val="00864B97"/>
    <w:rsid w:val="00865942"/>
    <w:rsid w:val="00870108"/>
    <w:rsid w:val="00870237"/>
    <w:rsid w:val="008725DE"/>
    <w:rsid w:val="008729ED"/>
    <w:rsid w:val="008756DD"/>
    <w:rsid w:val="008757E8"/>
    <w:rsid w:val="00875B92"/>
    <w:rsid w:val="00877800"/>
    <w:rsid w:val="00877D8A"/>
    <w:rsid w:val="008805F3"/>
    <w:rsid w:val="008815F4"/>
    <w:rsid w:val="00881C78"/>
    <w:rsid w:val="00881E15"/>
    <w:rsid w:val="00884337"/>
    <w:rsid w:val="008843D5"/>
    <w:rsid w:val="00884C81"/>
    <w:rsid w:val="008866E1"/>
    <w:rsid w:val="00886DF4"/>
    <w:rsid w:val="0088731D"/>
    <w:rsid w:val="00887449"/>
    <w:rsid w:val="008904F5"/>
    <w:rsid w:val="008911BC"/>
    <w:rsid w:val="0089176C"/>
    <w:rsid w:val="008924B9"/>
    <w:rsid w:val="00892AC9"/>
    <w:rsid w:val="00893C42"/>
    <w:rsid w:val="00893FF8"/>
    <w:rsid w:val="0089447A"/>
    <w:rsid w:val="008950FC"/>
    <w:rsid w:val="00895BF3"/>
    <w:rsid w:val="0089658C"/>
    <w:rsid w:val="00896C89"/>
    <w:rsid w:val="00896FFD"/>
    <w:rsid w:val="0089788D"/>
    <w:rsid w:val="008A06B0"/>
    <w:rsid w:val="008A18E9"/>
    <w:rsid w:val="008A22F7"/>
    <w:rsid w:val="008A48E4"/>
    <w:rsid w:val="008A5876"/>
    <w:rsid w:val="008A6DD0"/>
    <w:rsid w:val="008A6ED7"/>
    <w:rsid w:val="008A794B"/>
    <w:rsid w:val="008B0541"/>
    <w:rsid w:val="008B09C3"/>
    <w:rsid w:val="008B1078"/>
    <w:rsid w:val="008B252C"/>
    <w:rsid w:val="008B2F43"/>
    <w:rsid w:val="008B3652"/>
    <w:rsid w:val="008B39D1"/>
    <w:rsid w:val="008B4FB0"/>
    <w:rsid w:val="008B6753"/>
    <w:rsid w:val="008B688E"/>
    <w:rsid w:val="008B7791"/>
    <w:rsid w:val="008C0A8C"/>
    <w:rsid w:val="008C314E"/>
    <w:rsid w:val="008C389A"/>
    <w:rsid w:val="008C417A"/>
    <w:rsid w:val="008C5A04"/>
    <w:rsid w:val="008C7B2D"/>
    <w:rsid w:val="008D3D5D"/>
    <w:rsid w:val="008D55E3"/>
    <w:rsid w:val="008D5668"/>
    <w:rsid w:val="008D716B"/>
    <w:rsid w:val="008D719E"/>
    <w:rsid w:val="008D7908"/>
    <w:rsid w:val="008D7ED9"/>
    <w:rsid w:val="008D7F33"/>
    <w:rsid w:val="008E3830"/>
    <w:rsid w:val="008E5691"/>
    <w:rsid w:val="008E57A1"/>
    <w:rsid w:val="008E7F8D"/>
    <w:rsid w:val="008F04C7"/>
    <w:rsid w:val="008F1B78"/>
    <w:rsid w:val="008F294F"/>
    <w:rsid w:val="008F3034"/>
    <w:rsid w:val="008F362E"/>
    <w:rsid w:val="008F3BDD"/>
    <w:rsid w:val="008F4B25"/>
    <w:rsid w:val="008F5210"/>
    <w:rsid w:val="008F544B"/>
    <w:rsid w:val="008F552C"/>
    <w:rsid w:val="008F5618"/>
    <w:rsid w:val="008F5DAB"/>
    <w:rsid w:val="008F613F"/>
    <w:rsid w:val="008F6972"/>
    <w:rsid w:val="008F7FD2"/>
    <w:rsid w:val="0090285D"/>
    <w:rsid w:val="00903FF6"/>
    <w:rsid w:val="009041AA"/>
    <w:rsid w:val="0090441A"/>
    <w:rsid w:val="00904480"/>
    <w:rsid w:val="00904C39"/>
    <w:rsid w:val="00904CD9"/>
    <w:rsid w:val="00906616"/>
    <w:rsid w:val="00906813"/>
    <w:rsid w:val="00906AA8"/>
    <w:rsid w:val="00907195"/>
    <w:rsid w:val="00910B29"/>
    <w:rsid w:val="00911ABE"/>
    <w:rsid w:val="00912BC8"/>
    <w:rsid w:val="009152F0"/>
    <w:rsid w:val="00916CE4"/>
    <w:rsid w:val="00917FB8"/>
    <w:rsid w:val="00920A70"/>
    <w:rsid w:val="00920C91"/>
    <w:rsid w:val="00920DBB"/>
    <w:rsid w:val="00921617"/>
    <w:rsid w:val="00923344"/>
    <w:rsid w:val="00923578"/>
    <w:rsid w:val="0092428C"/>
    <w:rsid w:val="0092431A"/>
    <w:rsid w:val="00924B4F"/>
    <w:rsid w:val="00925323"/>
    <w:rsid w:val="00925681"/>
    <w:rsid w:val="00926026"/>
    <w:rsid w:val="0092640B"/>
    <w:rsid w:val="00926525"/>
    <w:rsid w:val="009265A1"/>
    <w:rsid w:val="00926846"/>
    <w:rsid w:val="00927CC1"/>
    <w:rsid w:val="00927EE2"/>
    <w:rsid w:val="00930AF1"/>
    <w:rsid w:val="0093122B"/>
    <w:rsid w:val="009323E6"/>
    <w:rsid w:val="00934408"/>
    <w:rsid w:val="00935B06"/>
    <w:rsid w:val="00935D41"/>
    <w:rsid w:val="00936505"/>
    <w:rsid w:val="00936F8C"/>
    <w:rsid w:val="00937916"/>
    <w:rsid w:val="0094036A"/>
    <w:rsid w:val="0094061D"/>
    <w:rsid w:val="00941B90"/>
    <w:rsid w:val="009429A7"/>
    <w:rsid w:val="009430BC"/>
    <w:rsid w:val="00943132"/>
    <w:rsid w:val="00943610"/>
    <w:rsid w:val="009436AE"/>
    <w:rsid w:val="00944DB7"/>
    <w:rsid w:val="009467F2"/>
    <w:rsid w:val="00950FA1"/>
    <w:rsid w:val="009517FB"/>
    <w:rsid w:val="00951931"/>
    <w:rsid w:val="00951FBA"/>
    <w:rsid w:val="0095314A"/>
    <w:rsid w:val="00953311"/>
    <w:rsid w:val="00953DC7"/>
    <w:rsid w:val="00954C5B"/>
    <w:rsid w:val="009552B4"/>
    <w:rsid w:val="00955A16"/>
    <w:rsid w:val="00956AE0"/>
    <w:rsid w:val="00957A7D"/>
    <w:rsid w:val="00957BA3"/>
    <w:rsid w:val="00960D75"/>
    <w:rsid w:val="009615B5"/>
    <w:rsid w:val="0096225C"/>
    <w:rsid w:val="00962789"/>
    <w:rsid w:val="00963061"/>
    <w:rsid w:val="00964373"/>
    <w:rsid w:val="00964ED9"/>
    <w:rsid w:val="00965EA0"/>
    <w:rsid w:val="00967E1D"/>
    <w:rsid w:val="009713DB"/>
    <w:rsid w:val="00971ADC"/>
    <w:rsid w:val="00971EDA"/>
    <w:rsid w:val="009725F8"/>
    <w:rsid w:val="009730B6"/>
    <w:rsid w:val="00973ACF"/>
    <w:rsid w:val="00973E3E"/>
    <w:rsid w:val="00974A63"/>
    <w:rsid w:val="00974CE1"/>
    <w:rsid w:val="009757A1"/>
    <w:rsid w:val="009758B5"/>
    <w:rsid w:val="00975910"/>
    <w:rsid w:val="009773A7"/>
    <w:rsid w:val="009776E4"/>
    <w:rsid w:val="00977E7E"/>
    <w:rsid w:val="00977F2B"/>
    <w:rsid w:val="00980293"/>
    <w:rsid w:val="009802BA"/>
    <w:rsid w:val="0098058A"/>
    <w:rsid w:val="009821D6"/>
    <w:rsid w:val="009830FE"/>
    <w:rsid w:val="00983702"/>
    <w:rsid w:val="00984C98"/>
    <w:rsid w:val="009859AB"/>
    <w:rsid w:val="00985AE7"/>
    <w:rsid w:val="00986930"/>
    <w:rsid w:val="0098738B"/>
    <w:rsid w:val="0098788D"/>
    <w:rsid w:val="0098797C"/>
    <w:rsid w:val="00987D61"/>
    <w:rsid w:val="009900AC"/>
    <w:rsid w:val="00991441"/>
    <w:rsid w:val="00991787"/>
    <w:rsid w:val="00992184"/>
    <w:rsid w:val="009926FB"/>
    <w:rsid w:val="00992889"/>
    <w:rsid w:val="00993A25"/>
    <w:rsid w:val="00993A7C"/>
    <w:rsid w:val="009951C2"/>
    <w:rsid w:val="0099618C"/>
    <w:rsid w:val="0099642E"/>
    <w:rsid w:val="0099671D"/>
    <w:rsid w:val="009A04B2"/>
    <w:rsid w:val="009A08F3"/>
    <w:rsid w:val="009A0DCB"/>
    <w:rsid w:val="009A2061"/>
    <w:rsid w:val="009A333D"/>
    <w:rsid w:val="009A4113"/>
    <w:rsid w:val="009A462B"/>
    <w:rsid w:val="009A477A"/>
    <w:rsid w:val="009A5247"/>
    <w:rsid w:val="009A5716"/>
    <w:rsid w:val="009A5833"/>
    <w:rsid w:val="009A59D2"/>
    <w:rsid w:val="009A5F29"/>
    <w:rsid w:val="009A63D5"/>
    <w:rsid w:val="009A67C6"/>
    <w:rsid w:val="009A6D8B"/>
    <w:rsid w:val="009B0883"/>
    <w:rsid w:val="009B0F57"/>
    <w:rsid w:val="009B0FC0"/>
    <w:rsid w:val="009B0FEA"/>
    <w:rsid w:val="009B1926"/>
    <w:rsid w:val="009B1D14"/>
    <w:rsid w:val="009B229C"/>
    <w:rsid w:val="009B2DDB"/>
    <w:rsid w:val="009B376A"/>
    <w:rsid w:val="009B3D8F"/>
    <w:rsid w:val="009B420A"/>
    <w:rsid w:val="009B4A07"/>
    <w:rsid w:val="009B5FCB"/>
    <w:rsid w:val="009B6241"/>
    <w:rsid w:val="009B697E"/>
    <w:rsid w:val="009B698C"/>
    <w:rsid w:val="009B6E28"/>
    <w:rsid w:val="009C0051"/>
    <w:rsid w:val="009C0156"/>
    <w:rsid w:val="009C1756"/>
    <w:rsid w:val="009C2727"/>
    <w:rsid w:val="009C2E51"/>
    <w:rsid w:val="009C3240"/>
    <w:rsid w:val="009C3522"/>
    <w:rsid w:val="009C3B46"/>
    <w:rsid w:val="009C492C"/>
    <w:rsid w:val="009C5ECE"/>
    <w:rsid w:val="009C69CE"/>
    <w:rsid w:val="009C7CD1"/>
    <w:rsid w:val="009D046E"/>
    <w:rsid w:val="009D2EFE"/>
    <w:rsid w:val="009D2F25"/>
    <w:rsid w:val="009D46AB"/>
    <w:rsid w:val="009D4F03"/>
    <w:rsid w:val="009D6E9C"/>
    <w:rsid w:val="009D727F"/>
    <w:rsid w:val="009E018A"/>
    <w:rsid w:val="009E0DCC"/>
    <w:rsid w:val="009E1310"/>
    <w:rsid w:val="009E15D1"/>
    <w:rsid w:val="009E172F"/>
    <w:rsid w:val="009E2A68"/>
    <w:rsid w:val="009E305D"/>
    <w:rsid w:val="009E36B6"/>
    <w:rsid w:val="009E3FBB"/>
    <w:rsid w:val="009E4747"/>
    <w:rsid w:val="009E4F97"/>
    <w:rsid w:val="009E6707"/>
    <w:rsid w:val="009E7B70"/>
    <w:rsid w:val="009E7F8F"/>
    <w:rsid w:val="009F0785"/>
    <w:rsid w:val="009F09A2"/>
    <w:rsid w:val="009F1772"/>
    <w:rsid w:val="009F21F1"/>
    <w:rsid w:val="009F26B8"/>
    <w:rsid w:val="009F2B2A"/>
    <w:rsid w:val="009F2CF7"/>
    <w:rsid w:val="009F33C8"/>
    <w:rsid w:val="009F6A71"/>
    <w:rsid w:val="009F72B3"/>
    <w:rsid w:val="00A018B7"/>
    <w:rsid w:val="00A03437"/>
    <w:rsid w:val="00A036E0"/>
    <w:rsid w:val="00A03A42"/>
    <w:rsid w:val="00A045A6"/>
    <w:rsid w:val="00A04CA1"/>
    <w:rsid w:val="00A05534"/>
    <w:rsid w:val="00A0579B"/>
    <w:rsid w:val="00A06CCD"/>
    <w:rsid w:val="00A06FE0"/>
    <w:rsid w:val="00A10353"/>
    <w:rsid w:val="00A10469"/>
    <w:rsid w:val="00A10698"/>
    <w:rsid w:val="00A106D8"/>
    <w:rsid w:val="00A107AB"/>
    <w:rsid w:val="00A10BDD"/>
    <w:rsid w:val="00A12501"/>
    <w:rsid w:val="00A134C6"/>
    <w:rsid w:val="00A13F99"/>
    <w:rsid w:val="00A1570B"/>
    <w:rsid w:val="00A15ED9"/>
    <w:rsid w:val="00A165F4"/>
    <w:rsid w:val="00A16CE5"/>
    <w:rsid w:val="00A171EC"/>
    <w:rsid w:val="00A17529"/>
    <w:rsid w:val="00A20C82"/>
    <w:rsid w:val="00A21274"/>
    <w:rsid w:val="00A21BB2"/>
    <w:rsid w:val="00A224C7"/>
    <w:rsid w:val="00A22A67"/>
    <w:rsid w:val="00A22D96"/>
    <w:rsid w:val="00A23039"/>
    <w:rsid w:val="00A230D9"/>
    <w:rsid w:val="00A23746"/>
    <w:rsid w:val="00A25E1F"/>
    <w:rsid w:val="00A25FD7"/>
    <w:rsid w:val="00A268EA"/>
    <w:rsid w:val="00A2691E"/>
    <w:rsid w:val="00A30431"/>
    <w:rsid w:val="00A31955"/>
    <w:rsid w:val="00A32A92"/>
    <w:rsid w:val="00A33D20"/>
    <w:rsid w:val="00A348C2"/>
    <w:rsid w:val="00A34968"/>
    <w:rsid w:val="00A3529C"/>
    <w:rsid w:val="00A356AA"/>
    <w:rsid w:val="00A3623A"/>
    <w:rsid w:val="00A36314"/>
    <w:rsid w:val="00A373D2"/>
    <w:rsid w:val="00A40161"/>
    <w:rsid w:val="00A42646"/>
    <w:rsid w:val="00A4284C"/>
    <w:rsid w:val="00A458D8"/>
    <w:rsid w:val="00A45D42"/>
    <w:rsid w:val="00A46139"/>
    <w:rsid w:val="00A46D7E"/>
    <w:rsid w:val="00A4CEE6"/>
    <w:rsid w:val="00A50434"/>
    <w:rsid w:val="00A50681"/>
    <w:rsid w:val="00A50F47"/>
    <w:rsid w:val="00A50FDE"/>
    <w:rsid w:val="00A51239"/>
    <w:rsid w:val="00A519B7"/>
    <w:rsid w:val="00A51E2E"/>
    <w:rsid w:val="00A521B9"/>
    <w:rsid w:val="00A52360"/>
    <w:rsid w:val="00A54D64"/>
    <w:rsid w:val="00A54DE3"/>
    <w:rsid w:val="00A54DFE"/>
    <w:rsid w:val="00A56398"/>
    <w:rsid w:val="00A56B09"/>
    <w:rsid w:val="00A56FB4"/>
    <w:rsid w:val="00A57E7F"/>
    <w:rsid w:val="00A603DD"/>
    <w:rsid w:val="00A60FF4"/>
    <w:rsid w:val="00A6211A"/>
    <w:rsid w:val="00A62185"/>
    <w:rsid w:val="00A62554"/>
    <w:rsid w:val="00A62AF7"/>
    <w:rsid w:val="00A6344F"/>
    <w:rsid w:val="00A638E9"/>
    <w:rsid w:val="00A6477B"/>
    <w:rsid w:val="00A65498"/>
    <w:rsid w:val="00A66972"/>
    <w:rsid w:val="00A66B3A"/>
    <w:rsid w:val="00A6730C"/>
    <w:rsid w:val="00A6731B"/>
    <w:rsid w:val="00A67919"/>
    <w:rsid w:val="00A67BE7"/>
    <w:rsid w:val="00A70303"/>
    <w:rsid w:val="00A70D20"/>
    <w:rsid w:val="00A70E25"/>
    <w:rsid w:val="00A70E64"/>
    <w:rsid w:val="00A711E0"/>
    <w:rsid w:val="00A71211"/>
    <w:rsid w:val="00A71352"/>
    <w:rsid w:val="00A71EBC"/>
    <w:rsid w:val="00A72472"/>
    <w:rsid w:val="00A73A47"/>
    <w:rsid w:val="00A7497E"/>
    <w:rsid w:val="00A74F0F"/>
    <w:rsid w:val="00A75F09"/>
    <w:rsid w:val="00A7650A"/>
    <w:rsid w:val="00A766EB"/>
    <w:rsid w:val="00A76B77"/>
    <w:rsid w:val="00A771D9"/>
    <w:rsid w:val="00A772C3"/>
    <w:rsid w:val="00A777D3"/>
    <w:rsid w:val="00A77ABE"/>
    <w:rsid w:val="00A80208"/>
    <w:rsid w:val="00A80419"/>
    <w:rsid w:val="00A80543"/>
    <w:rsid w:val="00A8066A"/>
    <w:rsid w:val="00A81564"/>
    <w:rsid w:val="00A822C0"/>
    <w:rsid w:val="00A8247A"/>
    <w:rsid w:val="00A83245"/>
    <w:rsid w:val="00A84722"/>
    <w:rsid w:val="00A8675C"/>
    <w:rsid w:val="00A91076"/>
    <w:rsid w:val="00A9119B"/>
    <w:rsid w:val="00A91676"/>
    <w:rsid w:val="00A95ACA"/>
    <w:rsid w:val="00A964D4"/>
    <w:rsid w:val="00A96B88"/>
    <w:rsid w:val="00A97E99"/>
    <w:rsid w:val="00AA13E3"/>
    <w:rsid w:val="00AA1A26"/>
    <w:rsid w:val="00AA1E86"/>
    <w:rsid w:val="00AA1F94"/>
    <w:rsid w:val="00AA206C"/>
    <w:rsid w:val="00AA36A6"/>
    <w:rsid w:val="00AA3997"/>
    <w:rsid w:val="00AA494C"/>
    <w:rsid w:val="00AA552A"/>
    <w:rsid w:val="00AA560B"/>
    <w:rsid w:val="00AA5847"/>
    <w:rsid w:val="00AA5C0D"/>
    <w:rsid w:val="00AA5D5D"/>
    <w:rsid w:val="00AA5F7D"/>
    <w:rsid w:val="00AA6240"/>
    <w:rsid w:val="00AA6501"/>
    <w:rsid w:val="00AA6D0E"/>
    <w:rsid w:val="00AA77E6"/>
    <w:rsid w:val="00AB0EEB"/>
    <w:rsid w:val="00AB1678"/>
    <w:rsid w:val="00AB196A"/>
    <w:rsid w:val="00AB29D2"/>
    <w:rsid w:val="00AB2C57"/>
    <w:rsid w:val="00AB42D6"/>
    <w:rsid w:val="00AB4347"/>
    <w:rsid w:val="00AB6765"/>
    <w:rsid w:val="00AB6C6A"/>
    <w:rsid w:val="00AC41EF"/>
    <w:rsid w:val="00AC69B0"/>
    <w:rsid w:val="00AC6EEA"/>
    <w:rsid w:val="00AC7650"/>
    <w:rsid w:val="00AC76EA"/>
    <w:rsid w:val="00AD0575"/>
    <w:rsid w:val="00AD059A"/>
    <w:rsid w:val="00AD0764"/>
    <w:rsid w:val="00AD0AA3"/>
    <w:rsid w:val="00AD0F5A"/>
    <w:rsid w:val="00AD19E6"/>
    <w:rsid w:val="00AD25DC"/>
    <w:rsid w:val="00AD2660"/>
    <w:rsid w:val="00AD3063"/>
    <w:rsid w:val="00AD3273"/>
    <w:rsid w:val="00AD3749"/>
    <w:rsid w:val="00AD41C4"/>
    <w:rsid w:val="00AD56F9"/>
    <w:rsid w:val="00AD5AD7"/>
    <w:rsid w:val="00AD6111"/>
    <w:rsid w:val="00AD6D74"/>
    <w:rsid w:val="00AE02F2"/>
    <w:rsid w:val="00AE048F"/>
    <w:rsid w:val="00AE1538"/>
    <w:rsid w:val="00AE1636"/>
    <w:rsid w:val="00AE1660"/>
    <w:rsid w:val="00AE17D7"/>
    <w:rsid w:val="00AE2DDE"/>
    <w:rsid w:val="00AE2E9B"/>
    <w:rsid w:val="00AE30AB"/>
    <w:rsid w:val="00AE489B"/>
    <w:rsid w:val="00AE4AC6"/>
    <w:rsid w:val="00AE4B5A"/>
    <w:rsid w:val="00AE4E07"/>
    <w:rsid w:val="00AE5141"/>
    <w:rsid w:val="00AE5499"/>
    <w:rsid w:val="00AE5ED9"/>
    <w:rsid w:val="00AE5FDF"/>
    <w:rsid w:val="00AE65AF"/>
    <w:rsid w:val="00AE6BBA"/>
    <w:rsid w:val="00AE6CFC"/>
    <w:rsid w:val="00AE6D2D"/>
    <w:rsid w:val="00AF0143"/>
    <w:rsid w:val="00AF0EC6"/>
    <w:rsid w:val="00AF11F6"/>
    <w:rsid w:val="00AF1BB2"/>
    <w:rsid w:val="00AF28C7"/>
    <w:rsid w:val="00AF2BF1"/>
    <w:rsid w:val="00AF3576"/>
    <w:rsid w:val="00AF71D1"/>
    <w:rsid w:val="00AF7211"/>
    <w:rsid w:val="00B00DC4"/>
    <w:rsid w:val="00B00E34"/>
    <w:rsid w:val="00B00F1A"/>
    <w:rsid w:val="00B0296E"/>
    <w:rsid w:val="00B038DE"/>
    <w:rsid w:val="00B03F6B"/>
    <w:rsid w:val="00B04B33"/>
    <w:rsid w:val="00B04E54"/>
    <w:rsid w:val="00B05306"/>
    <w:rsid w:val="00B05447"/>
    <w:rsid w:val="00B055B3"/>
    <w:rsid w:val="00B05BA0"/>
    <w:rsid w:val="00B07840"/>
    <w:rsid w:val="00B07B93"/>
    <w:rsid w:val="00B07D83"/>
    <w:rsid w:val="00B07E7A"/>
    <w:rsid w:val="00B124EA"/>
    <w:rsid w:val="00B12D0D"/>
    <w:rsid w:val="00B145FE"/>
    <w:rsid w:val="00B15976"/>
    <w:rsid w:val="00B168AB"/>
    <w:rsid w:val="00B17870"/>
    <w:rsid w:val="00B17933"/>
    <w:rsid w:val="00B17C06"/>
    <w:rsid w:val="00B20158"/>
    <w:rsid w:val="00B213D1"/>
    <w:rsid w:val="00B2144D"/>
    <w:rsid w:val="00B217B8"/>
    <w:rsid w:val="00B21B65"/>
    <w:rsid w:val="00B21F6F"/>
    <w:rsid w:val="00B233F2"/>
    <w:rsid w:val="00B23D78"/>
    <w:rsid w:val="00B24F74"/>
    <w:rsid w:val="00B25EDE"/>
    <w:rsid w:val="00B26F7F"/>
    <w:rsid w:val="00B276AC"/>
    <w:rsid w:val="00B30396"/>
    <w:rsid w:val="00B310C5"/>
    <w:rsid w:val="00B32CDB"/>
    <w:rsid w:val="00B332BA"/>
    <w:rsid w:val="00B336FE"/>
    <w:rsid w:val="00B3379E"/>
    <w:rsid w:val="00B34107"/>
    <w:rsid w:val="00B34B99"/>
    <w:rsid w:val="00B3519A"/>
    <w:rsid w:val="00B352B0"/>
    <w:rsid w:val="00B36022"/>
    <w:rsid w:val="00B368FA"/>
    <w:rsid w:val="00B3771A"/>
    <w:rsid w:val="00B37A77"/>
    <w:rsid w:val="00B4122A"/>
    <w:rsid w:val="00B431E4"/>
    <w:rsid w:val="00B44877"/>
    <w:rsid w:val="00B460DA"/>
    <w:rsid w:val="00B47A9D"/>
    <w:rsid w:val="00B50B55"/>
    <w:rsid w:val="00B51F65"/>
    <w:rsid w:val="00B52593"/>
    <w:rsid w:val="00B52AE6"/>
    <w:rsid w:val="00B53F0E"/>
    <w:rsid w:val="00B544B8"/>
    <w:rsid w:val="00B54822"/>
    <w:rsid w:val="00B54D0D"/>
    <w:rsid w:val="00B54FBD"/>
    <w:rsid w:val="00B56C2C"/>
    <w:rsid w:val="00B57FBD"/>
    <w:rsid w:val="00B6139A"/>
    <w:rsid w:val="00B636FF"/>
    <w:rsid w:val="00B64033"/>
    <w:rsid w:val="00B64496"/>
    <w:rsid w:val="00B65074"/>
    <w:rsid w:val="00B657A3"/>
    <w:rsid w:val="00B65941"/>
    <w:rsid w:val="00B66855"/>
    <w:rsid w:val="00B669B8"/>
    <w:rsid w:val="00B66D2E"/>
    <w:rsid w:val="00B678AB"/>
    <w:rsid w:val="00B67A17"/>
    <w:rsid w:val="00B701D0"/>
    <w:rsid w:val="00B70AF9"/>
    <w:rsid w:val="00B70DB1"/>
    <w:rsid w:val="00B711DF"/>
    <w:rsid w:val="00B71651"/>
    <w:rsid w:val="00B717DC"/>
    <w:rsid w:val="00B72BC0"/>
    <w:rsid w:val="00B74262"/>
    <w:rsid w:val="00B74D59"/>
    <w:rsid w:val="00B76099"/>
    <w:rsid w:val="00B76800"/>
    <w:rsid w:val="00B77681"/>
    <w:rsid w:val="00B77B06"/>
    <w:rsid w:val="00B77F17"/>
    <w:rsid w:val="00B807C4"/>
    <w:rsid w:val="00B80B07"/>
    <w:rsid w:val="00B80F04"/>
    <w:rsid w:val="00B81E2D"/>
    <w:rsid w:val="00B81FEB"/>
    <w:rsid w:val="00B822A0"/>
    <w:rsid w:val="00B8267F"/>
    <w:rsid w:val="00B84268"/>
    <w:rsid w:val="00B84420"/>
    <w:rsid w:val="00B84AF9"/>
    <w:rsid w:val="00B84DB2"/>
    <w:rsid w:val="00B84FFA"/>
    <w:rsid w:val="00B85C31"/>
    <w:rsid w:val="00B87984"/>
    <w:rsid w:val="00B9197E"/>
    <w:rsid w:val="00B919AD"/>
    <w:rsid w:val="00B91FD9"/>
    <w:rsid w:val="00B925C2"/>
    <w:rsid w:val="00B92B48"/>
    <w:rsid w:val="00B92F6F"/>
    <w:rsid w:val="00B93028"/>
    <w:rsid w:val="00B938FE"/>
    <w:rsid w:val="00B93D36"/>
    <w:rsid w:val="00B9476E"/>
    <w:rsid w:val="00B95218"/>
    <w:rsid w:val="00B9523D"/>
    <w:rsid w:val="00B96343"/>
    <w:rsid w:val="00B967A4"/>
    <w:rsid w:val="00BA0245"/>
    <w:rsid w:val="00BA4731"/>
    <w:rsid w:val="00BA50D9"/>
    <w:rsid w:val="00BA532C"/>
    <w:rsid w:val="00BA57B8"/>
    <w:rsid w:val="00BA6502"/>
    <w:rsid w:val="00BA67F5"/>
    <w:rsid w:val="00BA7830"/>
    <w:rsid w:val="00BB0C95"/>
    <w:rsid w:val="00BB10EC"/>
    <w:rsid w:val="00BB2A02"/>
    <w:rsid w:val="00BB453D"/>
    <w:rsid w:val="00BB5F6C"/>
    <w:rsid w:val="00BB5FBC"/>
    <w:rsid w:val="00BB65AF"/>
    <w:rsid w:val="00BB700F"/>
    <w:rsid w:val="00BB786E"/>
    <w:rsid w:val="00BC06A3"/>
    <w:rsid w:val="00BC1F81"/>
    <w:rsid w:val="00BC2234"/>
    <w:rsid w:val="00BC2D53"/>
    <w:rsid w:val="00BC3525"/>
    <w:rsid w:val="00BC36EA"/>
    <w:rsid w:val="00BC3732"/>
    <w:rsid w:val="00BC39F1"/>
    <w:rsid w:val="00BC5052"/>
    <w:rsid w:val="00BC5575"/>
    <w:rsid w:val="00BC55B3"/>
    <w:rsid w:val="00BC5C33"/>
    <w:rsid w:val="00BC708B"/>
    <w:rsid w:val="00BD1102"/>
    <w:rsid w:val="00BD234D"/>
    <w:rsid w:val="00BD3294"/>
    <w:rsid w:val="00BD32C3"/>
    <w:rsid w:val="00BD4BAC"/>
    <w:rsid w:val="00BD5A66"/>
    <w:rsid w:val="00BD76BF"/>
    <w:rsid w:val="00BE0030"/>
    <w:rsid w:val="00BE0A26"/>
    <w:rsid w:val="00BE32C4"/>
    <w:rsid w:val="00BE40F3"/>
    <w:rsid w:val="00BE461D"/>
    <w:rsid w:val="00BE506C"/>
    <w:rsid w:val="00BE654E"/>
    <w:rsid w:val="00BE6D07"/>
    <w:rsid w:val="00BF0787"/>
    <w:rsid w:val="00BF0D1D"/>
    <w:rsid w:val="00BF1558"/>
    <w:rsid w:val="00BF1AE2"/>
    <w:rsid w:val="00BF2CB9"/>
    <w:rsid w:val="00BF31C8"/>
    <w:rsid w:val="00BF38C0"/>
    <w:rsid w:val="00BF43FA"/>
    <w:rsid w:val="00BF4DC5"/>
    <w:rsid w:val="00BF5AF1"/>
    <w:rsid w:val="00BF5D4A"/>
    <w:rsid w:val="00C009EF"/>
    <w:rsid w:val="00C02BE0"/>
    <w:rsid w:val="00C02C93"/>
    <w:rsid w:val="00C02F0F"/>
    <w:rsid w:val="00C052E6"/>
    <w:rsid w:val="00C0550B"/>
    <w:rsid w:val="00C05740"/>
    <w:rsid w:val="00C05E8B"/>
    <w:rsid w:val="00C06884"/>
    <w:rsid w:val="00C1003A"/>
    <w:rsid w:val="00C10350"/>
    <w:rsid w:val="00C108AB"/>
    <w:rsid w:val="00C119A4"/>
    <w:rsid w:val="00C1364B"/>
    <w:rsid w:val="00C13D88"/>
    <w:rsid w:val="00C13EAD"/>
    <w:rsid w:val="00C150B5"/>
    <w:rsid w:val="00C16401"/>
    <w:rsid w:val="00C16ADD"/>
    <w:rsid w:val="00C1734D"/>
    <w:rsid w:val="00C206F9"/>
    <w:rsid w:val="00C22D0B"/>
    <w:rsid w:val="00C22DF6"/>
    <w:rsid w:val="00C23237"/>
    <w:rsid w:val="00C232F0"/>
    <w:rsid w:val="00C245AD"/>
    <w:rsid w:val="00C2514D"/>
    <w:rsid w:val="00C25405"/>
    <w:rsid w:val="00C25A0C"/>
    <w:rsid w:val="00C26CC9"/>
    <w:rsid w:val="00C2793C"/>
    <w:rsid w:val="00C3008E"/>
    <w:rsid w:val="00C3031F"/>
    <w:rsid w:val="00C3137E"/>
    <w:rsid w:val="00C31767"/>
    <w:rsid w:val="00C32A9C"/>
    <w:rsid w:val="00C334CA"/>
    <w:rsid w:val="00C3386B"/>
    <w:rsid w:val="00C33972"/>
    <w:rsid w:val="00C33D73"/>
    <w:rsid w:val="00C3438A"/>
    <w:rsid w:val="00C345AE"/>
    <w:rsid w:val="00C36BDA"/>
    <w:rsid w:val="00C36FE0"/>
    <w:rsid w:val="00C40CB1"/>
    <w:rsid w:val="00C41217"/>
    <w:rsid w:val="00C4201D"/>
    <w:rsid w:val="00C427ED"/>
    <w:rsid w:val="00C43A83"/>
    <w:rsid w:val="00C4451E"/>
    <w:rsid w:val="00C44928"/>
    <w:rsid w:val="00C45036"/>
    <w:rsid w:val="00C456B5"/>
    <w:rsid w:val="00C46384"/>
    <w:rsid w:val="00C50CBD"/>
    <w:rsid w:val="00C5282A"/>
    <w:rsid w:val="00C54865"/>
    <w:rsid w:val="00C55339"/>
    <w:rsid w:val="00C55617"/>
    <w:rsid w:val="00C60C38"/>
    <w:rsid w:val="00C610A2"/>
    <w:rsid w:val="00C61A2F"/>
    <w:rsid w:val="00C62289"/>
    <w:rsid w:val="00C6238A"/>
    <w:rsid w:val="00C62703"/>
    <w:rsid w:val="00C62AE7"/>
    <w:rsid w:val="00C63091"/>
    <w:rsid w:val="00C639C6"/>
    <w:rsid w:val="00C64217"/>
    <w:rsid w:val="00C6493C"/>
    <w:rsid w:val="00C653E6"/>
    <w:rsid w:val="00C65E16"/>
    <w:rsid w:val="00C6641E"/>
    <w:rsid w:val="00C66AE0"/>
    <w:rsid w:val="00C6728D"/>
    <w:rsid w:val="00C707B0"/>
    <w:rsid w:val="00C70824"/>
    <w:rsid w:val="00C71082"/>
    <w:rsid w:val="00C714B9"/>
    <w:rsid w:val="00C7168B"/>
    <w:rsid w:val="00C7196A"/>
    <w:rsid w:val="00C73931"/>
    <w:rsid w:val="00C7462E"/>
    <w:rsid w:val="00C7478D"/>
    <w:rsid w:val="00C75D4F"/>
    <w:rsid w:val="00C7641C"/>
    <w:rsid w:val="00C80F9E"/>
    <w:rsid w:val="00C8273A"/>
    <w:rsid w:val="00C828BB"/>
    <w:rsid w:val="00C82D65"/>
    <w:rsid w:val="00C83272"/>
    <w:rsid w:val="00C850C0"/>
    <w:rsid w:val="00C851AD"/>
    <w:rsid w:val="00C85A30"/>
    <w:rsid w:val="00C85DA0"/>
    <w:rsid w:val="00C901FA"/>
    <w:rsid w:val="00C90292"/>
    <w:rsid w:val="00C923E2"/>
    <w:rsid w:val="00C929EB"/>
    <w:rsid w:val="00C92AD3"/>
    <w:rsid w:val="00C92BEB"/>
    <w:rsid w:val="00C93AC4"/>
    <w:rsid w:val="00C94246"/>
    <w:rsid w:val="00C9476A"/>
    <w:rsid w:val="00C956BA"/>
    <w:rsid w:val="00C96A16"/>
    <w:rsid w:val="00C96BE3"/>
    <w:rsid w:val="00C9769F"/>
    <w:rsid w:val="00C976A0"/>
    <w:rsid w:val="00C977A8"/>
    <w:rsid w:val="00CA0D9F"/>
    <w:rsid w:val="00CA12BF"/>
    <w:rsid w:val="00CA24A0"/>
    <w:rsid w:val="00CA2701"/>
    <w:rsid w:val="00CA2F28"/>
    <w:rsid w:val="00CA30DA"/>
    <w:rsid w:val="00CA34E3"/>
    <w:rsid w:val="00CA3FCF"/>
    <w:rsid w:val="00CA3FF1"/>
    <w:rsid w:val="00CA6A25"/>
    <w:rsid w:val="00CA6CBE"/>
    <w:rsid w:val="00CA792A"/>
    <w:rsid w:val="00CA7F7F"/>
    <w:rsid w:val="00CB03C9"/>
    <w:rsid w:val="00CB0DA6"/>
    <w:rsid w:val="00CB1062"/>
    <w:rsid w:val="00CB52E6"/>
    <w:rsid w:val="00CB5782"/>
    <w:rsid w:val="00CB697B"/>
    <w:rsid w:val="00CB6DBA"/>
    <w:rsid w:val="00CB755A"/>
    <w:rsid w:val="00CC03DB"/>
    <w:rsid w:val="00CC087D"/>
    <w:rsid w:val="00CC268B"/>
    <w:rsid w:val="00CC3495"/>
    <w:rsid w:val="00CC3885"/>
    <w:rsid w:val="00CC3C41"/>
    <w:rsid w:val="00CC3C9D"/>
    <w:rsid w:val="00CC3CF4"/>
    <w:rsid w:val="00CC3DE1"/>
    <w:rsid w:val="00CC44D6"/>
    <w:rsid w:val="00CC47B3"/>
    <w:rsid w:val="00CC47F0"/>
    <w:rsid w:val="00CC497A"/>
    <w:rsid w:val="00CC4D7A"/>
    <w:rsid w:val="00CC5104"/>
    <w:rsid w:val="00CC64B8"/>
    <w:rsid w:val="00CC71B0"/>
    <w:rsid w:val="00CC7202"/>
    <w:rsid w:val="00CC775E"/>
    <w:rsid w:val="00CC782D"/>
    <w:rsid w:val="00CD09AC"/>
    <w:rsid w:val="00CD17B3"/>
    <w:rsid w:val="00CD1C10"/>
    <w:rsid w:val="00CD25EC"/>
    <w:rsid w:val="00CD28CB"/>
    <w:rsid w:val="00CD3C4F"/>
    <w:rsid w:val="00CD5159"/>
    <w:rsid w:val="00CD5C51"/>
    <w:rsid w:val="00CD5F31"/>
    <w:rsid w:val="00CD61EA"/>
    <w:rsid w:val="00CD6379"/>
    <w:rsid w:val="00CD6FA0"/>
    <w:rsid w:val="00CD6FE4"/>
    <w:rsid w:val="00CE14BB"/>
    <w:rsid w:val="00CE1B89"/>
    <w:rsid w:val="00CE1E53"/>
    <w:rsid w:val="00CE1F16"/>
    <w:rsid w:val="00CE2C6C"/>
    <w:rsid w:val="00CE352B"/>
    <w:rsid w:val="00CE3ACA"/>
    <w:rsid w:val="00CE4ED8"/>
    <w:rsid w:val="00CE69D0"/>
    <w:rsid w:val="00CE794C"/>
    <w:rsid w:val="00CF0670"/>
    <w:rsid w:val="00CF225D"/>
    <w:rsid w:val="00CF3247"/>
    <w:rsid w:val="00CF3911"/>
    <w:rsid w:val="00CF4AB0"/>
    <w:rsid w:val="00CF540C"/>
    <w:rsid w:val="00CF6968"/>
    <w:rsid w:val="00CF6B14"/>
    <w:rsid w:val="00D0108A"/>
    <w:rsid w:val="00D0109C"/>
    <w:rsid w:val="00D012C5"/>
    <w:rsid w:val="00D01A1C"/>
    <w:rsid w:val="00D0237C"/>
    <w:rsid w:val="00D02658"/>
    <w:rsid w:val="00D0315F"/>
    <w:rsid w:val="00D03921"/>
    <w:rsid w:val="00D05281"/>
    <w:rsid w:val="00D05AE1"/>
    <w:rsid w:val="00D06E55"/>
    <w:rsid w:val="00D077D6"/>
    <w:rsid w:val="00D100BE"/>
    <w:rsid w:val="00D10F88"/>
    <w:rsid w:val="00D11860"/>
    <w:rsid w:val="00D12CF7"/>
    <w:rsid w:val="00D1305D"/>
    <w:rsid w:val="00D13079"/>
    <w:rsid w:val="00D13D02"/>
    <w:rsid w:val="00D147C7"/>
    <w:rsid w:val="00D14A78"/>
    <w:rsid w:val="00D15795"/>
    <w:rsid w:val="00D15DC5"/>
    <w:rsid w:val="00D16C76"/>
    <w:rsid w:val="00D175BE"/>
    <w:rsid w:val="00D17E94"/>
    <w:rsid w:val="00D2170B"/>
    <w:rsid w:val="00D22861"/>
    <w:rsid w:val="00D22D2A"/>
    <w:rsid w:val="00D236D5"/>
    <w:rsid w:val="00D257B7"/>
    <w:rsid w:val="00D26B86"/>
    <w:rsid w:val="00D30E92"/>
    <w:rsid w:val="00D31679"/>
    <w:rsid w:val="00D3173D"/>
    <w:rsid w:val="00D32574"/>
    <w:rsid w:val="00D32707"/>
    <w:rsid w:val="00D32C0B"/>
    <w:rsid w:val="00D32F8F"/>
    <w:rsid w:val="00D33CB8"/>
    <w:rsid w:val="00D33D55"/>
    <w:rsid w:val="00D33FAC"/>
    <w:rsid w:val="00D358DB"/>
    <w:rsid w:val="00D35EA4"/>
    <w:rsid w:val="00D36BA3"/>
    <w:rsid w:val="00D39076"/>
    <w:rsid w:val="00D3BD07"/>
    <w:rsid w:val="00D402BF"/>
    <w:rsid w:val="00D418BB"/>
    <w:rsid w:val="00D41F50"/>
    <w:rsid w:val="00D42107"/>
    <w:rsid w:val="00D43925"/>
    <w:rsid w:val="00D44B1A"/>
    <w:rsid w:val="00D44C5C"/>
    <w:rsid w:val="00D46529"/>
    <w:rsid w:val="00D4677A"/>
    <w:rsid w:val="00D468E2"/>
    <w:rsid w:val="00D47461"/>
    <w:rsid w:val="00D47B2B"/>
    <w:rsid w:val="00D53275"/>
    <w:rsid w:val="00D53DB3"/>
    <w:rsid w:val="00D54290"/>
    <w:rsid w:val="00D5439C"/>
    <w:rsid w:val="00D57E5E"/>
    <w:rsid w:val="00D61EEE"/>
    <w:rsid w:val="00D622B6"/>
    <w:rsid w:val="00D623DC"/>
    <w:rsid w:val="00D63097"/>
    <w:rsid w:val="00D635D6"/>
    <w:rsid w:val="00D64498"/>
    <w:rsid w:val="00D7067A"/>
    <w:rsid w:val="00D710F6"/>
    <w:rsid w:val="00D71961"/>
    <w:rsid w:val="00D71CBE"/>
    <w:rsid w:val="00D72E12"/>
    <w:rsid w:val="00D751F4"/>
    <w:rsid w:val="00D754D1"/>
    <w:rsid w:val="00D80B5C"/>
    <w:rsid w:val="00D80F59"/>
    <w:rsid w:val="00D80FC6"/>
    <w:rsid w:val="00D816C1"/>
    <w:rsid w:val="00D82376"/>
    <w:rsid w:val="00D8538D"/>
    <w:rsid w:val="00D859FC"/>
    <w:rsid w:val="00D86D6D"/>
    <w:rsid w:val="00D878CA"/>
    <w:rsid w:val="00D87A68"/>
    <w:rsid w:val="00D9036A"/>
    <w:rsid w:val="00D90C97"/>
    <w:rsid w:val="00D91385"/>
    <w:rsid w:val="00D91756"/>
    <w:rsid w:val="00D923F0"/>
    <w:rsid w:val="00D935D8"/>
    <w:rsid w:val="00D93C92"/>
    <w:rsid w:val="00D944B2"/>
    <w:rsid w:val="00D94E20"/>
    <w:rsid w:val="00D9583B"/>
    <w:rsid w:val="00D96224"/>
    <w:rsid w:val="00D96B58"/>
    <w:rsid w:val="00D96F90"/>
    <w:rsid w:val="00D9762A"/>
    <w:rsid w:val="00DA005E"/>
    <w:rsid w:val="00DA0331"/>
    <w:rsid w:val="00DA096A"/>
    <w:rsid w:val="00DA0B0D"/>
    <w:rsid w:val="00DA0E52"/>
    <w:rsid w:val="00DA1A93"/>
    <w:rsid w:val="00DA21BF"/>
    <w:rsid w:val="00DA30CE"/>
    <w:rsid w:val="00DA5193"/>
    <w:rsid w:val="00DA5690"/>
    <w:rsid w:val="00DA6179"/>
    <w:rsid w:val="00DA6B49"/>
    <w:rsid w:val="00DB14A7"/>
    <w:rsid w:val="00DB14E0"/>
    <w:rsid w:val="00DB194E"/>
    <w:rsid w:val="00DB1CDF"/>
    <w:rsid w:val="00DB2C08"/>
    <w:rsid w:val="00DB5BEB"/>
    <w:rsid w:val="00DB5C4C"/>
    <w:rsid w:val="00DB6B9B"/>
    <w:rsid w:val="00DB706B"/>
    <w:rsid w:val="00DB7314"/>
    <w:rsid w:val="00DC0665"/>
    <w:rsid w:val="00DC0704"/>
    <w:rsid w:val="00DC0A9D"/>
    <w:rsid w:val="00DC0AB1"/>
    <w:rsid w:val="00DC200C"/>
    <w:rsid w:val="00DC22B3"/>
    <w:rsid w:val="00DC2A2A"/>
    <w:rsid w:val="00DC4038"/>
    <w:rsid w:val="00DC50C3"/>
    <w:rsid w:val="00DC564D"/>
    <w:rsid w:val="00DC5CFD"/>
    <w:rsid w:val="00DC64CE"/>
    <w:rsid w:val="00DC7081"/>
    <w:rsid w:val="00DC7F61"/>
    <w:rsid w:val="00DD0EAC"/>
    <w:rsid w:val="00DD162B"/>
    <w:rsid w:val="00DD23AD"/>
    <w:rsid w:val="00DD4668"/>
    <w:rsid w:val="00DD4E79"/>
    <w:rsid w:val="00DD4EEE"/>
    <w:rsid w:val="00DD5C75"/>
    <w:rsid w:val="00DD6232"/>
    <w:rsid w:val="00DD64F9"/>
    <w:rsid w:val="00DD7E70"/>
    <w:rsid w:val="00DE046A"/>
    <w:rsid w:val="00DE05C0"/>
    <w:rsid w:val="00DE101E"/>
    <w:rsid w:val="00DE2A2E"/>
    <w:rsid w:val="00DE2A97"/>
    <w:rsid w:val="00DE498A"/>
    <w:rsid w:val="00DE4E87"/>
    <w:rsid w:val="00DE4F1B"/>
    <w:rsid w:val="00DE59D6"/>
    <w:rsid w:val="00DE7A80"/>
    <w:rsid w:val="00DF08C4"/>
    <w:rsid w:val="00DF0A5E"/>
    <w:rsid w:val="00DF141B"/>
    <w:rsid w:val="00DF146E"/>
    <w:rsid w:val="00DF2C17"/>
    <w:rsid w:val="00DF49D4"/>
    <w:rsid w:val="00DF5226"/>
    <w:rsid w:val="00DF789C"/>
    <w:rsid w:val="00E018FE"/>
    <w:rsid w:val="00E02257"/>
    <w:rsid w:val="00E02E31"/>
    <w:rsid w:val="00E03DF0"/>
    <w:rsid w:val="00E04995"/>
    <w:rsid w:val="00E059AA"/>
    <w:rsid w:val="00E05FD4"/>
    <w:rsid w:val="00E060A9"/>
    <w:rsid w:val="00E07834"/>
    <w:rsid w:val="00E1035C"/>
    <w:rsid w:val="00E111D3"/>
    <w:rsid w:val="00E119FA"/>
    <w:rsid w:val="00E11A99"/>
    <w:rsid w:val="00E125A1"/>
    <w:rsid w:val="00E13191"/>
    <w:rsid w:val="00E13515"/>
    <w:rsid w:val="00E1393D"/>
    <w:rsid w:val="00E13C25"/>
    <w:rsid w:val="00E14F89"/>
    <w:rsid w:val="00E17F4C"/>
    <w:rsid w:val="00E2084F"/>
    <w:rsid w:val="00E20D47"/>
    <w:rsid w:val="00E21E78"/>
    <w:rsid w:val="00E23EC6"/>
    <w:rsid w:val="00E24AA9"/>
    <w:rsid w:val="00E25588"/>
    <w:rsid w:val="00E255E0"/>
    <w:rsid w:val="00E25941"/>
    <w:rsid w:val="00E259FB"/>
    <w:rsid w:val="00E261FF"/>
    <w:rsid w:val="00E26A72"/>
    <w:rsid w:val="00E26AB3"/>
    <w:rsid w:val="00E27006"/>
    <w:rsid w:val="00E271CC"/>
    <w:rsid w:val="00E27D4B"/>
    <w:rsid w:val="00E31CED"/>
    <w:rsid w:val="00E31DE2"/>
    <w:rsid w:val="00E32994"/>
    <w:rsid w:val="00E33830"/>
    <w:rsid w:val="00E3405F"/>
    <w:rsid w:val="00E343DA"/>
    <w:rsid w:val="00E34A13"/>
    <w:rsid w:val="00E350FA"/>
    <w:rsid w:val="00E369B2"/>
    <w:rsid w:val="00E36AD9"/>
    <w:rsid w:val="00E371A7"/>
    <w:rsid w:val="00E417DA"/>
    <w:rsid w:val="00E41987"/>
    <w:rsid w:val="00E43024"/>
    <w:rsid w:val="00E4307D"/>
    <w:rsid w:val="00E4332F"/>
    <w:rsid w:val="00E4356E"/>
    <w:rsid w:val="00E44DEA"/>
    <w:rsid w:val="00E45414"/>
    <w:rsid w:val="00E455B8"/>
    <w:rsid w:val="00E458A7"/>
    <w:rsid w:val="00E46DDF"/>
    <w:rsid w:val="00E471D4"/>
    <w:rsid w:val="00E47908"/>
    <w:rsid w:val="00E51196"/>
    <w:rsid w:val="00E51B52"/>
    <w:rsid w:val="00E51BE7"/>
    <w:rsid w:val="00E5215B"/>
    <w:rsid w:val="00E52253"/>
    <w:rsid w:val="00E52396"/>
    <w:rsid w:val="00E5290F"/>
    <w:rsid w:val="00E535DF"/>
    <w:rsid w:val="00E54900"/>
    <w:rsid w:val="00E56F1A"/>
    <w:rsid w:val="00E56F8F"/>
    <w:rsid w:val="00E60A5B"/>
    <w:rsid w:val="00E60DB7"/>
    <w:rsid w:val="00E626DC"/>
    <w:rsid w:val="00E6283C"/>
    <w:rsid w:val="00E62A0E"/>
    <w:rsid w:val="00E64234"/>
    <w:rsid w:val="00E647FA"/>
    <w:rsid w:val="00E667CC"/>
    <w:rsid w:val="00E66BDE"/>
    <w:rsid w:val="00E67DB3"/>
    <w:rsid w:val="00E7195C"/>
    <w:rsid w:val="00E71E2C"/>
    <w:rsid w:val="00E7207D"/>
    <w:rsid w:val="00E7225B"/>
    <w:rsid w:val="00E72545"/>
    <w:rsid w:val="00E73AAB"/>
    <w:rsid w:val="00E73DD0"/>
    <w:rsid w:val="00E74978"/>
    <w:rsid w:val="00E74FCB"/>
    <w:rsid w:val="00E762D6"/>
    <w:rsid w:val="00E76DA1"/>
    <w:rsid w:val="00E77504"/>
    <w:rsid w:val="00E80018"/>
    <w:rsid w:val="00E8003A"/>
    <w:rsid w:val="00E815E2"/>
    <w:rsid w:val="00E818D4"/>
    <w:rsid w:val="00E83306"/>
    <w:rsid w:val="00E83ACC"/>
    <w:rsid w:val="00E849A0"/>
    <w:rsid w:val="00E85130"/>
    <w:rsid w:val="00E86287"/>
    <w:rsid w:val="00E86A35"/>
    <w:rsid w:val="00E914D2"/>
    <w:rsid w:val="00E9217C"/>
    <w:rsid w:val="00E92740"/>
    <w:rsid w:val="00E93596"/>
    <w:rsid w:val="00E937B6"/>
    <w:rsid w:val="00E9396B"/>
    <w:rsid w:val="00E93984"/>
    <w:rsid w:val="00E942AD"/>
    <w:rsid w:val="00E9530D"/>
    <w:rsid w:val="00E954B4"/>
    <w:rsid w:val="00E97108"/>
    <w:rsid w:val="00E97119"/>
    <w:rsid w:val="00EA02BB"/>
    <w:rsid w:val="00EA3214"/>
    <w:rsid w:val="00EA363F"/>
    <w:rsid w:val="00EA593D"/>
    <w:rsid w:val="00EA5940"/>
    <w:rsid w:val="00EA6355"/>
    <w:rsid w:val="00EA6B6A"/>
    <w:rsid w:val="00EA713B"/>
    <w:rsid w:val="00EA72AB"/>
    <w:rsid w:val="00EB071F"/>
    <w:rsid w:val="00EB0966"/>
    <w:rsid w:val="00EB11E3"/>
    <w:rsid w:val="00EB1D10"/>
    <w:rsid w:val="00EB26F8"/>
    <w:rsid w:val="00EB32CD"/>
    <w:rsid w:val="00EB389B"/>
    <w:rsid w:val="00EB3CB3"/>
    <w:rsid w:val="00EB5266"/>
    <w:rsid w:val="00EB5430"/>
    <w:rsid w:val="00EB5518"/>
    <w:rsid w:val="00EB59EF"/>
    <w:rsid w:val="00EB5C08"/>
    <w:rsid w:val="00EB6FF0"/>
    <w:rsid w:val="00EB701C"/>
    <w:rsid w:val="00EB70A1"/>
    <w:rsid w:val="00EB730D"/>
    <w:rsid w:val="00EB74AD"/>
    <w:rsid w:val="00EC11D8"/>
    <w:rsid w:val="00EC21A6"/>
    <w:rsid w:val="00EC2E82"/>
    <w:rsid w:val="00EC35C8"/>
    <w:rsid w:val="00EC369F"/>
    <w:rsid w:val="00EC431B"/>
    <w:rsid w:val="00EC4843"/>
    <w:rsid w:val="00EC49D0"/>
    <w:rsid w:val="00EC4F4B"/>
    <w:rsid w:val="00EC5293"/>
    <w:rsid w:val="00EC5CC3"/>
    <w:rsid w:val="00EC6AEB"/>
    <w:rsid w:val="00EC780F"/>
    <w:rsid w:val="00ED1716"/>
    <w:rsid w:val="00ED1E9B"/>
    <w:rsid w:val="00ED1FD1"/>
    <w:rsid w:val="00ED2436"/>
    <w:rsid w:val="00ED26FF"/>
    <w:rsid w:val="00ED3084"/>
    <w:rsid w:val="00ED324A"/>
    <w:rsid w:val="00ED44BA"/>
    <w:rsid w:val="00ED475D"/>
    <w:rsid w:val="00ED4BE1"/>
    <w:rsid w:val="00ED5B83"/>
    <w:rsid w:val="00ED6631"/>
    <w:rsid w:val="00ED6996"/>
    <w:rsid w:val="00ED6FAC"/>
    <w:rsid w:val="00ED7480"/>
    <w:rsid w:val="00ED74C4"/>
    <w:rsid w:val="00ED75C3"/>
    <w:rsid w:val="00ED7DAC"/>
    <w:rsid w:val="00EE0CCE"/>
    <w:rsid w:val="00EE2395"/>
    <w:rsid w:val="00EE2653"/>
    <w:rsid w:val="00EE42DD"/>
    <w:rsid w:val="00EE4ADD"/>
    <w:rsid w:val="00EE5FE8"/>
    <w:rsid w:val="00EE6724"/>
    <w:rsid w:val="00EE6ADD"/>
    <w:rsid w:val="00EE7D37"/>
    <w:rsid w:val="00EE7EAD"/>
    <w:rsid w:val="00EE7F6D"/>
    <w:rsid w:val="00EF0A9A"/>
    <w:rsid w:val="00EF1ACD"/>
    <w:rsid w:val="00EF1B08"/>
    <w:rsid w:val="00EF24DD"/>
    <w:rsid w:val="00EF435F"/>
    <w:rsid w:val="00EF4652"/>
    <w:rsid w:val="00EF4CD4"/>
    <w:rsid w:val="00EF558D"/>
    <w:rsid w:val="00EF584E"/>
    <w:rsid w:val="00EF68D1"/>
    <w:rsid w:val="00EF6983"/>
    <w:rsid w:val="00EF6AC0"/>
    <w:rsid w:val="00EF6BE7"/>
    <w:rsid w:val="00EF6BFC"/>
    <w:rsid w:val="00EF6DAD"/>
    <w:rsid w:val="00EF712C"/>
    <w:rsid w:val="00F000E4"/>
    <w:rsid w:val="00F003D5"/>
    <w:rsid w:val="00F00FE0"/>
    <w:rsid w:val="00F013E1"/>
    <w:rsid w:val="00F01A45"/>
    <w:rsid w:val="00F02120"/>
    <w:rsid w:val="00F023DA"/>
    <w:rsid w:val="00F06BB1"/>
    <w:rsid w:val="00F06F8F"/>
    <w:rsid w:val="00F10D7A"/>
    <w:rsid w:val="00F11BA7"/>
    <w:rsid w:val="00F125EF"/>
    <w:rsid w:val="00F132D9"/>
    <w:rsid w:val="00F137BC"/>
    <w:rsid w:val="00F1436A"/>
    <w:rsid w:val="00F164D5"/>
    <w:rsid w:val="00F167F2"/>
    <w:rsid w:val="00F2118F"/>
    <w:rsid w:val="00F211AC"/>
    <w:rsid w:val="00F2206C"/>
    <w:rsid w:val="00F22A1A"/>
    <w:rsid w:val="00F23791"/>
    <w:rsid w:val="00F23D16"/>
    <w:rsid w:val="00F2408C"/>
    <w:rsid w:val="00F24352"/>
    <w:rsid w:val="00F244EA"/>
    <w:rsid w:val="00F2769B"/>
    <w:rsid w:val="00F2782B"/>
    <w:rsid w:val="00F27DFB"/>
    <w:rsid w:val="00F27E8C"/>
    <w:rsid w:val="00F30800"/>
    <w:rsid w:val="00F310DD"/>
    <w:rsid w:val="00F31B42"/>
    <w:rsid w:val="00F31B73"/>
    <w:rsid w:val="00F324C8"/>
    <w:rsid w:val="00F32534"/>
    <w:rsid w:val="00F339D7"/>
    <w:rsid w:val="00F33A35"/>
    <w:rsid w:val="00F35519"/>
    <w:rsid w:val="00F357ED"/>
    <w:rsid w:val="00F408B0"/>
    <w:rsid w:val="00F418BC"/>
    <w:rsid w:val="00F421B6"/>
    <w:rsid w:val="00F430DA"/>
    <w:rsid w:val="00F43B2C"/>
    <w:rsid w:val="00F43C39"/>
    <w:rsid w:val="00F442B2"/>
    <w:rsid w:val="00F44790"/>
    <w:rsid w:val="00F44D8B"/>
    <w:rsid w:val="00F44EE3"/>
    <w:rsid w:val="00F45E6F"/>
    <w:rsid w:val="00F466E5"/>
    <w:rsid w:val="00F50683"/>
    <w:rsid w:val="00F50B29"/>
    <w:rsid w:val="00F50D53"/>
    <w:rsid w:val="00F51539"/>
    <w:rsid w:val="00F51B69"/>
    <w:rsid w:val="00F51D16"/>
    <w:rsid w:val="00F52828"/>
    <w:rsid w:val="00F5588F"/>
    <w:rsid w:val="00F55A5C"/>
    <w:rsid w:val="00F55F0F"/>
    <w:rsid w:val="00F56342"/>
    <w:rsid w:val="00F56DD3"/>
    <w:rsid w:val="00F57426"/>
    <w:rsid w:val="00F57CB3"/>
    <w:rsid w:val="00F604B7"/>
    <w:rsid w:val="00F608A2"/>
    <w:rsid w:val="00F60A35"/>
    <w:rsid w:val="00F6114C"/>
    <w:rsid w:val="00F616E2"/>
    <w:rsid w:val="00F61D80"/>
    <w:rsid w:val="00F625EB"/>
    <w:rsid w:val="00F6380B"/>
    <w:rsid w:val="00F6391B"/>
    <w:rsid w:val="00F63AD9"/>
    <w:rsid w:val="00F6463E"/>
    <w:rsid w:val="00F64A55"/>
    <w:rsid w:val="00F66C60"/>
    <w:rsid w:val="00F677C0"/>
    <w:rsid w:val="00F702E7"/>
    <w:rsid w:val="00F70656"/>
    <w:rsid w:val="00F706D9"/>
    <w:rsid w:val="00F70A2A"/>
    <w:rsid w:val="00F71B20"/>
    <w:rsid w:val="00F71BBB"/>
    <w:rsid w:val="00F72298"/>
    <w:rsid w:val="00F7273C"/>
    <w:rsid w:val="00F72A76"/>
    <w:rsid w:val="00F73B53"/>
    <w:rsid w:val="00F745B8"/>
    <w:rsid w:val="00F74AD9"/>
    <w:rsid w:val="00F75620"/>
    <w:rsid w:val="00F75E01"/>
    <w:rsid w:val="00F75EE5"/>
    <w:rsid w:val="00F76CCA"/>
    <w:rsid w:val="00F8099B"/>
    <w:rsid w:val="00F8255C"/>
    <w:rsid w:val="00F8264A"/>
    <w:rsid w:val="00F863BA"/>
    <w:rsid w:val="00F874E6"/>
    <w:rsid w:val="00F87D6A"/>
    <w:rsid w:val="00F900C6"/>
    <w:rsid w:val="00F910E3"/>
    <w:rsid w:val="00F91C97"/>
    <w:rsid w:val="00F92C6A"/>
    <w:rsid w:val="00F92D0F"/>
    <w:rsid w:val="00F92F0A"/>
    <w:rsid w:val="00F93857"/>
    <w:rsid w:val="00F941BA"/>
    <w:rsid w:val="00F942B1"/>
    <w:rsid w:val="00F94756"/>
    <w:rsid w:val="00F952F3"/>
    <w:rsid w:val="00F95B7F"/>
    <w:rsid w:val="00F961D6"/>
    <w:rsid w:val="00F96A9D"/>
    <w:rsid w:val="00F97015"/>
    <w:rsid w:val="00F97750"/>
    <w:rsid w:val="00F97D0B"/>
    <w:rsid w:val="00FA0247"/>
    <w:rsid w:val="00FA0940"/>
    <w:rsid w:val="00FA1C72"/>
    <w:rsid w:val="00FA211A"/>
    <w:rsid w:val="00FA331D"/>
    <w:rsid w:val="00FA4197"/>
    <w:rsid w:val="00FA573D"/>
    <w:rsid w:val="00FA5778"/>
    <w:rsid w:val="00FA7003"/>
    <w:rsid w:val="00FA7E63"/>
    <w:rsid w:val="00FB027C"/>
    <w:rsid w:val="00FB143B"/>
    <w:rsid w:val="00FB2722"/>
    <w:rsid w:val="00FB2D4A"/>
    <w:rsid w:val="00FB2F33"/>
    <w:rsid w:val="00FB3574"/>
    <w:rsid w:val="00FB740D"/>
    <w:rsid w:val="00FB77F4"/>
    <w:rsid w:val="00FB9CE8"/>
    <w:rsid w:val="00FC0E09"/>
    <w:rsid w:val="00FC2493"/>
    <w:rsid w:val="00FC2B47"/>
    <w:rsid w:val="00FC33D9"/>
    <w:rsid w:val="00FC346A"/>
    <w:rsid w:val="00FC3649"/>
    <w:rsid w:val="00FC410F"/>
    <w:rsid w:val="00FC54A5"/>
    <w:rsid w:val="00FC6E5D"/>
    <w:rsid w:val="00FD04FD"/>
    <w:rsid w:val="00FD146A"/>
    <w:rsid w:val="00FD1B34"/>
    <w:rsid w:val="00FD2B5E"/>
    <w:rsid w:val="00FD2D64"/>
    <w:rsid w:val="00FD412A"/>
    <w:rsid w:val="00FD4493"/>
    <w:rsid w:val="00FD46F8"/>
    <w:rsid w:val="00FE12F6"/>
    <w:rsid w:val="00FE1BAE"/>
    <w:rsid w:val="00FE1E2E"/>
    <w:rsid w:val="00FE20A8"/>
    <w:rsid w:val="00FE2AEE"/>
    <w:rsid w:val="00FE2E1B"/>
    <w:rsid w:val="00FE340D"/>
    <w:rsid w:val="00FE3B67"/>
    <w:rsid w:val="00FE4522"/>
    <w:rsid w:val="00FE4BB3"/>
    <w:rsid w:val="00FE50BD"/>
    <w:rsid w:val="00FE545D"/>
    <w:rsid w:val="00FE5735"/>
    <w:rsid w:val="00FE5F33"/>
    <w:rsid w:val="00FE60BA"/>
    <w:rsid w:val="00FE613A"/>
    <w:rsid w:val="00FE7052"/>
    <w:rsid w:val="00FE711B"/>
    <w:rsid w:val="00FE7EEF"/>
    <w:rsid w:val="00FE7F56"/>
    <w:rsid w:val="00FF0CA2"/>
    <w:rsid w:val="00FF180C"/>
    <w:rsid w:val="00FF1F35"/>
    <w:rsid w:val="00FF2C37"/>
    <w:rsid w:val="00FF2F7D"/>
    <w:rsid w:val="00FF3CE1"/>
    <w:rsid w:val="0100E430"/>
    <w:rsid w:val="0102F0B2"/>
    <w:rsid w:val="012BE244"/>
    <w:rsid w:val="0130224F"/>
    <w:rsid w:val="01417749"/>
    <w:rsid w:val="0143F5FB"/>
    <w:rsid w:val="014797BA"/>
    <w:rsid w:val="016ABA8C"/>
    <w:rsid w:val="01A432B8"/>
    <w:rsid w:val="01B19545"/>
    <w:rsid w:val="01B3DE76"/>
    <w:rsid w:val="01B5E1BB"/>
    <w:rsid w:val="01BFEF39"/>
    <w:rsid w:val="01D1F1BA"/>
    <w:rsid w:val="01EE7F05"/>
    <w:rsid w:val="01EF3A8B"/>
    <w:rsid w:val="01F6057A"/>
    <w:rsid w:val="01FB854F"/>
    <w:rsid w:val="020EEEFF"/>
    <w:rsid w:val="02162558"/>
    <w:rsid w:val="02490CF5"/>
    <w:rsid w:val="024B97DD"/>
    <w:rsid w:val="025B622E"/>
    <w:rsid w:val="02600164"/>
    <w:rsid w:val="0263D96A"/>
    <w:rsid w:val="026FA64A"/>
    <w:rsid w:val="02794172"/>
    <w:rsid w:val="028F0569"/>
    <w:rsid w:val="02B6CF26"/>
    <w:rsid w:val="02B856F4"/>
    <w:rsid w:val="02BB9065"/>
    <w:rsid w:val="02C5940B"/>
    <w:rsid w:val="02CB2992"/>
    <w:rsid w:val="02CD0F7A"/>
    <w:rsid w:val="02CDAE7F"/>
    <w:rsid w:val="02D1EFC1"/>
    <w:rsid w:val="02D96F4E"/>
    <w:rsid w:val="0311767E"/>
    <w:rsid w:val="03156AEE"/>
    <w:rsid w:val="033798F3"/>
    <w:rsid w:val="034A5593"/>
    <w:rsid w:val="035A43A1"/>
    <w:rsid w:val="036B2280"/>
    <w:rsid w:val="037DF657"/>
    <w:rsid w:val="0380ED97"/>
    <w:rsid w:val="038692DE"/>
    <w:rsid w:val="039FAED9"/>
    <w:rsid w:val="03B22E4D"/>
    <w:rsid w:val="03BCC207"/>
    <w:rsid w:val="03E8D210"/>
    <w:rsid w:val="040334FA"/>
    <w:rsid w:val="0403EB0D"/>
    <w:rsid w:val="04069426"/>
    <w:rsid w:val="040B7B6F"/>
    <w:rsid w:val="041ECAFA"/>
    <w:rsid w:val="0424B335"/>
    <w:rsid w:val="042CA09C"/>
    <w:rsid w:val="04391685"/>
    <w:rsid w:val="04432E8E"/>
    <w:rsid w:val="044E452D"/>
    <w:rsid w:val="0463A78D"/>
    <w:rsid w:val="04912A25"/>
    <w:rsid w:val="049166C1"/>
    <w:rsid w:val="04B2B913"/>
    <w:rsid w:val="04B6EBAA"/>
    <w:rsid w:val="04BE5F26"/>
    <w:rsid w:val="04D9F7E7"/>
    <w:rsid w:val="04DAE8FA"/>
    <w:rsid w:val="04E7E57E"/>
    <w:rsid w:val="04EB7F38"/>
    <w:rsid w:val="04F43DCE"/>
    <w:rsid w:val="04F9ED74"/>
    <w:rsid w:val="0505BB42"/>
    <w:rsid w:val="052F21AA"/>
    <w:rsid w:val="053D7C99"/>
    <w:rsid w:val="0542B2E8"/>
    <w:rsid w:val="05619E22"/>
    <w:rsid w:val="057DAB73"/>
    <w:rsid w:val="05826241"/>
    <w:rsid w:val="05911AE5"/>
    <w:rsid w:val="05BF1DB3"/>
    <w:rsid w:val="05C595B3"/>
    <w:rsid w:val="05E192AC"/>
    <w:rsid w:val="05E5EBE5"/>
    <w:rsid w:val="05FC48F6"/>
    <w:rsid w:val="060846A4"/>
    <w:rsid w:val="06188256"/>
    <w:rsid w:val="061FB6E9"/>
    <w:rsid w:val="062224FA"/>
    <w:rsid w:val="06230C88"/>
    <w:rsid w:val="063706FC"/>
    <w:rsid w:val="06425E83"/>
    <w:rsid w:val="064A1A56"/>
    <w:rsid w:val="06692D55"/>
    <w:rsid w:val="06874F99"/>
    <w:rsid w:val="069A105A"/>
    <w:rsid w:val="06A05565"/>
    <w:rsid w:val="06B5CBCF"/>
    <w:rsid w:val="06D5D328"/>
    <w:rsid w:val="070075A6"/>
    <w:rsid w:val="07060F9D"/>
    <w:rsid w:val="07083ED1"/>
    <w:rsid w:val="070B146E"/>
    <w:rsid w:val="0710E2DC"/>
    <w:rsid w:val="071476D7"/>
    <w:rsid w:val="0715B54E"/>
    <w:rsid w:val="0721F991"/>
    <w:rsid w:val="07302477"/>
    <w:rsid w:val="0743CBFF"/>
    <w:rsid w:val="07500AC4"/>
    <w:rsid w:val="07505D13"/>
    <w:rsid w:val="0756D31C"/>
    <w:rsid w:val="07587569"/>
    <w:rsid w:val="076999C0"/>
    <w:rsid w:val="077753E6"/>
    <w:rsid w:val="0788AF83"/>
    <w:rsid w:val="078D2A0E"/>
    <w:rsid w:val="07A65D03"/>
    <w:rsid w:val="07ADA3F4"/>
    <w:rsid w:val="07AFC030"/>
    <w:rsid w:val="07D135CE"/>
    <w:rsid w:val="07D3B7BD"/>
    <w:rsid w:val="07DA4BDA"/>
    <w:rsid w:val="07DD15F1"/>
    <w:rsid w:val="08141A3E"/>
    <w:rsid w:val="08173973"/>
    <w:rsid w:val="08414A91"/>
    <w:rsid w:val="084387E6"/>
    <w:rsid w:val="085746B9"/>
    <w:rsid w:val="085B1A75"/>
    <w:rsid w:val="0864D446"/>
    <w:rsid w:val="0867133D"/>
    <w:rsid w:val="086CF755"/>
    <w:rsid w:val="0899988E"/>
    <w:rsid w:val="089AB673"/>
    <w:rsid w:val="089CE595"/>
    <w:rsid w:val="08A0FD74"/>
    <w:rsid w:val="08A65FC7"/>
    <w:rsid w:val="08ADE2B0"/>
    <w:rsid w:val="08B70991"/>
    <w:rsid w:val="08CA965F"/>
    <w:rsid w:val="08D17AF9"/>
    <w:rsid w:val="08D193F4"/>
    <w:rsid w:val="08F78CE0"/>
    <w:rsid w:val="0906A014"/>
    <w:rsid w:val="09234402"/>
    <w:rsid w:val="092528DB"/>
    <w:rsid w:val="09268E09"/>
    <w:rsid w:val="092A7737"/>
    <w:rsid w:val="0942636B"/>
    <w:rsid w:val="09477D4A"/>
    <w:rsid w:val="0949601C"/>
    <w:rsid w:val="094F44A4"/>
    <w:rsid w:val="094F8062"/>
    <w:rsid w:val="096548EB"/>
    <w:rsid w:val="098A4698"/>
    <w:rsid w:val="0993D581"/>
    <w:rsid w:val="099575A4"/>
    <w:rsid w:val="09977401"/>
    <w:rsid w:val="099EF90F"/>
    <w:rsid w:val="09B33A2D"/>
    <w:rsid w:val="09B55905"/>
    <w:rsid w:val="09CACFA8"/>
    <w:rsid w:val="09CB48B8"/>
    <w:rsid w:val="09D12D4D"/>
    <w:rsid w:val="09E5FF7E"/>
    <w:rsid w:val="09EBABA2"/>
    <w:rsid w:val="09FCDF61"/>
    <w:rsid w:val="09FDDC26"/>
    <w:rsid w:val="0A02343F"/>
    <w:rsid w:val="0A22A7F6"/>
    <w:rsid w:val="0A250F6A"/>
    <w:rsid w:val="0A315931"/>
    <w:rsid w:val="0A34D29B"/>
    <w:rsid w:val="0A3A6204"/>
    <w:rsid w:val="0A423D98"/>
    <w:rsid w:val="0A423E25"/>
    <w:rsid w:val="0A4A64FC"/>
    <w:rsid w:val="0A4CF0B6"/>
    <w:rsid w:val="0A4E561D"/>
    <w:rsid w:val="0A5026C3"/>
    <w:rsid w:val="0A5179E1"/>
    <w:rsid w:val="0A5F361D"/>
    <w:rsid w:val="0A5F4DF2"/>
    <w:rsid w:val="0A81FD7A"/>
    <w:rsid w:val="0A94DAD6"/>
    <w:rsid w:val="0AC2D974"/>
    <w:rsid w:val="0ACF5DD4"/>
    <w:rsid w:val="0AE3F8D7"/>
    <w:rsid w:val="0AEFB6C8"/>
    <w:rsid w:val="0AF0F91A"/>
    <w:rsid w:val="0AFA1E8D"/>
    <w:rsid w:val="0AFE066B"/>
    <w:rsid w:val="0AFF86AD"/>
    <w:rsid w:val="0B07E92F"/>
    <w:rsid w:val="0B12153A"/>
    <w:rsid w:val="0B1403D4"/>
    <w:rsid w:val="0B4AE083"/>
    <w:rsid w:val="0B73FF37"/>
    <w:rsid w:val="0B7772EF"/>
    <w:rsid w:val="0B9778DB"/>
    <w:rsid w:val="0BA38EFA"/>
    <w:rsid w:val="0BB6E921"/>
    <w:rsid w:val="0BC37F6A"/>
    <w:rsid w:val="0BCE0F38"/>
    <w:rsid w:val="0BDF2D69"/>
    <w:rsid w:val="0BE772A3"/>
    <w:rsid w:val="0BE90073"/>
    <w:rsid w:val="0BF53A01"/>
    <w:rsid w:val="0BFC5B71"/>
    <w:rsid w:val="0C027E50"/>
    <w:rsid w:val="0C0806A2"/>
    <w:rsid w:val="0C1880F9"/>
    <w:rsid w:val="0C199A4B"/>
    <w:rsid w:val="0C38CBC7"/>
    <w:rsid w:val="0C6FD8AC"/>
    <w:rsid w:val="0C815D2A"/>
    <w:rsid w:val="0C81FE5B"/>
    <w:rsid w:val="0C88DDEE"/>
    <w:rsid w:val="0C8E2EF5"/>
    <w:rsid w:val="0C9096B6"/>
    <w:rsid w:val="0CA0D75B"/>
    <w:rsid w:val="0CA1ADB2"/>
    <w:rsid w:val="0CA626BC"/>
    <w:rsid w:val="0CAEABE6"/>
    <w:rsid w:val="0CB63FEE"/>
    <w:rsid w:val="0CBC7F16"/>
    <w:rsid w:val="0CD13974"/>
    <w:rsid w:val="0CD60D61"/>
    <w:rsid w:val="0CE2E8B8"/>
    <w:rsid w:val="0CED49E0"/>
    <w:rsid w:val="0CF7C297"/>
    <w:rsid w:val="0D2393A1"/>
    <w:rsid w:val="0D29AE30"/>
    <w:rsid w:val="0D2E01C2"/>
    <w:rsid w:val="0D49598E"/>
    <w:rsid w:val="0D4F62D8"/>
    <w:rsid w:val="0D56F01C"/>
    <w:rsid w:val="0D6C1B12"/>
    <w:rsid w:val="0D8647DC"/>
    <w:rsid w:val="0D8E81D0"/>
    <w:rsid w:val="0D92EB80"/>
    <w:rsid w:val="0D9693B7"/>
    <w:rsid w:val="0DA58DF9"/>
    <w:rsid w:val="0DB45DC9"/>
    <w:rsid w:val="0DD12BB3"/>
    <w:rsid w:val="0DF7A766"/>
    <w:rsid w:val="0DFFC50C"/>
    <w:rsid w:val="0E063D6D"/>
    <w:rsid w:val="0E0C757F"/>
    <w:rsid w:val="0E1A21FA"/>
    <w:rsid w:val="0E21C741"/>
    <w:rsid w:val="0E31F7D8"/>
    <w:rsid w:val="0E439B9D"/>
    <w:rsid w:val="0E690159"/>
    <w:rsid w:val="0E73B276"/>
    <w:rsid w:val="0E881028"/>
    <w:rsid w:val="0E8DE123"/>
    <w:rsid w:val="0E97D35B"/>
    <w:rsid w:val="0EDE546C"/>
    <w:rsid w:val="0EF778FD"/>
    <w:rsid w:val="0F0A831C"/>
    <w:rsid w:val="0F188808"/>
    <w:rsid w:val="0F22C324"/>
    <w:rsid w:val="0F2EF035"/>
    <w:rsid w:val="0F312BA7"/>
    <w:rsid w:val="0F60DB9E"/>
    <w:rsid w:val="0F62FD39"/>
    <w:rsid w:val="0F647FDB"/>
    <w:rsid w:val="0F6D1868"/>
    <w:rsid w:val="0F794FFD"/>
    <w:rsid w:val="0F7E7F34"/>
    <w:rsid w:val="0F893F92"/>
    <w:rsid w:val="0F950CFB"/>
    <w:rsid w:val="0F9D3F38"/>
    <w:rsid w:val="0FAFA314"/>
    <w:rsid w:val="0FD188A8"/>
    <w:rsid w:val="0FEC8013"/>
    <w:rsid w:val="10164405"/>
    <w:rsid w:val="102D184E"/>
    <w:rsid w:val="104A2E8D"/>
    <w:rsid w:val="105D02D4"/>
    <w:rsid w:val="1079B77C"/>
    <w:rsid w:val="107BD151"/>
    <w:rsid w:val="107EF3F6"/>
    <w:rsid w:val="108B5FA4"/>
    <w:rsid w:val="109A0F2B"/>
    <w:rsid w:val="109E1F83"/>
    <w:rsid w:val="10B37957"/>
    <w:rsid w:val="10B5CCEC"/>
    <w:rsid w:val="10BF8A3F"/>
    <w:rsid w:val="10CF8C4A"/>
    <w:rsid w:val="10D33614"/>
    <w:rsid w:val="10DE2CD3"/>
    <w:rsid w:val="10E31D11"/>
    <w:rsid w:val="10F01BDB"/>
    <w:rsid w:val="10F69762"/>
    <w:rsid w:val="10F94F04"/>
    <w:rsid w:val="1109C6CA"/>
    <w:rsid w:val="110E4D09"/>
    <w:rsid w:val="111A3898"/>
    <w:rsid w:val="111F12D7"/>
    <w:rsid w:val="1122C9B3"/>
    <w:rsid w:val="11231DB1"/>
    <w:rsid w:val="11272BA5"/>
    <w:rsid w:val="11278810"/>
    <w:rsid w:val="11408C66"/>
    <w:rsid w:val="114168AF"/>
    <w:rsid w:val="11567209"/>
    <w:rsid w:val="115A3176"/>
    <w:rsid w:val="116297FC"/>
    <w:rsid w:val="116C85FF"/>
    <w:rsid w:val="1176FCD5"/>
    <w:rsid w:val="1189BE11"/>
    <w:rsid w:val="1191FB9D"/>
    <w:rsid w:val="11951CC3"/>
    <w:rsid w:val="1197EEC1"/>
    <w:rsid w:val="11A274F0"/>
    <w:rsid w:val="11B5EC53"/>
    <w:rsid w:val="11B6255D"/>
    <w:rsid w:val="11BECF13"/>
    <w:rsid w:val="11C61EBA"/>
    <w:rsid w:val="11CC5BEC"/>
    <w:rsid w:val="11E1A19E"/>
    <w:rsid w:val="11E5AEAD"/>
    <w:rsid w:val="11EABDC1"/>
    <w:rsid w:val="11F4C04A"/>
    <w:rsid w:val="11FA13F5"/>
    <w:rsid w:val="11FC711F"/>
    <w:rsid w:val="11FF1BAD"/>
    <w:rsid w:val="1216B5A8"/>
    <w:rsid w:val="1217ADBA"/>
    <w:rsid w:val="121F2875"/>
    <w:rsid w:val="122B1B27"/>
    <w:rsid w:val="122F245A"/>
    <w:rsid w:val="12399B42"/>
    <w:rsid w:val="124BD04B"/>
    <w:rsid w:val="1253CB95"/>
    <w:rsid w:val="126DEFD1"/>
    <w:rsid w:val="126E777E"/>
    <w:rsid w:val="1270931B"/>
    <w:rsid w:val="1276C1CE"/>
    <w:rsid w:val="1279639E"/>
    <w:rsid w:val="1282DC5B"/>
    <w:rsid w:val="128B1A93"/>
    <w:rsid w:val="12908CB8"/>
    <w:rsid w:val="12941F5B"/>
    <w:rsid w:val="1296167E"/>
    <w:rsid w:val="12A110A7"/>
    <w:rsid w:val="12A396E9"/>
    <w:rsid w:val="12B09C9F"/>
    <w:rsid w:val="12CEA428"/>
    <w:rsid w:val="12D6F03C"/>
    <w:rsid w:val="12F910BF"/>
    <w:rsid w:val="12FCEEF9"/>
    <w:rsid w:val="130D6B9F"/>
    <w:rsid w:val="131BFBB8"/>
    <w:rsid w:val="131F3CF7"/>
    <w:rsid w:val="132A1AB9"/>
    <w:rsid w:val="136F7849"/>
    <w:rsid w:val="138571E7"/>
    <w:rsid w:val="139B0EB9"/>
    <w:rsid w:val="13A913E2"/>
    <w:rsid w:val="13BE6D2E"/>
    <w:rsid w:val="13C55F0D"/>
    <w:rsid w:val="13FDA67E"/>
    <w:rsid w:val="140308AC"/>
    <w:rsid w:val="14481CB4"/>
    <w:rsid w:val="14596FDB"/>
    <w:rsid w:val="148F4FBD"/>
    <w:rsid w:val="14D6204B"/>
    <w:rsid w:val="1504CABD"/>
    <w:rsid w:val="1508B3CA"/>
    <w:rsid w:val="151E9E42"/>
    <w:rsid w:val="152E2544"/>
    <w:rsid w:val="156C2D84"/>
    <w:rsid w:val="1579B399"/>
    <w:rsid w:val="159AC598"/>
    <w:rsid w:val="159CF2EC"/>
    <w:rsid w:val="15A2829C"/>
    <w:rsid w:val="15A5562F"/>
    <w:rsid w:val="15A83FE8"/>
    <w:rsid w:val="15AC456B"/>
    <w:rsid w:val="15D1878F"/>
    <w:rsid w:val="15DC3D98"/>
    <w:rsid w:val="15DDD9DD"/>
    <w:rsid w:val="15F35CA1"/>
    <w:rsid w:val="160F485D"/>
    <w:rsid w:val="1622AD1E"/>
    <w:rsid w:val="16234DF7"/>
    <w:rsid w:val="16296DC6"/>
    <w:rsid w:val="1638A53D"/>
    <w:rsid w:val="1641D7CD"/>
    <w:rsid w:val="16422FAA"/>
    <w:rsid w:val="164BE168"/>
    <w:rsid w:val="16528327"/>
    <w:rsid w:val="165EDFB0"/>
    <w:rsid w:val="166424DA"/>
    <w:rsid w:val="16650B5C"/>
    <w:rsid w:val="16698F81"/>
    <w:rsid w:val="166D88D7"/>
    <w:rsid w:val="167538CA"/>
    <w:rsid w:val="167A0ABF"/>
    <w:rsid w:val="168040B7"/>
    <w:rsid w:val="1683B8FE"/>
    <w:rsid w:val="1688E96F"/>
    <w:rsid w:val="168F21E3"/>
    <w:rsid w:val="16924767"/>
    <w:rsid w:val="169D67A6"/>
    <w:rsid w:val="16B10B96"/>
    <w:rsid w:val="16B9202C"/>
    <w:rsid w:val="16C5729E"/>
    <w:rsid w:val="16CF36B1"/>
    <w:rsid w:val="16D45A65"/>
    <w:rsid w:val="16E4D8A2"/>
    <w:rsid w:val="16EB1B31"/>
    <w:rsid w:val="16FC44D1"/>
    <w:rsid w:val="1701BBD9"/>
    <w:rsid w:val="17047EA1"/>
    <w:rsid w:val="171275DD"/>
    <w:rsid w:val="17133AF9"/>
    <w:rsid w:val="172B2CE9"/>
    <w:rsid w:val="173DCBCF"/>
    <w:rsid w:val="17596893"/>
    <w:rsid w:val="1781CE95"/>
    <w:rsid w:val="17826BC1"/>
    <w:rsid w:val="179D6D66"/>
    <w:rsid w:val="17ABB4FD"/>
    <w:rsid w:val="17B16C19"/>
    <w:rsid w:val="17C214B7"/>
    <w:rsid w:val="17C7BAB6"/>
    <w:rsid w:val="17CFB541"/>
    <w:rsid w:val="17E97202"/>
    <w:rsid w:val="17F3FD8D"/>
    <w:rsid w:val="17FE1DBD"/>
    <w:rsid w:val="1803BC59"/>
    <w:rsid w:val="181AFC6A"/>
    <w:rsid w:val="18354024"/>
    <w:rsid w:val="184EEA58"/>
    <w:rsid w:val="185ADC5F"/>
    <w:rsid w:val="1864113F"/>
    <w:rsid w:val="1872DF8D"/>
    <w:rsid w:val="18823EF7"/>
    <w:rsid w:val="188CDAEA"/>
    <w:rsid w:val="188E522D"/>
    <w:rsid w:val="188F3FDA"/>
    <w:rsid w:val="18A6B80B"/>
    <w:rsid w:val="18C18A4B"/>
    <w:rsid w:val="18E1C165"/>
    <w:rsid w:val="18E5F1D3"/>
    <w:rsid w:val="18EAF044"/>
    <w:rsid w:val="18ECB4B8"/>
    <w:rsid w:val="18F83C72"/>
    <w:rsid w:val="18F8B243"/>
    <w:rsid w:val="18FA16FB"/>
    <w:rsid w:val="19013CE0"/>
    <w:rsid w:val="19032FD7"/>
    <w:rsid w:val="190E3DA1"/>
    <w:rsid w:val="1913DE5A"/>
    <w:rsid w:val="193929EC"/>
    <w:rsid w:val="193E42A5"/>
    <w:rsid w:val="194CF525"/>
    <w:rsid w:val="1956619E"/>
    <w:rsid w:val="19575FA7"/>
    <w:rsid w:val="196FDD2F"/>
    <w:rsid w:val="1976C8A0"/>
    <w:rsid w:val="198A2311"/>
    <w:rsid w:val="19915E88"/>
    <w:rsid w:val="19A84F6A"/>
    <w:rsid w:val="19B65A85"/>
    <w:rsid w:val="19C0DEAA"/>
    <w:rsid w:val="19E23501"/>
    <w:rsid w:val="19EC2A93"/>
    <w:rsid w:val="1A004DB4"/>
    <w:rsid w:val="1A011B21"/>
    <w:rsid w:val="1A118A7E"/>
    <w:rsid w:val="1A28F21E"/>
    <w:rsid w:val="1A46F76B"/>
    <w:rsid w:val="1A4FDD5F"/>
    <w:rsid w:val="1A516860"/>
    <w:rsid w:val="1A6ACD1C"/>
    <w:rsid w:val="1A708D2C"/>
    <w:rsid w:val="1A92818B"/>
    <w:rsid w:val="1A92FAF8"/>
    <w:rsid w:val="1A96BA3C"/>
    <w:rsid w:val="1A98281D"/>
    <w:rsid w:val="1AB8D02C"/>
    <w:rsid w:val="1ABDCA4C"/>
    <w:rsid w:val="1ADBF717"/>
    <w:rsid w:val="1B24E25A"/>
    <w:rsid w:val="1B2C02DA"/>
    <w:rsid w:val="1B494E0F"/>
    <w:rsid w:val="1B4A394F"/>
    <w:rsid w:val="1B656B9A"/>
    <w:rsid w:val="1B6674AC"/>
    <w:rsid w:val="1B7ADB36"/>
    <w:rsid w:val="1B7DB76C"/>
    <w:rsid w:val="1B83AE8D"/>
    <w:rsid w:val="1B8F37F5"/>
    <w:rsid w:val="1B93285E"/>
    <w:rsid w:val="1B9386A6"/>
    <w:rsid w:val="1B9FF080"/>
    <w:rsid w:val="1BA3F96A"/>
    <w:rsid w:val="1BAB5023"/>
    <w:rsid w:val="1BC99A27"/>
    <w:rsid w:val="1BE312A2"/>
    <w:rsid w:val="1BE61A49"/>
    <w:rsid w:val="1BED732D"/>
    <w:rsid w:val="1C04F7E2"/>
    <w:rsid w:val="1C13951F"/>
    <w:rsid w:val="1C1EC639"/>
    <w:rsid w:val="1C303ED8"/>
    <w:rsid w:val="1C34823D"/>
    <w:rsid w:val="1C37D6B7"/>
    <w:rsid w:val="1C38C40B"/>
    <w:rsid w:val="1C3DB5D3"/>
    <w:rsid w:val="1C496F6F"/>
    <w:rsid w:val="1C56A632"/>
    <w:rsid w:val="1C5D2BDD"/>
    <w:rsid w:val="1C86D877"/>
    <w:rsid w:val="1C884172"/>
    <w:rsid w:val="1CAB4461"/>
    <w:rsid w:val="1CB27DC7"/>
    <w:rsid w:val="1CD56575"/>
    <w:rsid w:val="1CD85289"/>
    <w:rsid w:val="1CE4EFF3"/>
    <w:rsid w:val="1CEF9B82"/>
    <w:rsid w:val="1CF4B486"/>
    <w:rsid w:val="1CFD728C"/>
    <w:rsid w:val="1D005545"/>
    <w:rsid w:val="1D1369C3"/>
    <w:rsid w:val="1D151EA2"/>
    <w:rsid w:val="1D3F420F"/>
    <w:rsid w:val="1D5AA01D"/>
    <w:rsid w:val="1D5B4BF0"/>
    <w:rsid w:val="1D639EE8"/>
    <w:rsid w:val="1D68F3CC"/>
    <w:rsid w:val="1D79B187"/>
    <w:rsid w:val="1DA74A06"/>
    <w:rsid w:val="1DAAD421"/>
    <w:rsid w:val="1DE09728"/>
    <w:rsid w:val="1DE7C781"/>
    <w:rsid w:val="1DF92CC5"/>
    <w:rsid w:val="1DFCB7A5"/>
    <w:rsid w:val="1E1AE6B5"/>
    <w:rsid w:val="1E42A97D"/>
    <w:rsid w:val="1E438548"/>
    <w:rsid w:val="1E4645AF"/>
    <w:rsid w:val="1E4B9B9E"/>
    <w:rsid w:val="1E5759C0"/>
    <w:rsid w:val="1E5809DA"/>
    <w:rsid w:val="1E5F544D"/>
    <w:rsid w:val="1E60DF2F"/>
    <w:rsid w:val="1E625F69"/>
    <w:rsid w:val="1E834B2E"/>
    <w:rsid w:val="1E84B69E"/>
    <w:rsid w:val="1E942B0D"/>
    <w:rsid w:val="1E974A71"/>
    <w:rsid w:val="1EAFEEFC"/>
    <w:rsid w:val="1ECD3C88"/>
    <w:rsid w:val="1EDC44EA"/>
    <w:rsid w:val="1F0DA762"/>
    <w:rsid w:val="1F15C9BB"/>
    <w:rsid w:val="1F20FCB6"/>
    <w:rsid w:val="1F296A0D"/>
    <w:rsid w:val="1F448213"/>
    <w:rsid w:val="1F478A81"/>
    <w:rsid w:val="1F48E60E"/>
    <w:rsid w:val="1F57D594"/>
    <w:rsid w:val="1F5F5336"/>
    <w:rsid w:val="1F64F0ED"/>
    <w:rsid w:val="1F6F4AB9"/>
    <w:rsid w:val="1F705677"/>
    <w:rsid w:val="1F70F911"/>
    <w:rsid w:val="1F867E01"/>
    <w:rsid w:val="1F8728E3"/>
    <w:rsid w:val="1F8FA8B5"/>
    <w:rsid w:val="1F977EAB"/>
    <w:rsid w:val="1FA08B7F"/>
    <w:rsid w:val="1FA2AD3A"/>
    <w:rsid w:val="1FC1CFBE"/>
    <w:rsid w:val="1FEC2FCB"/>
    <w:rsid w:val="1FF586FC"/>
    <w:rsid w:val="1FFC1684"/>
    <w:rsid w:val="200AD03E"/>
    <w:rsid w:val="200DB796"/>
    <w:rsid w:val="2019B362"/>
    <w:rsid w:val="2043DC26"/>
    <w:rsid w:val="2046F45B"/>
    <w:rsid w:val="204A9A1C"/>
    <w:rsid w:val="2051C03B"/>
    <w:rsid w:val="2058E03B"/>
    <w:rsid w:val="205CAEA7"/>
    <w:rsid w:val="207108F2"/>
    <w:rsid w:val="20749511"/>
    <w:rsid w:val="2082A7DC"/>
    <w:rsid w:val="20890760"/>
    <w:rsid w:val="208C3ED2"/>
    <w:rsid w:val="2090FB8B"/>
    <w:rsid w:val="209868F6"/>
    <w:rsid w:val="209A7B45"/>
    <w:rsid w:val="20C72024"/>
    <w:rsid w:val="20D964FD"/>
    <w:rsid w:val="20EDE2C4"/>
    <w:rsid w:val="2101FFB0"/>
    <w:rsid w:val="2129DD2D"/>
    <w:rsid w:val="2133392D"/>
    <w:rsid w:val="214ACA64"/>
    <w:rsid w:val="215AABB0"/>
    <w:rsid w:val="2174180D"/>
    <w:rsid w:val="2174438B"/>
    <w:rsid w:val="2175C5EE"/>
    <w:rsid w:val="21793454"/>
    <w:rsid w:val="217A8871"/>
    <w:rsid w:val="2185DA32"/>
    <w:rsid w:val="218E2C47"/>
    <w:rsid w:val="2194C419"/>
    <w:rsid w:val="21B709AD"/>
    <w:rsid w:val="21C63AF6"/>
    <w:rsid w:val="21CBFEA0"/>
    <w:rsid w:val="21E63F4E"/>
    <w:rsid w:val="22070065"/>
    <w:rsid w:val="220B40E3"/>
    <w:rsid w:val="220C4803"/>
    <w:rsid w:val="221ACBB2"/>
    <w:rsid w:val="2225357B"/>
    <w:rsid w:val="2229747E"/>
    <w:rsid w:val="2229AE85"/>
    <w:rsid w:val="2235DE4D"/>
    <w:rsid w:val="223C7F21"/>
    <w:rsid w:val="22612A8D"/>
    <w:rsid w:val="22628DFD"/>
    <w:rsid w:val="22649396"/>
    <w:rsid w:val="22784AC3"/>
    <w:rsid w:val="2279DF5E"/>
    <w:rsid w:val="229E2CEC"/>
    <w:rsid w:val="22A31B23"/>
    <w:rsid w:val="22AE16A0"/>
    <w:rsid w:val="22AF5BA2"/>
    <w:rsid w:val="22BB1EB5"/>
    <w:rsid w:val="22BFE302"/>
    <w:rsid w:val="22DF9129"/>
    <w:rsid w:val="22E70A3E"/>
    <w:rsid w:val="22F331A9"/>
    <w:rsid w:val="22FB2749"/>
    <w:rsid w:val="22FD916D"/>
    <w:rsid w:val="22FF6A06"/>
    <w:rsid w:val="2306E05C"/>
    <w:rsid w:val="230B8364"/>
    <w:rsid w:val="230CF036"/>
    <w:rsid w:val="231424A5"/>
    <w:rsid w:val="2319CAF3"/>
    <w:rsid w:val="2320ED3A"/>
    <w:rsid w:val="232109E0"/>
    <w:rsid w:val="23219E9D"/>
    <w:rsid w:val="2324E0BC"/>
    <w:rsid w:val="232F9E4C"/>
    <w:rsid w:val="2331EEDE"/>
    <w:rsid w:val="23339920"/>
    <w:rsid w:val="2335CBDA"/>
    <w:rsid w:val="23362D10"/>
    <w:rsid w:val="233C8F1F"/>
    <w:rsid w:val="2341DE64"/>
    <w:rsid w:val="2344FEDE"/>
    <w:rsid w:val="23551A2F"/>
    <w:rsid w:val="23645A97"/>
    <w:rsid w:val="236E071E"/>
    <w:rsid w:val="239D5B78"/>
    <w:rsid w:val="23B4EEF1"/>
    <w:rsid w:val="23CF8C8F"/>
    <w:rsid w:val="23D091D3"/>
    <w:rsid w:val="23D7220C"/>
    <w:rsid w:val="23DB22C1"/>
    <w:rsid w:val="2406E42E"/>
    <w:rsid w:val="242088B0"/>
    <w:rsid w:val="2443C642"/>
    <w:rsid w:val="2453D326"/>
    <w:rsid w:val="246A01EE"/>
    <w:rsid w:val="2475E2F6"/>
    <w:rsid w:val="24768A56"/>
    <w:rsid w:val="249A2EF4"/>
    <w:rsid w:val="24A0364C"/>
    <w:rsid w:val="24C09023"/>
    <w:rsid w:val="24CA84B6"/>
    <w:rsid w:val="24D872E0"/>
    <w:rsid w:val="25090B0E"/>
    <w:rsid w:val="2512696B"/>
    <w:rsid w:val="251F9AC4"/>
    <w:rsid w:val="252E1E15"/>
    <w:rsid w:val="253D0C51"/>
    <w:rsid w:val="253D4FC7"/>
    <w:rsid w:val="254279CB"/>
    <w:rsid w:val="2543D642"/>
    <w:rsid w:val="25549DD3"/>
    <w:rsid w:val="25689B23"/>
    <w:rsid w:val="256CAD2B"/>
    <w:rsid w:val="2580AAFA"/>
    <w:rsid w:val="25AE2D2F"/>
    <w:rsid w:val="25BEA95F"/>
    <w:rsid w:val="25CEE279"/>
    <w:rsid w:val="25DE8C3D"/>
    <w:rsid w:val="25F464A7"/>
    <w:rsid w:val="25F8D946"/>
    <w:rsid w:val="25FA8BC5"/>
    <w:rsid w:val="25FC5675"/>
    <w:rsid w:val="26010FA7"/>
    <w:rsid w:val="261FB360"/>
    <w:rsid w:val="26398DF8"/>
    <w:rsid w:val="263AAB83"/>
    <w:rsid w:val="26501BA4"/>
    <w:rsid w:val="2652323A"/>
    <w:rsid w:val="265E1C1A"/>
    <w:rsid w:val="26605C0F"/>
    <w:rsid w:val="26610D5F"/>
    <w:rsid w:val="266D4FB7"/>
    <w:rsid w:val="267D0969"/>
    <w:rsid w:val="26832ADE"/>
    <w:rsid w:val="268C91A9"/>
    <w:rsid w:val="2695C4D1"/>
    <w:rsid w:val="26A46696"/>
    <w:rsid w:val="26AB1DC2"/>
    <w:rsid w:val="26BF0805"/>
    <w:rsid w:val="26D28C0D"/>
    <w:rsid w:val="26D99295"/>
    <w:rsid w:val="26DA3113"/>
    <w:rsid w:val="26DD08F5"/>
    <w:rsid w:val="26E45E28"/>
    <w:rsid w:val="26FBEFF6"/>
    <w:rsid w:val="270D4B7F"/>
    <w:rsid w:val="270EDB7B"/>
    <w:rsid w:val="271B97EC"/>
    <w:rsid w:val="27317D54"/>
    <w:rsid w:val="27343724"/>
    <w:rsid w:val="27387ED0"/>
    <w:rsid w:val="274180AB"/>
    <w:rsid w:val="274383F0"/>
    <w:rsid w:val="2744A0BB"/>
    <w:rsid w:val="27538029"/>
    <w:rsid w:val="27669185"/>
    <w:rsid w:val="276FF4C1"/>
    <w:rsid w:val="2770C356"/>
    <w:rsid w:val="27726F18"/>
    <w:rsid w:val="27776D42"/>
    <w:rsid w:val="2783FA02"/>
    <w:rsid w:val="2791150D"/>
    <w:rsid w:val="27AC8D23"/>
    <w:rsid w:val="27B8D1D4"/>
    <w:rsid w:val="27C8A40C"/>
    <w:rsid w:val="27D69D69"/>
    <w:rsid w:val="27EF4D01"/>
    <w:rsid w:val="27F46D90"/>
    <w:rsid w:val="27F778D6"/>
    <w:rsid w:val="27FB3EEC"/>
    <w:rsid w:val="280DADF8"/>
    <w:rsid w:val="28130035"/>
    <w:rsid w:val="281499B1"/>
    <w:rsid w:val="2823CA98"/>
    <w:rsid w:val="282E3332"/>
    <w:rsid w:val="28360ABF"/>
    <w:rsid w:val="28433747"/>
    <w:rsid w:val="28576776"/>
    <w:rsid w:val="2859E7D5"/>
    <w:rsid w:val="28630465"/>
    <w:rsid w:val="287F5A68"/>
    <w:rsid w:val="28D51A8B"/>
    <w:rsid w:val="28DB1065"/>
    <w:rsid w:val="28DD63DD"/>
    <w:rsid w:val="28E82F36"/>
    <w:rsid w:val="292C4F2C"/>
    <w:rsid w:val="292F1E64"/>
    <w:rsid w:val="293A63E7"/>
    <w:rsid w:val="293ED463"/>
    <w:rsid w:val="293F14B0"/>
    <w:rsid w:val="29426D98"/>
    <w:rsid w:val="2942FBA4"/>
    <w:rsid w:val="294A8A9B"/>
    <w:rsid w:val="29814366"/>
    <w:rsid w:val="2997A44A"/>
    <w:rsid w:val="29A17B17"/>
    <w:rsid w:val="29A71747"/>
    <w:rsid w:val="29A93676"/>
    <w:rsid w:val="29AAB715"/>
    <w:rsid w:val="29D5126B"/>
    <w:rsid w:val="29D66733"/>
    <w:rsid w:val="2A1F59F2"/>
    <w:rsid w:val="2A204E22"/>
    <w:rsid w:val="2A26297F"/>
    <w:rsid w:val="2A4DCFFF"/>
    <w:rsid w:val="2A4F75E9"/>
    <w:rsid w:val="2A56F42F"/>
    <w:rsid w:val="2A57E980"/>
    <w:rsid w:val="2A5A9699"/>
    <w:rsid w:val="2A688F2C"/>
    <w:rsid w:val="2A728D4D"/>
    <w:rsid w:val="2A7FC02B"/>
    <w:rsid w:val="2A850A76"/>
    <w:rsid w:val="2A87E25C"/>
    <w:rsid w:val="2AAEFEE5"/>
    <w:rsid w:val="2ADB3609"/>
    <w:rsid w:val="2AFE6FF0"/>
    <w:rsid w:val="2B0CE515"/>
    <w:rsid w:val="2B14E17D"/>
    <w:rsid w:val="2B21BB32"/>
    <w:rsid w:val="2B2D913E"/>
    <w:rsid w:val="2B3BDCA4"/>
    <w:rsid w:val="2B425655"/>
    <w:rsid w:val="2B45EDFC"/>
    <w:rsid w:val="2B6E0659"/>
    <w:rsid w:val="2B84C865"/>
    <w:rsid w:val="2B967A46"/>
    <w:rsid w:val="2BA2B315"/>
    <w:rsid w:val="2BA8EA8C"/>
    <w:rsid w:val="2BABFBD3"/>
    <w:rsid w:val="2BBB5C50"/>
    <w:rsid w:val="2BC84434"/>
    <w:rsid w:val="2BD25378"/>
    <w:rsid w:val="2BE46B9A"/>
    <w:rsid w:val="2BE7604A"/>
    <w:rsid w:val="2BF45515"/>
    <w:rsid w:val="2BF7D964"/>
    <w:rsid w:val="2C129A06"/>
    <w:rsid w:val="2C14B363"/>
    <w:rsid w:val="2C166DF0"/>
    <w:rsid w:val="2C19CCF9"/>
    <w:rsid w:val="2C3B319E"/>
    <w:rsid w:val="2C3D6DE4"/>
    <w:rsid w:val="2C48330D"/>
    <w:rsid w:val="2C6C23AB"/>
    <w:rsid w:val="2C6CF221"/>
    <w:rsid w:val="2C6F2A1E"/>
    <w:rsid w:val="2C88930E"/>
    <w:rsid w:val="2CBCA291"/>
    <w:rsid w:val="2CD98D9E"/>
    <w:rsid w:val="2CDD9B1E"/>
    <w:rsid w:val="2CE37C6F"/>
    <w:rsid w:val="2CE57776"/>
    <w:rsid w:val="2CF4B612"/>
    <w:rsid w:val="2D038E29"/>
    <w:rsid w:val="2D23B0E2"/>
    <w:rsid w:val="2D29A8CD"/>
    <w:rsid w:val="2D2E6002"/>
    <w:rsid w:val="2D322A80"/>
    <w:rsid w:val="2D5AFA9B"/>
    <w:rsid w:val="2D6003A5"/>
    <w:rsid w:val="2D6B0FB6"/>
    <w:rsid w:val="2D7DD847"/>
    <w:rsid w:val="2D891596"/>
    <w:rsid w:val="2D8CF4E9"/>
    <w:rsid w:val="2DDB6C8E"/>
    <w:rsid w:val="2E00E782"/>
    <w:rsid w:val="2E06EF8A"/>
    <w:rsid w:val="2E07F0A8"/>
    <w:rsid w:val="2E1F49D8"/>
    <w:rsid w:val="2E26B28D"/>
    <w:rsid w:val="2E32919D"/>
    <w:rsid w:val="2E3F883B"/>
    <w:rsid w:val="2E455034"/>
    <w:rsid w:val="2E48530A"/>
    <w:rsid w:val="2E49810C"/>
    <w:rsid w:val="2E5AD9EF"/>
    <w:rsid w:val="2E61FF19"/>
    <w:rsid w:val="2E6DFAAC"/>
    <w:rsid w:val="2E96B620"/>
    <w:rsid w:val="2EB2FDE1"/>
    <w:rsid w:val="2EC7E3D2"/>
    <w:rsid w:val="2EDE7A2E"/>
    <w:rsid w:val="2EE1EE3B"/>
    <w:rsid w:val="2EE3E80B"/>
    <w:rsid w:val="2F16D153"/>
    <w:rsid w:val="2F36D703"/>
    <w:rsid w:val="2F3DEF4C"/>
    <w:rsid w:val="2F46C916"/>
    <w:rsid w:val="2F488683"/>
    <w:rsid w:val="2F50A848"/>
    <w:rsid w:val="2F54FCB2"/>
    <w:rsid w:val="2F6F8FAE"/>
    <w:rsid w:val="2F7C3596"/>
    <w:rsid w:val="2F7E9B7F"/>
    <w:rsid w:val="2F846C32"/>
    <w:rsid w:val="2FA6821A"/>
    <w:rsid w:val="2FAC7293"/>
    <w:rsid w:val="2FCED88A"/>
    <w:rsid w:val="2FE400C3"/>
    <w:rsid w:val="2FED5569"/>
    <w:rsid w:val="3004DD76"/>
    <w:rsid w:val="300598A9"/>
    <w:rsid w:val="3009E46D"/>
    <w:rsid w:val="300B9C72"/>
    <w:rsid w:val="3014C0C7"/>
    <w:rsid w:val="3017D3EA"/>
    <w:rsid w:val="3023D6DC"/>
    <w:rsid w:val="3032B188"/>
    <w:rsid w:val="30424463"/>
    <w:rsid w:val="305537A0"/>
    <w:rsid w:val="3064715C"/>
    <w:rsid w:val="3076618E"/>
    <w:rsid w:val="30991A62"/>
    <w:rsid w:val="30A17BFD"/>
    <w:rsid w:val="30AA5623"/>
    <w:rsid w:val="30FCE55C"/>
    <w:rsid w:val="310231F1"/>
    <w:rsid w:val="310C0837"/>
    <w:rsid w:val="312671AB"/>
    <w:rsid w:val="31374B2F"/>
    <w:rsid w:val="31426BDD"/>
    <w:rsid w:val="314EDE76"/>
    <w:rsid w:val="31600471"/>
    <w:rsid w:val="3160617D"/>
    <w:rsid w:val="3191E4F1"/>
    <w:rsid w:val="3195939E"/>
    <w:rsid w:val="319B574A"/>
    <w:rsid w:val="319DF6ED"/>
    <w:rsid w:val="31A0FFDE"/>
    <w:rsid w:val="31A1B6AC"/>
    <w:rsid w:val="31A309BD"/>
    <w:rsid w:val="31A6CD26"/>
    <w:rsid w:val="31B5598C"/>
    <w:rsid w:val="31EDE351"/>
    <w:rsid w:val="31F654EE"/>
    <w:rsid w:val="31FDEA10"/>
    <w:rsid w:val="3206FB88"/>
    <w:rsid w:val="321B0886"/>
    <w:rsid w:val="321EE30D"/>
    <w:rsid w:val="3227BFBA"/>
    <w:rsid w:val="322DAC37"/>
    <w:rsid w:val="3231611C"/>
    <w:rsid w:val="32325C2B"/>
    <w:rsid w:val="323536B2"/>
    <w:rsid w:val="3236611E"/>
    <w:rsid w:val="3241CA5C"/>
    <w:rsid w:val="325ACA71"/>
    <w:rsid w:val="325D64F0"/>
    <w:rsid w:val="3287A247"/>
    <w:rsid w:val="3295808E"/>
    <w:rsid w:val="32A34596"/>
    <w:rsid w:val="32A7A067"/>
    <w:rsid w:val="32B1F304"/>
    <w:rsid w:val="32BAB7BB"/>
    <w:rsid w:val="32DBCA6D"/>
    <w:rsid w:val="32EC01FE"/>
    <w:rsid w:val="32F04C4D"/>
    <w:rsid w:val="3304A2A8"/>
    <w:rsid w:val="3306F080"/>
    <w:rsid w:val="33096571"/>
    <w:rsid w:val="33124E96"/>
    <w:rsid w:val="3314E51B"/>
    <w:rsid w:val="331BBA9F"/>
    <w:rsid w:val="331E20A5"/>
    <w:rsid w:val="33327259"/>
    <w:rsid w:val="334AD6CB"/>
    <w:rsid w:val="335354FC"/>
    <w:rsid w:val="3384DEC5"/>
    <w:rsid w:val="3395EA10"/>
    <w:rsid w:val="339E033E"/>
    <w:rsid w:val="33A994C2"/>
    <w:rsid w:val="33D9D6B6"/>
    <w:rsid w:val="33EE5E3D"/>
    <w:rsid w:val="33F22197"/>
    <w:rsid w:val="3406251A"/>
    <w:rsid w:val="34156298"/>
    <w:rsid w:val="3419DFC1"/>
    <w:rsid w:val="341B9724"/>
    <w:rsid w:val="34248E31"/>
    <w:rsid w:val="343842C2"/>
    <w:rsid w:val="343E8060"/>
    <w:rsid w:val="34439E7C"/>
    <w:rsid w:val="3459E3C2"/>
    <w:rsid w:val="346A086F"/>
    <w:rsid w:val="347B1D9C"/>
    <w:rsid w:val="34AC7B09"/>
    <w:rsid w:val="34B78DDD"/>
    <w:rsid w:val="34B9A34C"/>
    <w:rsid w:val="34E09AE8"/>
    <w:rsid w:val="34E21113"/>
    <w:rsid w:val="351E8033"/>
    <w:rsid w:val="3520B5DA"/>
    <w:rsid w:val="35688DEC"/>
    <w:rsid w:val="357CBB9B"/>
    <w:rsid w:val="359725F5"/>
    <w:rsid w:val="35B3A85B"/>
    <w:rsid w:val="35D13781"/>
    <w:rsid w:val="35DACFB1"/>
    <w:rsid w:val="35E66901"/>
    <w:rsid w:val="35F0151F"/>
    <w:rsid w:val="35FA86E2"/>
    <w:rsid w:val="361072B2"/>
    <w:rsid w:val="36123CB7"/>
    <w:rsid w:val="3619FF31"/>
    <w:rsid w:val="3634671B"/>
    <w:rsid w:val="366444DB"/>
    <w:rsid w:val="3674FA37"/>
    <w:rsid w:val="3679BACD"/>
    <w:rsid w:val="368271BB"/>
    <w:rsid w:val="368C0BE4"/>
    <w:rsid w:val="369A5B12"/>
    <w:rsid w:val="36A4FEFD"/>
    <w:rsid w:val="36A5B353"/>
    <w:rsid w:val="36ADDBB1"/>
    <w:rsid w:val="36B1BEA8"/>
    <w:rsid w:val="36B971D7"/>
    <w:rsid w:val="36D4533D"/>
    <w:rsid w:val="36DFDAC6"/>
    <w:rsid w:val="36EA88EE"/>
    <w:rsid w:val="3702B470"/>
    <w:rsid w:val="37322439"/>
    <w:rsid w:val="373E629E"/>
    <w:rsid w:val="374464C4"/>
    <w:rsid w:val="37578F12"/>
    <w:rsid w:val="3757F78D"/>
    <w:rsid w:val="3760811E"/>
    <w:rsid w:val="37718D2A"/>
    <w:rsid w:val="37728311"/>
    <w:rsid w:val="377DFA25"/>
    <w:rsid w:val="37811AAA"/>
    <w:rsid w:val="378B6B08"/>
    <w:rsid w:val="37909AB3"/>
    <w:rsid w:val="37910CB3"/>
    <w:rsid w:val="37AAA028"/>
    <w:rsid w:val="37C3E569"/>
    <w:rsid w:val="37C9503C"/>
    <w:rsid w:val="38149385"/>
    <w:rsid w:val="38374DD3"/>
    <w:rsid w:val="383DBB35"/>
    <w:rsid w:val="384B5AB2"/>
    <w:rsid w:val="3857D326"/>
    <w:rsid w:val="3873E731"/>
    <w:rsid w:val="3882FE90"/>
    <w:rsid w:val="38833337"/>
    <w:rsid w:val="3884C5F7"/>
    <w:rsid w:val="38854285"/>
    <w:rsid w:val="389147FA"/>
    <w:rsid w:val="389EA45E"/>
    <w:rsid w:val="38A28097"/>
    <w:rsid w:val="38ADD4D0"/>
    <w:rsid w:val="38C2E366"/>
    <w:rsid w:val="38C376FA"/>
    <w:rsid w:val="38D12649"/>
    <w:rsid w:val="38D7C644"/>
    <w:rsid w:val="38D7EA7D"/>
    <w:rsid w:val="38D81CE9"/>
    <w:rsid w:val="38E37CE1"/>
    <w:rsid w:val="38F11752"/>
    <w:rsid w:val="38FCBA61"/>
    <w:rsid w:val="39104864"/>
    <w:rsid w:val="39160BB6"/>
    <w:rsid w:val="391A699E"/>
    <w:rsid w:val="394DEADF"/>
    <w:rsid w:val="394EA9D1"/>
    <w:rsid w:val="39526D03"/>
    <w:rsid w:val="3964286E"/>
    <w:rsid w:val="3972031D"/>
    <w:rsid w:val="39746588"/>
    <w:rsid w:val="397768F4"/>
    <w:rsid w:val="397C4096"/>
    <w:rsid w:val="3985E2A6"/>
    <w:rsid w:val="398A4B17"/>
    <w:rsid w:val="3993DB5B"/>
    <w:rsid w:val="39A5157E"/>
    <w:rsid w:val="39AB1F7C"/>
    <w:rsid w:val="39AB60C6"/>
    <w:rsid w:val="39AF6A90"/>
    <w:rsid w:val="39B4F9E8"/>
    <w:rsid w:val="39C49952"/>
    <w:rsid w:val="39CF1F57"/>
    <w:rsid w:val="39E761F0"/>
    <w:rsid w:val="3A0831DD"/>
    <w:rsid w:val="3A08BC5F"/>
    <w:rsid w:val="3A2CE20E"/>
    <w:rsid w:val="3A352318"/>
    <w:rsid w:val="3A3598FC"/>
    <w:rsid w:val="3A4EFAD1"/>
    <w:rsid w:val="3A79E5FC"/>
    <w:rsid w:val="3A9C6B7D"/>
    <w:rsid w:val="3AA3CD25"/>
    <w:rsid w:val="3AA43E97"/>
    <w:rsid w:val="3ACB3627"/>
    <w:rsid w:val="3AF911BB"/>
    <w:rsid w:val="3B059ACD"/>
    <w:rsid w:val="3B05A5FD"/>
    <w:rsid w:val="3B09AF43"/>
    <w:rsid w:val="3B12AFD2"/>
    <w:rsid w:val="3B215F32"/>
    <w:rsid w:val="3B2A1FAB"/>
    <w:rsid w:val="3B3666C4"/>
    <w:rsid w:val="3B38B859"/>
    <w:rsid w:val="3B414E0A"/>
    <w:rsid w:val="3B447D6D"/>
    <w:rsid w:val="3B51384A"/>
    <w:rsid w:val="3B67C08A"/>
    <w:rsid w:val="3B94C60C"/>
    <w:rsid w:val="3B95AF72"/>
    <w:rsid w:val="3BA52DBE"/>
    <w:rsid w:val="3BA9123F"/>
    <w:rsid w:val="3BD220EE"/>
    <w:rsid w:val="3BDBD421"/>
    <w:rsid w:val="3BDE213B"/>
    <w:rsid w:val="3BF6CF60"/>
    <w:rsid w:val="3C1EB995"/>
    <w:rsid w:val="3C29B2F7"/>
    <w:rsid w:val="3C33E934"/>
    <w:rsid w:val="3C364A83"/>
    <w:rsid w:val="3C66D986"/>
    <w:rsid w:val="3C6C1129"/>
    <w:rsid w:val="3C721A93"/>
    <w:rsid w:val="3C778CB9"/>
    <w:rsid w:val="3C901FAE"/>
    <w:rsid w:val="3C943D72"/>
    <w:rsid w:val="3C98F33D"/>
    <w:rsid w:val="3CEA9240"/>
    <w:rsid w:val="3CED1494"/>
    <w:rsid w:val="3CFA430E"/>
    <w:rsid w:val="3D1CB440"/>
    <w:rsid w:val="3D1E1638"/>
    <w:rsid w:val="3D30E7C9"/>
    <w:rsid w:val="3D3A4CD5"/>
    <w:rsid w:val="3D481C4A"/>
    <w:rsid w:val="3D486394"/>
    <w:rsid w:val="3D492657"/>
    <w:rsid w:val="3D6C7CB4"/>
    <w:rsid w:val="3D6FD527"/>
    <w:rsid w:val="3D7A4281"/>
    <w:rsid w:val="3D80CEA6"/>
    <w:rsid w:val="3D85C1FF"/>
    <w:rsid w:val="3D8BE95A"/>
    <w:rsid w:val="3D90650A"/>
    <w:rsid w:val="3DB4F7B6"/>
    <w:rsid w:val="3DCBC963"/>
    <w:rsid w:val="3DCDDB92"/>
    <w:rsid w:val="3DD876E8"/>
    <w:rsid w:val="3DDD5203"/>
    <w:rsid w:val="3DE56FD5"/>
    <w:rsid w:val="3E1043FC"/>
    <w:rsid w:val="3E14C98D"/>
    <w:rsid w:val="3E3EF971"/>
    <w:rsid w:val="3E42A32B"/>
    <w:rsid w:val="3E559216"/>
    <w:rsid w:val="3E8742F8"/>
    <w:rsid w:val="3E94CE82"/>
    <w:rsid w:val="3ECDF1DB"/>
    <w:rsid w:val="3EE12CAF"/>
    <w:rsid w:val="3EE6AA32"/>
    <w:rsid w:val="3EEF4702"/>
    <w:rsid w:val="3EF4FBD9"/>
    <w:rsid w:val="3EFC0F16"/>
    <w:rsid w:val="3F020A10"/>
    <w:rsid w:val="3F23BFBE"/>
    <w:rsid w:val="3F3144CD"/>
    <w:rsid w:val="3F3478FD"/>
    <w:rsid w:val="3F3885A4"/>
    <w:rsid w:val="3F3B452F"/>
    <w:rsid w:val="3F441FF8"/>
    <w:rsid w:val="3F5C91DC"/>
    <w:rsid w:val="3F5E9DAF"/>
    <w:rsid w:val="3F6F5082"/>
    <w:rsid w:val="3F86B63C"/>
    <w:rsid w:val="3F98E228"/>
    <w:rsid w:val="3FAEBB55"/>
    <w:rsid w:val="3FB422A1"/>
    <w:rsid w:val="3FB90138"/>
    <w:rsid w:val="3FBEFAF6"/>
    <w:rsid w:val="3FC52F73"/>
    <w:rsid w:val="3FC9D121"/>
    <w:rsid w:val="3FCA7F4A"/>
    <w:rsid w:val="3FD2783E"/>
    <w:rsid w:val="3FD4FD01"/>
    <w:rsid w:val="3FDF60C2"/>
    <w:rsid w:val="3FF77D82"/>
    <w:rsid w:val="400DCB57"/>
    <w:rsid w:val="4014FDE7"/>
    <w:rsid w:val="402E9DC5"/>
    <w:rsid w:val="40421647"/>
    <w:rsid w:val="40554A52"/>
    <w:rsid w:val="4059DBD4"/>
    <w:rsid w:val="40751BE8"/>
    <w:rsid w:val="40773A77"/>
    <w:rsid w:val="409B922D"/>
    <w:rsid w:val="40A32881"/>
    <w:rsid w:val="40B05A1E"/>
    <w:rsid w:val="40BE7D45"/>
    <w:rsid w:val="40C1B889"/>
    <w:rsid w:val="40CFD96B"/>
    <w:rsid w:val="40D81CD6"/>
    <w:rsid w:val="40DA9249"/>
    <w:rsid w:val="40EB3C04"/>
    <w:rsid w:val="40F7E396"/>
    <w:rsid w:val="410212FF"/>
    <w:rsid w:val="410E05FD"/>
    <w:rsid w:val="411AE887"/>
    <w:rsid w:val="4142FAAD"/>
    <w:rsid w:val="4145BD02"/>
    <w:rsid w:val="414FD99C"/>
    <w:rsid w:val="4168624C"/>
    <w:rsid w:val="416E64D0"/>
    <w:rsid w:val="417050AD"/>
    <w:rsid w:val="4189A853"/>
    <w:rsid w:val="41998193"/>
    <w:rsid w:val="41CA244A"/>
    <w:rsid w:val="41DC0729"/>
    <w:rsid w:val="41E19CAC"/>
    <w:rsid w:val="41E88BF9"/>
    <w:rsid w:val="41F67957"/>
    <w:rsid w:val="41FF03BF"/>
    <w:rsid w:val="420017C7"/>
    <w:rsid w:val="4204E547"/>
    <w:rsid w:val="42122A04"/>
    <w:rsid w:val="42194921"/>
    <w:rsid w:val="421CE933"/>
    <w:rsid w:val="424B8BEF"/>
    <w:rsid w:val="4272B8B3"/>
    <w:rsid w:val="42916FD3"/>
    <w:rsid w:val="42990061"/>
    <w:rsid w:val="4299E47B"/>
    <w:rsid w:val="42B0E6D4"/>
    <w:rsid w:val="42B8963C"/>
    <w:rsid w:val="42BCB8B3"/>
    <w:rsid w:val="42BEA92A"/>
    <w:rsid w:val="42C2C0FA"/>
    <w:rsid w:val="42C99326"/>
    <w:rsid w:val="42E5B275"/>
    <w:rsid w:val="43042116"/>
    <w:rsid w:val="4325A7A7"/>
    <w:rsid w:val="4336F4C3"/>
    <w:rsid w:val="434A2801"/>
    <w:rsid w:val="4361F5F5"/>
    <w:rsid w:val="436ED4D3"/>
    <w:rsid w:val="436EE8F8"/>
    <w:rsid w:val="437D6370"/>
    <w:rsid w:val="437D9419"/>
    <w:rsid w:val="437FAC3A"/>
    <w:rsid w:val="4384249B"/>
    <w:rsid w:val="438F8AEF"/>
    <w:rsid w:val="4397B0E9"/>
    <w:rsid w:val="43993F76"/>
    <w:rsid w:val="4399B2D5"/>
    <w:rsid w:val="43A35B6C"/>
    <w:rsid w:val="43B68E5C"/>
    <w:rsid w:val="43BD4154"/>
    <w:rsid w:val="43C0CF1F"/>
    <w:rsid w:val="43D323CF"/>
    <w:rsid w:val="43E7F746"/>
    <w:rsid w:val="43F806DC"/>
    <w:rsid w:val="43FB5CC5"/>
    <w:rsid w:val="4413D678"/>
    <w:rsid w:val="44268B07"/>
    <w:rsid w:val="443E5154"/>
    <w:rsid w:val="444E4B6D"/>
    <w:rsid w:val="44590C15"/>
    <w:rsid w:val="446355EB"/>
    <w:rsid w:val="447A67EF"/>
    <w:rsid w:val="447C9203"/>
    <w:rsid w:val="4482E38B"/>
    <w:rsid w:val="448C0C99"/>
    <w:rsid w:val="44A67222"/>
    <w:rsid w:val="44BB5BEB"/>
    <w:rsid w:val="44BBBEEF"/>
    <w:rsid w:val="44C03F1B"/>
    <w:rsid w:val="44CA4B59"/>
    <w:rsid w:val="44CEAC5F"/>
    <w:rsid w:val="44CFF4F9"/>
    <w:rsid w:val="44DF1C9D"/>
    <w:rsid w:val="44E6074B"/>
    <w:rsid w:val="44F39EA8"/>
    <w:rsid w:val="4509AAC5"/>
    <w:rsid w:val="45181804"/>
    <w:rsid w:val="452E235C"/>
    <w:rsid w:val="4536E92B"/>
    <w:rsid w:val="4562460F"/>
    <w:rsid w:val="45828492"/>
    <w:rsid w:val="458D3190"/>
    <w:rsid w:val="458E25C7"/>
    <w:rsid w:val="45C15294"/>
    <w:rsid w:val="45C3DD17"/>
    <w:rsid w:val="45CD1281"/>
    <w:rsid w:val="45D6734E"/>
    <w:rsid w:val="45E93606"/>
    <w:rsid w:val="45F8BC34"/>
    <w:rsid w:val="45FAAC9F"/>
    <w:rsid w:val="4605EEF4"/>
    <w:rsid w:val="461FCA3E"/>
    <w:rsid w:val="4648D0FC"/>
    <w:rsid w:val="464C4ABD"/>
    <w:rsid w:val="464CCACB"/>
    <w:rsid w:val="465A7B4E"/>
    <w:rsid w:val="4688EDB9"/>
    <w:rsid w:val="4694A510"/>
    <w:rsid w:val="4695ADAA"/>
    <w:rsid w:val="4695E9A6"/>
    <w:rsid w:val="46AB6367"/>
    <w:rsid w:val="46C56036"/>
    <w:rsid w:val="46C602BC"/>
    <w:rsid w:val="46C73470"/>
    <w:rsid w:val="46E3641B"/>
    <w:rsid w:val="46EC5E47"/>
    <w:rsid w:val="46EFB322"/>
    <w:rsid w:val="46F1FDBC"/>
    <w:rsid w:val="4707A911"/>
    <w:rsid w:val="470B5F05"/>
    <w:rsid w:val="470CE74A"/>
    <w:rsid w:val="471D49E6"/>
    <w:rsid w:val="47470AB7"/>
    <w:rsid w:val="47481860"/>
    <w:rsid w:val="474E5D1E"/>
    <w:rsid w:val="47554B26"/>
    <w:rsid w:val="47611909"/>
    <w:rsid w:val="47642607"/>
    <w:rsid w:val="47680A62"/>
    <w:rsid w:val="476A638B"/>
    <w:rsid w:val="4779862E"/>
    <w:rsid w:val="478E5DAC"/>
    <w:rsid w:val="4794BD07"/>
    <w:rsid w:val="47B45748"/>
    <w:rsid w:val="47BACB75"/>
    <w:rsid w:val="47D5C174"/>
    <w:rsid w:val="47D71161"/>
    <w:rsid w:val="47E0DCF5"/>
    <w:rsid w:val="47E4B3D1"/>
    <w:rsid w:val="47E4CB69"/>
    <w:rsid w:val="47F052A0"/>
    <w:rsid w:val="48174275"/>
    <w:rsid w:val="481B36BA"/>
    <w:rsid w:val="481C144C"/>
    <w:rsid w:val="48246C61"/>
    <w:rsid w:val="486E9841"/>
    <w:rsid w:val="488406DA"/>
    <w:rsid w:val="4894E742"/>
    <w:rsid w:val="489852B1"/>
    <w:rsid w:val="489D3789"/>
    <w:rsid w:val="48A45B21"/>
    <w:rsid w:val="48AB063B"/>
    <w:rsid w:val="48AEF150"/>
    <w:rsid w:val="48AFB599"/>
    <w:rsid w:val="48B14404"/>
    <w:rsid w:val="48C33DAC"/>
    <w:rsid w:val="48D7FDC7"/>
    <w:rsid w:val="48E8C9B3"/>
    <w:rsid w:val="48E94301"/>
    <w:rsid w:val="490FB8A0"/>
    <w:rsid w:val="491BD310"/>
    <w:rsid w:val="492A1B56"/>
    <w:rsid w:val="4939B3CD"/>
    <w:rsid w:val="495592CC"/>
    <w:rsid w:val="49752E7B"/>
    <w:rsid w:val="498D9C8D"/>
    <w:rsid w:val="499091F6"/>
    <w:rsid w:val="499B8652"/>
    <w:rsid w:val="499BCD3E"/>
    <w:rsid w:val="49E2E8B8"/>
    <w:rsid w:val="4A1CCADA"/>
    <w:rsid w:val="4A251CA7"/>
    <w:rsid w:val="4A272EF1"/>
    <w:rsid w:val="4A2B8285"/>
    <w:rsid w:val="4A2CA4F6"/>
    <w:rsid w:val="4A321ED1"/>
    <w:rsid w:val="4A38D1D4"/>
    <w:rsid w:val="4A394C63"/>
    <w:rsid w:val="4A3A2589"/>
    <w:rsid w:val="4A48FD77"/>
    <w:rsid w:val="4A51D362"/>
    <w:rsid w:val="4A6A1A84"/>
    <w:rsid w:val="4A6D762F"/>
    <w:rsid w:val="4A740CA4"/>
    <w:rsid w:val="4A7E40C7"/>
    <w:rsid w:val="4A8D20BB"/>
    <w:rsid w:val="4A99E4F1"/>
    <w:rsid w:val="4A9F59FE"/>
    <w:rsid w:val="4AA6B923"/>
    <w:rsid w:val="4AA82B6B"/>
    <w:rsid w:val="4AC74DC3"/>
    <w:rsid w:val="4AFA8E35"/>
    <w:rsid w:val="4B136146"/>
    <w:rsid w:val="4B2B26C2"/>
    <w:rsid w:val="4B5529C3"/>
    <w:rsid w:val="4B701250"/>
    <w:rsid w:val="4B8C2F43"/>
    <w:rsid w:val="4B9F5CD4"/>
    <w:rsid w:val="4BA5277F"/>
    <w:rsid w:val="4BB8B7C0"/>
    <w:rsid w:val="4BBA8489"/>
    <w:rsid w:val="4BBBCA9E"/>
    <w:rsid w:val="4BBE8855"/>
    <w:rsid w:val="4BC6B37C"/>
    <w:rsid w:val="4BC9A3AD"/>
    <w:rsid w:val="4BF15972"/>
    <w:rsid w:val="4C07B8A9"/>
    <w:rsid w:val="4C2EEFE0"/>
    <w:rsid w:val="4C39D4CE"/>
    <w:rsid w:val="4C3A8862"/>
    <w:rsid w:val="4C54D96C"/>
    <w:rsid w:val="4C65DA30"/>
    <w:rsid w:val="4C9BB92A"/>
    <w:rsid w:val="4CC897CB"/>
    <w:rsid w:val="4CCDA00A"/>
    <w:rsid w:val="4CD51850"/>
    <w:rsid w:val="4CF9BF95"/>
    <w:rsid w:val="4D08B31C"/>
    <w:rsid w:val="4D1EA424"/>
    <w:rsid w:val="4D246AA8"/>
    <w:rsid w:val="4D326A82"/>
    <w:rsid w:val="4D4EC169"/>
    <w:rsid w:val="4D536389"/>
    <w:rsid w:val="4D5FA3CB"/>
    <w:rsid w:val="4D64ED9E"/>
    <w:rsid w:val="4D6BC7B2"/>
    <w:rsid w:val="4D70F0A1"/>
    <w:rsid w:val="4D87DD8E"/>
    <w:rsid w:val="4D974FDD"/>
    <w:rsid w:val="4DA99DE5"/>
    <w:rsid w:val="4DAF5B73"/>
    <w:rsid w:val="4DDC6146"/>
    <w:rsid w:val="4DDEBE8C"/>
    <w:rsid w:val="4DE0521C"/>
    <w:rsid w:val="4DE70784"/>
    <w:rsid w:val="4DED87F5"/>
    <w:rsid w:val="4DEEE498"/>
    <w:rsid w:val="4DF22A13"/>
    <w:rsid w:val="4E03A7C3"/>
    <w:rsid w:val="4E0695C9"/>
    <w:rsid w:val="4E088DD3"/>
    <w:rsid w:val="4E0DE71D"/>
    <w:rsid w:val="4E1D72A0"/>
    <w:rsid w:val="4E4D282B"/>
    <w:rsid w:val="4E540169"/>
    <w:rsid w:val="4E5BD574"/>
    <w:rsid w:val="4E759F99"/>
    <w:rsid w:val="4E79767B"/>
    <w:rsid w:val="4E81C56B"/>
    <w:rsid w:val="4E9023F8"/>
    <w:rsid w:val="4EA34237"/>
    <w:rsid w:val="4EB11F70"/>
    <w:rsid w:val="4EC46CF9"/>
    <w:rsid w:val="4EC7F2A8"/>
    <w:rsid w:val="4ECB0652"/>
    <w:rsid w:val="4ECD9E6A"/>
    <w:rsid w:val="4ECECC09"/>
    <w:rsid w:val="4ED16EA9"/>
    <w:rsid w:val="4EE0EBCF"/>
    <w:rsid w:val="4EF8AC07"/>
    <w:rsid w:val="4EF95B46"/>
    <w:rsid w:val="4EFD09BA"/>
    <w:rsid w:val="4F05FAEA"/>
    <w:rsid w:val="4F0B3D7E"/>
    <w:rsid w:val="4F11B8B4"/>
    <w:rsid w:val="4F14E565"/>
    <w:rsid w:val="4F26CFD4"/>
    <w:rsid w:val="4F320860"/>
    <w:rsid w:val="4F3477B6"/>
    <w:rsid w:val="4F4B3F7D"/>
    <w:rsid w:val="4F6E6B94"/>
    <w:rsid w:val="4F7A5D5A"/>
    <w:rsid w:val="4F7ACBF0"/>
    <w:rsid w:val="4F83CED8"/>
    <w:rsid w:val="4F86FEBC"/>
    <w:rsid w:val="4F8FC5D3"/>
    <w:rsid w:val="4F9FB332"/>
    <w:rsid w:val="4F9FFE48"/>
    <w:rsid w:val="4FB33164"/>
    <w:rsid w:val="4FBB9955"/>
    <w:rsid w:val="4FC9154F"/>
    <w:rsid w:val="4FCA15E7"/>
    <w:rsid w:val="4FE46FD9"/>
    <w:rsid w:val="4FF1002E"/>
    <w:rsid w:val="4FF8AE25"/>
    <w:rsid w:val="50155F67"/>
    <w:rsid w:val="5017F586"/>
    <w:rsid w:val="50185123"/>
    <w:rsid w:val="50202C3E"/>
    <w:rsid w:val="50345B4E"/>
    <w:rsid w:val="5034CBCC"/>
    <w:rsid w:val="503D7672"/>
    <w:rsid w:val="50479C82"/>
    <w:rsid w:val="50496CA2"/>
    <w:rsid w:val="504A8658"/>
    <w:rsid w:val="5061EF4E"/>
    <w:rsid w:val="506CD657"/>
    <w:rsid w:val="506E1731"/>
    <w:rsid w:val="50757154"/>
    <w:rsid w:val="507A37A9"/>
    <w:rsid w:val="50885F53"/>
    <w:rsid w:val="5090EE40"/>
    <w:rsid w:val="50923AAB"/>
    <w:rsid w:val="5092A811"/>
    <w:rsid w:val="5093F73B"/>
    <w:rsid w:val="50AB6B2B"/>
    <w:rsid w:val="50B79B24"/>
    <w:rsid w:val="50BBCCCC"/>
    <w:rsid w:val="50CC854A"/>
    <w:rsid w:val="50CC9361"/>
    <w:rsid w:val="50CEFD19"/>
    <w:rsid w:val="50DFD9D6"/>
    <w:rsid w:val="50E1B155"/>
    <w:rsid w:val="50E8055A"/>
    <w:rsid w:val="50EDD067"/>
    <w:rsid w:val="50F13563"/>
    <w:rsid w:val="50FA183C"/>
    <w:rsid w:val="50FFD2BE"/>
    <w:rsid w:val="510777D1"/>
    <w:rsid w:val="510DC683"/>
    <w:rsid w:val="5111DB5A"/>
    <w:rsid w:val="5116B64A"/>
    <w:rsid w:val="51365A5F"/>
    <w:rsid w:val="513E96A7"/>
    <w:rsid w:val="514CAA4F"/>
    <w:rsid w:val="5153826B"/>
    <w:rsid w:val="515B4C1B"/>
    <w:rsid w:val="51688F07"/>
    <w:rsid w:val="51690D22"/>
    <w:rsid w:val="518C006D"/>
    <w:rsid w:val="51A17B21"/>
    <w:rsid w:val="51A8BB04"/>
    <w:rsid w:val="51AA8C04"/>
    <w:rsid w:val="51B0F855"/>
    <w:rsid w:val="51B2C080"/>
    <w:rsid w:val="51D1C588"/>
    <w:rsid w:val="51D36F72"/>
    <w:rsid w:val="51E43BD1"/>
    <w:rsid w:val="51F5D064"/>
    <w:rsid w:val="51F6AD04"/>
    <w:rsid w:val="52192F3B"/>
    <w:rsid w:val="521ADCDA"/>
    <w:rsid w:val="522001FF"/>
    <w:rsid w:val="522874A2"/>
    <w:rsid w:val="523FFB32"/>
    <w:rsid w:val="5245A2A2"/>
    <w:rsid w:val="524D213E"/>
    <w:rsid w:val="52515212"/>
    <w:rsid w:val="52594DDE"/>
    <w:rsid w:val="52611900"/>
    <w:rsid w:val="52613619"/>
    <w:rsid w:val="5268FEBC"/>
    <w:rsid w:val="5281E2AF"/>
    <w:rsid w:val="5283D5CF"/>
    <w:rsid w:val="52A5B767"/>
    <w:rsid w:val="52AD6D15"/>
    <w:rsid w:val="52BEEE8F"/>
    <w:rsid w:val="52CDB785"/>
    <w:rsid w:val="52D2F9AE"/>
    <w:rsid w:val="52D68253"/>
    <w:rsid w:val="52DA14DD"/>
    <w:rsid w:val="52E171D3"/>
    <w:rsid w:val="52FE067C"/>
    <w:rsid w:val="53063B17"/>
    <w:rsid w:val="5310AFD9"/>
    <w:rsid w:val="531FBD3E"/>
    <w:rsid w:val="53334CAB"/>
    <w:rsid w:val="533CA972"/>
    <w:rsid w:val="53569070"/>
    <w:rsid w:val="53579946"/>
    <w:rsid w:val="53632AFD"/>
    <w:rsid w:val="536E5FAC"/>
    <w:rsid w:val="536F8D0D"/>
    <w:rsid w:val="537C8AEA"/>
    <w:rsid w:val="5384AB51"/>
    <w:rsid w:val="538B2154"/>
    <w:rsid w:val="538D5F7B"/>
    <w:rsid w:val="53958119"/>
    <w:rsid w:val="53A15ED7"/>
    <w:rsid w:val="53AB7780"/>
    <w:rsid w:val="53B83162"/>
    <w:rsid w:val="53CD6C3B"/>
    <w:rsid w:val="53DFB41A"/>
    <w:rsid w:val="540F80EC"/>
    <w:rsid w:val="5424F03C"/>
    <w:rsid w:val="5425FFE5"/>
    <w:rsid w:val="543B69FE"/>
    <w:rsid w:val="5445F45E"/>
    <w:rsid w:val="54515DCE"/>
    <w:rsid w:val="54535CE5"/>
    <w:rsid w:val="54536E67"/>
    <w:rsid w:val="545E1E98"/>
    <w:rsid w:val="5464C9C1"/>
    <w:rsid w:val="546D5C4E"/>
    <w:rsid w:val="546FD77F"/>
    <w:rsid w:val="547F6757"/>
    <w:rsid w:val="5498A59F"/>
    <w:rsid w:val="54AB3EF6"/>
    <w:rsid w:val="54C09C80"/>
    <w:rsid w:val="54C7F887"/>
    <w:rsid w:val="54CE8BF0"/>
    <w:rsid w:val="54DF02CA"/>
    <w:rsid w:val="54E772E8"/>
    <w:rsid w:val="54ECA27D"/>
    <w:rsid w:val="54FE84BE"/>
    <w:rsid w:val="54FEA303"/>
    <w:rsid w:val="552B414E"/>
    <w:rsid w:val="553C777E"/>
    <w:rsid w:val="554704AC"/>
    <w:rsid w:val="5548B47D"/>
    <w:rsid w:val="5551B890"/>
    <w:rsid w:val="5553121E"/>
    <w:rsid w:val="555BB16F"/>
    <w:rsid w:val="5569079C"/>
    <w:rsid w:val="5570458D"/>
    <w:rsid w:val="5585333F"/>
    <w:rsid w:val="5586AB91"/>
    <w:rsid w:val="55B0DEC2"/>
    <w:rsid w:val="55D65275"/>
    <w:rsid w:val="55DF53D1"/>
    <w:rsid w:val="55E01B60"/>
    <w:rsid w:val="55E10C75"/>
    <w:rsid w:val="55E6C888"/>
    <w:rsid w:val="55EC85BC"/>
    <w:rsid w:val="56074767"/>
    <w:rsid w:val="5608DF96"/>
    <w:rsid w:val="560B5990"/>
    <w:rsid w:val="5631BED7"/>
    <w:rsid w:val="5649FC15"/>
    <w:rsid w:val="5658A1E9"/>
    <w:rsid w:val="566E43B0"/>
    <w:rsid w:val="567D2354"/>
    <w:rsid w:val="56936FFA"/>
    <w:rsid w:val="5699E41F"/>
    <w:rsid w:val="56B49B77"/>
    <w:rsid w:val="56BD47F0"/>
    <w:rsid w:val="56C3CD2C"/>
    <w:rsid w:val="56D0ECEC"/>
    <w:rsid w:val="56E4CE27"/>
    <w:rsid w:val="56F511A2"/>
    <w:rsid w:val="570780F4"/>
    <w:rsid w:val="574526B3"/>
    <w:rsid w:val="5750AA22"/>
    <w:rsid w:val="575BD09D"/>
    <w:rsid w:val="5764B2DE"/>
    <w:rsid w:val="5764D9F1"/>
    <w:rsid w:val="57762B4B"/>
    <w:rsid w:val="577DFA7B"/>
    <w:rsid w:val="5785D2A8"/>
    <w:rsid w:val="578CA281"/>
    <w:rsid w:val="5793F86D"/>
    <w:rsid w:val="579EF1B3"/>
    <w:rsid w:val="57A1D0C7"/>
    <w:rsid w:val="57A7049F"/>
    <w:rsid w:val="57B2B243"/>
    <w:rsid w:val="57D28CCF"/>
    <w:rsid w:val="57F1C031"/>
    <w:rsid w:val="57F1EF72"/>
    <w:rsid w:val="57FED8F4"/>
    <w:rsid w:val="5805A352"/>
    <w:rsid w:val="5813BCDB"/>
    <w:rsid w:val="581E9017"/>
    <w:rsid w:val="58251ED9"/>
    <w:rsid w:val="5848FDE3"/>
    <w:rsid w:val="584A863D"/>
    <w:rsid w:val="58522FFA"/>
    <w:rsid w:val="58657326"/>
    <w:rsid w:val="58692673"/>
    <w:rsid w:val="587FCDCC"/>
    <w:rsid w:val="588C5971"/>
    <w:rsid w:val="58BEA79B"/>
    <w:rsid w:val="58C03FEB"/>
    <w:rsid w:val="58C94544"/>
    <w:rsid w:val="58E63F47"/>
    <w:rsid w:val="58ECEE04"/>
    <w:rsid w:val="58F5D86B"/>
    <w:rsid w:val="58F90B28"/>
    <w:rsid w:val="590CD8D3"/>
    <w:rsid w:val="590E833A"/>
    <w:rsid w:val="5917A789"/>
    <w:rsid w:val="593EBA22"/>
    <w:rsid w:val="594FF4F2"/>
    <w:rsid w:val="5951E9D7"/>
    <w:rsid w:val="5957D7FA"/>
    <w:rsid w:val="5978383C"/>
    <w:rsid w:val="597B6390"/>
    <w:rsid w:val="598726EA"/>
    <w:rsid w:val="5987A441"/>
    <w:rsid w:val="598DBFD3"/>
    <w:rsid w:val="59920A25"/>
    <w:rsid w:val="5997C38C"/>
    <w:rsid w:val="599D5BD5"/>
    <w:rsid w:val="59AD0352"/>
    <w:rsid w:val="59B9CD4D"/>
    <w:rsid w:val="59D5DAD8"/>
    <w:rsid w:val="59D9809B"/>
    <w:rsid w:val="59E0F276"/>
    <w:rsid w:val="59FBFE46"/>
    <w:rsid w:val="5A11C3FC"/>
    <w:rsid w:val="5A3B4BD0"/>
    <w:rsid w:val="5A3D7CD9"/>
    <w:rsid w:val="5A4F52BF"/>
    <w:rsid w:val="5A514A36"/>
    <w:rsid w:val="5A81EF73"/>
    <w:rsid w:val="5A878201"/>
    <w:rsid w:val="5A8A1D48"/>
    <w:rsid w:val="5ABD33B5"/>
    <w:rsid w:val="5AC6646B"/>
    <w:rsid w:val="5AD56BA7"/>
    <w:rsid w:val="5AE536F8"/>
    <w:rsid w:val="5AEE796E"/>
    <w:rsid w:val="5AF1AEC1"/>
    <w:rsid w:val="5AF48910"/>
    <w:rsid w:val="5AF9EE8C"/>
    <w:rsid w:val="5AFB5AAD"/>
    <w:rsid w:val="5B03A27F"/>
    <w:rsid w:val="5B19CC4E"/>
    <w:rsid w:val="5B52EC9C"/>
    <w:rsid w:val="5B57E424"/>
    <w:rsid w:val="5B70F701"/>
    <w:rsid w:val="5B88D258"/>
    <w:rsid w:val="5B8BBAB7"/>
    <w:rsid w:val="5B91F5A2"/>
    <w:rsid w:val="5B93251B"/>
    <w:rsid w:val="5B932754"/>
    <w:rsid w:val="5B9F004F"/>
    <w:rsid w:val="5BAFDD6B"/>
    <w:rsid w:val="5BB7BCCA"/>
    <w:rsid w:val="5BC7017D"/>
    <w:rsid w:val="5BCDDFF7"/>
    <w:rsid w:val="5BD63D63"/>
    <w:rsid w:val="5BE0F50D"/>
    <w:rsid w:val="5C009EF5"/>
    <w:rsid w:val="5C0C527D"/>
    <w:rsid w:val="5C1CCE4A"/>
    <w:rsid w:val="5C351BE1"/>
    <w:rsid w:val="5C3E7BC3"/>
    <w:rsid w:val="5C3F7690"/>
    <w:rsid w:val="5C44C957"/>
    <w:rsid w:val="5C45C3FE"/>
    <w:rsid w:val="5C4667ED"/>
    <w:rsid w:val="5C53A347"/>
    <w:rsid w:val="5C5493F7"/>
    <w:rsid w:val="5C6D3678"/>
    <w:rsid w:val="5C7FB2BA"/>
    <w:rsid w:val="5C875DFB"/>
    <w:rsid w:val="5CA7FC06"/>
    <w:rsid w:val="5CA81DB0"/>
    <w:rsid w:val="5CAE30E5"/>
    <w:rsid w:val="5CB3EF95"/>
    <w:rsid w:val="5CB49E10"/>
    <w:rsid w:val="5CB70BDD"/>
    <w:rsid w:val="5CC7C35D"/>
    <w:rsid w:val="5CDBD3E4"/>
    <w:rsid w:val="5CE6B3DE"/>
    <w:rsid w:val="5CE9651E"/>
    <w:rsid w:val="5D063B4D"/>
    <w:rsid w:val="5D1098CC"/>
    <w:rsid w:val="5D11191C"/>
    <w:rsid w:val="5D2134AA"/>
    <w:rsid w:val="5D379EFD"/>
    <w:rsid w:val="5D44CA58"/>
    <w:rsid w:val="5D6993B2"/>
    <w:rsid w:val="5D7A2C9C"/>
    <w:rsid w:val="5D94819A"/>
    <w:rsid w:val="5D9F4A56"/>
    <w:rsid w:val="5DC2C568"/>
    <w:rsid w:val="5DC8E027"/>
    <w:rsid w:val="5DD9C9DF"/>
    <w:rsid w:val="5DE0C2C2"/>
    <w:rsid w:val="5DF182CD"/>
    <w:rsid w:val="5DF413A1"/>
    <w:rsid w:val="5DFCE7BD"/>
    <w:rsid w:val="5E056FF9"/>
    <w:rsid w:val="5E10E876"/>
    <w:rsid w:val="5E1288C1"/>
    <w:rsid w:val="5E2380CE"/>
    <w:rsid w:val="5E29491D"/>
    <w:rsid w:val="5E2D4365"/>
    <w:rsid w:val="5E3A727C"/>
    <w:rsid w:val="5E3F3D21"/>
    <w:rsid w:val="5E4454BA"/>
    <w:rsid w:val="5E47AC31"/>
    <w:rsid w:val="5E514304"/>
    <w:rsid w:val="5E610723"/>
    <w:rsid w:val="5E63E6EC"/>
    <w:rsid w:val="5E762284"/>
    <w:rsid w:val="5E888778"/>
    <w:rsid w:val="5EA151FA"/>
    <w:rsid w:val="5EACE122"/>
    <w:rsid w:val="5EC08190"/>
    <w:rsid w:val="5ED0402B"/>
    <w:rsid w:val="5F123818"/>
    <w:rsid w:val="5F1D29B7"/>
    <w:rsid w:val="5F1F84EC"/>
    <w:rsid w:val="5F270481"/>
    <w:rsid w:val="5F352B45"/>
    <w:rsid w:val="5F3C18D6"/>
    <w:rsid w:val="5F3EC261"/>
    <w:rsid w:val="5F3F180D"/>
    <w:rsid w:val="5F4ACD4A"/>
    <w:rsid w:val="5F9B93CE"/>
    <w:rsid w:val="5F9C3307"/>
    <w:rsid w:val="5FB6FF27"/>
    <w:rsid w:val="5FB756D1"/>
    <w:rsid w:val="5FBC9B43"/>
    <w:rsid w:val="5FD4294F"/>
    <w:rsid w:val="5FD8017A"/>
    <w:rsid w:val="5FE143AE"/>
    <w:rsid w:val="5FE1596C"/>
    <w:rsid w:val="6013EB8B"/>
    <w:rsid w:val="605DCABF"/>
    <w:rsid w:val="606EE0EC"/>
    <w:rsid w:val="60783257"/>
    <w:rsid w:val="607B2490"/>
    <w:rsid w:val="6098764B"/>
    <w:rsid w:val="609DEBE3"/>
    <w:rsid w:val="60B4828A"/>
    <w:rsid w:val="60B711BE"/>
    <w:rsid w:val="60B9B2DD"/>
    <w:rsid w:val="60C99635"/>
    <w:rsid w:val="60CC68C0"/>
    <w:rsid w:val="6100FE41"/>
    <w:rsid w:val="610BD20B"/>
    <w:rsid w:val="610F29EC"/>
    <w:rsid w:val="61113C58"/>
    <w:rsid w:val="6127A779"/>
    <w:rsid w:val="612AC2B6"/>
    <w:rsid w:val="6132CEA6"/>
    <w:rsid w:val="61330379"/>
    <w:rsid w:val="6133FE95"/>
    <w:rsid w:val="613F46EE"/>
    <w:rsid w:val="61413408"/>
    <w:rsid w:val="615411DA"/>
    <w:rsid w:val="61581FD4"/>
    <w:rsid w:val="6159089C"/>
    <w:rsid w:val="615A9757"/>
    <w:rsid w:val="615B0A05"/>
    <w:rsid w:val="615C742B"/>
    <w:rsid w:val="61623762"/>
    <w:rsid w:val="6163E19A"/>
    <w:rsid w:val="61747BA8"/>
    <w:rsid w:val="617553FC"/>
    <w:rsid w:val="61766FA8"/>
    <w:rsid w:val="6176DEC9"/>
    <w:rsid w:val="6182C71E"/>
    <w:rsid w:val="618A66B8"/>
    <w:rsid w:val="6191F71D"/>
    <w:rsid w:val="6192A03B"/>
    <w:rsid w:val="61B4756E"/>
    <w:rsid w:val="61C1C6E6"/>
    <w:rsid w:val="61D336C9"/>
    <w:rsid w:val="61E88787"/>
    <w:rsid w:val="61ED13B7"/>
    <w:rsid w:val="61F4EDF1"/>
    <w:rsid w:val="6206B9E5"/>
    <w:rsid w:val="6212C529"/>
    <w:rsid w:val="621587B8"/>
    <w:rsid w:val="623ADD4D"/>
    <w:rsid w:val="624C7DD3"/>
    <w:rsid w:val="625F7675"/>
    <w:rsid w:val="62754613"/>
    <w:rsid w:val="629B4CBF"/>
    <w:rsid w:val="629C8287"/>
    <w:rsid w:val="62BC43CB"/>
    <w:rsid w:val="62C60695"/>
    <w:rsid w:val="62C861AC"/>
    <w:rsid w:val="62D6352D"/>
    <w:rsid w:val="62D76EA8"/>
    <w:rsid w:val="62E08530"/>
    <w:rsid w:val="62F8CC9F"/>
    <w:rsid w:val="6304F483"/>
    <w:rsid w:val="631A1A72"/>
    <w:rsid w:val="631B64F9"/>
    <w:rsid w:val="632A8F7B"/>
    <w:rsid w:val="6337EA7F"/>
    <w:rsid w:val="634634FA"/>
    <w:rsid w:val="634B8692"/>
    <w:rsid w:val="6368A8A0"/>
    <w:rsid w:val="638709A0"/>
    <w:rsid w:val="63AEC752"/>
    <w:rsid w:val="63B1C4C8"/>
    <w:rsid w:val="63C24305"/>
    <w:rsid w:val="63C37E89"/>
    <w:rsid w:val="63C90722"/>
    <w:rsid w:val="63D7ED74"/>
    <w:rsid w:val="63E43C21"/>
    <w:rsid w:val="63EE6886"/>
    <w:rsid w:val="63EE6F46"/>
    <w:rsid w:val="63EE783C"/>
    <w:rsid w:val="63F92B96"/>
    <w:rsid w:val="63F9E0EF"/>
    <w:rsid w:val="63FB4E18"/>
    <w:rsid w:val="64066BEA"/>
    <w:rsid w:val="6408F18B"/>
    <w:rsid w:val="64093D3E"/>
    <w:rsid w:val="640ABC85"/>
    <w:rsid w:val="6412E166"/>
    <w:rsid w:val="642FE5D3"/>
    <w:rsid w:val="6445142F"/>
    <w:rsid w:val="644E34EC"/>
    <w:rsid w:val="644E5130"/>
    <w:rsid w:val="644EA5C9"/>
    <w:rsid w:val="644FE2FA"/>
    <w:rsid w:val="64599938"/>
    <w:rsid w:val="645A0E5C"/>
    <w:rsid w:val="646104C9"/>
    <w:rsid w:val="646B7DBA"/>
    <w:rsid w:val="64741E45"/>
    <w:rsid w:val="6497D230"/>
    <w:rsid w:val="649972BD"/>
    <w:rsid w:val="649A8970"/>
    <w:rsid w:val="64AD0AA9"/>
    <w:rsid w:val="64C9C630"/>
    <w:rsid w:val="64D39071"/>
    <w:rsid w:val="64D8BE96"/>
    <w:rsid w:val="64D98C06"/>
    <w:rsid w:val="64DEB868"/>
    <w:rsid w:val="64E1BE75"/>
    <w:rsid w:val="64F8BD01"/>
    <w:rsid w:val="651351B7"/>
    <w:rsid w:val="651C059A"/>
    <w:rsid w:val="651D18FA"/>
    <w:rsid w:val="651DB195"/>
    <w:rsid w:val="652DC02C"/>
    <w:rsid w:val="6550D932"/>
    <w:rsid w:val="655A5E51"/>
    <w:rsid w:val="6560CFD9"/>
    <w:rsid w:val="657CE5E6"/>
    <w:rsid w:val="658AFC14"/>
    <w:rsid w:val="659626F0"/>
    <w:rsid w:val="65A176D0"/>
    <w:rsid w:val="65B1E8EB"/>
    <w:rsid w:val="65C14E06"/>
    <w:rsid w:val="65C97D66"/>
    <w:rsid w:val="65D11A26"/>
    <w:rsid w:val="65EACE16"/>
    <w:rsid w:val="6612B785"/>
    <w:rsid w:val="661DD349"/>
    <w:rsid w:val="6623FAB2"/>
    <w:rsid w:val="663731A0"/>
    <w:rsid w:val="6656E8DF"/>
    <w:rsid w:val="66589A76"/>
    <w:rsid w:val="665944A5"/>
    <w:rsid w:val="667DA741"/>
    <w:rsid w:val="66B876A5"/>
    <w:rsid w:val="66CA5E50"/>
    <w:rsid w:val="66CDED70"/>
    <w:rsid w:val="66D91DC8"/>
    <w:rsid w:val="66DA44CD"/>
    <w:rsid w:val="66DCDE01"/>
    <w:rsid w:val="66DE0576"/>
    <w:rsid w:val="66DE4253"/>
    <w:rsid w:val="66F5D7B7"/>
    <w:rsid w:val="66F9905D"/>
    <w:rsid w:val="66FC775A"/>
    <w:rsid w:val="67024BD3"/>
    <w:rsid w:val="6712D29E"/>
    <w:rsid w:val="6731C568"/>
    <w:rsid w:val="6737ECEB"/>
    <w:rsid w:val="675743D6"/>
    <w:rsid w:val="67590F51"/>
    <w:rsid w:val="675C0FCF"/>
    <w:rsid w:val="675CAD24"/>
    <w:rsid w:val="67636669"/>
    <w:rsid w:val="6764B849"/>
    <w:rsid w:val="6765478D"/>
    <w:rsid w:val="676B8A37"/>
    <w:rsid w:val="6781C56F"/>
    <w:rsid w:val="67957179"/>
    <w:rsid w:val="67A01242"/>
    <w:rsid w:val="67AB036C"/>
    <w:rsid w:val="67B549AC"/>
    <w:rsid w:val="67BB5F4A"/>
    <w:rsid w:val="67CA7C7F"/>
    <w:rsid w:val="67DB2052"/>
    <w:rsid w:val="67EE58B5"/>
    <w:rsid w:val="6809090A"/>
    <w:rsid w:val="6816B5B4"/>
    <w:rsid w:val="683EBE70"/>
    <w:rsid w:val="685CB09C"/>
    <w:rsid w:val="68624BA9"/>
    <w:rsid w:val="686808AC"/>
    <w:rsid w:val="686846FF"/>
    <w:rsid w:val="68694282"/>
    <w:rsid w:val="68769199"/>
    <w:rsid w:val="687C481B"/>
    <w:rsid w:val="68896455"/>
    <w:rsid w:val="68AB8617"/>
    <w:rsid w:val="68B4E153"/>
    <w:rsid w:val="68CCF4D3"/>
    <w:rsid w:val="68D9410D"/>
    <w:rsid w:val="68DAFBE2"/>
    <w:rsid w:val="68E65AF6"/>
    <w:rsid w:val="68F0976F"/>
    <w:rsid w:val="68FE0E6A"/>
    <w:rsid w:val="691D70F0"/>
    <w:rsid w:val="6922FD59"/>
    <w:rsid w:val="692ADF4C"/>
    <w:rsid w:val="693BF739"/>
    <w:rsid w:val="69412E2D"/>
    <w:rsid w:val="696C4D34"/>
    <w:rsid w:val="69735EAF"/>
    <w:rsid w:val="697AEFE8"/>
    <w:rsid w:val="69835691"/>
    <w:rsid w:val="698CF9AC"/>
    <w:rsid w:val="69900E78"/>
    <w:rsid w:val="69951FE4"/>
    <w:rsid w:val="699E1F3D"/>
    <w:rsid w:val="69B91608"/>
    <w:rsid w:val="69BD98B3"/>
    <w:rsid w:val="69D228F6"/>
    <w:rsid w:val="69E89E6C"/>
    <w:rsid w:val="69F05F5D"/>
    <w:rsid w:val="69F0E8C3"/>
    <w:rsid w:val="69F5C790"/>
    <w:rsid w:val="69FDDEF0"/>
    <w:rsid w:val="6A09AF04"/>
    <w:rsid w:val="6A0F9E2F"/>
    <w:rsid w:val="6A174E33"/>
    <w:rsid w:val="6A18A8FD"/>
    <w:rsid w:val="6A2137FB"/>
    <w:rsid w:val="6A555EF4"/>
    <w:rsid w:val="6A5BB9C0"/>
    <w:rsid w:val="6A8D54A1"/>
    <w:rsid w:val="6AA4A1A4"/>
    <w:rsid w:val="6AAE3EAB"/>
    <w:rsid w:val="6AB8BFC7"/>
    <w:rsid w:val="6AC38F45"/>
    <w:rsid w:val="6AD13781"/>
    <w:rsid w:val="6ADE0F72"/>
    <w:rsid w:val="6AEB31D0"/>
    <w:rsid w:val="6AF2B845"/>
    <w:rsid w:val="6AF78A35"/>
    <w:rsid w:val="6AFB67E4"/>
    <w:rsid w:val="6AFE2DE7"/>
    <w:rsid w:val="6B0F2FA5"/>
    <w:rsid w:val="6B132B45"/>
    <w:rsid w:val="6B18D60D"/>
    <w:rsid w:val="6B2BDED9"/>
    <w:rsid w:val="6B2FC011"/>
    <w:rsid w:val="6B3FB3FE"/>
    <w:rsid w:val="6B40A32A"/>
    <w:rsid w:val="6B64BEE4"/>
    <w:rsid w:val="6B6B8390"/>
    <w:rsid w:val="6B71509D"/>
    <w:rsid w:val="6B74DD8F"/>
    <w:rsid w:val="6B8C6FAE"/>
    <w:rsid w:val="6BAA90C5"/>
    <w:rsid w:val="6BCF30F6"/>
    <w:rsid w:val="6C0A0826"/>
    <w:rsid w:val="6C13A76D"/>
    <w:rsid w:val="6C34984C"/>
    <w:rsid w:val="6C3CF72D"/>
    <w:rsid w:val="6C3D674D"/>
    <w:rsid w:val="6C614F51"/>
    <w:rsid w:val="6C668749"/>
    <w:rsid w:val="6C673E13"/>
    <w:rsid w:val="6C6AC415"/>
    <w:rsid w:val="6C844B56"/>
    <w:rsid w:val="6CA24E91"/>
    <w:rsid w:val="6CA4C3FD"/>
    <w:rsid w:val="6CB15DDA"/>
    <w:rsid w:val="6CB3F911"/>
    <w:rsid w:val="6CB6D40E"/>
    <w:rsid w:val="6CE6F51D"/>
    <w:rsid w:val="6CEB6587"/>
    <w:rsid w:val="6CEEBC91"/>
    <w:rsid w:val="6D003ABB"/>
    <w:rsid w:val="6D05A181"/>
    <w:rsid w:val="6D198355"/>
    <w:rsid w:val="6D210377"/>
    <w:rsid w:val="6D295C67"/>
    <w:rsid w:val="6D2AEA1B"/>
    <w:rsid w:val="6D335D94"/>
    <w:rsid w:val="6D39FD96"/>
    <w:rsid w:val="6D42F735"/>
    <w:rsid w:val="6D47F2A3"/>
    <w:rsid w:val="6D517F93"/>
    <w:rsid w:val="6D5C6F6A"/>
    <w:rsid w:val="6D6E98BF"/>
    <w:rsid w:val="6D76F912"/>
    <w:rsid w:val="6D770B89"/>
    <w:rsid w:val="6D880C00"/>
    <w:rsid w:val="6D8C82F4"/>
    <w:rsid w:val="6D8C860A"/>
    <w:rsid w:val="6DA4D1F7"/>
    <w:rsid w:val="6DA9140E"/>
    <w:rsid w:val="6DC33BD2"/>
    <w:rsid w:val="6DC5C9C7"/>
    <w:rsid w:val="6DDA9C77"/>
    <w:rsid w:val="6DDC2A9C"/>
    <w:rsid w:val="6E076394"/>
    <w:rsid w:val="6E146035"/>
    <w:rsid w:val="6E23BE43"/>
    <w:rsid w:val="6E298F85"/>
    <w:rsid w:val="6E30DF89"/>
    <w:rsid w:val="6E31FEDB"/>
    <w:rsid w:val="6E3303B8"/>
    <w:rsid w:val="6E347404"/>
    <w:rsid w:val="6E3AAD7D"/>
    <w:rsid w:val="6E3E72D6"/>
    <w:rsid w:val="6E4264A2"/>
    <w:rsid w:val="6E5ECFA0"/>
    <w:rsid w:val="6E785D3F"/>
    <w:rsid w:val="6E862CA1"/>
    <w:rsid w:val="6E9751AC"/>
    <w:rsid w:val="6EBD61D9"/>
    <w:rsid w:val="6ED8D8A3"/>
    <w:rsid w:val="6EDF47C2"/>
    <w:rsid w:val="6EE4BDD0"/>
    <w:rsid w:val="6EEDB89A"/>
    <w:rsid w:val="6EF89349"/>
    <w:rsid w:val="6EFD3FE7"/>
    <w:rsid w:val="6F17417C"/>
    <w:rsid w:val="6F1A0A93"/>
    <w:rsid w:val="6F22C394"/>
    <w:rsid w:val="6F26A6FB"/>
    <w:rsid w:val="6F280FA4"/>
    <w:rsid w:val="6F3E4AF3"/>
    <w:rsid w:val="6F45E964"/>
    <w:rsid w:val="6F4E092B"/>
    <w:rsid w:val="6F4EE85E"/>
    <w:rsid w:val="6F559334"/>
    <w:rsid w:val="6F6359F3"/>
    <w:rsid w:val="6F826869"/>
    <w:rsid w:val="6F8A846D"/>
    <w:rsid w:val="6F96D047"/>
    <w:rsid w:val="6FD581CF"/>
    <w:rsid w:val="6FE58575"/>
    <w:rsid w:val="6FEB48C4"/>
    <w:rsid w:val="7007B50B"/>
    <w:rsid w:val="7008E56C"/>
    <w:rsid w:val="701A0543"/>
    <w:rsid w:val="702ACC49"/>
    <w:rsid w:val="702B3F51"/>
    <w:rsid w:val="70316915"/>
    <w:rsid w:val="7042652D"/>
    <w:rsid w:val="7044CC7C"/>
    <w:rsid w:val="70484082"/>
    <w:rsid w:val="704B49B9"/>
    <w:rsid w:val="70514C67"/>
    <w:rsid w:val="70532356"/>
    <w:rsid w:val="7056A811"/>
    <w:rsid w:val="7059A751"/>
    <w:rsid w:val="706E3A39"/>
    <w:rsid w:val="70771B48"/>
    <w:rsid w:val="7089A535"/>
    <w:rsid w:val="708E61CD"/>
    <w:rsid w:val="708FAE5C"/>
    <w:rsid w:val="709499A3"/>
    <w:rsid w:val="7096FDD9"/>
    <w:rsid w:val="709FB599"/>
    <w:rsid w:val="70AF6F16"/>
    <w:rsid w:val="70EAFD9F"/>
    <w:rsid w:val="70EF1681"/>
    <w:rsid w:val="7111FC3C"/>
    <w:rsid w:val="7115A5A2"/>
    <w:rsid w:val="7123A179"/>
    <w:rsid w:val="7137749E"/>
    <w:rsid w:val="7145BE18"/>
    <w:rsid w:val="71547195"/>
    <w:rsid w:val="71548D87"/>
    <w:rsid w:val="716699CE"/>
    <w:rsid w:val="7170E084"/>
    <w:rsid w:val="71865404"/>
    <w:rsid w:val="71920EEE"/>
    <w:rsid w:val="719CE11E"/>
    <w:rsid w:val="71D4AE62"/>
    <w:rsid w:val="71E085FF"/>
    <w:rsid w:val="71E6EA46"/>
    <w:rsid w:val="71F06AA8"/>
    <w:rsid w:val="72197852"/>
    <w:rsid w:val="7224BBF6"/>
    <w:rsid w:val="723AC818"/>
    <w:rsid w:val="724FF310"/>
    <w:rsid w:val="7256EFE6"/>
    <w:rsid w:val="7263F2B0"/>
    <w:rsid w:val="727BD99C"/>
    <w:rsid w:val="7292B9F0"/>
    <w:rsid w:val="7292CED5"/>
    <w:rsid w:val="72BFDA5A"/>
    <w:rsid w:val="72DD501D"/>
    <w:rsid w:val="72E00ED8"/>
    <w:rsid w:val="72FF9730"/>
    <w:rsid w:val="73027430"/>
    <w:rsid w:val="730A6087"/>
    <w:rsid w:val="730AC72B"/>
    <w:rsid w:val="730F2822"/>
    <w:rsid w:val="73242121"/>
    <w:rsid w:val="73281783"/>
    <w:rsid w:val="734A7E08"/>
    <w:rsid w:val="734C5DCA"/>
    <w:rsid w:val="73587D64"/>
    <w:rsid w:val="7366562C"/>
    <w:rsid w:val="736E0C20"/>
    <w:rsid w:val="7381A518"/>
    <w:rsid w:val="73846BEB"/>
    <w:rsid w:val="7396F5B6"/>
    <w:rsid w:val="73B6A2CD"/>
    <w:rsid w:val="73BE2942"/>
    <w:rsid w:val="73C52CB9"/>
    <w:rsid w:val="73C72F2D"/>
    <w:rsid w:val="74138225"/>
    <w:rsid w:val="7415F6EE"/>
    <w:rsid w:val="742F8151"/>
    <w:rsid w:val="7438AC17"/>
    <w:rsid w:val="743EA904"/>
    <w:rsid w:val="744410EF"/>
    <w:rsid w:val="745C749D"/>
    <w:rsid w:val="745F8F32"/>
    <w:rsid w:val="746C97D6"/>
    <w:rsid w:val="746FE85C"/>
    <w:rsid w:val="74791AC1"/>
    <w:rsid w:val="74815BB4"/>
    <w:rsid w:val="74838F6F"/>
    <w:rsid w:val="748EAF2F"/>
    <w:rsid w:val="74987C4D"/>
    <w:rsid w:val="74AD0956"/>
    <w:rsid w:val="74C5A909"/>
    <w:rsid w:val="74CF6119"/>
    <w:rsid w:val="74D1B49D"/>
    <w:rsid w:val="74DAEC2F"/>
    <w:rsid w:val="74E24026"/>
    <w:rsid w:val="74E647A3"/>
    <w:rsid w:val="74FD0BF1"/>
    <w:rsid w:val="75308FB8"/>
    <w:rsid w:val="7533D7D3"/>
    <w:rsid w:val="75482433"/>
    <w:rsid w:val="755076EC"/>
    <w:rsid w:val="7556C4BC"/>
    <w:rsid w:val="75609022"/>
    <w:rsid w:val="756681AD"/>
    <w:rsid w:val="759575A5"/>
    <w:rsid w:val="7597AAC9"/>
    <w:rsid w:val="7598330F"/>
    <w:rsid w:val="75B491C9"/>
    <w:rsid w:val="75C79293"/>
    <w:rsid w:val="75CE7F7A"/>
    <w:rsid w:val="75D0F530"/>
    <w:rsid w:val="75D3B39E"/>
    <w:rsid w:val="75F7C3DE"/>
    <w:rsid w:val="76015831"/>
    <w:rsid w:val="760CB33A"/>
    <w:rsid w:val="767C54E6"/>
    <w:rsid w:val="769F2FB7"/>
    <w:rsid w:val="76A83F33"/>
    <w:rsid w:val="76B8973E"/>
    <w:rsid w:val="76C50ABB"/>
    <w:rsid w:val="76F3C40D"/>
    <w:rsid w:val="7708A93A"/>
    <w:rsid w:val="771C9D76"/>
    <w:rsid w:val="772B3DD0"/>
    <w:rsid w:val="773C3537"/>
    <w:rsid w:val="774D52EB"/>
    <w:rsid w:val="775B9FA6"/>
    <w:rsid w:val="776697B7"/>
    <w:rsid w:val="77764861"/>
    <w:rsid w:val="777E69B7"/>
    <w:rsid w:val="7793A8E2"/>
    <w:rsid w:val="77A8902E"/>
    <w:rsid w:val="77AF3F1C"/>
    <w:rsid w:val="77BEF988"/>
    <w:rsid w:val="77C8B183"/>
    <w:rsid w:val="77CBD743"/>
    <w:rsid w:val="77DBA391"/>
    <w:rsid w:val="77DC7C11"/>
    <w:rsid w:val="77E61EF9"/>
    <w:rsid w:val="77EA1FBC"/>
    <w:rsid w:val="77FC421E"/>
    <w:rsid w:val="78064114"/>
    <w:rsid w:val="7815796A"/>
    <w:rsid w:val="7826D242"/>
    <w:rsid w:val="782A5D09"/>
    <w:rsid w:val="785061F2"/>
    <w:rsid w:val="7860C983"/>
    <w:rsid w:val="786DFB27"/>
    <w:rsid w:val="786F0B6B"/>
    <w:rsid w:val="7883A24B"/>
    <w:rsid w:val="788B0883"/>
    <w:rsid w:val="7892F19A"/>
    <w:rsid w:val="7897F4FE"/>
    <w:rsid w:val="78982395"/>
    <w:rsid w:val="789BFEEC"/>
    <w:rsid w:val="789EF48D"/>
    <w:rsid w:val="78A9C382"/>
    <w:rsid w:val="78B83CEE"/>
    <w:rsid w:val="78BC00B6"/>
    <w:rsid w:val="78C9128E"/>
    <w:rsid w:val="78D6A9D0"/>
    <w:rsid w:val="78D6DDCA"/>
    <w:rsid w:val="78D82D22"/>
    <w:rsid w:val="78DD89F2"/>
    <w:rsid w:val="78E07C4D"/>
    <w:rsid w:val="78F26CA8"/>
    <w:rsid w:val="78F2C058"/>
    <w:rsid w:val="79000324"/>
    <w:rsid w:val="79015383"/>
    <w:rsid w:val="79184ECB"/>
    <w:rsid w:val="79357F23"/>
    <w:rsid w:val="793D17E8"/>
    <w:rsid w:val="7952B0F5"/>
    <w:rsid w:val="7954C465"/>
    <w:rsid w:val="796DCF85"/>
    <w:rsid w:val="797859CF"/>
    <w:rsid w:val="798AB798"/>
    <w:rsid w:val="799980BC"/>
    <w:rsid w:val="79A743D8"/>
    <w:rsid w:val="79AE0B3F"/>
    <w:rsid w:val="79C8ACC8"/>
    <w:rsid w:val="79CE5E9A"/>
    <w:rsid w:val="79D63F94"/>
    <w:rsid w:val="79D6F322"/>
    <w:rsid w:val="79E48A92"/>
    <w:rsid w:val="79E87465"/>
    <w:rsid w:val="79EC2E10"/>
    <w:rsid w:val="79EFDDC1"/>
    <w:rsid w:val="7A02F7B2"/>
    <w:rsid w:val="7A04E996"/>
    <w:rsid w:val="7A14767C"/>
    <w:rsid w:val="7A17AA72"/>
    <w:rsid w:val="7A1CCE9E"/>
    <w:rsid w:val="7A21A676"/>
    <w:rsid w:val="7A29FC0D"/>
    <w:rsid w:val="7A316C0A"/>
    <w:rsid w:val="7A3A24DE"/>
    <w:rsid w:val="7A3ECB3A"/>
    <w:rsid w:val="7A42F67B"/>
    <w:rsid w:val="7A52A764"/>
    <w:rsid w:val="7A5F2A12"/>
    <w:rsid w:val="7A71B554"/>
    <w:rsid w:val="7A8D0FAE"/>
    <w:rsid w:val="7A926D9C"/>
    <w:rsid w:val="7AB20B9C"/>
    <w:rsid w:val="7AC35682"/>
    <w:rsid w:val="7AC4E816"/>
    <w:rsid w:val="7AC5ACEB"/>
    <w:rsid w:val="7AC93B4B"/>
    <w:rsid w:val="7ACA9DCB"/>
    <w:rsid w:val="7ACB03F6"/>
    <w:rsid w:val="7ACB5719"/>
    <w:rsid w:val="7AD28F95"/>
    <w:rsid w:val="7AD7FEAE"/>
    <w:rsid w:val="7AF44C92"/>
    <w:rsid w:val="7B238162"/>
    <w:rsid w:val="7B2F1E70"/>
    <w:rsid w:val="7B483E25"/>
    <w:rsid w:val="7B4B42B3"/>
    <w:rsid w:val="7B4F3EA2"/>
    <w:rsid w:val="7B5053FC"/>
    <w:rsid w:val="7B524466"/>
    <w:rsid w:val="7B5EA7A8"/>
    <w:rsid w:val="7B6AE003"/>
    <w:rsid w:val="7B9BF9E0"/>
    <w:rsid w:val="7B9EEC0C"/>
    <w:rsid w:val="7BA5DA7F"/>
    <w:rsid w:val="7BADCD60"/>
    <w:rsid w:val="7BB1E084"/>
    <w:rsid w:val="7BDB8DFD"/>
    <w:rsid w:val="7BEE7B5F"/>
    <w:rsid w:val="7C0124ED"/>
    <w:rsid w:val="7C144E58"/>
    <w:rsid w:val="7C1B06BF"/>
    <w:rsid w:val="7C1C9403"/>
    <w:rsid w:val="7C26C5FA"/>
    <w:rsid w:val="7C2D02FD"/>
    <w:rsid w:val="7C327DCF"/>
    <w:rsid w:val="7C3843AD"/>
    <w:rsid w:val="7C3EAE40"/>
    <w:rsid w:val="7C43B661"/>
    <w:rsid w:val="7C499ABB"/>
    <w:rsid w:val="7C4F3267"/>
    <w:rsid w:val="7C51A028"/>
    <w:rsid w:val="7C663C13"/>
    <w:rsid w:val="7C80ED40"/>
    <w:rsid w:val="7CA977EA"/>
    <w:rsid w:val="7CB3E9D6"/>
    <w:rsid w:val="7CBF4D46"/>
    <w:rsid w:val="7CC75AFF"/>
    <w:rsid w:val="7CC916FC"/>
    <w:rsid w:val="7CE029D5"/>
    <w:rsid w:val="7CE44C05"/>
    <w:rsid w:val="7CED7FAB"/>
    <w:rsid w:val="7CF7D9DF"/>
    <w:rsid w:val="7CFC8980"/>
    <w:rsid w:val="7D08D451"/>
    <w:rsid w:val="7D0F56A2"/>
    <w:rsid w:val="7D21E789"/>
    <w:rsid w:val="7D231706"/>
    <w:rsid w:val="7D28E82F"/>
    <w:rsid w:val="7D3424C1"/>
    <w:rsid w:val="7D3943D4"/>
    <w:rsid w:val="7D3D730D"/>
    <w:rsid w:val="7D3E7AA6"/>
    <w:rsid w:val="7D41E516"/>
    <w:rsid w:val="7D5A6E9E"/>
    <w:rsid w:val="7D5F1BFE"/>
    <w:rsid w:val="7D68713B"/>
    <w:rsid w:val="7D6C38EB"/>
    <w:rsid w:val="7D7EB65D"/>
    <w:rsid w:val="7D91BA0E"/>
    <w:rsid w:val="7D996864"/>
    <w:rsid w:val="7DA400F7"/>
    <w:rsid w:val="7DACBFB6"/>
    <w:rsid w:val="7DAD1C7E"/>
    <w:rsid w:val="7DE9284F"/>
    <w:rsid w:val="7DEA253D"/>
    <w:rsid w:val="7DEB2C7B"/>
    <w:rsid w:val="7DF2B55E"/>
    <w:rsid w:val="7DF38B1D"/>
    <w:rsid w:val="7DF5E0D8"/>
    <w:rsid w:val="7E0A453C"/>
    <w:rsid w:val="7E183D36"/>
    <w:rsid w:val="7E32A675"/>
    <w:rsid w:val="7E3C6A83"/>
    <w:rsid w:val="7E45AD67"/>
    <w:rsid w:val="7E4642B3"/>
    <w:rsid w:val="7E4896FA"/>
    <w:rsid w:val="7E79A881"/>
    <w:rsid w:val="7E84DFAB"/>
    <w:rsid w:val="7E9C4A9E"/>
    <w:rsid w:val="7ED06C07"/>
    <w:rsid w:val="7EECBFC1"/>
    <w:rsid w:val="7EF061B1"/>
    <w:rsid w:val="7EFDE4F7"/>
    <w:rsid w:val="7F00DC7B"/>
    <w:rsid w:val="7F10BE8A"/>
    <w:rsid w:val="7F16430B"/>
    <w:rsid w:val="7F217633"/>
    <w:rsid w:val="7F3AC656"/>
    <w:rsid w:val="7F42ABF6"/>
    <w:rsid w:val="7F5E944A"/>
    <w:rsid w:val="7F6108B5"/>
    <w:rsid w:val="7F8D8FDA"/>
    <w:rsid w:val="7F920B00"/>
    <w:rsid w:val="7F9FFFB1"/>
    <w:rsid w:val="7FA15D46"/>
    <w:rsid w:val="7FA840CB"/>
    <w:rsid w:val="7FB6E124"/>
    <w:rsid w:val="7FB8F516"/>
    <w:rsid w:val="7FBEBCEA"/>
    <w:rsid w:val="7FC770BF"/>
    <w:rsid w:val="7FDE95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C1148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D11"/>
    <w:pPr>
      <w:spacing w:after="0" w:line="240" w:lineRule="auto"/>
      <w:jc w:val="both"/>
    </w:pPr>
    <w:rPr>
      <w:rFonts w:ascii="Calibri" w:eastAsia="Times New Roman" w:hAnsi="Calibri" w:cs="Arial"/>
      <w:sz w:val="24"/>
      <w:szCs w:val="24"/>
      <w:lang w:eastAsia="en-AU"/>
    </w:rPr>
  </w:style>
  <w:style w:type="paragraph" w:styleId="Heading1">
    <w:name w:val="heading 1"/>
    <w:basedOn w:val="Normal"/>
    <w:next w:val="Normal"/>
    <w:link w:val="Heading1Char"/>
    <w:uiPriority w:val="1"/>
    <w:rsid w:val="007D4D11"/>
    <w:pPr>
      <w:ind w:left="720" w:hanging="720"/>
      <w:outlineLvl w:val="0"/>
    </w:pPr>
    <w:rPr>
      <w:b/>
      <w:caps/>
      <w:sz w:val="32"/>
    </w:rPr>
  </w:style>
  <w:style w:type="paragraph" w:styleId="Heading2">
    <w:name w:val="heading 2"/>
    <w:basedOn w:val="Normal"/>
    <w:next w:val="Normal"/>
    <w:link w:val="Heading2Char"/>
    <w:rsid w:val="007D4D11"/>
    <w:pPr>
      <w:outlineLvl w:val="1"/>
    </w:pPr>
    <w:rPr>
      <w:b/>
      <w:i/>
      <w:sz w:val="28"/>
    </w:rPr>
  </w:style>
  <w:style w:type="paragraph" w:styleId="Heading3">
    <w:name w:val="heading 3"/>
    <w:basedOn w:val="Normal"/>
    <w:next w:val="Normal"/>
    <w:link w:val="Heading3Char"/>
    <w:rsid w:val="007D4D11"/>
    <w:pPr>
      <w:outlineLvl w:val="2"/>
    </w:pPr>
    <w:rPr>
      <w:u w:val="single"/>
    </w:rPr>
  </w:style>
  <w:style w:type="paragraph" w:styleId="Heading4">
    <w:name w:val="heading 4"/>
    <w:basedOn w:val="Normal"/>
    <w:next w:val="Normal"/>
    <w:link w:val="Heading4Char"/>
    <w:rsid w:val="007D4D11"/>
    <w:pPr>
      <w:keepNext/>
      <w:spacing w:before="240" w:after="60"/>
      <w:outlineLvl w:val="3"/>
    </w:pPr>
    <w:rPr>
      <w:b/>
      <w:bCs/>
      <w:i/>
      <w:sz w:val="26"/>
      <w:szCs w:val="28"/>
    </w:rPr>
  </w:style>
  <w:style w:type="paragraph" w:styleId="Heading5">
    <w:name w:val="heading 5"/>
    <w:basedOn w:val="Normal"/>
    <w:next w:val="Normal"/>
    <w:link w:val="Heading5Char"/>
    <w:rsid w:val="007D4D11"/>
    <w:pPr>
      <w:spacing w:before="240" w:after="60"/>
      <w:outlineLvl w:val="4"/>
    </w:pPr>
    <w:rPr>
      <w:b/>
      <w:bCs/>
      <w:iCs/>
      <w:sz w:val="26"/>
      <w:szCs w:val="26"/>
    </w:rPr>
  </w:style>
  <w:style w:type="paragraph" w:styleId="Heading6">
    <w:name w:val="heading 6"/>
    <w:basedOn w:val="Normal"/>
    <w:next w:val="Normal"/>
    <w:link w:val="Heading6Char"/>
    <w:rsid w:val="007D4D11"/>
    <w:pPr>
      <w:spacing w:before="240" w:after="60"/>
      <w:outlineLvl w:val="5"/>
    </w:pPr>
    <w:rPr>
      <w:b/>
      <w:bCs/>
      <w:i/>
    </w:rPr>
  </w:style>
  <w:style w:type="paragraph" w:styleId="Heading7">
    <w:name w:val="heading 7"/>
    <w:basedOn w:val="Normal"/>
    <w:next w:val="Normal"/>
    <w:link w:val="Heading7Char"/>
    <w:rsid w:val="007D4D11"/>
    <w:pPr>
      <w:keepNext/>
      <w:jc w:val="center"/>
      <w:outlineLvl w:val="6"/>
    </w:pPr>
    <w:rPr>
      <w:b/>
      <w:sz w:val="20"/>
    </w:rPr>
  </w:style>
  <w:style w:type="paragraph" w:styleId="Heading8">
    <w:name w:val="heading 8"/>
    <w:basedOn w:val="Normal"/>
    <w:next w:val="Normal"/>
    <w:link w:val="Heading8Char"/>
    <w:uiPriority w:val="7"/>
    <w:rsid w:val="007D4D11"/>
    <w:pPr>
      <w:keepNext/>
      <w:jc w:val="right"/>
      <w:outlineLvl w:val="7"/>
    </w:pPr>
    <w:rPr>
      <w:b/>
    </w:rPr>
  </w:style>
  <w:style w:type="paragraph" w:styleId="Heading9">
    <w:name w:val="heading 9"/>
    <w:basedOn w:val="Normal"/>
    <w:next w:val="Normal"/>
    <w:link w:val="Heading9Char"/>
    <w:rsid w:val="007D4D1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D4D11"/>
    <w:rPr>
      <w:rFonts w:ascii="Calibri" w:eastAsia="Times New Roman" w:hAnsi="Calibri" w:cs="Arial"/>
      <w:b/>
      <w:caps/>
      <w:sz w:val="32"/>
      <w:szCs w:val="24"/>
      <w:lang w:eastAsia="en-AU"/>
    </w:rPr>
  </w:style>
  <w:style w:type="character" w:customStyle="1" w:styleId="Heading2Char">
    <w:name w:val="Heading 2 Char"/>
    <w:basedOn w:val="DefaultParagraphFont"/>
    <w:link w:val="Heading2"/>
    <w:rsid w:val="007D4D11"/>
    <w:rPr>
      <w:rFonts w:ascii="Calibri" w:eastAsia="Times New Roman" w:hAnsi="Calibri" w:cs="Arial"/>
      <w:b/>
      <w:i/>
      <w:sz w:val="28"/>
      <w:szCs w:val="24"/>
      <w:lang w:eastAsia="en-AU"/>
    </w:rPr>
  </w:style>
  <w:style w:type="character" w:customStyle="1" w:styleId="Heading3Char">
    <w:name w:val="Heading 3 Char"/>
    <w:basedOn w:val="DefaultParagraphFont"/>
    <w:link w:val="Heading3"/>
    <w:rsid w:val="007D4D11"/>
    <w:rPr>
      <w:rFonts w:ascii="Calibri" w:eastAsia="Times New Roman" w:hAnsi="Calibri" w:cs="Arial"/>
      <w:sz w:val="24"/>
      <w:szCs w:val="24"/>
      <w:u w:val="single"/>
      <w:lang w:eastAsia="en-AU"/>
    </w:rPr>
  </w:style>
  <w:style w:type="character" w:customStyle="1" w:styleId="Heading4Char">
    <w:name w:val="Heading 4 Char"/>
    <w:basedOn w:val="DefaultParagraphFont"/>
    <w:link w:val="Heading4"/>
    <w:rsid w:val="007D4D11"/>
    <w:rPr>
      <w:rFonts w:ascii="Calibri" w:eastAsia="Times New Roman" w:hAnsi="Calibri" w:cs="Arial"/>
      <w:b/>
      <w:bCs/>
      <w:i/>
      <w:sz w:val="26"/>
      <w:szCs w:val="28"/>
      <w:lang w:eastAsia="en-AU"/>
    </w:rPr>
  </w:style>
  <w:style w:type="character" w:customStyle="1" w:styleId="Heading5Char">
    <w:name w:val="Heading 5 Char"/>
    <w:basedOn w:val="DefaultParagraphFont"/>
    <w:link w:val="Heading5"/>
    <w:rsid w:val="007D4D11"/>
    <w:rPr>
      <w:rFonts w:ascii="Calibri" w:eastAsia="Times New Roman" w:hAnsi="Calibri" w:cs="Arial"/>
      <w:b/>
      <w:bCs/>
      <w:iCs/>
      <w:sz w:val="26"/>
      <w:szCs w:val="26"/>
      <w:lang w:eastAsia="en-AU"/>
    </w:rPr>
  </w:style>
  <w:style w:type="character" w:customStyle="1" w:styleId="Heading6Char">
    <w:name w:val="Heading 6 Char"/>
    <w:basedOn w:val="DefaultParagraphFont"/>
    <w:link w:val="Heading6"/>
    <w:rsid w:val="007D4D11"/>
    <w:rPr>
      <w:rFonts w:ascii="Calibri" w:eastAsia="Times New Roman" w:hAnsi="Calibri" w:cs="Arial"/>
      <w:b/>
      <w:bCs/>
      <w:i/>
      <w:sz w:val="24"/>
      <w:szCs w:val="24"/>
      <w:lang w:eastAsia="en-AU"/>
    </w:rPr>
  </w:style>
  <w:style w:type="character" w:customStyle="1" w:styleId="Heading7Char">
    <w:name w:val="Heading 7 Char"/>
    <w:basedOn w:val="DefaultParagraphFont"/>
    <w:link w:val="Heading7"/>
    <w:rsid w:val="007D4D11"/>
    <w:rPr>
      <w:rFonts w:ascii="Calibri" w:eastAsia="Times New Roman" w:hAnsi="Calibri" w:cs="Arial"/>
      <w:b/>
      <w:sz w:val="20"/>
      <w:szCs w:val="24"/>
      <w:lang w:eastAsia="en-AU"/>
    </w:rPr>
  </w:style>
  <w:style w:type="character" w:customStyle="1" w:styleId="Heading8Char">
    <w:name w:val="Heading 8 Char"/>
    <w:basedOn w:val="DefaultParagraphFont"/>
    <w:link w:val="Heading8"/>
    <w:rsid w:val="007D4D11"/>
    <w:rPr>
      <w:rFonts w:ascii="Calibri" w:eastAsia="Times New Roman" w:hAnsi="Calibri" w:cs="Arial"/>
      <w:b/>
      <w:sz w:val="24"/>
      <w:szCs w:val="24"/>
      <w:lang w:eastAsia="en-AU"/>
    </w:rPr>
  </w:style>
  <w:style w:type="character" w:customStyle="1" w:styleId="Heading9Char">
    <w:name w:val="Heading 9 Char"/>
    <w:basedOn w:val="DefaultParagraphFont"/>
    <w:link w:val="Heading9"/>
    <w:rsid w:val="007D4D11"/>
    <w:rPr>
      <w:rFonts w:ascii="Calibri" w:eastAsia="Times New Roman" w:hAnsi="Calibri" w:cs="Arial"/>
      <w:b/>
      <w:color w:val="000000"/>
      <w:sz w:val="20"/>
      <w:szCs w:val="24"/>
      <w:lang w:eastAsia="en-AU"/>
    </w:rPr>
  </w:style>
  <w:style w:type="paragraph" w:customStyle="1" w:styleId="TableFooter">
    <w:name w:val="Table Footer"/>
    <w:basedOn w:val="Normal"/>
    <w:link w:val="TableFooterChar"/>
    <w:rsid w:val="007D4D11"/>
    <w:rPr>
      <w:rFonts w:ascii="Arial Narrow" w:hAnsi="Arial Narrow"/>
      <w:sz w:val="18"/>
    </w:rPr>
  </w:style>
  <w:style w:type="character" w:customStyle="1" w:styleId="TableFooterChar">
    <w:name w:val="Table Footer Char"/>
    <w:link w:val="TableFooter"/>
    <w:rsid w:val="007D4D11"/>
    <w:rPr>
      <w:rFonts w:ascii="Arial Narrow" w:eastAsia="Times New Roman" w:hAnsi="Arial Narrow" w:cs="Arial"/>
      <w:sz w:val="18"/>
      <w:szCs w:val="24"/>
      <w:lang w:eastAsia="en-AU"/>
    </w:rPr>
  </w:style>
  <w:style w:type="paragraph" w:customStyle="1" w:styleId="TableHeader">
    <w:name w:val="Table Header"/>
    <w:basedOn w:val="Normal"/>
    <w:uiPriority w:val="3"/>
    <w:rsid w:val="007D4D11"/>
    <w:rPr>
      <w:b/>
      <w:sz w:val="20"/>
    </w:rPr>
  </w:style>
  <w:style w:type="paragraph" w:styleId="Caption">
    <w:name w:val="caption"/>
    <w:aliases w:val="Caption PRIMA,Caption SYNEVi,Bayer Caption,IB Caption,Medical Caption,Bayer,Bayer Caption1,IB Caption1,Medical Caption1,Bayer Caption2,IB Caption2,Medical Caption2,Bayer Caption3,IB Caption3,Medical Caption3,Bayer Caption4,IB Caption4,Bayer1,c"/>
    <w:basedOn w:val="Normal"/>
    <w:next w:val="Normal"/>
    <w:link w:val="CaptionChar"/>
    <w:uiPriority w:val="35"/>
    <w:unhideWhenUsed/>
    <w:qFormat/>
    <w:rsid w:val="007D4D11"/>
    <w:pPr>
      <w:keepNext/>
      <w:keepLines/>
    </w:pPr>
    <w:rPr>
      <w:rFonts w:ascii="Arial Narrow" w:hAnsi="Arial Narrow"/>
      <w:b/>
      <w:bCs/>
      <w:sz w:val="20"/>
      <w:szCs w:val="18"/>
    </w:rPr>
  </w:style>
  <w:style w:type="character" w:customStyle="1" w:styleId="CaptionChar">
    <w:name w:val="Caption Char"/>
    <w:aliases w:val="Caption PRIMA Char,Caption SYNEVi Char,Bayer Caption Char,IB Caption Char,Medical Caption Char,Bayer Char,Bayer Caption1 Char,IB Caption1 Char,Medical Caption1 Char,Bayer Caption2 Char,IB Caption2 Char,Medical Caption2 Char,IB Caption3 Char"/>
    <w:link w:val="Caption"/>
    <w:rsid w:val="007D4D11"/>
    <w:rPr>
      <w:rFonts w:ascii="Arial Narrow" w:eastAsia="Times New Roman" w:hAnsi="Arial Narrow" w:cs="Arial"/>
      <w:b/>
      <w:bCs/>
      <w:sz w:val="20"/>
      <w:szCs w:val="18"/>
      <w:lang w:eastAsia="en-AU"/>
    </w:rPr>
  </w:style>
  <w:style w:type="paragraph" w:styleId="Title">
    <w:name w:val="Title"/>
    <w:basedOn w:val="Normal"/>
    <w:next w:val="Normal"/>
    <w:link w:val="TitleChar"/>
    <w:rsid w:val="007D4D1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7D4D11"/>
    <w:rPr>
      <w:rFonts w:ascii="Cambria" w:eastAsia="Times New Roman" w:hAnsi="Cambria" w:cs="Arial"/>
      <w:b/>
      <w:bCs/>
      <w:kern w:val="28"/>
      <w:sz w:val="32"/>
      <w:szCs w:val="32"/>
      <w:lang w:eastAsia="en-AU"/>
    </w:rPr>
  </w:style>
  <w:style w:type="paragraph" w:styleId="BodyText">
    <w:name w:val="Body Text"/>
    <w:basedOn w:val="Normal"/>
    <w:link w:val="BodyTextChar"/>
    <w:rsid w:val="007D4D11"/>
    <w:pPr>
      <w:jc w:val="left"/>
    </w:pPr>
  </w:style>
  <w:style w:type="character" w:customStyle="1" w:styleId="BodyTextChar">
    <w:name w:val="Body Text Char"/>
    <w:basedOn w:val="DefaultParagraphFont"/>
    <w:link w:val="BodyText"/>
    <w:rsid w:val="007D4D11"/>
    <w:rPr>
      <w:rFonts w:ascii="Calibri" w:eastAsia="Times New Roman" w:hAnsi="Calibri" w:cs="Arial"/>
      <w:sz w:val="24"/>
      <w:szCs w:val="24"/>
      <w:lang w:eastAsia="en-AU"/>
    </w:rPr>
  </w:style>
  <w:style w:type="paragraph" w:styleId="ListParagraph">
    <w:name w:val="List Paragraph"/>
    <w:aliases w:val="Body Text Bullet Points,Numbered para,BulletPoints,List Paragraph1,Bullet point,List Paragraph11,Recommendation,Section heading,Footnote,Bullets,Bullet List,FooterText,Colorful List Accent 1,Colorful List - Accent 11,numbered,Table Legend"/>
    <w:next w:val="ListBullet"/>
    <w:link w:val="ListParagraphChar"/>
    <w:uiPriority w:val="34"/>
    <w:qFormat/>
    <w:rsid w:val="007D4D11"/>
    <w:pPr>
      <w:numPr>
        <w:numId w:val="2"/>
      </w:numPr>
      <w:spacing w:after="120" w:line="240" w:lineRule="auto"/>
      <w:jc w:val="both"/>
    </w:pPr>
    <w:rPr>
      <w:rFonts w:eastAsia="Times New Roman" w:cs="Arial"/>
      <w:snapToGrid w:val="0"/>
      <w:sz w:val="24"/>
      <w:szCs w:val="24"/>
      <w:lang w:eastAsia="en-AU"/>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Char,Bullet List Char,FooterText Char"/>
    <w:basedOn w:val="DefaultParagraphFont"/>
    <w:link w:val="ListParagraph"/>
    <w:uiPriority w:val="34"/>
    <w:qFormat/>
    <w:locked/>
    <w:rsid w:val="007D4D11"/>
    <w:rPr>
      <w:rFonts w:eastAsia="Times New Roman" w:cs="Arial"/>
      <w:snapToGrid w:val="0"/>
      <w:sz w:val="24"/>
      <w:szCs w:val="24"/>
      <w:lang w:eastAsia="en-AU"/>
    </w:rPr>
  </w:style>
  <w:style w:type="paragraph" w:customStyle="1" w:styleId="RegularText">
    <w:name w:val="Regular Text"/>
    <w:basedOn w:val="BodyText"/>
    <w:link w:val="RegularTextChar"/>
    <w:rsid w:val="007D4D11"/>
    <w:rPr>
      <w:b/>
    </w:rPr>
  </w:style>
  <w:style w:type="character" w:customStyle="1" w:styleId="RegularTextChar">
    <w:name w:val="Regular Text Char"/>
    <w:basedOn w:val="BodyTextChar"/>
    <w:link w:val="RegularText"/>
    <w:rsid w:val="007D4D11"/>
    <w:rPr>
      <w:rFonts w:ascii="Calibri" w:eastAsia="Times New Roman" w:hAnsi="Calibri" w:cs="Arial"/>
      <w:b/>
      <w:sz w:val="24"/>
      <w:szCs w:val="24"/>
      <w:lang w:eastAsia="en-AU"/>
    </w:rPr>
  </w:style>
  <w:style w:type="paragraph" w:styleId="NoSpacing">
    <w:name w:val="No Spacing"/>
    <w:uiPriority w:val="1"/>
    <w:qFormat/>
    <w:rsid w:val="007D4D11"/>
    <w:pPr>
      <w:widowControl w:val="0"/>
      <w:spacing w:after="0" w:line="240" w:lineRule="auto"/>
      <w:jc w:val="both"/>
    </w:pPr>
    <w:rPr>
      <w:rFonts w:ascii="Arial" w:eastAsia="Times New Roman" w:hAnsi="Arial" w:cs="Arial"/>
      <w:snapToGrid w:val="0"/>
      <w:szCs w:val="20"/>
    </w:rPr>
  </w:style>
  <w:style w:type="paragraph" w:styleId="Header">
    <w:name w:val="header"/>
    <w:aliases w:val="Page Header,Header title,he=header,cntr/bld"/>
    <w:basedOn w:val="Normal"/>
    <w:link w:val="HeaderChar"/>
    <w:qFormat/>
    <w:rsid w:val="007D4D11"/>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7D4D11"/>
    <w:rPr>
      <w:rFonts w:ascii="Calibri" w:eastAsia="Times New Roman" w:hAnsi="Calibri" w:cs="Arial"/>
      <w:sz w:val="24"/>
      <w:szCs w:val="24"/>
      <w:lang w:eastAsia="en-AU"/>
    </w:rPr>
  </w:style>
  <w:style w:type="paragraph" w:styleId="Footer">
    <w:name w:val="footer"/>
    <w:basedOn w:val="Normal"/>
    <w:link w:val="FooterChar"/>
    <w:uiPriority w:val="99"/>
    <w:qFormat/>
    <w:rsid w:val="007D4D11"/>
    <w:pPr>
      <w:tabs>
        <w:tab w:val="center" w:pos="4513"/>
        <w:tab w:val="right" w:pos="9026"/>
      </w:tabs>
    </w:pPr>
  </w:style>
  <w:style w:type="character" w:customStyle="1" w:styleId="FooterChar">
    <w:name w:val="Footer Char"/>
    <w:basedOn w:val="DefaultParagraphFont"/>
    <w:link w:val="Footer"/>
    <w:uiPriority w:val="99"/>
    <w:rsid w:val="007D4D11"/>
    <w:rPr>
      <w:rFonts w:ascii="Calibri" w:eastAsia="Times New Roman" w:hAnsi="Calibri" w:cs="Arial"/>
      <w:sz w:val="24"/>
      <w:szCs w:val="24"/>
      <w:lang w:eastAsia="en-AU"/>
    </w:rPr>
  </w:style>
  <w:style w:type="table" w:styleId="TableGrid">
    <w:name w:val="Table Grid"/>
    <w:aliases w:val="Summary box,Table Gridbeth,CMA Table Template,ASD Table,MSD Table Grid,new style,PBAC table,Header Table,NICE instructions,Source table_,HTAtableplain"/>
    <w:basedOn w:val="TableNormal"/>
    <w:uiPriority w:val="39"/>
    <w:rsid w:val="007D4D1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B17870"/>
    <w:rPr>
      <w:rFonts w:ascii="Arial Narrow" w:eastAsiaTheme="majorEastAsia" w:hAnsi="Arial Narrow"/>
      <w:b/>
      <w:bCs/>
      <w:sz w:val="20"/>
      <w:szCs w:val="20"/>
    </w:rPr>
  </w:style>
  <w:style w:type="paragraph" w:customStyle="1" w:styleId="Tabletext">
    <w:name w:val="Table text"/>
    <w:basedOn w:val="Normal"/>
    <w:link w:val="TabletextChar"/>
    <w:qFormat/>
    <w:rsid w:val="007D4D11"/>
    <w:pPr>
      <w:jc w:val="left"/>
    </w:pPr>
    <w:rPr>
      <w:rFonts w:ascii="Arial Narrow" w:hAnsi="Arial Narrow" w:cs="Times New Roman"/>
      <w:snapToGrid w:val="0"/>
      <w:sz w:val="20"/>
    </w:rPr>
  </w:style>
  <w:style w:type="character" w:customStyle="1" w:styleId="TabletextChar">
    <w:name w:val="Table text Char"/>
    <w:link w:val="Tabletext"/>
    <w:rsid w:val="007D4D11"/>
    <w:rPr>
      <w:rFonts w:ascii="Arial Narrow" w:eastAsia="Times New Roman" w:hAnsi="Arial Narrow" w:cs="Times New Roman"/>
      <w:snapToGrid w:val="0"/>
      <w:sz w:val="20"/>
      <w:szCs w:val="24"/>
      <w:lang w:eastAsia="en-AU"/>
    </w:rPr>
  </w:style>
  <w:style w:type="paragraph" w:customStyle="1" w:styleId="TableHeading">
    <w:name w:val="TableHeading"/>
    <w:basedOn w:val="Normal"/>
    <w:link w:val="TableHeadingChar"/>
    <w:qFormat/>
    <w:rsid w:val="007D4D11"/>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7D4D11"/>
    <w:pPr>
      <w:jc w:val="both"/>
    </w:pPr>
    <w:rPr>
      <w:rFonts w:ascii="Times" w:hAnsi="Times" w:cs="Times New Roman"/>
      <w:snapToGrid w:val="0"/>
      <w:lang w:val="en-US"/>
    </w:rPr>
  </w:style>
  <w:style w:type="paragraph" w:styleId="NormalWeb">
    <w:name w:val="Normal (Web)"/>
    <w:basedOn w:val="Normal"/>
    <w:uiPriority w:val="99"/>
    <w:rsid w:val="007D4D11"/>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8A6DD0"/>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8A6DD0"/>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7D4D11"/>
    <w:rPr>
      <w:color w:val="0563C1" w:themeColor="hyperlink"/>
      <w:u w:val="single"/>
    </w:rPr>
  </w:style>
  <w:style w:type="paragraph" w:styleId="TOCHeading">
    <w:name w:val="TOC Heading"/>
    <w:basedOn w:val="Heading1"/>
    <w:next w:val="Normal"/>
    <w:uiPriority w:val="39"/>
    <w:unhideWhenUsed/>
    <w:rsid w:val="007D4D11"/>
    <w:pPr>
      <w:keepNext/>
      <w:keepLines/>
      <w:spacing w:before="480" w:line="276" w:lineRule="auto"/>
      <w:ind w:left="0" w:firstLine="0"/>
      <w:jc w:val="left"/>
      <w:outlineLvl w:val="9"/>
    </w:pPr>
    <w:rPr>
      <w:rFonts w:asciiTheme="majorHAnsi" w:eastAsiaTheme="majorEastAsia" w:hAnsiTheme="majorHAnsi" w:cstheme="majorBidi"/>
      <w:bCs/>
      <w:snapToGrid w:val="0"/>
      <w:color w:val="2F5496" w:themeColor="accent1" w:themeShade="BF"/>
      <w:sz w:val="28"/>
      <w:szCs w:val="28"/>
      <w:lang w:val="en-US" w:eastAsia="ja-JP"/>
    </w:rPr>
  </w:style>
  <w:style w:type="paragraph" w:styleId="TOC3">
    <w:name w:val="toc 3"/>
    <w:basedOn w:val="Normal"/>
    <w:next w:val="Normal"/>
    <w:autoRedefine/>
    <w:uiPriority w:val="39"/>
    <w:unhideWhenUsed/>
    <w:rsid w:val="007D4D11"/>
    <w:pPr>
      <w:ind w:left="440"/>
      <w:jc w:val="left"/>
    </w:pPr>
    <w:rPr>
      <w:rFonts w:asciiTheme="minorHAnsi" w:hAnsiTheme="minorHAnsi"/>
      <w:sz w:val="20"/>
    </w:rPr>
  </w:style>
  <w:style w:type="paragraph" w:styleId="TOC4">
    <w:name w:val="toc 4"/>
    <w:basedOn w:val="Normal"/>
    <w:next w:val="Normal"/>
    <w:autoRedefine/>
    <w:rsid w:val="007D4D11"/>
    <w:pPr>
      <w:ind w:left="660"/>
      <w:jc w:val="left"/>
    </w:pPr>
    <w:rPr>
      <w:rFonts w:asciiTheme="minorHAnsi" w:hAnsiTheme="minorHAnsi"/>
      <w:sz w:val="20"/>
    </w:rPr>
  </w:style>
  <w:style w:type="paragraph" w:styleId="TOC5">
    <w:name w:val="toc 5"/>
    <w:basedOn w:val="Normal"/>
    <w:next w:val="Normal"/>
    <w:autoRedefine/>
    <w:rsid w:val="007D4D11"/>
    <w:pPr>
      <w:ind w:left="880"/>
      <w:jc w:val="left"/>
    </w:pPr>
    <w:rPr>
      <w:rFonts w:asciiTheme="minorHAnsi" w:hAnsiTheme="minorHAnsi"/>
      <w:sz w:val="20"/>
    </w:rPr>
  </w:style>
  <w:style w:type="paragraph" w:styleId="TOC6">
    <w:name w:val="toc 6"/>
    <w:basedOn w:val="Normal"/>
    <w:next w:val="Normal"/>
    <w:autoRedefine/>
    <w:rsid w:val="007D4D11"/>
    <w:pPr>
      <w:ind w:left="1100"/>
      <w:jc w:val="left"/>
    </w:pPr>
    <w:rPr>
      <w:rFonts w:asciiTheme="minorHAnsi" w:hAnsiTheme="minorHAnsi"/>
      <w:sz w:val="20"/>
    </w:rPr>
  </w:style>
  <w:style w:type="paragraph" w:styleId="TOC7">
    <w:name w:val="toc 7"/>
    <w:basedOn w:val="Normal"/>
    <w:next w:val="Normal"/>
    <w:autoRedefine/>
    <w:rsid w:val="007D4D11"/>
    <w:pPr>
      <w:ind w:left="1320"/>
      <w:jc w:val="left"/>
    </w:pPr>
    <w:rPr>
      <w:rFonts w:asciiTheme="minorHAnsi" w:hAnsiTheme="minorHAnsi"/>
      <w:sz w:val="20"/>
    </w:rPr>
  </w:style>
  <w:style w:type="paragraph" w:styleId="TOC8">
    <w:name w:val="toc 8"/>
    <w:basedOn w:val="Normal"/>
    <w:next w:val="Normal"/>
    <w:autoRedefine/>
    <w:rsid w:val="007D4D11"/>
    <w:pPr>
      <w:ind w:left="1540"/>
      <w:jc w:val="left"/>
    </w:pPr>
    <w:rPr>
      <w:rFonts w:asciiTheme="minorHAnsi" w:hAnsiTheme="minorHAnsi"/>
      <w:sz w:val="20"/>
    </w:rPr>
  </w:style>
  <w:style w:type="paragraph" w:styleId="TOC9">
    <w:name w:val="toc 9"/>
    <w:basedOn w:val="Normal"/>
    <w:next w:val="Normal"/>
    <w:autoRedefine/>
    <w:rsid w:val="007D4D11"/>
    <w:pPr>
      <w:ind w:left="1760"/>
      <w:jc w:val="left"/>
    </w:pPr>
    <w:rPr>
      <w:rFonts w:asciiTheme="minorHAnsi" w:hAnsiTheme="minorHAnsi"/>
      <w:sz w:val="20"/>
    </w:rPr>
  </w:style>
  <w:style w:type="paragraph" w:styleId="CommentText">
    <w:name w:val="annotation text"/>
    <w:basedOn w:val="Normal"/>
    <w:link w:val="CommentTextChar"/>
    <w:rsid w:val="007D4D11"/>
    <w:rPr>
      <w:rFonts w:ascii="Times New Roman" w:hAnsi="Times New Roman" w:cs="Times New Roman"/>
      <w:sz w:val="20"/>
    </w:rPr>
  </w:style>
  <w:style w:type="character" w:customStyle="1" w:styleId="CommentTextChar">
    <w:name w:val="Comment Text Char"/>
    <w:basedOn w:val="DefaultParagraphFont"/>
    <w:link w:val="CommentText"/>
    <w:rsid w:val="007D4D11"/>
    <w:rPr>
      <w:rFonts w:ascii="Times New Roman" w:eastAsia="Times New Roman" w:hAnsi="Times New Roman" w:cs="Times New Roman"/>
      <w:sz w:val="20"/>
      <w:szCs w:val="24"/>
      <w:lang w:eastAsia="en-AU"/>
    </w:rPr>
  </w:style>
  <w:style w:type="paragraph" w:customStyle="1" w:styleId="Bulletpoints">
    <w:name w:val="Bullet points"/>
    <w:basedOn w:val="ListParagraph"/>
    <w:rsid w:val="007D4D11"/>
    <w:pPr>
      <w:numPr>
        <w:numId w:val="1"/>
      </w:numPr>
      <w:contextualSpacing/>
    </w:pPr>
  </w:style>
  <w:style w:type="paragraph" w:customStyle="1" w:styleId="TableName">
    <w:name w:val="TableName"/>
    <w:basedOn w:val="Normal"/>
    <w:rsid w:val="007D4D11"/>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7D4D11"/>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7D4D11"/>
    <w:pPr>
      <w:keepNext/>
      <w:spacing w:after="0"/>
    </w:pPr>
  </w:style>
  <w:style w:type="paragraph" w:styleId="CommentSubject">
    <w:name w:val="annotation subject"/>
    <w:basedOn w:val="CommentText"/>
    <w:next w:val="CommentText"/>
    <w:link w:val="CommentSubjectChar"/>
    <w:rsid w:val="007D4D11"/>
    <w:rPr>
      <w:rFonts w:ascii="Arial" w:hAnsi="Arial" w:cs="Arial"/>
      <w:b/>
      <w:bCs/>
    </w:rPr>
  </w:style>
  <w:style w:type="character" w:customStyle="1" w:styleId="CommentSubjectChar">
    <w:name w:val="Comment Subject Char"/>
    <w:basedOn w:val="CommentTextChar"/>
    <w:link w:val="CommentSubject"/>
    <w:rsid w:val="007D4D11"/>
    <w:rPr>
      <w:rFonts w:ascii="Arial" w:eastAsia="Times New Roman" w:hAnsi="Arial" w:cs="Arial"/>
      <w:b/>
      <w:bCs/>
      <w:sz w:val="20"/>
      <w:szCs w:val="24"/>
      <w:lang w:eastAsia="en-AU"/>
    </w:rPr>
  </w:style>
  <w:style w:type="paragraph" w:styleId="Revision">
    <w:name w:val="Revision"/>
    <w:hidden/>
    <w:uiPriority w:val="99"/>
    <w:semiHidden/>
    <w:rsid w:val="007D4D11"/>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rsid w:val="007D4D11"/>
    <w:pPr>
      <w:spacing w:after="120"/>
      <w:ind w:left="283"/>
    </w:pPr>
  </w:style>
  <w:style w:type="character" w:customStyle="1" w:styleId="BodyTextIndentChar">
    <w:name w:val="Body Text Indent Char"/>
    <w:basedOn w:val="DefaultParagraphFont"/>
    <w:link w:val="BodyTextIndent"/>
    <w:rsid w:val="007D4D11"/>
    <w:rPr>
      <w:rFonts w:ascii="Calibri" w:eastAsia="Times New Roman" w:hAnsi="Calibri" w:cs="Arial"/>
      <w:sz w:val="24"/>
      <w:szCs w:val="24"/>
      <w:lang w:eastAsia="en-AU"/>
    </w:rPr>
  </w:style>
  <w:style w:type="paragraph" w:customStyle="1" w:styleId="Char1CharCharChar">
    <w:name w:val="Char1 Char Char Char"/>
    <w:basedOn w:val="Normal"/>
    <w:rsid w:val="007D4D11"/>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7D4D11"/>
  </w:style>
  <w:style w:type="paragraph" w:styleId="Subtitle">
    <w:name w:val="Subtitle"/>
    <w:basedOn w:val="Normal"/>
    <w:link w:val="SubtitleChar"/>
    <w:rsid w:val="007D4D11"/>
    <w:rPr>
      <w:rFonts w:asciiTheme="minorHAnsi" w:eastAsiaTheme="minorHAnsi" w:hAnsiTheme="minorHAnsi" w:cstheme="minorBidi"/>
      <w:sz w:val="22"/>
      <w:szCs w:val="22"/>
      <w:lang w:eastAsia="en-US"/>
    </w:rPr>
  </w:style>
  <w:style w:type="character" w:customStyle="1" w:styleId="SubtitleChar1">
    <w:name w:val="Subtitle Char1"/>
    <w:basedOn w:val="DefaultParagraphFont"/>
    <w:rsid w:val="007D4D11"/>
    <w:rPr>
      <w:rFonts w:eastAsiaTheme="minorEastAsia"/>
      <w:color w:val="5A5A5A" w:themeColor="text1" w:themeTint="A5"/>
      <w:spacing w:val="15"/>
      <w:lang w:eastAsia="en-AU"/>
    </w:rPr>
  </w:style>
  <w:style w:type="paragraph" w:customStyle="1" w:styleId="PBACHeading1">
    <w:name w:val="PBAC Heading 1"/>
    <w:qFormat/>
    <w:rsid w:val="007D4D11"/>
    <w:pPr>
      <w:spacing w:after="0" w:line="240" w:lineRule="auto"/>
      <w:outlineLvl w:val="0"/>
    </w:pPr>
    <w:rPr>
      <w:rFonts w:ascii="Calibri" w:eastAsia="Times New Roman" w:hAnsi="Calibri" w:cs="Arial"/>
      <w:b/>
      <w:snapToGrid w:val="0"/>
      <w:sz w:val="32"/>
    </w:rPr>
  </w:style>
  <w:style w:type="table" w:customStyle="1" w:styleId="PlainTable21">
    <w:name w:val="Plain Table 21"/>
    <w:basedOn w:val="TableNormal"/>
    <w:uiPriority w:val="42"/>
    <w:rsid w:val="007D4D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7D4D11"/>
    <w:rPr>
      <w:color w:val="954F72" w:themeColor="followedHyperlink"/>
      <w:u w:val="single"/>
    </w:rPr>
  </w:style>
  <w:style w:type="character" w:styleId="PageNumber">
    <w:name w:val="page number"/>
    <w:basedOn w:val="DefaultParagraphFont"/>
    <w:semiHidden/>
    <w:unhideWhenUsed/>
    <w:rsid w:val="007D4D11"/>
  </w:style>
  <w:style w:type="paragraph" w:customStyle="1" w:styleId="Commentitalics">
    <w:name w:val="Comment (italics)"/>
    <w:basedOn w:val="Normal"/>
    <w:next w:val="Normal"/>
    <w:rsid w:val="007D4D11"/>
    <w:rPr>
      <w:i/>
    </w:rPr>
  </w:style>
  <w:style w:type="paragraph" w:styleId="BalloonText">
    <w:name w:val="Balloon Text"/>
    <w:basedOn w:val="Normal"/>
    <w:link w:val="BalloonTextChar"/>
    <w:semiHidden/>
    <w:unhideWhenUsed/>
    <w:rsid w:val="007D4D11"/>
    <w:rPr>
      <w:rFonts w:ascii="Tahoma" w:hAnsi="Tahoma" w:cs="Tahoma"/>
      <w:sz w:val="16"/>
      <w:szCs w:val="16"/>
    </w:rPr>
  </w:style>
  <w:style w:type="character" w:customStyle="1" w:styleId="BalloonTextChar">
    <w:name w:val="Balloon Text Char"/>
    <w:basedOn w:val="DefaultParagraphFont"/>
    <w:link w:val="BalloonText"/>
    <w:semiHidden/>
    <w:rsid w:val="007D4D11"/>
    <w:rPr>
      <w:rFonts w:ascii="Tahoma" w:eastAsia="Times New Roman" w:hAnsi="Tahoma" w:cs="Tahoma"/>
      <w:sz w:val="16"/>
      <w:szCs w:val="16"/>
      <w:lang w:eastAsia="en-AU"/>
    </w:rPr>
  </w:style>
  <w:style w:type="paragraph" w:customStyle="1" w:styleId="TableText0">
    <w:name w:val="Table Text"/>
    <w:link w:val="TableTextChar0"/>
    <w:qFormat/>
    <w:rsid w:val="007D4D11"/>
    <w:pPr>
      <w:keepNext/>
      <w:spacing w:after="0" w:line="240" w:lineRule="auto"/>
    </w:pPr>
    <w:rPr>
      <w:rFonts w:ascii="Arial Narrow" w:eastAsiaTheme="majorEastAsia" w:hAnsi="Arial Narrow" w:cstheme="majorBidi"/>
      <w:bCs/>
      <w:sz w:val="20"/>
      <w:szCs w:val="24"/>
      <w:lang w:eastAsia="en-AU"/>
    </w:rPr>
  </w:style>
  <w:style w:type="paragraph" w:customStyle="1" w:styleId="V50Tablename">
    <w:name w:val="V5.0 Table name"/>
    <w:basedOn w:val="Normal"/>
    <w:link w:val="V50TablenameChar"/>
    <w:rsid w:val="007D4D11"/>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7D4D11"/>
    <w:rPr>
      <w:b/>
      <w:snapToGrid w:val="0"/>
      <w:sz w:val="20"/>
      <w:szCs w:val="24"/>
      <w:lang w:val="en-US" w:eastAsia="en-AU"/>
    </w:rPr>
  </w:style>
  <w:style w:type="paragraph" w:customStyle="1" w:styleId="GeneralHeading">
    <w:name w:val="General Heading"/>
    <w:qFormat/>
    <w:rsid w:val="007D4D11"/>
    <w:pPr>
      <w:keepNext/>
      <w:spacing w:before="120" w:after="120" w:line="240" w:lineRule="auto"/>
      <w:ind w:left="720" w:hanging="720"/>
      <w:outlineLvl w:val="0"/>
    </w:pPr>
    <w:rPr>
      <w:rFonts w:ascii="Calibri" w:eastAsia="Times New Roman" w:hAnsi="Calibri" w:cs="Arial"/>
      <w:b/>
      <w:snapToGrid w:val="0"/>
      <w:sz w:val="28"/>
      <w:lang w:eastAsia="en-AU"/>
    </w:rPr>
  </w:style>
  <w:style w:type="paragraph" w:customStyle="1" w:styleId="In-tableHeading">
    <w:name w:val="In-table Heading"/>
    <w:qFormat/>
    <w:rsid w:val="007D4D11"/>
    <w:pPr>
      <w:keepNext/>
      <w:spacing w:after="0" w:line="240" w:lineRule="auto"/>
    </w:pPr>
    <w:rPr>
      <w:rFonts w:ascii="Arial Narrow" w:eastAsiaTheme="majorEastAsia" w:hAnsi="Arial Narrow" w:cs="Times New Roman"/>
      <w:b/>
      <w:sz w:val="20"/>
      <w:szCs w:val="24"/>
      <w:lang w:val="en-US" w:eastAsia="en-AU"/>
    </w:rPr>
  </w:style>
  <w:style w:type="paragraph" w:customStyle="1" w:styleId="2-SectionHeading">
    <w:name w:val="2-Section Heading"/>
    <w:basedOn w:val="Source"/>
    <w:qFormat/>
    <w:rsid w:val="007119A6"/>
    <w:pPr>
      <w:keepNext/>
      <w:numPr>
        <w:numId w:val="0"/>
      </w:numPr>
      <w:spacing w:before="240" w:after="240"/>
    </w:pPr>
    <w:rPr>
      <w:b/>
      <w:bCs/>
      <w:sz w:val="32"/>
      <w:szCs w:val="32"/>
    </w:rPr>
  </w:style>
  <w:style w:type="paragraph" w:customStyle="1" w:styleId="1-MainHeading">
    <w:name w:val="1-Main Heading"/>
    <w:link w:val="1-MainHeadingChar"/>
    <w:qFormat/>
    <w:rsid w:val="007D4D11"/>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7D4D11"/>
    <w:rPr>
      <w:rFonts w:eastAsiaTheme="majorEastAsia" w:cstheme="majorBidi"/>
      <w:b/>
      <w:spacing w:val="5"/>
      <w:kern w:val="28"/>
      <w:sz w:val="36"/>
      <w:szCs w:val="36"/>
      <w:lang w:eastAsia="en-AU"/>
    </w:rPr>
  </w:style>
  <w:style w:type="paragraph" w:customStyle="1" w:styleId="TableFigureHeading">
    <w:name w:val="Table/Figure Heading"/>
    <w:next w:val="In-tableHeading"/>
    <w:link w:val="TableFigureHeadingChar"/>
    <w:qFormat/>
    <w:rsid w:val="007D4D11"/>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7D4D11"/>
    <w:rPr>
      <w:rFonts w:ascii="Arial Narrow" w:eastAsiaTheme="majorEastAsia" w:hAnsi="Arial Narrow" w:cstheme="majorBidi"/>
      <w:b/>
      <w:bCs/>
      <w:sz w:val="20"/>
      <w:szCs w:val="24"/>
      <w:lang w:eastAsia="en-AU"/>
    </w:rPr>
  </w:style>
  <w:style w:type="paragraph" w:customStyle="1" w:styleId="3-BodyText">
    <w:name w:val="3-Body Text"/>
    <w:basedOn w:val="ListParagraph"/>
    <w:link w:val="3-BodyTextChar"/>
    <w:qFormat/>
    <w:rsid w:val="00036C51"/>
    <w:pPr>
      <w:numPr>
        <w:ilvl w:val="1"/>
        <w:numId w:val="26"/>
      </w:numPr>
    </w:pPr>
    <w:rPr>
      <w:rFonts w:eastAsia="Calibri"/>
    </w:rPr>
  </w:style>
  <w:style w:type="character" w:customStyle="1" w:styleId="3-BodyTextChar">
    <w:name w:val="3-Body Text Char"/>
    <w:basedOn w:val="ListParagraphChar"/>
    <w:link w:val="3-BodyText"/>
    <w:rsid w:val="00036C51"/>
    <w:rPr>
      <w:rFonts w:eastAsia="Calibri" w:cs="Arial"/>
      <w:snapToGrid w:val="0"/>
      <w:sz w:val="24"/>
      <w:szCs w:val="24"/>
      <w:lang w:eastAsia="en-AU"/>
    </w:rPr>
  </w:style>
  <w:style w:type="paragraph" w:customStyle="1" w:styleId="PageFooter">
    <w:name w:val="Page Footer"/>
    <w:basedOn w:val="Normal"/>
    <w:link w:val="PageFooterChar"/>
    <w:qFormat/>
    <w:rsid w:val="007D4D11"/>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7D4D11"/>
    <w:rPr>
      <w:rFonts w:ascii="Calibri" w:eastAsia="Times New Roman" w:hAnsi="Calibri" w:cs="Arial"/>
      <w:b/>
      <w:sz w:val="24"/>
      <w:szCs w:val="24"/>
      <w:lang w:eastAsia="en-AU"/>
    </w:rPr>
  </w:style>
  <w:style w:type="paragraph" w:customStyle="1" w:styleId="FooterTableFigure">
    <w:name w:val="Footer Table/Figure"/>
    <w:basedOn w:val="Normal"/>
    <w:link w:val="FooterTableFigureChar"/>
    <w:qFormat/>
    <w:rsid w:val="007D4D11"/>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7D4D11"/>
    <w:rPr>
      <w:rFonts w:ascii="Arial Narrow" w:eastAsia="Times New Roman" w:hAnsi="Arial Narrow" w:cs="Arial"/>
      <w:snapToGrid w:val="0"/>
      <w:sz w:val="18"/>
      <w:lang w:eastAsia="en-AU"/>
    </w:rPr>
  </w:style>
  <w:style w:type="paragraph" w:customStyle="1" w:styleId="4-SubsectionHeading">
    <w:name w:val="4-Subsection Heading"/>
    <w:basedOn w:val="Heading2"/>
    <w:next w:val="3-BodyText"/>
    <w:link w:val="4-SubsectionHeadingChar"/>
    <w:qFormat/>
    <w:rsid w:val="007D4D11"/>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7D4D11"/>
    <w:rPr>
      <w:rFonts w:ascii="Calibri" w:eastAsiaTheme="majorEastAsia" w:hAnsi="Calibri" w:cstheme="majorBidi"/>
      <w:b/>
      <w:i/>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7D4D11"/>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7D4D11"/>
    <w:rPr>
      <w:rFonts w:eastAsiaTheme="majorEastAsia" w:cstheme="majorBidi"/>
      <w:b/>
      <w:color w:val="000000" w:themeColor="text1"/>
      <w:sz w:val="24"/>
      <w:szCs w:val="24"/>
      <w:lang w:eastAsia="en-AU"/>
    </w:rPr>
  </w:style>
  <w:style w:type="paragraph" w:styleId="ListBullet">
    <w:name w:val="List Bullet"/>
    <w:basedOn w:val="Normal"/>
    <w:unhideWhenUsed/>
    <w:qFormat/>
    <w:rsid w:val="007D4D11"/>
    <w:pPr>
      <w:numPr>
        <w:numId w:val="3"/>
      </w:numPr>
      <w:contextualSpacing/>
    </w:pPr>
  </w:style>
  <w:style w:type="character" w:customStyle="1" w:styleId="TableTextChar0">
    <w:name w:val="Table Text Char"/>
    <w:basedOn w:val="DefaultParagraphFont"/>
    <w:link w:val="TableText0"/>
    <w:rsid w:val="007D4D11"/>
    <w:rPr>
      <w:rFonts w:ascii="Arial Narrow" w:eastAsiaTheme="majorEastAsia" w:hAnsi="Arial Narrow" w:cstheme="majorBidi"/>
      <w:bCs/>
      <w:sz w:val="20"/>
      <w:szCs w:val="24"/>
      <w:lang w:eastAsia="en-AU"/>
    </w:rPr>
  </w:style>
  <w:style w:type="paragraph" w:customStyle="1" w:styleId="ExecSumBodyText">
    <w:name w:val="Exec Sum Body Text"/>
    <w:basedOn w:val="Normal"/>
    <w:link w:val="ExecSumBodyTextChar"/>
    <w:uiPriority w:val="99"/>
    <w:rsid w:val="007D4D11"/>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7D4D11"/>
    <w:rPr>
      <w:rFonts w:eastAsia="Times New Roman" w:cs="Arial"/>
      <w:snapToGrid w:val="0"/>
      <w:sz w:val="24"/>
      <w:szCs w:val="24"/>
      <w:lang w:eastAsia="en-AU"/>
    </w:rPr>
  </w:style>
  <w:style w:type="paragraph" w:customStyle="1" w:styleId="bullet">
    <w:name w:val="bullet"/>
    <w:basedOn w:val="ListParagraph"/>
    <w:link w:val="bulletChar"/>
    <w:rsid w:val="007D4D11"/>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7D4D11"/>
    <w:rPr>
      <w:rFonts w:ascii="Calibri" w:eastAsia="Times New Roman" w:hAnsi="Calibri"/>
      <w:i/>
    </w:rPr>
  </w:style>
  <w:style w:type="paragraph" w:customStyle="1" w:styleId="Default">
    <w:name w:val="Default"/>
    <w:rsid w:val="007D4D11"/>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TableTextHeading">
    <w:name w:val="Table Text Heading"/>
    <w:basedOn w:val="Normal"/>
    <w:rsid w:val="007D4D11"/>
    <w:pPr>
      <w:spacing w:before="60" w:after="60"/>
      <w:jc w:val="center"/>
    </w:pPr>
    <w:rPr>
      <w:rFonts w:ascii="Arial Bold" w:hAnsi="Arial Bold" w:cs="Times New Roman"/>
      <w:b/>
      <w:sz w:val="18"/>
      <w:szCs w:val="20"/>
    </w:rPr>
  </w:style>
  <w:style w:type="paragraph" w:customStyle="1" w:styleId="TableBullet0">
    <w:name w:val="TableBullet"/>
    <w:basedOn w:val="Normal"/>
    <w:rsid w:val="007D4D11"/>
    <w:pPr>
      <w:keepNext/>
      <w:numPr>
        <w:numId w:val="5"/>
      </w:numPr>
      <w:tabs>
        <w:tab w:val="left" w:pos="216"/>
      </w:tabs>
      <w:spacing w:before="20" w:after="20"/>
      <w:jc w:val="left"/>
    </w:pPr>
    <w:rPr>
      <w:rFonts w:ascii="Arial Narrow" w:hAnsi="Arial Narrow" w:cs="Times New Roman"/>
      <w:color w:val="000000"/>
      <w:sz w:val="20"/>
      <w:szCs w:val="21"/>
    </w:rPr>
  </w:style>
  <w:style w:type="character" w:customStyle="1" w:styleId="TableHeadingChar">
    <w:name w:val="TableHeading Char"/>
    <w:link w:val="TableHeading"/>
    <w:rsid w:val="007D4D11"/>
    <w:rPr>
      <w:rFonts w:ascii="Arial Narrow" w:eastAsia="Times New Roman" w:hAnsi="Arial Narrow" w:cs="Arial Narrow"/>
      <w:b/>
      <w:bCs/>
      <w:snapToGrid w:val="0"/>
      <w:sz w:val="20"/>
      <w:szCs w:val="24"/>
      <w:lang w:eastAsia="en-AU"/>
    </w:rPr>
  </w:style>
  <w:style w:type="paragraph" w:customStyle="1" w:styleId="MainBodyText">
    <w:name w:val="Main Body Text"/>
    <w:basedOn w:val="Normal"/>
    <w:link w:val="MainBodyTextChar"/>
    <w:rsid w:val="007D4D11"/>
    <w:pPr>
      <w:spacing w:after="240" w:line="276" w:lineRule="auto"/>
    </w:pPr>
    <w:rPr>
      <w:rFonts w:ascii="Arial" w:hAnsi="Arial" w:cs="Times New Roman"/>
      <w:sz w:val="22"/>
      <w:szCs w:val="22"/>
    </w:rPr>
  </w:style>
  <w:style w:type="character" w:customStyle="1" w:styleId="MainBodyTextChar">
    <w:name w:val="Main Body Text Char"/>
    <w:link w:val="MainBodyText"/>
    <w:rsid w:val="007D4D11"/>
    <w:rPr>
      <w:rFonts w:ascii="Arial" w:eastAsia="Times New Roman" w:hAnsi="Arial" w:cs="Times New Roman"/>
      <w:lang w:eastAsia="en-AU"/>
    </w:rPr>
  </w:style>
  <w:style w:type="paragraph" w:customStyle="1" w:styleId="BulletedText">
    <w:name w:val="Bulleted Text"/>
    <w:basedOn w:val="MainBodyText"/>
    <w:rsid w:val="007D4D11"/>
    <w:pPr>
      <w:numPr>
        <w:numId w:val="6"/>
      </w:numPr>
      <w:spacing w:after="120"/>
    </w:pPr>
  </w:style>
  <w:style w:type="table" w:customStyle="1" w:styleId="TableGrid0">
    <w:name w:val="TableGrid"/>
    <w:rsid w:val="007D4D11"/>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TableBullet">
    <w:name w:val="Table Bullet"/>
    <w:basedOn w:val="TableText0"/>
    <w:qFormat/>
    <w:rsid w:val="007D4D11"/>
    <w:pPr>
      <w:keepNext w:val="0"/>
      <w:numPr>
        <w:numId w:val="7"/>
      </w:numPr>
      <w:spacing w:before="60" w:after="60"/>
    </w:pPr>
    <w:rPr>
      <w:rFonts w:ascii="Arial" w:eastAsiaTheme="minorHAnsi" w:hAnsi="Arial" w:cstheme="minorBidi"/>
      <w:bCs w:val="0"/>
      <w:sz w:val="18"/>
      <w:szCs w:val="22"/>
      <w:lang w:eastAsia="en-US"/>
    </w:rPr>
  </w:style>
  <w:style w:type="numbering" w:customStyle="1" w:styleId="AppendixHeading5">
    <w:name w:val="Appendix Heading 5"/>
    <w:basedOn w:val="NoList"/>
    <w:uiPriority w:val="99"/>
    <w:rsid w:val="007D4D11"/>
    <w:pPr>
      <w:numPr>
        <w:numId w:val="8"/>
      </w:numPr>
    </w:pPr>
  </w:style>
  <w:style w:type="paragraph" w:customStyle="1" w:styleId="TableParagraph">
    <w:name w:val="Table Paragraph"/>
    <w:basedOn w:val="Normal"/>
    <w:uiPriority w:val="1"/>
    <w:qFormat/>
    <w:rsid w:val="007D4D11"/>
    <w:pPr>
      <w:widowControl w:val="0"/>
      <w:jc w:val="left"/>
    </w:pPr>
    <w:rPr>
      <w:rFonts w:asciiTheme="minorHAnsi" w:eastAsiaTheme="minorHAnsi" w:hAnsiTheme="minorHAnsi" w:cstheme="minorBidi"/>
      <w:sz w:val="22"/>
      <w:szCs w:val="22"/>
      <w:lang w:val="en-US" w:eastAsia="en-US"/>
    </w:rPr>
  </w:style>
  <w:style w:type="paragraph" w:customStyle="1" w:styleId="TableText1">
    <w:name w:val="TableText"/>
    <w:basedOn w:val="Normal"/>
    <w:link w:val="TableTextChar1"/>
    <w:qFormat/>
    <w:rsid w:val="007D4D11"/>
    <w:pPr>
      <w:keepNext/>
      <w:spacing w:before="60" w:after="60"/>
      <w:jc w:val="left"/>
    </w:pPr>
    <w:rPr>
      <w:rFonts w:cs="Times New Roman"/>
      <w:color w:val="000000"/>
      <w:sz w:val="22"/>
      <w:szCs w:val="21"/>
    </w:rPr>
  </w:style>
  <w:style w:type="character" w:customStyle="1" w:styleId="TableTextChar1">
    <w:name w:val="TableText Char"/>
    <w:link w:val="TableText1"/>
    <w:rsid w:val="007D4D11"/>
    <w:rPr>
      <w:rFonts w:ascii="Calibri" w:eastAsia="Times New Roman" w:hAnsi="Calibri" w:cs="Times New Roman"/>
      <w:color w:val="000000"/>
      <w:szCs w:val="21"/>
      <w:lang w:eastAsia="en-AU"/>
    </w:rPr>
  </w:style>
  <w:style w:type="paragraph" w:customStyle="1" w:styleId="TableHeading0">
    <w:name w:val="Table Heading"/>
    <w:basedOn w:val="Normal"/>
    <w:qFormat/>
    <w:rsid w:val="007D4D11"/>
    <w:pPr>
      <w:spacing w:after="60"/>
      <w:jc w:val="left"/>
    </w:pPr>
    <w:rPr>
      <w:rFonts w:ascii="Arial Narrow" w:eastAsiaTheme="minorHAnsi" w:hAnsi="Arial Narrow" w:cstheme="minorBidi"/>
      <w:b/>
      <w:sz w:val="20"/>
      <w:szCs w:val="22"/>
      <w:lang w:eastAsia="en-US"/>
    </w:rPr>
  </w:style>
  <w:style w:type="paragraph" w:styleId="IntenseQuote">
    <w:name w:val="Intense Quote"/>
    <w:basedOn w:val="Normal"/>
    <w:next w:val="Normal"/>
    <w:link w:val="IntenseQuoteChar"/>
    <w:uiPriority w:val="30"/>
    <w:qFormat/>
    <w:rsid w:val="007D4D11"/>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cstheme="minorBidi"/>
      <w:bCs/>
      <w:iCs/>
      <w:color w:val="FFFFFF" w:themeColor="background1"/>
      <w:sz w:val="28"/>
      <w:szCs w:val="22"/>
      <w:lang w:eastAsia="en-US" w:bidi="hi-IN"/>
    </w:rPr>
  </w:style>
  <w:style w:type="character" w:customStyle="1" w:styleId="IntenseQuoteChar">
    <w:name w:val="Intense Quote Char"/>
    <w:basedOn w:val="DefaultParagraphFont"/>
    <w:link w:val="IntenseQuote"/>
    <w:uiPriority w:val="30"/>
    <w:rsid w:val="007D4D11"/>
    <w:rPr>
      <w:rFonts w:asciiTheme="majorHAnsi" w:eastAsiaTheme="minorEastAsia" w:hAnsiTheme="majorHAnsi"/>
      <w:bCs/>
      <w:iCs/>
      <w:color w:val="FFFFFF" w:themeColor="background1"/>
      <w:sz w:val="28"/>
      <w:shd w:val="clear" w:color="auto" w:fill="4472C4" w:themeFill="accent1"/>
      <w:lang w:bidi="hi-IN"/>
    </w:rPr>
  </w:style>
  <w:style w:type="paragraph" w:customStyle="1" w:styleId="TextUnderTable">
    <w:name w:val="Text Under Table"/>
    <w:basedOn w:val="Normal"/>
    <w:link w:val="TextUnderTableChar"/>
    <w:qFormat/>
    <w:rsid w:val="007D4D11"/>
    <w:pPr>
      <w:spacing w:before="120" w:after="120" w:line="276" w:lineRule="auto"/>
      <w:contextualSpacing/>
      <w:jc w:val="left"/>
    </w:pPr>
    <w:rPr>
      <w:rFonts w:ascii="Arial" w:hAnsi="Arial" w:cs="Times New Roman"/>
      <w:i/>
      <w:sz w:val="16"/>
      <w:szCs w:val="22"/>
    </w:rPr>
  </w:style>
  <w:style w:type="character" w:customStyle="1" w:styleId="TextUnderTableChar">
    <w:name w:val="Text Under Table Char"/>
    <w:link w:val="TextUnderTable"/>
    <w:rsid w:val="007D4D11"/>
    <w:rPr>
      <w:rFonts w:ascii="Arial" w:eastAsia="Times New Roman" w:hAnsi="Arial" w:cs="Times New Roman"/>
      <w:i/>
      <w:sz w:val="16"/>
      <w:lang w:eastAsia="en-AU"/>
    </w:rPr>
  </w:style>
  <w:style w:type="character" w:customStyle="1" w:styleId="normaltextrun">
    <w:name w:val="normaltextrun"/>
    <w:basedOn w:val="DefaultParagraphFont"/>
    <w:rsid w:val="007D4D11"/>
  </w:style>
  <w:style w:type="character" w:styleId="Mention">
    <w:name w:val="Mention"/>
    <w:basedOn w:val="DefaultParagraphFont"/>
    <w:uiPriority w:val="99"/>
    <w:unhideWhenUsed/>
    <w:rsid w:val="007D4D11"/>
    <w:rPr>
      <w:color w:val="2B579A"/>
      <w:shd w:val="clear" w:color="auto" w:fill="E6E6E6"/>
    </w:rPr>
  </w:style>
  <w:style w:type="paragraph" w:styleId="FootnoteText">
    <w:name w:val="footnote text"/>
    <w:basedOn w:val="Normal"/>
    <w:link w:val="FootnoteTextChar"/>
    <w:semiHidden/>
    <w:unhideWhenUsed/>
    <w:rsid w:val="007D4D11"/>
    <w:rPr>
      <w:sz w:val="20"/>
      <w:szCs w:val="20"/>
    </w:rPr>
  </w:style>
  <w:style w:type="character" w:customStyle="1" w:styleId="FootnoteTextChar">
    <w:name w:val="Footnote Text Char"/>
    <w:basedOn w:val="DefaultParagraphFont"/>
    <w:link w:val="FootnoteText"/>
    <w:semiHidden/>
    <w:rsid w:val="007D4D11"/>
    <w:rPr>
      <w:rFonts w:ascii="Calibri" w:eastAsia="Times New Roman" w:hAnsi="Calibri" w:cs="Arial"/>
      <w:sz w:val="20"/>
      <w:szCs w:val="20"/>
      <w:lang w:eastAsia="en-AU"/>
    </w:rPr>
  </w:style>
  <w:style w:type="character" w:styleId="FootnoteReference">
    <w:name w:val="footnote reference"/>
    <w:basedOn w:val="DefaultParagraphFont"/>
    <w:semiHidden/>
    <w:unhideWhenUsed/>
    <w:rsid w:val="007D4D11"/>
    <w:rPr>
      <w:vertAlign w:val="superscript"/>
    </w:rPr>
  </w:style>
  <w:style w:type="character" w:styleId="UnresolvedMention">
    <w:name w:val="Unresolved Mention"/>
    <w:basedOn w:val="DefaultParagraphFont"/>
    <w:uiPriority w:val="99"/>
    <w:semiHidden/>
    <w:unhideWhenUsed/>
    <w:rsid w:val="007D4D11"/>
    <w:rPr>
      <w:color w:val="605E5C"/>
      <w:shd w:val="clear" w:color="auto" w:fill="E1DFDD"/>
    </w:rPr>
  </w:style>
  <w:style w:type="paragraph" w:customStyle="1" w:styleId="NormalBeforeBullet">
    <w:name w:val="Normal Before Bullet"/>
    <w:basedOn w:val="Normal"/>
    <w:qFormat/>
    <w:rsid w:val="007D4D11"/>
    <w:pPr>
      <w:keepNext/>
      <w:spacing w:after="120"/>
      <w:jc w:val="left"/>
    </w:pPr>
    <w:rPr>
      <w:rFonts w:asciiTheme="minorHAnsi" w:eastAsiaTheme="minorHAnsi" w:hAnsiTheme="minorHAnsi" w:cstheme="minorBidi"/>
      <w:sz w:val="22"/>
      <w:szCs w:val="22"/>
      <w:lang w:eastAsia="en-US"/>
    </w:rPr>
  </w:style>
  <w:style w:type="paragraph" w:customStyle="1" w:styleId="TableNoteBullet">
    <w:name w:val="Table Note Bullet"/>
    <w:basedOn w:val="Normal"/>
    <w:qFormat/>
    <w:rsid w:val="007D4D11"/>
    <w:pPr>
      <w:numPr>
        <w:numId w:val="9"/>
      </w:numPr>
      <w:spacing w:after="60"/>
      <w:jc w:val="left"/>
    </w:pPr>
    <w:rPr>
      <w:rFonts w:asciiTheme="minorHAnsi" w:eastAsiaTheme="minorHAnsi" w:hAnsiTheme="minorHAnsi" w:cstheme="minorBidi"/>
      <w:sz w:val="18"/>
      <w:szCs w:val="22"/>
      <w:lang w:eastAsia="en-US"/>
    </w:rPr>
  </w:style>
  <w:style w:type="paragraph" w:customStyle="1" w:styleId="TableFigureFooter">
    <w:name w:val="Table/Figure Footer"/>
    <w:basedOn w:val="Normal"/>
    <w:link w:val="TableFigureFooterChar"/>
    <w:qFormat/>
    <w:rsid w:val="007D4D11"/>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7D4D11"/>
    <w:rPr>
      <w:rFonts w:ascii="Arial Narrow" w:eastAsia="Times New Roman" w:hAnsi="Arial Narrow" w:cs="Arial"/>
      <w:snapToGrid w:val="0"/>
      <w:sz w:val="18"/>
      <w:lang w:eastAsia="en-AU"/>
    </w:rPr>
  </w:style>
  <w:style w:type="paragraph" w:customStyle="1" w:styleId="Heading6-2">
    <w:name w:val="Heading 6 - 2"/>
    <w:basedOn w:val="Heading6"/>
    <w:qFormat/>
    <w:rsid w:val="007D4D11"/>
    <w:pPr>
      <w:numPr>
        <w:numId w:val="11"/>
      </w:numPr>
      <w:spacing w:before="120" w:line="276" w:lineRule="auto"/>
      <w:jc w:val="left"/>
    </w:pPr>
    <w:rPr>
      <w:rFonts w:ascii="Arial Narrow" w:eastAsiaTheme="minorHAnsi" w:hAnsi="Arial Narrow" w:cstheme="minorBidi"/>
      <w:b w:val="0"/>
      <w:bCs w:val="0"/>
      <w:sz w:val="22"/>
      <w:u w:val="single"/>
      <w:lang w:eastAsia="en-US"/>
    </w:rPr>
  </w:style>
  <w:style w:type="character" w:customStyle="1" w:styleId="TabletextleftChar">
    <w:name w:val="Table text left Char"/>
    <w:basedOn w:val="DefaultParagraphFont"/>
    <w:link w:val="Tabletextleft"/>
    <w:locked/>
    <w:rsid w:val="007D4D11"/>
    <w:rPr>
      <w:rFonts w:cs="Calibri"/>
      <w:sz w:val="18"/>
    </w:rPr>
  </w:style>
  <w:style w:type="paragraph" w:customStyle="1" w:styleId="Tabletextleft">
    <w:name w:val="Table text left"/>
    <w:basedOn w:val="Normal"/>
    <w:link w:val="TabletextleftChar"/>
    <w:qFormat/>
    <w:rsid w:val="007D4D11"/>
    <w:pPr>
      <w:spacing w:before="20" w:after="20"/>
      <w:jc w:val="left"/>
    </w:pPr>
    <w:rPr>
      <w:rFonts w:asciiTheme="minorHAnsi" w:eastAsiaTheme="minorHAnsi" w:hAnsiTheme="minorHAnsi" w:cs="Calibri"/>
      <w:sz w:val="18"/>
      <w:szCs w:val="22"/>
      <w:lang w:eastAsia="en-US"/>
    </w:rPr>
  </w:style>
  <w:style w:type="paragraph" w:customStyle="1" w:styleId="ListBulletlvl2">
    <w:name w:val="List Bullet lvl 2"/>
    <w:basedOn w:val="ListBullet"/>
    <w:qFormat/>
    <w:rsid w:val="007D4D11"/>
    <w:pPr>
      <w:numPr>
        <w:ilvl w:val="1"/>
        <w:numId w:val="10"/>
      </w:numPr>
      <w:spacing w:after="120" w:line="276" w:lineRule="auto"/>
      <w:contextualSpacing w:val="0"/>
      <w:jc w:val="left"/>
    </w:pPr>
    <w:rPr>
      <w:rFonts w:eastAsiaTheme="minorHAnsi" w:cstheme="minorBidi"/>
      <w:szCs w:val="22"/>
      <w:lang w:eastAsia="en-US"/>
    </w:rPr>
  </w:style>
  <w:style w:type="table" w:customStyle="1" w:styleId="TableGrid3">
    <w:name w:val="Table Grid3"/>
    <w:basedOn w:val="TableNormal"/>
    <w:next w:val="TableGrid"/>
    <w:uiPriority w:val="59"/>
    <w:rsid w:val="007D4D1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vl3">
    <w:name w:val="List Bullet lvl 3"/>
    <w:basedOn w:val="ListBullet"/>
    <w:qFormat/>
    <w:rsid w:val="007D4D11"/>
    <w:pPr>
      <w:numPr>
        <w:numId w:val="0"/>
      </w:numPr>
      <w:spacing w:after="120" w:line="276" w:lineRule="auto"/>
      <w:ind w:left="2160" w:hanging="360"/>
      <w:contextualSpacing w:val="0"/>
      <w:jc w:val="left"/>
    </w:pPr>
    <w:rPr>
      <w:rFonts w:eastAsiaTheme="minorHAnsi" w:cstheme="minorBidi"/>
      <w:szCs w:val="22"/>
      <w:lang w:eastAsia="en-US"/>
    </w:rPr>
  </w:style>
  <w:style w:type="paragraph" w:customStyle="1" w:styleId="ListBulletlvl4">
    <w:name w:val="List Bullet lvl 4"/>
    <w:basedOn w:val="ListBullet"/>
    <w:qFormat/>
    <w:rsid w:val="007D4D11"/>
    <w:pPr>
      <w:numPr>
        <w:numId w:val="0"/>
      </w:numPr>
      <w:spacing w:after="120" w:line="276" w:lineRule="auto"/>
      <w:ind w:left="2880" w:hanging="360"/>
      <w:contextualSpacing w:val="0"/>
      <w:jc w:val="left"/>
    </w:pPr>
    <w:rPr>
      <w:rFonts w:eastAsiaTheme="minorHAnsi" w:cstheme="minorBidi"/>
      <w:szCs w:val="22"/>
      <w:lang w:eastAsia="en-US"/>
    </w:rPr>
  </w:style>
  <w:style w:type="paragraph" w:customStyle="1" w:styleId="ListBulletlvl5">
    <w:name w:val="List Bullet lvl 5"/>
    <w:basedOn w:val="ListBullet"/>
    <w:qFormat/>
    <w:rsid w:val="007D4D11"/>
    <w:pPr>
      <w:numPr>
        <w:numId w:val="0"/>
      </w:numPr>
      <w:spacing w:after="120" w:line="276" w:lineRule="auto"/>
      <w:ind w:left="3600" w:hanging="360"/>
      <w:contextualSpacing w:val="0"/>
      <w:jc w:val="left"/>
    </w:pPr>
    <w:rPr>
      <w:rFonts w:eastAsiaTheme="minorHAnsi" w:cstheme="minorBidi"/>
      <w:szCs w:val="22"/>
      <w:lang w:eastAsia="en-US"/>
    </w:rPr>
  </w:style>
  <w:style w:type="paragraph" w:customStyle="1" w:styleId="ListBulletlvl6">
    <w:name w:val="List Bullet lvl 6"/>
    <w:basedOn w:val="ListBullet"/>
    <w:qFormat/>
    <w:rsid w:val="007D4D11"/>
    <w:pPr>
      <w:numPr>
        <w:numId w:val="0"/>
      </w:numPr>
      <w:spacing w:after="120" w:line="276" w:lineRule="auto"/>
      <w:ind w:left="4320" w:hanging="360"/>
      <w:contextualSpacing w:val="0"/>
      <w:jc w:val="left"/>
    </w:pPr>
    <w:rPr>
      <w:rFonts w:eastAsiaTheme="minorHAnsi" w:cstheme="minorBidi"/>
      <w:szCs w:val="22"/>
      <w:lang w:eastAsia="en-US"/>
    </w:rPr>
  </w:style>
  <w:style w:type="paragraph" w:customStyle="1" w:styleId="ListBulletlvl7">
    <w:name w:val="List Bullet lvl 7"/>
    <w:basedOn w:val="ListBullet"/>
    <w:qFormat/>
    <w:rsid w:val="007D4D11"/>
    <w:pPr>
      <w:numPr>
        <w:numId w:val="0"/>
      </w:numPr>
      <w:spacing w:after="120" w:line="276" w:lineRule="auto"/>
      <w:ind w:left="5040" w:hanging="360"/>
      <w:contextualSpacing w:val="0"/>
      <w:jc w:val="left"/>
    </w:pPr>
    <w:rPr>
      <w:rFonts w:eastAsiaTheme="minorHAnsi" w:cstheme="minorBidi"/>
      <w:szCs w:val="22"/>
      <w:lang w:eastAsia="en-US"/>
    </w:rPr>
  </w:style>
  <w:style w:type="paragraph" w:customStyle="1" w:styleId="ListBulletlvl8">
    <w:name w:val="List Bullet lvl 8"/>
    <w:basedOn w:val="ListBullet"/>
    <w:qFormat/>
    <w:rsid w:val="007D4D11"/>
    <w:pPr>
      <w:numPr>
        <w:numId w:val="0"/>
      </w:numPr>
      <w:spacing w:after="120" w:line="276" w:lineRule="auto"/>
      <w:ind w:left="5760" w:hanging="360"/>
      <w:contextualSpacing w:val="0"/>
      <w:jc w:val="left"/>
    </w:pPr>
    <w:rPr>
      <w:rFonts w:eastAsiaTheme="minorHAnsi" w:cstheme="minorBidi"/>
      <w:szCs w:val="22"/>
      <w:lang w:eastAsia="en-US"/>
    </w:rPr>
  </w:style>
  <w:style w:type="paragraph" w:customStyle="1" w:styleId="ListBulletlvl9">
    <w:name w:val="List Bullet lvl 9"/>
    <w:basedOn w:val="ListBullet"/>
    <w:qFormat/>
    <w:rsid w:val="007D4D11"/>
    <w:pPr>
      <w:numPr>
        <w:numId w:val="0"/>
      </w:numPr>
      <w:spacing w:after="120" w:line="276" w:lineRule="auto"/>
      <w:ind w:left="6480" w:hanging="360"/>
      <w:contextualSpacing w:val="0"/>
      <w:jc w:val="left"/>
    </w:pPr>
    <w:rPr>
      <w:rFonts w:eastAsiaTheme="minorHAnsi" w:cstheme="minorBidi"/>
      <w:szCs w:val="22"/>
      <w:lang w:eastAsia="en-US"/>
    </w:rPr>
  </w:style>
  <w:style w:type="character" w:customStyle="1" w:styleId="A15">
    <w:name w:val="A15"/>
    <w:uiPriority w:val="99"/>
    <w:rsid w:val="007D4D11"/>
    <w:rPr>
      <w:rFonts w:cs="Futura Std Book"/>
      <w:b/>
      <w:bCs/>
      <w:color w:val="FFFFFF"/>
      <w:sz w:val="84"/>
      <w:szCs w:val="84"/>
    </w:rPr>
  </w:style>
  <w:style w:type="table" w:customStyle="1" w:styleId="HTATableshaded">
    <w:name w:val="HTA Table shaded"/>
    <w:basedOn w:val="TableNormal"/>
    <w:rsid w:val="007D4D11"/>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beth1">
    <w:name w:val="Table Gridbeth1"/>
    <w:basedOn w:val="TableNormal"/>
    <w:next w:val="TableGrid"/>
    <w:uiPriority w:val="39"/>
    <w:rsid w:val="007D4D11"/>
    <w:pPr>
      <w:spacing w:after="0" w:line="240" w:lineRule="auto"/>
    </w:pPr>
    <w:rPr>
      <w:rFonts w:ascii="Arial" w:eastAsia="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D4D11"/>
  </w:style>
  <w:style w:type="paragraph" w:customStyle="1" w:styleId="paragraph">
    <w:name w:val="paragraph"/>
    <w:basedOn w:val="Normal"/>
    <w:rsid w:val="007D4D11"/>
    <w:pPr>
      <w:spacing w:before="100" w:beforeAutospacing="1" w:after="100" w:afterAutospacing="1"/>
      <w:jc w:val="left"/>
    </w:pPr>
    <w:rPr>
      <w:rFonts w:ascii="Times New Roman" w:hAnsi="Times New Roman" w:cs="Times New Roman"/>
    </w:rPr>
  </w:style>
  <w:style w:type="paragraph" w:customStyle="1" w:styleId="pf0">
    <w:name w:val="pf0"/>
    <w:basedOn w:val="Normal"/>
    <w:rsid w:val="007D4D11"/>
    <w:pPr>
      <w:spacing w:before="100" w:beforeAutospacing="1" w:after="100" w:afterAutospacing="1"/>
      <w:jc w:val="left"/>
    </w:pPr>
    <w:rPr>
      <w:rFonts w:cs="Calibri"/>
      <w:sz w:val="22"/>
      <w:szCs w:val="22"/>
    </w:rPr>
  </w:style>
  <w:style w:type="paragraph" w:customStyle="1" w:styleId="Source">
    <w:name w:val="Source"/>
    <w:basedOn w:val="Normal"/>
    <w:link w:val="SourceChar"/>
    <w:uiPriority w:val="35"/>
    <w:qFormat/>
    <w:rsid w:val="002C246B"/>
    <w:pPr>
      <w:numPr>
        <w:numId w:val="26"/>
      </w:numPr>
    </w:pPr>
  </w:style>
  <w:style w:type="paragraph" w:customStyle="1" w:styleId="PBACmainbodysectionheadings">
    <w:name w:val="PBAC main body section headings"/>
    <w:basedOn w:val="Source"/>
    <w:link w:val="PBACmainbodysectionheadingsChar"/>
    <w:qFormat/>
    <w:rsid w:val="005E6E88"/>
    <w:pPr>
      <w:numPr>
        <w:numId w:val="0"/>
      </w:numPr>
      <w:spacing w:before="240" w:after="240"/>
      <w:ind w:left="720" w:hanging="720"/>
    </w:pPr>
    <w:rPr>
      <w:b/>
      <w:bCs/>
      <w:sz w:val="32"/>
      <w:szCs w:val="32"/>
    </w:rPr>
  </w:style>
  <w:style w:type="character" w:customStyle="1" w:styleId="SourceChar">
    <w:name w:val="Source Char"/>
    <w:basedOn w:val="DefaultParagraphFont"/>
    <w:link w:val="Source"/>
    <w:uiPriority w:val="35"/>
    <w:rsid w:val="005E6E88"/>
    <w:rPr>
      <w:rFonts w:ascii="Calibri" w:eastAsia="Times New Roman" w:hAnsi="Calibri" w:cs="Arial"/>
      <w:sz w:val="24"/>
      <w:szCs w:val="24"/>
      <w:lang w:eastAsia="en-AU"/>
    </w:rPr>
  </w:style>
  <w:style w:type="character" w:customStyle="1" w:styleId="PBACmainbodysectionheadingsChar">
    <w:name w:val="PBAC main body section headings Char"/>
    <w:basedOn w:val="SourceChar"/>
    <w:link w:val="PBACmainbodysectionheadings"/>
    <w:rsid w:val="005E6E88"/>
    <w:rPr>
      <w:rFonts w:ascii="Calibri" w:eastAsia="Times New Roman" w:hAnsi="Calibri" w:cs="Arial"/>
      <w:b/>
      <w:bCs/>
      <w:sz w:val="32"/>
      <w:szCs w:val="32"/>
      <w:lang w:eastAsia="en-AU"/>
    </w:rPr>
  </w:style>
  <w:style w:type="paragraph" w:customStyle="1" w:styleId="zr1">
    <w:name w:val="zr1"/>
    <w:basedOn w:val="Normal"/>
    <w:rsid w:val="00485F41"/>
    <w:pPr>
      <w:spacing w:before="100" w:beforeAutospacing="1" w:after="100" w:afterAutospacing="1"/>
      <w:jc w:val="left"/>
    </w:pPr>
    <w:rPr>
      <w:rFonts w:ascii="Times New Roman" w:hAnsi="Times New Roman" w:cs="Times New Roman"/>
    </w:rPr>
  </w:style>
  <w:style w:type="paragraph" w:customStyle="1" w:styleId="p2">
    <w:name w:val="p2"/>
    <w:basedOn w:val="Normal"/>
    <w:rsid w:val="00485F41"/>
    <w:pPr>
      <w:spacing w:before="100" w:beforeAutospacing="1" w:after="100" w:afterAutospacing="1"/>
      <w:jc w:val="left"/>
    </w:pPr>
    <w:rPr>
      <w:rFonts w:ascii="Times New Roman" w:hAnsi="Times New Roman" w:cs="Times New Roman"/>
    </w:rPr>
  </w:style>
  <w:style w:type="paragraph" w:customStyle="1" w:styleId="p3">
    <w:name w:val="p3"/>
    <w:basedOn w:val="Normal"/>
    <w:rsid w:val="00485F41"/>
    <w:pPr>
      <w:spacing w:before="100" w:beforeAutospacing="1" w:after="100" w:afterAutospacing="1"/>
      <w:jc w:val="left"/>
    </w:pPr>
    <w:rPr>
      <w:rFonts w:ascii="Times New Roman" w:hAnsi="Times New Roman" w:cs="Times New Roman"/>
    </w:rPr>
  </w:style>
  <w:style w:type="paragraph" w:customStyle="1" w:styleId="zp1">
    <w:name w:val="zp1"/>
    <w:basedOn w:val="Normal"/>
    <w:rsid w:val="00485F41"/>
    <w:pPr>
      <w:spacing w:before="100" w:beforeAutospacing="1" w:after="100" w:afterAutospacing="1"/>
      <w:jc w:val="left"/>
    </w:pPr>
    <w:rPr>
      <w:rFonts w:ascii="Times New Roman" w:hAnsi="Times New Roman" w:cs="Times New Roman"/>
    </w:rPr>
  </w:style>
  <w:style w:type="paragraph" w:styleId="EndnoteText">
    <w:name w:val="endnote text"/>
    <w:basedOn w:val="Normal"/>
    <w:link w:val="EndnoteTextChar"/>
    <w:uiPriority w:val="99"/>
    <w:semiHidden/>
    <w:unhideWhenUsed/>
    <w:rsid w:val="00792D82"/>
    <w:rPr>
      <w:sz w:val="20"/>
      <w:szCs w:val="20"/>
    </w:rPr>
  </w:style>
  <w:style w:type="character" w:customStyle="1" w:styleId="EndnoteTextChar">
    <w:name w:val="Endnote Text Char"/>
    <w:basedOn w:val="DefaultParagraphFont"/>
    <w:link w:val="EndnoteText"/>
    <w:uiPriority w:val="99"/>
    <w:semiHidden/>
    <w:rsid w:val="00792D82"/>
    <w:rPr>
      <w:rFonts w:ascii="Calibri" w:eastAsia="Times New Roman" w:hAnsi="Calibri" w:cs="Arial"/>
      <w:sz w:val="20"/>
      <w:szCs w:val="20"/>
      <w:lang w:eastAsia="en-AU"/>
    </w:rPr>
  </w:style>
  <w:style w:type="character" w:styleId="EndnoteReference">
    <w:name w:val="endnote reference"/>
    <w:basedOn w:val="DefaultParagraphFont"/>
    <w:uiPriority w:val="99"/>
    <w:semiHidden/>
    <w:unhideWhenUsed/>
    <w:rsid w:val="00792D82"/>
    <w:rPr>
      <w:vertAlign w:val="superscript"/>
    </w:rPr>
  </w:style>
  <w:style w:type="character" w:customStyle="1" w:styleId="Mention1">
    <w:name w:val="Mention1"/>
    <w:basedOn w:val="DefaultParagraphFont"/>
    <w:uiPriority w:val="99"/>
    <w:unhideWhenUsed/>
    <w:rsid w:val="007D24D2"/>
    <w:rPr>
      <w:color w:val="2B579A"/>
      <w:shd w:val="clear" w:color="auto" w:fill="E6E6E6"/>
    </w:rPr>
  </w:style>
  <w:style w:type="character" w:customStyle="1" w:styleId="UnresolvedMention1">
    <w:name w:val="Unresolved Mention1"/>
    <w:basedOn w:val="DefaultParagraphFont"/>
    <w:uiPriority w:val="99"/>
    <w:semiHidden/>
    <w:unhideWhenUsed/>
    <w:rsid w:val="007D24D2"/>
    <w:rPr>
      <w:color w:val="605E5C"/>
      <w:shd w:val="clear" w:color="auto" w:fill="E1DFDD"/>
    </w:rPr>
  </w:style>
  <w:style w:type="character" w:customStyle="1" w:styleId="3-SubsectionHeadingChar">
    <w:name w:val="3-Subsection Heading Char"/>
    <w:basedOn w:val="DefaultParagraphFont"/>
    <w:link w:val="3-SubsectionHeading"/>
    <w:locked/>
    <w:rsid w:val="001B41C4"/>
    <w:rPr>
      <w:rFonts w:eastAsiaTheme="majorEastAsia" w:cstheme="majorBidi"/>
      <w:b/>
      <w:i/>
      <w:color w:val="2F5496" w:themeColor="accent1" w:themeShade="BF"/>
      <w:spacing w:val="5"/>
      <w:kern w:val="28"/>
      <w:sz w:val="28"/>
      <w:szCs w:val="36"/>
    </w:rPr>
  </w:style>
  <w:style w:type="paragraph" w:customStyle="1" w:styleId="3-SubsectionHeading">
    <w:name w:val="3-Subsection Heading"/>
    <w:basedOn w:val="Heading2"/>
    <w:next w:val="Normal"/>
    <w:link w:val="3-SubsectionHeadingChar"/>
    <w:qFormat/>
    <w:rsid w:val="001B41C4"/>
    <w:pPr>
      <w:keepNext/>
      <w:spacing w:before="120" w:after="120"/>
      <w:outlineLvl w:val="9"/>
    </w:pPr>
    <w:rPr>
      <w:rFonts w:asciiTheme="minorHAnsi" w:eastAsiaTheme="majorEastAsia" w:hAnsiTheme="minorHAnsi" w:cstheme="majorBidi"/>
      <w:color w:val="2F5496" w:themeColor="accent1" w:themeShade="BF"/>
      <w:spacing w:val="5"/>
      <w:kern w:val="28"/>
      <w:szCs w:val="36"/>
      <w:lang w:eastAsia="en-US"/>
    </w:rPr>
  </w:style>
  <w:style w:type="paragraph" w:customStyle="1" w:styleId="subbullet">
    <w:name w:val="subbullet"/>
    <w:basedOn w:val="Normal"/>
    <w:next w:val="Normal"/>
    <w:rsid w:val="00B76800"/>
    <w:pPr>
      <w:numPr>
        <w:numId w:val="33"/>
      </w:numPr>
      <w:tabs>
        <w:tab w:val="left" w:pos="0"/>
        <w:tab w:val="left" w:pos="1440"/>
      </w:tabs>
      <w:spacing w:after="158"/>
    </w:pPr>
    <w:rPr>
      <w:rFonts w:ascii="Arial" w:hAnsi="Arial" w:cs="Times New Roman"/>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23">
      <w:bodyDiv w:val="1"/>
      <w:marLeft w:val="0"/>
      <w:marRight w:val="0"/>
      <w:marTop w:val="0"/>
      <w:marBottom w:val="0"/>
      <w:divBdr>
        <w:top w:val="none" w:sz="0" w:space="0" w:color="auto"/>
        <w:left w:val="none" w:sz="0" w:space="0" w:color="auto"/>
        <w:bottom w:val="none" w:sz="0" w:space="0" w:color="auto"/>
        <w:right w:val="none" w:sz="0" w:space="0" w:color="auto"/>
      </w:divBdr>
      <w:divsChild>
        <w:div w:id="670640691">
          <w:marLeft w:val="360"/>
          <w:marRight w:val="0"/>
          <w:marTop w:val="200"/>
          <w:marBottom w:val="0"/>
          <w:divBdr>
            <w:top w:val="none" w:sz="0" w:space="0" w:color="auto"/>
            <w:left w:val="none" w:sz="0" w:space="0" w:color="auto"/>
            <w:bottom w:val="none" w:sz="0" w:space="0" w:color="auto"/>
            <w:right w:val="none" w:sz="0" w:space="0" w:color="auto"/>
          </w:divBdr>
        </w:div>
      </w:divsChild>
    </w:div>
    <w:div w:id="4290968">
      <w:bodyDiv w:val="1"/>
      <w:marLeft w:val="0"/>
      <w:marRight w:val="0"/>
      <w:marTop w:val="0"/>
      <w:marBottom w:val="0"/>
      <w:divBdr>
        <w:top w:val="none" w:sz="0" w:space="0" w:color="auto"/>
        <w:left w:val="none" w:sz="0" w:space="0" w:color="auto"/>
        <w:bottom w:val="none" w:sz="0" w:space="0" w:color="auto"/>
        <w:right w:val="none" w:sz="0" w:space="0" w:color="auto"/>
      </w:divBdr>
    </w:div>
    <w:div w:id="10687796">
      <w:bodyDiv w:val="1"/>
      <w:marLeft w:val="0"/>
      <w:marRight w:val="0"/>
      <w:marTop w:val="0"/>
      <w:marBottom w:val="0"/>
      <w:divBdr>
        <w:top w:val="none" w:sz="0" w:space="0" w:color="auto"/>
        <w:left w:val="none" w:sz="0" w:space="0" w:color="auto"/>
        <w:bottom w:val="none" w:sz="0" w:space="0" w:color="auto"/>
        <w:right w:val="none" w:sz="0" w:space="0" w:color="auto"/>
      </w:divBdr>
      <w:divsChild>
        <w:div w:id="1008674945">
          <w:marLeft w:val="1267"/>
          <w:marRight w:val="0"/>
          <w:marTop w:val="0"/>
          <w:marBottom w:val="0"/>
          <w:divBdr>
            <w:top w:val="none" w:sz="0" w:space="0" w:color="auto"/>
            <w:left w:val="none" w:sz="0" w:space="0" w:color="auto"/>
            <w:bottom w:val="none" w:sz="0" w:space="0" w:color="auto"/>
            <w:right w:val="none" w:sz="0" w:space="0" w:color="auto"/>
          </w:divBdr>
        </w:div>
        <w:div w:id="1606310176">
          <w:marLeft w:val="1267"/>
          <w:marRight w:val="0"/>
          <w:marTop w:val="0"/>
          <w:marBottom w:val="0"/>
          <w:divBdr>
            <w:top w:val="none" w:sz="0" w:space="0" w:color="auto"/>
            <w:left w:val="none" w:sz="0" w:space="0" w:color="auto"/>
            <w:bottom w:val="none" w:sz="0" w:space="0" w:color="auto"/>
            <w:right w:val="none" w:sz="0" w:space="0" w:color="auto"/>
          </w:divBdr>
        </w:div>
        <w:div w:id="1818448182">
          <w:marLeft w:val="1267"/>
          <w:marRight w:val="0"/>
          <w:marTop w:val="0"/>
          <w:marBottom w:val="0"/>
          <w:divBdr>
            <w:top w:val="none" w:sz="0" w:space="0" w:color="auto"/>
            <w:left w:val="none" w:sz="0" w:space="0" w:color="auto"/>
            <w:bottom w:val="none" w:sz="0" w:space="0" w:color="auto"/>
            <w:right w:val="none" w:sz="0" w:space="0" w:color="auto"/>
          </w:divBdr>
        </w:div>
      </w:divsChild>
    </w:div>
    <w:div w:id="16128071">
      <w:bodyDiv w:val="1"/>
      <w:marLeft w:val="0"/>
      <w:marRight w:val="0"/>
      <w:marTop w:val="0"/>
      <w:marBottom w:val="0"/>
      <w:divBdr>
        <w:top w:val="none" w:sz="0" w:space="0" w:color="auto"/>
        <w:left w:val="none" w:sz="0" w:space="0" w:color="auto"/>
        <w:bottom w:val="none" w:sz="0" w:space="0" w:color="auto"/>
        <w:right w:val="none" w:sz="0" w:space="0" w:color="auto"/>
      </w:divBdr>
    </w:div>
    <w:div w:id="23948921">
      <w:bodyDiv w:val="1"/>
      <w:marLeft w:val="0"/>
      <w:marRight w:val="0"/>
      <w:marTop w:val="0"/>
      <w:marBottom w:val="0"/>
      <w:divBdr>
        <w:top w:val="none" w:sz="0" w:space="0" w:color="auto"/>
        <w:left w:val="none" w:sz="0" w:space="0" w:color="auto"/>
        <w:bottom w:val="none" w:sz="0" w:space="0" w:color="auto"/>
        <w:right w:val="none" w:sz="0" w:space="0" w:color="auto"/>
      </w:divBdr>
    </w:div>
    <w:div w:id="38163853">
      <w:bodyDiv w:val="1"/>
      <w:marLeft w:val="0"/>
      <w:marRight w:val="0"/>
      <w:marTop w:val="0"/>
      <w:marBottom w:val="0"/>
      <w:divBdr>
        <w:top w:val="none" w:sz="0" w:space="0" w:color="auto"/>
        <w:left w:val="none" w:sz="0" w:space="0" w:color="auto"/>
        <w:bottom w:val="none" w:sz="0" w:space="0" w:color="auto"/>
        <w:right w:val="none" w:sz="0" w:space="0" w:color="auto"/>
      </w:divBdr>
    </w:div>
    <w:div w:id="63332670">
      <w:bodyDiv w:val="1"/>
      <w:marLeft w:val="0"/>
      <w:marRight w:val="0"/>
      <w:marTop w:val="0"/>
      <w:marBottom w:val="0"/>
      <w:divBdr>
        <w:top w:val="none" w:sz="0" w:space="0" w:color="auto"/>
        <w:left w:val="none" w:sz="0" w:space="0" w:color="auto"/>
        <w:bottom w:val="none" w:sz="0" w:space="0" w:color="auto"/>
        <w:right w:val="none" w:sz="0" w:space="0" w:color="auto"/>
      </w:divBdr>
    </w:div>
    <w:div w:id="74060417">
      <w:bodyDiv w:val="1"/>
      <w:marLeft w:val="0"/>
      <w:marRight w:val="0"/>
      <w:marTop w:val="0"/>
      <w:marBottom w:val="0"/>
      <w:divBdr>
        <w:top w:val="none" w:sz="0" w:space="0" w:color="auto"/>
        <w:left w:val="none" w:sz="0" w:space="0" w:color="auto"/>
        <w:bottom w:val="none" w:sz="0" w:space="0" w:color="auto"/>
        <w:right w:val="none" w:sz="0" w:space="0" w:color="auto"/>
      </w:divBdr>
    </w:div>
    <w:div w:id="75176584">
      <w:bodyDiv w:val="1"/>
      <w:marLeft w:val="0"/>
      <w:marRight w:val="0"/>
      <w:marTop w:val="0"/>
      <w:marBottom w:val="0"/>
      <w:divBdr>
        <w:top w:val="none" w:sz="0" w:space="0" w:color="auto"/>
        <w:left w:val="none" w:sz="0" w:space="0" w:color="auto"/>
        <w:bottom w:val="none" w:sz="0" w:space="0" w:color="auto"/>
        <w:right w:val="none" w:sz="0" w:space="0" w:color="auto"/>
      </w:divBdr>
    </w:div>
    <w:div w:id="76678314">
      <w:bodyDiv w:val="1"/>
      <w:marLeft w:val="0"/>
      <w:marRight w:val="0"/>
      <w:marTop w:val="0"/>
      <w:marBottom w:val="0"/>
      <w:divBdr>
        <w:top w:val="none" w:sz="0" w:space="0" w:color="auto"/>
        <w:left w:val="none" w:sz="0" w:space="0" w:color="auto"/>
        <w:bottom w:val="none" w:sz="0" w:space="0" w:color="auto"/>
        <w:right w:val="none" w:sz="0" w:space="0" w:color="auto"/>
      </w:divBdr>
    </w:div>
    <w:div w:id="80880183">
      <w:bodyDiv w:val="1"/>
      <w:marLeft w:val="0"/>
      <w:marRight w:val="0"/>
      <w:marTop w:val="0"/>
      <w:marBottom w:val="0"/>
      <w:divBdr>
        <w:top w:val="none" w:sz="0" w:space="0" w:color="auto"/>
        <w:left w:val="none" w:sz="0" w:space="0" w:color="auto"/>
        <w:bottom w:val="none" w:sz="0" w:space="0" w:color="auto"/>
        <w:right w:val="none" w:sz="0" w:space="0" w:color="auto"/>
      </w:divBdr>
    </w:div>
    <w:div w:id="81226331">
      <w:bodyDiv w:val="1"/>
      <w:marLeft w:val="0"/>
      <w:marRight w:val="0"/>
      <w:marTop w:val="0"/>
      <w:marBottom w:val="0"/>
      <w:divBdr>
        <w:top w:val="none" w:sz="0" w:space="0" w:color="auto"/>
        <w:left w:val="none" w:sz="0" w:space="0" w:color="auto"/>
        <w:bottom w:val="none" w:sz="0" w:space="0" w:color="auto"/>
        <w:right w:val="none" w:sz="0" w:space="0" w:color="auto"/>
      </w:divBdr>
    </w:div>
    <w:div w:id="98960471">
      <w:bodyDiv w:val="1"/>
      <w:marLeft w:val="0"/>
      <w:marRight w:val="0"/>
      <w:marTop w:val="0"/>
      <w:marBottom w:val="0"/>
      <w:divBdr>
        <w:top w:val="none" w:sz="0" w:space="0" w:color="auto"/>
        <w:left w:val="none" w:sz="0" w:space="0" w:color="auto"/>
        <w:bottom w:val="none" w:sz="0" w:space="0" w:color="auto"/>
        <w:right w:val="none" w:sz="0" w:space="0" w:color="auto"/>
      </w:divBdr>
    </w:div>
    <w:div w:id="114107575">
      <w:bodyDiv w:val="1"/>
      <w:marLeft w:val="0"/>
      <w:marRight w:val="0"/>
      <w:marTop w:val="0"/>
      <w:marBottom w:val="0"/>
      <w:divBdr>
        <w:top w:val="none" w:sz="0" w:space="0" w:color="auto"/>
        <w:left w:val="none" w:sz="0" w:space="0" w:color="auto"/>
        <w:bottom w:val="none" w:sz="0" w:space="0" w:color="auto"/>
        <w:right w:val="none" w:sz="0" w:space="0" w:color="auto"/>
      </w:divBdr>
    </w:div>
    <w:div w:id="115566114">
      <w:bodyDiv w:val="1"/>
      <w:marLeft w:val="0"/>
      <w:marRight w:val="0"/>
      <w:marTop w:val="0"/>
      <w:marBottom w:val="0"/>
      <w:divBdr>
        <w:top w:val="none" w:sz="0" w:space="0" w:color="auto"/>
        <w:left w:val="none" w:sz="0" w:space="0" w:color="auto"/>
        <w:bottom w:val="none" w:sz="0" w:space="0" w:color="auto"/>
        <w:right w:val="none" w:sz="0" w:space="0" w:color="auto"/>
      </w:divBdr>
    </w:div>
    <w:div w:id="140200800">
      <w:bodyDiv w:val="1"/>
      <w:marLeft w:val="0"/>
      <w:marRight w:val="0"/>
      <w:marTop w:val="0"/>
      <w:marBottom w:val="0"/>
      <w:divBdr>
        <w:top w:val="none" w:sz="0" w:space="0" w:color="auto"/>
        <w:left w:val="none" w:sz="0" w:space="0" w:color="auto"/>
        <w:bottom w:val="none" w:sz="0" w:space="0" w:color="auto"/>
        <w:right w:val="none" w:sz="0" w:space="0" w:color="auto"/>
      </w:divBdr>
    </w:div>
    <w:div w:id="146365861">
      <w:bodyDiv w:val="1"/>
      <w:marLeft w:val="0"/>
      <w:marRight w:val="0"/>
      <w:marTop w:val="0"/>
      <w:marBottom w:val="0"/>
      <w:divBdr>
        <w:top w:val="none" w:sz="0" w:space="0" w:color="auto"/>
        <w:left w:val="none" w:sz="0" w:space="0" w:color="auto"/>
        <w:bottom w:val="none" w:sz="0" w:space="0" w:color="auto"/>
        <w:right w:val="none" w:sz="0" w:space="0" w:color="auto"/>
      </w:divBdr>
    </w:div>
    <w:div w:id="148177241">
      <w:bodyDiv w:val="1"/>
      <w:marLeft w:val="0"/>
      <w:marRight w:val="0"/>
      <w:marTop w:val="0"/>
      <w:marBottom w:val="0"/>
      <w:divBdr>
        <w:top w:val="none" w:sz="0" w:space="0" w:color="auto"/>
        <w:left w:val="none" w:sz="0" w:space="0" w:color="auto"/>
        <w:bottom w:val="none" w:sz="0" w:space="0" w:color="auto"/>
        <w:right w:val="none" w:sz="0" w:space="0" w:color="auto"/>
      </w:divBdr>
    </w:div>
    <w:div w:id="161359055">
      <w:bodyDiv w:val="1"/>
      <w:marLeft w:val="0"/>
      <w:marRight w:val="0"/>
      <w:marTop w:val="0"/>
      <w:marBottom w:val="0"/>
      <w:divBdr>
        <w:top w:val="none" w:sz="0" w:space="0" w:color="auto"/>
        <w:left w:val="none" w:sz="0" w:space="0" w:color="auto"/>
        <w:bottom w:val="none" w:sz="0" w:space="0" w:color="auto"/>
        <w:right w:val="none" w:sz="0" w:space="0" w:color="auto"/>
      </w:divBdr>
    </w:div>
    <w:div w:id="170996955">
      <w:bodyDiv w:val="1"/>
      <w:marLeft w:val="0"/>
      <w:marRight w:val="0"/>
      <w:marTop w:val="0"/>
      <w:marBottom w:val="0"/>
      <w:divBdr>
        <w:top w:val="none" w:sz="0" w:space="0" w:color="auto"/>
        <w:left w:val="none" w:sz="0" w:space="0" w:color="auto"/>
        <w:bottom w:val="none" w:sz="0" w:space="0" w:color="auto"/>
        <w:right w:val="none" w:sz="0" w:space="0" w:color="auto"/>
      </w:divBdr>
    </w:div>
    <w:div w:id="171722229">
      <w:bodyDiv w:val="1"/>
      <w:marLeft w:val="0"/>
      <w:marRight w:val="0"/>
      <w:marTop w:val="0"/>
      <w:marBottom w:val="0"/>
      <w:divBdr>
        <w:top w:val="none" w:sz="0" w:space="0" w:color="auto"/>
        <w:left w:val="none" w:sz="0" w:space="0" w:color="auto"/>
        <w:bottom w:val="none" w:sz="0" w:space="0" w:color="auto"/>
        <w:right w:val="none" w:sz="0" w:space="0" w:color="auto"/>
      </w:divBdr>
    </w:div>
    <w:div w:id="181670404">
      <w:bodyDiv w:val="1"/>
      <w:marLeft w:val="0"/>
      <w:marRight w:val="0"/>
      <w:marTop w:val="0"/>
      <w:marBottom w:val="0"/>
      <w:divBdr>
        <w:top w:val="none" w:sz="0" w:space="0" w:color="auto"/>
        <w:left w:val="none" w:sz="0" w:space="0" w:color="auto"/>
        <w:bottom w:val="none" w:sz="0" w:space="0" w:color="auto"/>
        <w:right w:val="none" w:sz="0" w:space="0" w:color="auto"/>
      </w:divBdr>
    </w:div>
    <w:div w:id="220797593">
      <w:bodyDiv w:val="1"/>
      <w:marLeft w:val="0"/>
      <w:marRight w:val="0"/>
      <w:marTop w:val="0"/>
      <w:marBottom w:val="0"/>
      <w:divBdr>
        <w:top w:val="none" w:sz="0" w:space="0" w:color="auto"/>
        <w:left w:val="none" w:sz="0" w:space="0" w:color="auto"/>
        <w:bottom w:val="none" w:sz="0" w:space="0" w:color="auto"/>
        <w:right w:val="none" w:sz="0" w:space="0" w:color="auto"/>
      </w:divBdr>
    </w:div>
    <w:div w:id="230313022">
      <w:bodyDiv w:val="1"/>
      <w:marLeft w:val="0"/>
      <w:marRight w:val="0"/>
      <w:marTop w:val="0"/>
      <w:marBottom w:val="0"/>
      <w:divBdr>
        <w:top w:val="none" w:sz="0" w:space="0" w:color="auto"/>
        <w:left w:val="none" w:sz="0" w:space="0" w:color="auto"/>
        <w:bottom w:val="none" w:sz="0" w:space="0" w:color="auto"/>
        <w:right w:val="none" w:sz="0" w:space="0" w:color="auto"/>
      </w:divBdr>
    </w:div>
    <w:div w:id="231157366">
      <w:bodyDiv w:val="1"/>
      <w:marLeft w:val="0"/>
      <w:marRight w:val="0"/>
      <w:marTop w:val="0"/>
      <w:marBottom w:val="0"/>
      <w:divBdr>
        <w:top w:val="none" w:sz="0" w:space="0" w:color="auto"/>
        <w:left w:val="none" w:sz="0" w:space="0" w:color="auto"/>
        <w:bottom w:val="none" w:sz="0" w:space="0" w:color="auto"/>
        <w:right w:val="none" w:sz="0" w:space="0" w:color="auto"/>
      </w:divBdr>
    </w:div>
    <w:div w:id="305430002">
      <w:bodyDiv w:val="1"/>
      <w:marLeft w:val="0"/>
      <w:marRight w:val="0"/>
      <w:marTop w:val="0"/>
      <w:marBottom w:val="0"/>
      <w:divBdr>
        <w:top w:val="none" w:sz="0" w:space="0" w:color="auto"/>
        <w:left w:val="none" w:sz="0" w:space="0" w:color="auto"/>
        <w:bottom w:val="none" w:sz="0" w:space="0" w:color="auto"/>
        <w:right w:val="none" w:sz="0" w:space="0" w:color="auto"/>
      </w:divBdr>
    </w:div>
    <w:div w:id="329525099">
      <w:bodyDiv w:val="1"/>
      <w:marLeft w:val="0"/>
      <w:marRight w:val="0"/>
      <w:marTop w:val="0"/>
      <w:marBottom w:val="0"/>
      <w:divBdr>
        <w:top w:val="none" w:sz="0" w:space="0" w:color="auto"/>
        <w:left w:val="none" w:sz="0" w:space="0" w:color="auto"/>
        <w:bottom w:val="none" w:sz="0" w:space="0" w:color="auto"/>
        <w:right w:val="none" w:sz="0" w:space="0" w:color="auto"/>
      </w:divBdr>
    </w:div>
    <w:div w:id="334578308">
      <w:bodyDiv w:val="1"/>
      <w:marLeft w:val="0"/>
      <w:marRight w:val="0"/>
      <w:marTop w:val="0"/>
      <w:marBottom w:val="0"/>
      <w:divBdr>
        <w:top w:val="none" w:sz="0" w:space="0" w:color="auto"/>
        <w:left w:val="none" w:sz="0" w:space="0" w:color="auto"/>
        <w:bottom w:val="none" w:sz="0" w:space="0" w:color="auto"/>
        <w:right w:val="none" w:sz="0" w:space="0" w:color="auto"/>
      </w:divBdr>
    </w:div>
    <w:div w:id="335158339">
      <w:bodyDiv w:val="1"/>
      <w:marLeft w:val="0"/>
      <w:marRight w:val="0"/>
      <w:marTop w:val="0"/>
      <w:marBottom w:val="0"/>
      <w:divBdr>
        <w:top w:val="none" w:sz="0" w:space="0" w:color="auto"/>
        <w:left w:val="none" w:sz="0" w:space="0" w:color="auto"/>
        <w:bottom w:val="none" w:sz="0" w:space="0" w:color="auto"/>
        <w:right w:val="none" w:sz="0" w:space="0" w:color="auto"/>
      </w:divBdr>
    </w:div>
    <w:div w:id="358355857">
      <w:bodyDiv w:val="1"/>
      <w:marLeft w:val="0"/>
      <w:marRight w:val="0"/>
      <w:marTop w:val="0"/>
      <w:marBottom w:val="0"/>
      <w:divBdr>
        <w:top w:val="none" w:sz="0" w:space="0" w:color="auto"/>
        <w:left w:val="none" w:sz="0" w:space="0" w:color="auto"/>
        <w:bottom w:val="none" w:sz="0" w:space="0" w:color="auto"/>
        <w:right w:val="none" w:sz="0" w:space="0" w:color="auto"/>
      </w:divBdr>
      <w:divsChild>
        <w:div w:id="1808939256">
          <w:marLeft w:val="547"/>
          <w:marRight w:val="0"/>
          <w:marTop w:val="0"/>
          <w:marBottom w:val="0"/>
          <w:divBdr>
            <w:top w:val="none" w:sz="0" w:space="0" w:color="auto"/>
            <w:left w:val="none" w:sz="0" w:space="0" w:color="auto"/>
            <w:bottom w:val="none" w:sz="0" w:space="0" w:color="auto"/>
            <w:right w:val="none" w:sz="0" w:space="0" w:color="auto"/>
          </w:divBdr>
        </w:div>
      </w:divsChild>
    </w:div>
    <w:div w:id="385302995">
      <w:bodyDiv w:val="1"/>
      <w:marLeft w:val="0"/>
      <w:marRight w:val="0"/>
      <w:marTop w:val="0"/>
      <w:marBottom w:val="0"/>
      <w:divBdr>
        <w:top w:val="none" w:sz="0" w:space="0" w:color="auto"/>
        <w:left w:val="none" w:sz="0" w:space="0" w:color="auto"/>
        <w:bottom w:val="none" w:sz="0" w:space="0" w:color="auto"/>
        <w:right w:val="none" w:sz="0" w:space="0" w:color="auto"/>
      </w:divBdr>
    </w:div>
    <w:div w:id="396826218">
      <w:bodyDiv w:val="1"/>
      <w:marLeft w:val="0"/>
      <w:marRight w:val="0"/>
      <w:marTop w:val="0"/>
      <w:marBottom w:val="0"/>
      <w:divBdr>
        <w:top w:val="none" w:sz="0" w:space="0" w:color="auto"/>
        <w:left w:val="none" w:sz="0" w:space="0" w:color="auto"/>
        <w:bottom w:val="none" w:sz="0" w:space="0" w:color="auto"/>
        <w:right w:val="none" w:sz="0" w:space="0" w:color="auto"/>
      </w:divBdr>
      <w:divsChild>
        <w:div w:id="593781471">
          <w:marLeft w:val="1267"/>
          <w:marRight w:val="115"/>
          <w:marTop w:val="120"/>
          <w:marBottom w:val="40"/>
          <w:divBdr>
            <w:top w:val="none" w:sz="0" w:space="0" w:color="auto"/>
            <w:left w:val="none" w:sz="0" w:space="0" w:color="auto"/>
            <w:bottom w:val="none" w:sz="0" w:space="0" w:color="auto"/>
            <w:right w:val="none" w:sz="0" w:space="0" w:color="auto"/>
          </w:divBdr>
        </w:div>
      </w:divsChild>
    </w:div>
    <w:div w:id="423653565">
      <w:bodyDiv w:val="1"/>
      <w:marLeft w:val="0"/>
      <w:marRight w:val="0"/>
      <w:marTop w:val="0"/>
      <w:marBottom w:val="0"/>
      <w:divBdr>
        <w:top w:val="none" w:sz="0" w:space="0" w:color="auto"/>
        <w:left w:val="none" w:sz="0" w:space="0" w:color="auto"/>
        <w:bottom w:val="none" w:sz="0" w:space="0" w:color="auto"/>
        <w:right w:val="none" w:sz="0" w:space="0" w:color="auto"/>
      </w:divBdr>
    </w:div>
    <w:div w:id="431172282">
      <w:bodyDiv w:val="1"/>
      <w:marLeft w:val="0"/>
      <w:marRight w:val="0"/>
      <w:marTop w:val="0"/>
      <w:marBottom w:val="0"/>
      <w:divBdr>
        <w:top w:val="none" w:sz="0" w:space="0" w:color="auto"/>
        <w:left w:val="none" w:sz="0" w:space="0" w:color="auto"/>
        <w:bottom w:val="none" w:sz="0" w:space="0" w:color="auto"/>
        <w:right w:val="none" w:sz="0" w:space="0" w:color="auto"/>
      </w:divBdr>
    </w:div>
    <w:div w:id="436677941">
      <w:bodyDiv w:val="1"/>
      <w:marLeft w:val="0"/>
      <w:marRight w:val="0"/>
      <w:marTop w:val="0"/>
      <w:marBottom w:val="0"/>
      <w:divBdr>
        <w:top w:val="none" w:sz="0" w:space="0" w:color="auto"/>
        <w:left w:val="none" w:sz="0" w:space="0" w:color="auto"/>
        <w:bottom w:val="none" w:sz="0" w:space="0" w:color="auto"/>
        <w:right w:val="none" w:sz="0" w:space="0" w:color="auto"/>
      </w:divBdr>
    </w:div>
    <w:div w:id="496382008">
      <w:bodyDiv w:val="1"/>
      <w:marLeft w:val="0"/>
      <w:marRight w:val="0"/>
      <w:marTop w:val="0"/>
      <w:marBottom w:val="0"/>
      <w:divBdr>
        <w:top w:val="none" w:sz="0" w:space="0" w:color="auto"/>
        <w:left w:val="none" w:sz="0" w:space="0" w:color="auto"/>
        <w:bottom w:val="none" w:sz="0" w:space="0" w:color="auto"/>
        <w:right w:val="none" w:sz="0" w:space="0" w:color="auto"/>
      </w:divBdr>
    </w:div>
    <w:div w:id="505022174">
      <w:bodyDiv w:val="1"/>
      <w:marLeft w:val="0"/>
      <w:marRight w:val="0"/>
      <w:marTop w:val="0"/>
      <w:marBottom w:val="0"/>
      <w:divBdr>
        <w:top w:val="none" w:sz="0" w:space="0" w:color="auto"/>
        <w:left w:val="none" w:sz="0" w:space="0" w:color="auto"/>
        <w:bottom w:val="none" w:sz="0" w:space="0" w:color="auto"/>
        <w:right w:val="none" w:sz="0" w:space="0" w:color="auto"/>
      </w:divBdr>
      <w:divsChild>
        <w:div w:id="341903001">
          <w:marLeft w:val="1267"/>
          <w:marRight w:val="115"/>
          <w:marTop w:val="120"/>
          <w:marBottom w:val="40"/>
          <w:divBdr>
            <w:top w:val="none" w:sz="0" w:space="0" w:color="auto"/>
            <w:left w:val="none" w:sz="0" w:space="0" w:color="auto"/>
            <w:bottom w:val="none" w:sz="0" w:space="0" w:color="auto"/>
            <w:right w:val="none" w:sz="0" w:space="0" w:color="auto"/>
          </w:divBdr>
        </w:div>
        <w:div w:id="1737586788">
          <w:marLeft w:val="1267"/>
          <w:marRight w:val="115"/>
          <w:marTop w:val="120"/>
          <w:marBottom w:val="40"/>
          <w:divBdr>
            <w:top w:val="none" w:sz="0" w:space="0" w:color="auto"/>
            <w:left w:val="none" w:sz="0" w:space="0" w:color="auto"/>
            <w:bottom w:val="none" w:sz="0" w:space="0" w:color="auto"/>
            <w:right w:val="none" w:sz="0" w:space="0" w:color="auto"/>
          </w:divBdr>
        </w:div>
      </w:divsChild>
    </w:div>
    <w:div w:id="523133849">
      <w:bodyDiv w:val="1"/>
      <w:marLeft w:val="0"/>
      <w:marRight w:val="0"/>
      <w:marTop w:val="0"/>
      <w:marBottom w:val="0"/>
      <w:divBdr>
        <w:top w:val="none" w:sz="0" w:space="0" w:color="auto"/>
        <w:left w:val="none" w:sz="0" w:space="0" w:color="auto"/>
        <w:bottom w:val="none" w:sz="0" w:space="0" w:color="auto"/>
        <w:right w:val="none" w:sz="0" w:space="0" w:color="auto"/>
      </w:divBdr>
    </w:div>
    <w:div w:id="527378491">
      <w:bodyDiv w:val="1"/>
      <w:marLeft w:val="0"/>
      <w:marRight w:val="0"/>
      <w:marTop w:val="0"/>
      <w:marBottom w:val="0"/>
      <w:divBdr>
        <w:top w:val="none" w:sz="0" w:space="0" w:color="auto"/>
        <w:left w:val="none" w:sz="0" w:space="0" w:color="auto"/>
        <w:bottom w:val="none" w:sz="0" w:space="0" w:color="auto"/>
        <w:right w:val="none" w:sz="0" w:space="0" w:color="auto"/>
      </w:divBdr>
    </w:div>
    <w:div w:id="548035352">
      <w:bodyDiv w:val="1"/>
      <w:marLeft w:val="0"/>
      <w:marRight w:val="0"/>
      <w:marTop w:val="0"/>
      <w:marBottom w:val="0"/>
      <w:divBdr>
        <w:top w:val="none" w:sz="0" w:space="0" w:color="auto"/>
        <w:left w:val="none" w:sz="0" w:space="0" w:color="auto"/>
        <w:bottom w:val="none" w:sz="0" w:space="0" w:color="auto"/>
        <w:right w:val="none" w:sz="0" w:space="0" w:color="auto"/>
      </w:divBdr>
    </w:div>
    <w:div w:id="569578944">
      <w:bodyDiv w:val="1"/>
      <w:marLeft w:val="0"/>
      <w:marRight w:val="0"/>
      <w:marTop w:val="0"/>
      <w:marBottom w:val="0"/>
      <w:divBdr>
        <w:top w:val="none" w:sz="0" w:space="0" w:color="auto"/>
        <w:left w:val="none" w:sz="0" w:space="0" w:color="auto"/>
        <w:bottom w:val="none" w:sz="0" w:space="0" w:color="auto"/>
        <w:right w:val="none" w:sz="0" w:space="0" w:color="auto"/>
      </w:divBdr>
    </w:div>
    <w:div w:id="574364100">
      <w:bodyDiv w:val="1"/>
      <w:marLeft w:val="0"/>
      <w:marRight w:val="0"/>
      <w:marTop w:val="0"/>
      <w:marBottom w:val="0"/>
      <w:divBdr>
        <w:top w:val="none" w:sz="0" w:space="0" w:color="auto"/>
        <w:left w:val="none" w:sz="0" w:space="0" w:color="auto"/>
        <w:bottom w:val="none" w:sz="0" w:space="0" w:color="auto"/>
        <w:right w:val="none" w:sz="0" w:space="0" w:color="auto"/>
      </w:divBdr>
    </w:div>
    <w:div w:id="575167688">
      <w:bodyDiv w:val="1"/>
      <w:marLeft w:val="0"/>
      <w:marRight w:val="0"/>
      <w:marTop w:val="0"/>
      <w:marBottom w:val="0"/>
      <w:divBdr>
        <w:top w:val="none" w:sz="0" w:space="0" w:color="auto"/>
        <w:left w:val="none" w:sz="0" w:space="0" w:color="auto"/>
        <w:bottom w:val="none" w:sz="0" w:space="0" w:color="auto"/>
        <w:right w:val="none" w:sz="0" w:space="0" w:color="auto"/>
      </w:divBdr>
    </w:div>
    <w:div w:id="606355824">
      <w:bodyDiv w:val="1"/>
      <w:marLeft w:val="0"/>
      <w:marRight w:val="0"/>
      <w:marTop w:val="0"/>
      <w:marBottom w:val="0"/>
      <w:divBdr>
        <w:top w:val="none" w:sz="0" w:space="0" w:color="auto"/>
        <w:left w:val="none" w:sz="0" w:space="0" w:color="auto"/>
        <w:bottom w:val="none" w:sz="0" w:space="0" w:color="auto"/>
        <w:right w:val="none" w:sz="0" w:space="0" w:color="auto"/>
      </w:divBdr>
    </w:div>
    <w:div w:id="620962004">
      <w:bodyDiv w:val="1"/>
      <w:marLeft w:val="0"/>
      <w:marRight w:val="0"/>
      <w:marTop w:val="0"/>
      <w:marBottom w:val="0"/>
      <w:divBdr>
        <w:top w:val="none" w:sz="0" w:space="0" w:color="auto"/>
        <w:left w:val="none" w:sz="0" w:space="0" w:color="auto"/>
        <w:bottom w:val="none" w:sz="0" w:space="0" w:color="auto"/>
        <w:right w:val="none" w:sz="0" w:space="0" w:color="auto"/>
      </w:divBdr>
    </w:div>
    <w:div w:id="646859025">
      <w:bodyDiv w:val="1"/>
      <w:marLeft w:val="0"/>
      <w:marRight w:val="0"/>
      <w:marTop w:val="0"/>
      <w:marBottom w:val="0"/>
      <w:divBdr>
        <w:top w:val="none" w:sz="0" w:space="0" w:color="auto"/>
        <w:left w:val="none" w:sz="0" w:space="0" w:color="auto"/>
        <w:bottom w:val="none" w:sz="0" w:space="0" w:color="auto"/>
        <w:right w:val="none" w:sz="0" w:space="0" w:color="auto"/>
      </w:divBdr>
    </w:div>
    <w:div w:id="648901850">
      <w:bodyDiv w:val="1"/>
      <w:marLeft w:val="0"/>
      <w:marRight w:val="0"/>
      <w:marTop w:val="0"/>
      <w:marBottom w:val="0"/>
      <w:divBdr>
        <w:top w:val="none" w:sz="0" w:space="0" w:color="auto"/>
        <w:left w:val="none" w:sz="0" w:space="0" w:color="auto"/>
        <w:bottom w:val="none" w:sz="0" w:space="0" w:color="auto"/>
        <w:right w:val="none" w:sz="0" w:space="0" w:color="auto"/>
      </w:divBdr>
    </w:div>
    <w:div w:id="674572185">
      <w:bodyDiv w:val="1"/>
      <w:marLeft w:val="0"/>
      <w:marRight w:val="0"/>
      <w:marTop w:val="0"/>
      <w:marBottom w:val="0"/>
      <w:divBdr>
        <w:top w:val="none" w:sz="0" w:space="0" w:color="auto"/>
        <w:left w:val="none" w:sz="0" w:space="0" w:color="auto"/>
        <w:bottom w:val="none" w:sz="0" w:space="0" w:color="auto"/>
        <w:right w:val="none" w:sz="0" w:space="0" w:color="auto"/>
      </w:divBdr>
    </w:div>
    <w:div w:id="680160498">
      <w:bodyDiv w:val="1"/>
      <w:marLeft w:val="0"/>
      <w:marRight w:val="0"/>
      <w:marTop w:val="0"/>
      <w:marBottom w:val="0"/>
      <w:divBdr>
        <w:top w:val="none" w:sz="0" w:space="0" w:color="auto"/>
        <w:left w:val="none" w:sz="0" w:space="0" w:color="auto"/>
        <w:bottom w:val="none" w:sz="0" w:space="0" w:color="auto"/>
        <w:right w:val="none" w:sz="0" w:space="0" w:color="auto"/>
      </w:divBdr>
    </w:div>
    <w:div w:id="680594152">
      <w:bodyDiv w:val="1"/>
      <w:marLeft w:val="0"/>
      <w:marRight w:val="0"/>
      <w:marTop w:val="0"/>
      <w:marBottom w:val="0"/>
      <w:divBdr>
        <w:top w:val="none" w:sz="0" w:space="0" w:color="auto"/>
        <w:left w:val="none" w:sz="0" w:space="0" w:color="auto"/>
        <w:bottom w:val="none" w:sz="0" w:space="0" w:color="auto"/>
        <w:right w:val="none" w:sz="0" w:space="0" w:color="auto"/>
      </w:divBdr>
      <w:divsChild>
        <w:div w:id="1870530735">
          <w:marLeft w:val="360"/>
          <w:marRight w:val="0"/>
          <w:marTop w:val="200"/>
          <w:marBottom w:val="0"/>
          <w:divBdr>
            <w:top w:val="none" w:sz="0" w:space="0" w:color="auto"/>
            <w:left w:val="none" w:sz="0" w:space="0" w:color="auto"/>
            <w:bottom w:val="none" w:sz="0" w:space="0" w:color="auto"/>
            <w:right w:val="none" w:sz="0" w:space="0" w:color="auto"/>
          </w:divBdr>
        </w:div>
      </w:divsChild>
    </w:div>
    <w:div w:id="692418152">
      <w:bodyDiv w:val="1"/>
      <w:marLeft w:val="0"/>
      <w:marRight w:val="0"/>
      <w:marTop w:val="0"/>
      <w:marBottom w:val="0"/>
      <w:divBdr>
        <w:top w:val="none" w:sz="0" w:space="0" w:color="auto"/>
        <w:left w:val="none" w:sz="0" w:space="0" w:color="auto"/>
        <w:bottom w:val="none" w:sz="0" w:space="0" w:color="auto"/>
        <w:right w:val="none" w:sz="0" w:space="0" w:color="auto"/>
      </w:divBdr>
    </w:div>
    <w:div w:id="706025896">
      <w:bodyDiv w:val="1"/>
      <w:marLeft w:val="0"/>
      <w:marRight w:val="0"/>
      <w:marTop w:val="0"/>
      <w:marBottom w:val="0"/>
      <w:divBdr>
        <w:top w:val="none" w:sz="0" w:space="0" w:color="auto"/>
        <w:left w:val="none" w:sz="0" w:space="0" w:color="auto"/>
        <w:bottom w:val="none" w:sz="0" w:space="0" w:color="auto"/>
        <w:right w:val="none" w:sz="0" w:space="0" w:color="auto"/>
      </w:divBdr>
    </w:div>
    <w:div w:id="716667428">
      <w:bodyDiv w:val="1"/>
      <w:marLeft w:val="0"/>
      <w:marRight w:val="0"/>
      <w:marTop w:val="0"/>
      <w:marBottom w:val="0"/>
      <w:divBdr>
        <w:top w:val="none" w:sz="0" w:space="0" w:color="auto"/>
        <w:left w:val="none" w:sz="0" w:space="0" w:color="auto"/>
        <w:bottom w:val="none" w:sz="0" w:space="0" w:color="auto"/>
        <w:right w:val="none" w:sz="0" w:space="0" w:color="auto"/>
      </w:divBdr>
      <w:divsChild>
        <w:div w:id="84305148">
          <w:marLeft w:val="547"/>
          <w:marRight w:val="0"/>
          <w:marTop w:val="0"/>
          <w:marBottom w:val="0"/>
          <w:divBdr>
            <w:top w:val="none" w:sz="0" w:space="0" w:color="auto"/>
            <w:left w:val="none" w:sz="0" w:space="0" w:color="auto"/>
            <w:bottom w:val="none" w:sz="0" w:space="0" w:color="auto"/>
            <w:right w:val="none" w:sz="0" w:space="0" w:color="auto"/>
          </w:divBdr>
        </w:div>
        <w:div w:id="385883083">
          <w:marLeft w:val="547"/>
          <w:marRight w:val="0"/>
          <w:marTop w:val="0"/>
          <w:marBottom w:val="0"/>
          <w:divBdr>
            <w:top w:val="none" w:sz="0" w:space="0" w:color="auto"/>
            <w:left w:val="none" w:sz="0" w:space="0" w:color="auto"/>
            <w:bottom w:val="none" w:sz="0" w:space="0" w:color="auto"/>
            <w:right w:val="none" w:sz="0" w:space="0" w:color="auto"/>
          </w:divBdr>
        </w:div>
      </w:divsChild>
    </w:div>
    <w:div w:id="721560511">
      <w:bodyDiv w:val="1"/>
      <w:marLeft w:val="0"/>
      <w:marRight w:val="0"/>
      <w:marTop w:val="0"/>
      <w:marBottom w:val="0"/>
      <w:divBdr>
        <w:top w:val="none" w:sz="0" w:space="0" w:color="auto"/>
        <w:left w:val="none" w:sz="0" w:space="0" w:color="auto"/>
        <w:bottom w:val="none" w:sz="0" w:space="0" w:color="auto"/>
        <w:right w:val="none" w:sz="0" w:space="0" w:color="auto"/>
      </w:divBdr>
    </w:div>
    <w:div w:id="728307032">
      <w:bodyDiv w:val="1"/>
      <w:marLeft w:val="0"/>
      <w:marRight w:val="0"/>
      <w:marTop w:val="0"/>
      <w:marBottom w:val="0"/>
      <w:divBdr>
        <w:top w:val="none" w:sz="0" w:space="0" w:color="auto"/>
        <w:left w:val="none" w:sz="0" w:space="0" w:color="auto"/>
        <w:bottom w:val="none" w:sz="0" w:space="0" w:color="auto"/>
        <w:right w:val="none" w:sz="0" w:space="0" w:color="auto"/>
      </w:divBdr>
      <w:divsChild>
        <w:div w:id="1205646">
          <w:marLeft w:val="1800"/>
          <w:marRight w:val="0"/>
          <w:marTop w:val="100"/>
          <w:marBottom w:val="0"/>
          <w:divBdr>
            <w:top w:val="none" w:sz="0" w:space="0" w:color="auto"/>
            <w:left w:val="none" w:sz="0" w:space="0" w:color="auto"/>
            <w:bottom w:val="none" w:sz="0" w:space="0" w:color="auto"/>
            <w:right w:val="none" w:sz="0" w:space="0" w:color="auto"/>
          </w:divBdr>
        </w:div>
      </w:divsChild>
    </w:div>
    <w:div w:id="743531148">
      <w:bodyDiv w:val="1"/>
      <w:marLeft w:val="0"/>
      <w:marRight w:val="0"/>
      <w:marTop w:val="0"/>
      <w:marBottom w:val="0"/>
      <w:divBdr>
        <w:top w:val="none" w:sz="0" w:space="0" w:color="auto"/>
        <w:left w:val="none" w:sz="0" w:space="0" w:color="auto"/>
        <w:bottom w:val="none" w:sz="0" w:space="0" w:color="auto"/>
        <w:right w:val="none" w:sz="0" w:space="0" w:color="auto"/>
      </w:divBdr>
    </w:div>
    <w:div w:id="759332740">
      <w:bodyDiv w:val="1"/>
      <w:marLeft w:val="0"/>
      <w:marRight w:val="0"/>
      <w:marTop w:val="0"/>
      <w:marBottom w:val="0"/>
      <w:divBdr>
        <w:top w:val="none" w:sz="0" w:space="0" w:color="auto"/>
        <w:left w:val="none" w:sz="0" w:space="0" w:color="auto"/>
        <w:bottom w:val="none" w:sz="0" w:space="0" w:color="auto"/>
        <w:right w:val="none" w:sz="0" w:space="0" w:color="auto"/>
      </w:divBdr>
      <w:divsChild>
        <w:div w:id="842163298">
          <w:marLeft w:val="360"/>
          <w:marRight w:val="0"/>
          <w:marTop w:val="200"/>
          <w:marBottom w:val="0"/>
          <w:divBdr>
            <w:top w:val="none" w:sz="0" w:space="0" w:color="auto"/>
            <w:left w:val="none" w:sz="0" w:space="0" w:color="auto"/>
            <w:bottom w:val="none" w:sz="0" w:space="0" w:color="auto"/>
            <w:right w:val="none" w:sz="0" w:space="0" w:color="auto"/>
          </w:divBdr>
        </w:div>
      </w:divsChild>
    </w:div>
    <w:div w:id="773092603">
      <w:bodyDiv w:val="1"/>
      <w:marLeft w:val="0"/>
      <w:marRight w:val="0"/>
      <w:marTop w:val="0"/>
      <w:marBottom w:val="0"/>
      <w:divBdr>
        <w:top w:val="none" w:sz="0" w:space="0" w:color="auto"/>
        <w:left w:val="none" w:sz="0" w:space="0" w:color="auto"/>
        <w:bottom w:val="none" w:sz="0" w:space="0" w:color="auto"/>
        <w:right w:val="none" w:sz="0" w:space="0" w:color="auto"/>
      </w:divBdr>
    </w:div>
    <w:div w:id="776674412">
      <w:bodyDiv w:val="1"/>
      <w:marLeft w:val="0"/>
      <w:marRight w:val="0"/>
      <w:marTop w:val="0"/>
      <w:marBottom w:val="0"/>
      <w:divBdr>
        <w:top w:val="none" w:sz="0" w:space="0" w:color="auto"/>
        <w:left w:val="none" w:sz="0" w:space="0" w:color="auto"/>
        <w:bottom w:val="none" w:sz="0" w:space="0" w:color="auto"/>
        <w:right w:val="none" w:sz="0" w:space="0" w:color="auto"/>
      </w:divBdr>
    </w:div>
    <w:div w:id="822890880">
      <w:bodyDiv w:val="1"/>
      <w:marLeft w:val="0"/>
      <w:marRight w:val="0"/>
      <w:marTop w:val="0"/>
      <w:marBottom w:val="0"/>
      <w:divBdr>
        <w:top w:val="none" w:sz="0" w:space="0" w:color="auto"/>
        <w:left w:val="none" w:sz="0" w:space="0" w:color="auto"/>
        <w:bottom w:val="none" w:sz="0" w:space="0" w:color="auto"/>
        <w:right w:val="none" w:sz="0" w:space="0" w:color="auto"/>
      </w:divBdr>
    </w:div>
    <w:div w:id="831605720">
      <w:bodyDiv w:val="1"/>
      <w:marLeft w:val="0"/>
      <w:marRight w:val="0"/>
      <w:marTop w:val="0"/>
      <w:marBottom w:val="0"/>
      <w:divBdr>
        <w:top w:val="none" w:sz="0" w:space="0" w:color="auto"/>
        <w:left w:val="none" w:sz="0" w:space="0" w:color="auto"/>
        <w:bottom w:val="none" w:sz="0" w:space="0" w:color="auto"/>
        <w:right w:val="none" w:sz="0" w:space="0" w:color="auto"/>
      </w:divBdr>
    </w:div>
    <w:div w:id="860585679">
      <w:bodyDiv w:val="1"/>
      <w:marLeft w:val="0"/>
      <w:marRight w:val="0"/>
      <w:marTop w:val="0"/>
      <w:marBottom w:val="0"/>
      <w:divBdr>
        <w:top w:val="none" w:sz="0" w:space="0" w:color="auto"/>
        <w:left w:val="none" w:sz="0" w:space="0" w:color="auto"/>
        <w:bottom w:val="none" w:sz="0" w:space="0" w:color="auto"/>
        <w:right w:val="none" w:sz="0" w:space="0" w:color="auto"/>
      </w:divBdr>
    </w:div>
    <w:div w:id="863664712">
      <w:bodyDiv w:val="1"/>
      <w:marLeft w:val="0"/>
      <w:marRight w:val="0"/>
      <w:marTop w:val="0"/>
      <w:marBottom w:val="0"/>
      <w:divBdr>
        <w:top w:val="none" w:sz="0" w:space="0" w:color="auto"/>
        <w:left w:val="none" w:sz="0" w:space="0" w:color="auto"/>
        <w:bottom w:val="none" w:sz="0" w:space="0" w:color="auto"/>
        <w:right w:val="none" w:sz="0" w:space="0" w:color="auto"/>
      </w:divBdr>
    </w:div>
    <w:div w:id="883636361">
      <w:bodyDiv w:val="1"/>
      <w:marLeft w:val="0"/>
      <w:marRight w:val="0"/>
      <w:marTop w:val="0"/>
      <w:marBottom w:val="0"/>
      <w:divBdr>
        <w:top w:val="none" w:sz="0" w:space="0" w:color="auto"/>
        <w:left w:val="none" w:sz="0" w:space="0" w:color="auto"/>
        <w:bottom w:val="none" w:sz="0" w:space="0" w:color="auto"/>
        <w:right w:val="none" w:sz="0" w:space="0" w:color="auto"/>
      </w:divBdr>
    </w:div>
    <w:div w:id="972441177">
      <w:bodyDiv w:val="1"/>
      <w:marLeft w:val="0"/>
      <w:marRight w:val="0"/>
      <w:marTop w:val="0"/>
      <w:marBottom w:val="0"/>
      <w:divBdr>
        <w:top w:val="none" w:sz="0" w:space="0" w:color="auto"/>
        <w:left w:val="none" w:sz="0" w:space="0" w:color="auto"/>
        <w:bottom w:val="none" w:sz="0" w:space="0" w:color="auto"/>
        <w:right w:val="none" w:sz="0" w:space="0" w:color="auto"/>
      </w:divBdr>
    </w:div>
    <w:div w:id="994181280">
      <w:bodyDiv w:val="1"/>
      <w:marLeft w:val="0"/>
      <w:marRight w:val="0"/>
      <w:marTop w:val="0"/>
      <w:marBottom w:val="0"/>
      <w:divBdr>
        <w:top w:val="none" w:sz="0" w:space="0" w:color="auto"/>
        <w:left w:val="none" w:sz="0" w:space="0" w:color="auto"/>
        <w:bottom w:val="none" w:sz="0" w:space="0" w:color="auto"/>
        <w:right w:val="none" w:sz="0" w:space="0" w:color="auto"/>
      </w:divBdr>
    </w:div>
    <w:div w:id="1054308918">
      <w:bodyDiv w:val="1"/>
      <w:marLeft w:val="0"/>
      <w:marRight w:val="0"/>
      <w:marTop w:val="0"/>
      <w:marBottom w:val="0"/>
      <w:divBdr>
        <w:top w:val="none" w:sz="0" w:space="0" w:color="auto"/>
        <w:left w:val="none" w:sz="0" w:space="0" w:color="auto"/>
        <w:bottom w:val="none" w:sz="0" w:space="0" w:color="auto"/>
        <w:right w:val="none" w:sz="0" w:space="0" w:color="auto"/>
      </w:divBdr>
    </w:div>
    <w:div w:id="1069303583">
      <w:bodyDiv w:val="1"/>
      <w:marLeft w:val="0"/>
      <w:marRight w:val="0"/>
      <w:marTop w:val="0"/>
      <w:marBottom w:val="0"/>
      <w:divBdr>
        <w:top w:val="none" w:sz="0" w:space="0" w:color="auto"/>
        <w:left w:val="none" w:sz="0" w:space="0" w:color="auto"/>
        <w:bottom w:val="none" w:sz="0" w:space="0" w:color="auto"/>
        <w:right w:val="none" w:sz="0" w:space="0" w:color="auto"/>
      </w:divBdr>
    </w:div>
    <w:div w:id="1080060349">
      <w:bodyDiv w:val="1"/>
      <w:marLeft w:val="0"/>
      <w:marRight w:val="0"/>
      <w:marTop w:val="0"/>
      <w:marBottom w:val="0"/>
      <w:divBdr>
        <w:top w:val="none" w:sz="0" w:space="0" w:color="auto"/>
        <w:left w:val="none" w:sz="0" w:space="0" w:color="auto"/>
        <w:bottom w:val="none" w:sz="0" w:space="0" w:color="auto"/>
        <w:right w:val="none" w:sz="0" w:space="0" w:color="auto"/>
      </w:divBdr>
    </w:div>
    <w:div w:id="1104568397">
      <w:bodyDiv w:val="1"/>
      <w:marLeft w:val="0"/>
      <w:marRight w:val="0"/>
      <w:marTop w:val="0"/>
      <w:marBottom w:val="0"/>
      <w:divBdr>
        <w:top w:val="none" w:sz="0" w:space="0" w:color="auto"/>
        <w:left w:val="none" w:sz="0" w:space="0" w:color="auto"/>
        <w:bottom w:val="none" w:sz="0" w:space="0" w:color="auto"/>
        <w:right w:val="none" w:sz="0" w:space="0" w:color="auto"/>
      </w:divBdr>
    </w:div>
    <w:div w:id="1155295527">
      <w:bodyDiv w:val="1"/>
      <w:marLeft w:val="0"/>
      <w:marRight w:val="0"/>
      <w:marTop w:val="0"/>
      <w:marBottom w:val="0"/>
      <w:divBdr>
        <w:top w:val="none" w:sz="0" w:space="0" w:color="auto"/>
        <w:left w:val="none" w:sz="0" w:space="0" w:color="auto"/>
        <w:bottom w:val="none" w:sz="0" w:space="0" w:color="auto"/>
        <w:right w:val="none" w:sz="0" w:space="0" w:color="auto"/>
      </w:divBdr>
    </w:div>
    <w:div w:id="1186138772">
      <w:bodyDiv w:val="1"/>
      <w:marLeft w:val="0"/>
      <w:marRight w:val="0"/>
      <w:marTop w:val="0"/>
      <w:marBottom w:val="0"/>
      <w:divBdr>
        <w:top w:val="none" w:sz="0" w:space="0" w:color="auto"/>
        <w:left w:val="none" w:sz="0" w:space="0" w:color="auto"/>
        <w:bottom w:val="none" w:sz="0" w:space="0" w:color="auto"/>
        <w:right w:val="none" w:sz="0" w:space="0" w:color="auto"/>
      </w:divBdr>
    </w:div>
    <w:div w:id="1188909052">
      <w:bodyDiv w:val="1"/>
      <w:marLeft w:val="0"/>
      <w:marRight w:val="0"/>
      <w:marTop w:val="0"/>
      <w:marBottom w:val="0"/>
      <w:divBdr>
        <w:top w:val="none" w:sz="0" w:space="0" w:color="auto"/>
        <w:left w:val="none" w:sz="0" w:space="0" w:color="auto"/>
        <w:bottom w:val="none" w:sz="0" w:space="0" w:color="auto"/>
        <w:right w:val="none" w:sz="0" w:space="0" w:color="auto"/>
      </w:divBdr>
      <w:divsChild>
        <w:div w:id="362245983">
          <w:marLeft w:val="446"/>
          <w:marRight w:val="0"/>
          <w:marTop w:val="0"/>
          <w:marBottom w:val="0"/>
          <w:divBdr>
            <w:top w:val="none" w:sz="0" w:space="0" w:color="auto"/>
            <w:left w:val="none" w:sz="0" w:space="0" w:color="auto"/>
            <w:bottom w:val="none" w:sz="0" w:space="0" w:color="auto"/>
            <w:right w:val="none" w:sz="0" w:space="0" w:color="auto"/>
          </w:divBdr>
        </w:div>
        <w:div w:id="1591281115">
          <w:marLeft w:val="446"/>
          <w:marRight w:val="0"/>
          <w:marTop w:val="0"/>
          <w:marBottom w:val="0"/>
          <w:divBdr>
            <w:top w:val="none" w:sz="0" w:space="0" w:color="auto"/>
            <w:left w:val="none" w:sz="0" w:space="0" w:color="auto"/>
            <w:bottom w:val="none" w:sz="0" w:space="0" w:color="auto"/>
            <w:right w:val="none" w:sz="0" w:space="0" w:color="auto"/>
          </w:divBdr>
        </w:div>
        <w:div w:id="1875345199">
          <w:marLeft w:val="446"/>
          <w:marRight w:val="0"/>
          <w:marTop w:val="0"/>
          <w:marBottom w:val="0"/>
          <w:divBdr>
            <w:top w:val="none" w:sz="0" w:space="0" w:color="auto"/>
            <w:left w:val="none" w:sz="0" w:space="0" w:color="auto"/>
            <w:bottom w:val="none" w:sz="0" w:space="0" w:color="auto"/>
            <w:right w:val="none" w:sz="0" w:space="0" w:color="auto"/>
          </w:divBdr>
        </w:div>
      </w:divsChild>
    </w:div>
    <w:div w:id="1206259303">
      <w:bodyDiv w:val="1"/>
      <w:marLeft w:val="0"/>
      <w:marRight w:val="0"/>
      <w:marTop w:val="0"/>
      <w:marBottom w:val="0"/>
      <w:divBdr>
        <w:top w:val="none" w:sz="0" w:space="0" w:color="auto"/>
        <w:left w:val="none" w:sz="0" w:space="0" w:color="auto"/>
        <w:bottom w:val="none" w:sz="0" w:space="0" w:color="auto"/>
        <w:right w:val="none" w:sz="0" w:space="0" w:color="auto"/>
      </w:divBdr>
    </w:div>
    <w:div w:id="1267350798">
      <w:bodyDiv w:val="1"/>
      <w:marLeft w:val="0"/>
      <w:marRight w:val="0"/>
      <w:marTop w:val="0"/>
      <w:marBottom w:val="0"/>
      <w:divBdr>
        <w:top w:val="none" w:sz="0" w:space="0" w:color="auto"/>
        <w:left w:val="none" w:sz="0" w:space="0" w:color="auto"/>
        <w:bottom w:val="none" w:sz="0" w:space="0" w:color="auto"/>
        <w:right w:val="none" w:sz="0" w:space="0" w:color="auto"/>
      </w:divBdr>
    </w:div>
    <w:div w:id="1267663631">
      <w:bodyDiv w:val="1"/>
      <w:marLeft w:val="0"/>
      <w:marRight w:val="0"/>
      <w:marTop w:val="0"/>
      <w:marBottom w:val="0"/>
      <w:divBdr>
        <w:top w:val="none" w:sz="0" w:space="0" w:color="auto"/>
        <w:left w:val="none" w:sz="0" w:space="0" w:color="auto"/>
        <w:bottom w:val="none" w:sz="0" w:space="0" w:color="auto"/>
        <w:right w:val="none" w:sz="0" w:space="0" w:color="auto"/>
      </w:divBdr>
    </w:div>
    <w:div w:id="1303534036">
      <w:bodyDiv w:val="1"/>
      <w:marLeft w:val="0"/>
      <w:marRight w:val="0"/>
      <w:marTop w:val="0"/>
      <w:marBottom w:val="0"/>
      <w:divBdr>
        <w:top w:val="none" w:sz="0" w:space="0" w:color="auto"/>
        <w:left w:val="none" w:sz="0" w:space="0" w:color="auto"/>
        <w:bottom w:val="none" w:sz="0" w:space="0" w:color="auto"/>
        <w:right w:val="none" w:sz="0" w:space="0" w:color="auto"/>
      </w:divBdr>
      <w:divsChild>
        <w:div w:id="294795080">
          <w:marLeft w:val="547"/>
          <w:marRight w:val="0"/>
          <w:marTop w:val="0"/>
          <w:marBottom w:val="0"/>
          <w:divBdr>
            <w:top w:val="none" w:sz="0" w:space="0" w:color="auto"/>
            <w:left w:val="none" w:sz="0" w:space="0" w:color="auto"/>
            <w:bottom w:val="none" w:sz="0" w:space="0" w:color="auto"/>
            <w:right w:val="none" w:sz="0" w:space="0" w:color="auto"/>
          </w:divBdr>
        </w:div>
      </w:divsChild>
    </w:div>
    <w:div w:id="1326787553">
      <w:bodyDiv w:val="1"/>
      <w:marLeft w:val="0"/>
      <w:marRight w:val="0"/>
      <w:marTop w:val="0"/>
      <w:marBottom w:val="0"/>
      <w:divBdr>
        <w:top w:val="none" w:sz="0" w:space="0" w:color="auto"/>
        <w:left w:val="none" w:sz="0" w:space="0" w:color="auto"/>
        <w:bottom w:val="none" w:sz="0" w:space="0" w:color="auto"/>
        <w:right w:val="none" w:sz="0" w:space="0" w:color="auto"/>
      </w:divBdr>
    </w:div>
    <w:div w:id="1340231538">
      <w:bodyDiv w:val="1"/>
      <w:marLeft w:val="0"/>
      <w:marRight w:val="0"/>
      <w:marTop w:val="0"/>
      <w:marBottom w:val="0"/>
      <w:divBdr>
        <w:top w:val="none" w:sz="0" w:space="0" w:color="auto"/>
        <w:left w:val="none" w:sz="0" w:space="0" w:color="auto"/>
        <w:bottom w:val="none" w:sz="0" w:space="0" w:color="auto"/>
        <w:right w:val="none" w:sz="0" w:space="0" w:color="auto"/>
      </w:divBdr>
    </w:div>
    <w:div w:id="1375034429">
      <w:bodyDiv w:val="1"/>
      <w:marLeft w:val="0"/>
      <w:marRight w:val="0"/>
      <w:marTop w:val="0"/>
      <w:marBottom w:val="0"/>
      <w:divBdr>
        <w:top w:val="none" w:sz="0" w:space="0" w:color="auto"/>
        <w:left w:val="none" w:sz="0" w:space="0" w:color="auto"/>
        <w:bottom w:val="none" w:sz="0" w:space="0" w:color="auto"/>
        <w:right w:val="none" w:sz="0" w:space="0" w:color="auto"/>
      </w:divBdr>
      <w:divsChild>
        <w:div w:id="831068704">
          <w:marLeft w:val="1267"/>
          <w:marRight w:val="0"/>
          <w:marTop w:val="0"/>
          <w:marBottom w:val="0"/>
          <w:divBdr>
            <w:top w:val="none" w:sz="0" w:space="0" w:color="auto"/>
            <w:left w:val="none" w:sz="0" w:space="0" w:color="auto"/>
            <w:bottom w:val="none" w:sz="0" w:space="0" w:color="auto"/>
            <w:right w:val="none" w:sz="0" w:space="0" w:color="auto"/>
          </w:divBdr>
        </w:div>
      </w:divsChild>
    </w:div>
    <w:div w:id="1376734965">
      <w:bodyDiv w:val="1"/>
      <w:marLeft w:val="0"/>
      <w:marRight w:val="0"/>
      <w:marTop w:val="0"/>
      <w:marBottom w:val="0"/>
      <w:divBdr>
        <w:top w:val="none" w:sz="0" w:space="0" w:color="auto"/>
        <w:left w:val="none" w:sz="0" w:space="0" w:color="auto"/>
        <w:bottom w:val="none" w:sz="0" w:space="0" w:color="auto"/>
        <w:right w:val="none" w:sz="0" w:space="0" w:color="auto"/>
      </w:divBdr>
      <w:divsChild>
        <w:div w:id="379785386">
          <w:marLeft w:val="1267"/>
          <w:marRight w:val="0"/>
          <w:marTop w:val="0"/>
          <w:marBottom w:val="0"/>
          <w:divBdr>
            <w:top w:val="none" w:sz="0" w:space="0" w:color="auto"/>
            <w:left w:val="none" w:sz="0" w:space="0" w:color="auto"/>
            <w:bottom w:val="none" w:sz="0" w:space="0" w:color="auto"/>
            <w:right w:val="none" w:sz="0" w:space="0" w:color="auto"/>
          </w:divBdr>
        </w:div>
      </w:divsChild>
    </w:div>
    <w:div w:id="1404838259">
      <w:bodyDiv w:val="1"/>
      <w:marLeft w:val="0"/>
      <w:marRight w:val="0"/>
      <w:marTop w:val="0"/>
      <w:marBottom w:val="0"/>
      <w:divBdr>
        <w:top w:val="none" w:sz="0" w:space="0" w:color="auto"/>
        <w:left w:val="none" w:sz="0" w:space="0" w:color="auto"/>
        <w:bottom w:val="none" w:sz="0" w:space="0" w:color="auto"/>
        <w:right w:val="none" w:sz="0" w:space="0" w:color="auto"/>
      </w:divBdr>
    </w:div>
    <w:div w:id="1411082647">
      <w:bodyDiv w:val="1"/>
      <w:marLeft w:val="0"/>
      <w:marRight w:val="0"/>
      <w:marTop w:val="0"/>
      <w:marBottom w:val="0"/>
      <w:divBdr>
        <w:top w:val="none" w:sz="0" w:space="0" w:color="auto"/>
        <w:left w:val="none" w:sz="0" w:space="0" w:color="auto"/>
        <w:bottom w:val="none" w:sz="0" w:space="0" w:color="auto"/>
        <w:right w:val="none" w:sz="0" w:space="0" w:color="auto"/>
      </w:divBdr>
    </w:div>
    <w:div w:id="1424568081">
      <w:bodyDiv w:val="1"/>
      <w:marLeft w:val="0"/>
      <w:marRight w:val="0"/>
      <w:marTop w:val="0"/>
      <w:marBottom w:val="0"/>
      <w:divBdr>
        <w:top w:val="none" w:sz="0" w:space="0" w:color="auto"/>
        <w:left w:val="none" w:sz="0" w:space="0" w:color="auto"/>
        <w:bottom w:val="none" w:sz="0" w:space="0" w:color="auto"/>
        <w:right w:val="none" w:sz="0" w:space="0" w:color="auto"/>
      </w:divBdr>
    </w:div>
    <w:div w:id="1433359534">
      <w:bodyDiv w:val="1"/>
      <w:marLeft w:val="0"/>
      <w:marRight w:val="0"/>
      <w:marTop w:val="0"/>
      <w:marBottom w:val="0"/>
      <w:divBdr>
        <w:top w:val="none" w:sz="0" w:space="0" w:color="auto"/>
        <w:left w:val="none" w:sz="0" w:space="0" w:color="auto"/>
        <w:bottom w:val="none" w:sz="0" w:space="0" w:color="auto"/>
        <w:right w:val="none" w:sz="0" w:space="0" w:color="auto"/>
      </w:divBdr>
    </w:div>
    <w:div w:id="1448965602">
      <w:bodyDiv w:val="1"/>
      <w:marLeft w:val="0"/>
      <w:marRight w:val="0"/>
      <w:marTop w:val="0"/>
      <w:marBottom w:val="0"/>
      <w:divBdr>
        <w:top w:val="none" w:sz="0" w:space="0" w:color="auto"/>
        <w:left w:val="none" w:sz="0" w:space="0" w:color="auto"/>
        <w:bottom w:val="none" w:sz="0" w:space="0" w:color="auto"/>
        <w:right w:val="none" w:sz="0" w:space="0" w:color="auto"/>
      </w:divBdr>
    </w:div>
    <w:div w:id="1452094884">
      <w:bodyDiv w:val="1"/>
      <w:marLeft w:val="0"/>
      <w:marRight w:val="0"/>
      <w:marTop w:val="0"/>
      <w:marBottom w:val="0"/>
      <w:divBdr>
        <w:top w:val="none" w:sz="0" w:space="0" w:color="auto"/>
        <w:left w:val="none" w:sz="0" w:space="0" w:color="auto"/>
        <w:bottom w:val="none" w:sz="0" w:space="0" w:color="auto"/>
        <w:right w:val="none" w:sz="0" w:space="0" w:color="auto"/>
      </w:divBdr>
    </w:div>
    <w:div w:id="1464539049">
      <w:bodyDiv w:val="1"/>
      <w:marLeft w:val="0"/>
      <w:marRight w:val="0"/>
      <w:marTop w:val="0"/>
      <w:marBottom w:val="0"/>
      <w:divBdr>
        <w:top w:val="none" w:sz="0" w:space="0" w:color="auto"/>
        <w:left w:val="none" w:sz="0" w:space="0" w:color="auto"/>
        <w:bottom w:val="none" w:sz="0" w:space="0" w:color="auto"/>
        <w:right w:val="none" w:sz="0" w:space="0" w:color="auto"/>
      </w:divBdr>
    </w:div>
    <w:div w:id="1466851548">
      <w:bodyDiv w:val="1"/>
      <w:marLeft w:val="0"/>
      <w:marRight w:val="0"/>
      <w:marTop w:val="0"/>
      <w:marBottom w:val="0"/>
      <w:divBdr>
        <w:top w:val="none" w:sz="0" w:space="0" w:color="auto"/>
        <w:left w:val="none" w:sz="0" w:space="0" w:color="auto"/>
        <w:bottom w:val="none" w:sz="0" w:space="0" w:color="auto"/>
        <w:right w:val="none" w:sz="0" w:space="0" w:color="auto"/>
      </w:divBdr>
    </w:div>
    <w:div w:id="1474177873">
      <w:bodyDiv w:val="1"/>
      <w:marLeft w:val="0"/>
      <w:marRight w:val="0"/>
      <w:marTop w:val="0"/>
      <w:marBottom w:val="0"/>
      <w:divBdr>
        <w:top w:val="none" w:sz="0" w:space="0" w:color="auto"/>
        <w:left w:val="none" w:sz="0" w:space="0" w:color="auto"/>
        <w:bottom w:val="none" w:sz="0" w:space="0" w:color="auto"/>
        <w:right w:val="none" w:sz="0" w:space="0" w:color="auto"/>
      </w:divBdr>
    </w:div>
    <w:div w:id="1520771771">
      <w:bodyDiv w:val="1"/>
      <w:marLeft w:val="0"/>
      <w:marRight w:val="0"/>
      <w:marTop w:val="0"/>
      <w:marBottom w:val="0"/>
      <w:divBdr>
        <w:top w:val="none" w:sz="0" w:space="0" w:color="auto"/>
        <w:left w:val="none" w:sz="0" w:space="0" w:color="auto"/>
        <w:bottom w:val="none" w:sz="0" w:space="0" w:color="auto"/>
        <w:right w:val="none" w:sz="0" w:space="0" w:color="auto"/>
      </w:divBdr>
    </w:div>
    <w:div w:id="1520895093">
      <w:bodyDiv w:val="1"/>
      <w:marLeft w:val="0"/>
      <w:marRight w:val="0"/>
      <w:marTop w:val="0"/>
      <w:marBottom w:val="0"/>
      <w:divBdr>
        <w:top w:val="none" w:sz="0" w:space="0" w:color="auto"/>
        <w:left w:val="none" w:sz="0" w:space="0" w:color="auto"/>
        <w:bottom w:val="none" w:sz="0" w:space="0" w:color="auto"/>
        <w:right w:val="none" w:sz="0" w:space="0" w:color="auto"/>
      </w:divBdr>
    </w:div>
    <w:div w:id="1542862499">
      <w:bodyDiv w:val="1"/>
      <w:marLeft w:val="0"/>
      <w:marRight w:val="0"/>
      <w:marTop w:val="0"/>
      <w:marBottom w:val="0"/>
      <w:divBdr>
        <w:top w:val="none" w:sz="0" w:space="0" w:color="auto"/>
        <w:left w:val="none" w:sz="0" w:space="0" w:color="auto"/>
        <w:bottom w:val="none" w:sz="0" w:space="0" w:color="auto"/>
        <w:right w:val="none" w:sz="0" w:space="0" w:color="auto"/>
      </w:divBdr>
      <w:divsChild>
        <w:div w:id="1741488491">
          <w:marLeft w:val="360"/>
          <w:marRight w:val="0"/>
          <w:marTop w:val="200"/>
          <w:marBottom w:val="0"/>
          <w:divBdr>
            <w:top w:val="none" w:sz="0" w:space="0" w:color="auto"/>
            <w:left w:val="none" w:sz="0" w:space="0" w:color="auto"/>
            <w:bottom w:val="none" w:sz="0" w:space="0" w:color="auto"/>
            <w:right w:val="none" w:sz="0" w:space="0" w:color="auto"/>
          </w:divBdr>
        </w:div>
      </w:divsChild>
    </w:div>
    <w:div w:id="1543054570">
      <w:bodyDiv w:val="1"/>
      <w:marLeft w:val="0"/>
      <w:marRight w:val="0"/>
      <w:marTop w:val="0"/>
      <w:marBottom w:val="0"/>
      <w:divBdr>
        <w:top w:val="none" w:sz="0" w:space="0" w:color="auto"/>
        <w:left w:val="none" w:sz="0" w:space="0" w:color="auto"/>
        <w:bottom w:val="none" w:sz="0" w:space="0" w:color="auto"/>
        <w:right w:val="none" w:sz="0" w:space="0" w:color="auto"/>
      </w:divBdr>
      <w:divsChild>
        <w:div w:id="92092330">
          <w:marLeft w:val="1080"/>
          <w:marRight w:val="0"/>
          <w:marTop w:val="0"/>
          <w:marBottom w:val="40"/>
          <w:divBdr>
            <w:top w:val="none" w:sz="0" w:space="0" w:color="auto"/>
            <w:left w:val="none" w:sz="0" w:space="0" w:color="auto"/>
            <w:bottom w:val="none" w:sz="0" w:space="0" w:color="auto"/>
            <w:right w:val="none" w:sz="0" w:space="0" w:color="auto"/>
          </w:divBdr>
        </w:div>
        <w:div w:id="98915667">
          <w:marLeft w:val="1080"/>
          <w:marRight w:val="0"/>
          <w:marTop w:val="0"/>
          <w:marBottom w:val="40"/>
          <w:divBdr>
            <w:top w:val="none" w:sz="0" w:space="0" w:color="auto"/>
            <w:left w:val="none" w:sz="0" w:space="0" w:color="auto"/>
            <w:bottom w:val="none" w:sz="0" w:space="0" w:color="auto"/>
            <w:right w:val="none" w:sz="0" w:space="0" w:color="auto"/>
          </w:divBdr>
        </w:div>
        <w:div w:id="1342007592">
          <w:marLeft w:val="1080"/>
          <w:marRight w:val="0"/>
          <w:marTop w:val="0"/>
          <w:marBottom w:val="40"/>
          <w:divBdr>
            <w:top w:val="none" w:sz="0" w:space="0" w:color="auto"/>
            <w:left w:val="none" w:sz="0" w:space="0" w:color="auto"/>
            <w:bottom w:val="none" w:sz="0" w:space="0" w:color="auto"/>
            <w:right w:val="none" w:sz="0" w:space="0" w:color="auto"/>
          </w:divBdr>
        </w:div>
      </w:divsChild>
    </w:div>
    <w:div w:id="1547333134">
      <w:bodyDiv w:val="1"/>
      <w:marLeft w:val="0"/>
      <w:marRight w:val="0"/>
      <w:marTop w:val="0"/>
      <w:marBottom w:val="0"/>
      <w:divBdr>
        <w:top w:val="none" w:sz="0" w:space="0" w:color="auto"/>
        <w:left w:val="none" w:sz="0" w:space="0" w:color="auto"/>
        <w:bottom w:val="none" w:sz="0" w:space="0" w:color="auto"/>
        <w:right w:val="none" w:sz="0" w:space="0" w:color="auto"/>
      </w:divBdr>
    </w:div>
    <w:div w:id="1562137792">
      <w:bodyDiv w:val="1"/>
      <w:marLeft w:val="0"/>
      <w:marRight w:val="0"/>
      <w:marTop w:val="0"/>
      <w:marBottom w:val="0"/>
      <w:divBdr>
        <w:top w:val="none" w:sz="0" w:space="0" w:color="auto"/>
        <w:left w:val="none" w:sz="0" w:space="0" w:color="auto"/>
        <w:bottom w:val="none" w:sz="0" w:space="0" w:color="auto"/>
        <w:right w:val="none" w:sz="0" w:space="0" w:color="auto"/>
      </w:divBdr>
      <w:divsChild>
        <w:div w:id="700790437">
          <w:marLeft w:val="1080"/>
          <w:marRight w:val="0"/>
          <w:marTop w:val="0"/>
          <w:marBottom w:val="40"/>
          <w:divBdr>
            <w:top w:val="none" w:sz="0" w:space="0" w:color="auto"/>
            <w:left w:val="none" w:sz="0" w:space="0" w:color="auto"/>
            <w:bottom w:val="none" w:sz="0" w:space="0" w:color="auto"/>
            <w:right w:val="none" w:sz="0" w:space="0" w:color="auto"/>
          </w:divBdr>
        </w:div>
      </w:divsChild>
    </w:div>
    <w:div w:id="1618218067">
      <w:bodyDiv w:val="1"/>
      <w:marLeft w:val="0"/>
      <w:marRight w:val="0"/>
      <w:marTop w:val="0"/>
      <w:marBottom w:val="0"/>
      <w:divBdr>
        <w:top w:val="none" w:sz="0" w:space="0" w:color="auto"/>
        <w:left w:val="none" w:sz="0" w:space="0" w:color="auto"/>
        <w:bottom w:val="none" w:sz="0" w:space="0" w:color="auto"/>
        <w:right w:val="none" w:sz="0" w:space="0" w:color="auto"/>
      </w:divBdr>
    </w:div>
    <w:div w:id="1634823813">
      <w:bodyDiv w:val="1"/>
      <w:marLeft w:val="0"/>
      <w:marRight w:val="0"/>
      <w:marTop w:val="0"/>
      <w:marBottom w:val="0"/>
      <w:divBdr>
        <w:top w:val="none" w:sz="0" w:space="0" w:color="auto"/>
        <w:left w:val="none" w:sz="0" w:space="0" w:color="auto"/>
        <w:bottom w:val="none" w:sz="0" w:space="0" w:color="auto"/>
        <w:right w:val="none" w:sz="0" w:space="0" w:color="auto"/>
      </w:divBdr>
    </w:div>
    <w:div w:id="1635476898">
      <w:bodyDiv w:val="1"/>
      <w:marLeft w:val="0"/>
      <w:marRight w:val="0"/>
      <w:marTop w:val="0"/>
      <w:marBottom w:val="0"/>
      <w:divBdr>
        <w:top w:val="none" w:sz="0" w:space="0" w:color="auto"/>
        <w:left w:val="none" w:sz="0" w:space="0" w:color="auto"/>
        <w:bottom w:val="none" w:sz="0" w:space="0" w:color="auto"/>
        <w:right w:val="none" w:sz="0" w:space="0" w:color="auto"/>
      </w:divBdr>
    </w:div>
    <w:div w:id="1649237696">
      <w:bodyDiv w:val="1"/>
      <w:marLeft w:val="0"/>
      <w:marRight w:val="0"/>
      <w:marTop w:val="0"/>
      <w:marBottom w:val="0"/>
      <w:divBdr>
        <w:top w:val="none" w:sz="0" w:space="0" w:color="auto"/>
        <w:left w:val="none" w:sz="0" w:space="0" w:color="auto"/>
        <w:bottom w:val="none" w:sz="0" w:space="0" w:color="auto"/>
        <w:right w:val="none" w:sz="0" w:space="0" w:color="auto"/>
      </w:divBdr>
    </w:div>
    <w:div w:id="1662613954">
      <w:bodyDiv w:val="1"/>
      <w:marLeft w:val="0"/>
      <w:marRight w:val="0"/>
      <w:marTop w:val="0"/>
      <w:marBottom w:val="0"/>
      <w:divBdr>
        <w:top w:val="none" w:sz="0" w:space="0" w:color="auto"/>
        <w:left w:val="none" w:sz="0" w:space="0" w:color="auto"/>
        <w:bottom w:val="none" w:sz="0" w:space="0" w:color="auto"/>
        <w:right w:val="none" w:sz="0" w:space="0" w:color="auto"/>
      </w:divBdr>
    </w:div>
    <w:div w:id="1699770743">
      <w:bodyDiv w:val="1"/>
      <w:marLeft w:val="0"/>
      <w:marRight w:val="0"/>
      <w:marTop w:val="0"/>
      <w:marBottom w:val="0"/>
      <w:divBdr>
        <w:top w:val="none" w:sz="0" w:space="0" w:color="auto"/>
        <w:left w:val="none" w:sz="0" w:space="0" w:color="auto"/>
        <w:bottom w:val="none" w:sz="0" w:space="0" w:color="auto"/>
        <w:right w:val="none" w:sz="0" w:space="0" w:color="auto"/>
      </w:divBdr>
    </w:div>
    <w:div w:id="1747334249">
      <w:bodyDiv w:val="1"/>
      <w:marLeft w:val="0"/>
      <w:marRight w:val="0"/>
      <w:marTop w:val="0"/>
      <w:marBottom w:val="0"/>
      <w:divBdr>
        <w:top w:val="none" w:sz="0" w:space="0" w:color="auto"/>
        <w:left w:val="none" w:sz="0" w:space="0" w:color="auto"/>
        <w:bottom w:val="none" w:sz="0" w:space="0" w:color="auto"/>
        <w:right w:val="none" w:sz="0" w:space="0" w:color="auto"/>
      </w:divBdr>
    </w:div>
    <w:div w:id="1784760458">
      <w:bodyDiv w:val="1"/>
      <w:marLeft w:val="0"/>
      <w:marRight w:val="0"/>
      <w:marTop w:val="0"/>
      <w:marBottom w:val="0"/>
      <w:divBdr>
        <w:top w:val="none" w:sz="0" w:space="0" w:color="auto"/>
        <w:left w:val="none" w:sz="0" w:space="0" w:color="auto"/>
        <w:bottom w:val="none" w:sz="0" w:space="0" w:color="auto"/>
        <w:right w:val="none" w:sz="0" w:space="0" w:color="auto"/>
      </w:divBdr>
    </w:div>
    <w:div w:id="1802992243">
      <w:bodyDiv w:val="1"/>
      <w:marLeft w:val="0"/>
      <w:marRight w:val="0"/>
      <w:marTop w:val="0"/>
      <w:marBottom w:val="0"/>
      <w:divBdr>
        <w:top w:val="none" w:sz="0" w:space="0" w:color="auto"/>
        <w:left w:val="none" w:sz="0" w:space="0" w:color="auto"/>
        <w:bottom w:val="none" w:sz="0" w:space="0" w:color="auto"/>
        <w:right w:val="none" w:sz="0" w:space="0" w:color="auto"/>
      </w:divBdr>
    </w:div>
    <w:div w:id="1826824555">
      <w:bodyDiv w:val="1"/>
      <w:marLeft w:val="0"/>
      <w:marRight w:val="0"/>
      <w:marTop w:val="0"/>
      <w:marBottom w:val="0"/>
      <w:divBdr>
        <w:top w:val="none" w:sz="0" w:space="0" w:color="auto"/>
        <w:left w:val="none" w:sz="0" w:space="0" w:color="auto"/>
        <w:bottom w:val="none" w:sz="0" w:space="0" w:color="auto"/>
        <w:right w:val="none" w:sz="0" w:space="0" w:color="auto"/>
      </w:divBdr>
      <w:divsChild>
        <w:div w:id="1449740096">
          <w:marLeft w:val="1080"/>
          <w:marRight w:val="0"/>
          <w:marTop w:val="100"/>
          <w:marBottom w:val="0"/>
          <w:divBdr>
            <w:top w:val="none" w:sz="0" w:space="0" w:color="auto"/>
            <w:left w:val="none" w:sz="0" w:space="0" w:color="auto"/>
            <w:bottom w:val="none" w:sz="0" w:space="0" w:color="auto"/>
            <w:right w:val="none" w:sz="0" w:space="0" w:color="auto"/>
          </w:divBdr>
        </w:div>
      </w:divsChild>
    </w:div>
    <w:div w:id="1829975641">
      <w:bodyDiv w:val="1"/>
      <w:marLeft w:val="0"/>
      <w:marRight w:val="0"/>
      <w:marTop w:val="0"/>
      <w:marBottom w:val="0"/>
      <w:divBdr>
        <w:top w:val="none" w:sz="0" w:space="0" w:color="auto"/>
        <w:left w:val="none" w:sz="0" w:space="0" w:color="auto"/>
        <w:bottom w:val="none" w:sz="0" w:space="0" w:color="auto"/>
        <w:right w:val="none" w:sz="0" w:space="0" w:color="auto"/>
      </w:divBdr>
    </w:div>
    <w:div w:id="1847859018">
      <w:bodyDiv w:val="1"/>
      <w:marLeft w:val="0"/>
      <w:marRight w:val="0"/>
      <w:marTop w:val="0"/>
      <w:marBottom w:val="0"/>
      <w:divBdr>
        <w:top w:val="none" w:sz="0" w:space="0" w:color="auto"/>
        <w:left w:val="none" w:sz="0" w:space="0" w:color="auto"/>
        <w:bottom w:val="none" w:sz="0" w:space="0" w:color="auto"/>
        <w:right w:val="none" w:sz="0" w:space="0" w:color="auto"/>
      </w:divBdr>
    </w:div>
    <w:div w:id="1897206912">
      <w:bodyDiv w:val="1"/>
      <w:marLeft w:val="0"/>
      <w:marRight w:val="0"/>
      <w:marTop w:val="0"/>
      <w:marBottom w:val="0"/>
      <w:divBdr>
        <w:top w:val="none" w:sz="0" w:space="0" w:color="auto"/>
        <w:left w:val="none" w:sz="0" w:space="0" w:color="auto"/>
        <w:bottom w:val="none" w:sz="0" w:space="0" w:color="auto"/>
        <w:right w:val="none" w:sz="0" w:space="0" w:color="auto"/>
      </w:divBdr>
    </w:div>
    <w:div w:id="1910965480">
      <w:bodyDiv w:val="1"/>
      <w:marLeft w:val="0"/>
      <w:marRight w:val="0"/>
      <w:marTop w:val="0"/>
      <w:marBottom w:val="0"/>
      <w:divBdr>
        <w:top w:val="none" w:sz="0" w:space="0" w:color="auto"/>
        <w:left w:val="none" w:sz="0" w:space="0" w:color="auto"/>
        <w:bottom w:val="none" w:sz="0" w:space="0" w:color="auto"/>
        <w:right w:val="none" w:sz="0" w:space="0" w:color="auto"/>
      </w:divBdr>
    </w:div>
    <w:div w:id="1976911813">
      <w:bodyDiv w:val="1"/>
      <w:marLeft w:val="0"/>
      <w:marRight w:val="0"/>
      <w:marTop w:val="0"/>
      <w:marBottom w:val="0"/>
      <w:divBdr>
        <w:top w:val="none" w:sz="0" w:space="0" w:color="auto"/>
        <w:left w:val="none" w:sz="0" w:space="0" w:color="auto"/>
        <w:bottom w:val="none" w:sz="0" w:space="0" w:color="auto"/>
        <w:right w:val="none" w:sz="0" w:space="0" w:color="auto"/>
      </w:divBdr>
    </w:div>
    <w:div w:id="1996030849">
      <w:bodyDiv w:val="1"/>
      <w:marLeft w:val="0"/>
      <w:marRight w:val="0"/>
      <w:marTop w:val="0"/>
      <w:marBottom w:val="0"/>
      <w:divBdr>
        <w:top w:val="none" w:sz="0" w:space="0" w:color="auto"/>
        <w:left w:val="none" w:sz="0" w:space="0" w:color="auto"/>
        <w:bottom w:val="none" w:sz="0" w:space="0" w:color="auto"/>
        <w:right w:val="none" w:sz="0" w:space="0" w:color="auto"/>
      </w:divBdr>
    </w:div>
    <w:div w:id="2003580700">
      <w:bodyDiv w:val="1"/>
      <w:marLeft w:val="0"/>
      <w:marRight w:val="0"/>
      <w:marTop w:val="0"/>
      <w:marBottom w:val="0"/>
      <w:divBdr>
        <w:top w:val="none" w:sz="0" w:space="0" w:color="auto"/>
        <w:left w:val="none" w:sz="0" w:space="0" w:color="auto"/>
        <w:bottom w:val="none" w:sz="0" w:space="0" w:color="auto"/>
        <w:right w:val="none" w:sz="0" w:space="0" w:color="auto"/>
      </w:divBdr>
      <w:divsChild>
        <w:div w:id="1985814139">
          <w:marLeft w:val="1080"/>
          <w:marRight w:val="0"/>
          <w:marTop w:val="0"/>
          <w:marBottom w:val="40"/>
          <w:divBdr>
            <w:top w:val="none" w:sz="0" w:space="0" w:color="auto"/>
            <w:left w:val="none" w:sz="0" w:space="0" w:color="auto"/>
            <w:bottom w:val="none" w:sz="0" w:space="0" w:color="auto"/>
            <w:right w:val="none" w:sz="0" w:space="0" w:color="auto"/>
          </w:divBdr>
        </w:div>
      </w:divsChild>
    </w:div>
    <w:div w:id="2030176632">
      <w:bodyDiv w:val="1"/>
      <w:marLeft w:val="0"/>
      <w:marRight w:val="0"/>
      <w:marTop w:val="0"/>
      <w:marBottom w:val="0"/>
      <w:divBdr>
        <w:top w:val="none" w:sz="0" w:space="0" w:color="auto"/>
        <w:left w:val="none" w:sz="0" w:space="0" w:color="auto"/>
        <w:bottom w:val="none" w:sz="0" w:space="0" w:color="auto"/>
        <w:right w:val="none" w:sz="0" w:space="0" w:color="auto"/>
      </w:divBdr>
    </w:div>
    <w:div w:id="2047094976">
      <w:bodyDiv w:val="1"/>
      <w:marLeft w:val="0"/>
      <w:marRight w:val="0"/>
      <w:marTop w:val="0"/>
      <w:marBottom w:val="0"/>
      <w:divBdr>
        <w:top w:val="none" w:sz="0" w:space="0" w:color="auto"/>
        <w:left w:val="none" w:sz="0" w:space="0" w:color="auto"/>
        <w:bottom w:val="none" w:sz="0" w:space="0" w:color="auto"/>
        <w:right w:val="none" w:sz="0" w:space="0" w:color="auto"/>
      </w:divBdr>
    </w:div>
    <w:div w:id="2048287374">
      <w:bodyDiv w:val="1"/>
      <w:marLeft w:val="0"/>
      <w:marRight w:val="0"/>
      <w:marTop w:val="0"/>
      <w:marBottom w:val="0"/>
      <w:divBdr>
        <w:top w:val="none" w:sz="0" w:space="0" w:color="auto"/>
        <w:left w:val="none" w:sz="0" w:space="0" w:color="auto"/>
        <w:bottom w:val="none" w:sz="0" w:space="0" w:color="auto"/>
        <w:right w:val="none" w:sz="0" w:space="0" w:color="auto"/>
      </w:divBdr>
    </w:div>
    <w:div w:id="2060007923">
      <w:bodyDiv w:val="1"/>
      <w:marLeft w:val="0"/>
      <w:marRight w:val="0"/>
      <w:marTop w:val="0"/>
      <w:marBottom w:val="0"/>
      <w:divBdr>
        <w:top w:val="none" w:sz="0" w:space="0" w:color="auto"/>
        <w:left w:val="none" w:sz="0" w:space="0" w:color="auto"/>
        <w:bottom w:val="none" w:sz="0" w:space="0" w:color="auto"/>
        <w:right w:val="none" w:sz="0" w:space="0" w:color="auto"/>
      </w:divBdr>
      <w:divsChild>
        <w:div w:id="1578710760">
          <w:marLeft w:val="360"/>
          <w:marRight w:val="0"/>
          <w:marTop w:val="0"/>
          <w:marBottom w:val="120"/>
          <w:divBdr>
            <w:top w:val="none" w:sz="0" w:space="0" w:color="auto"/>
            <w:left w:val="none" w:sz="0" w:space="0" w:color="auto"/>
            <w:bottom w:val="none" w:sz="0" w:space="0" w:color="auto"/>
            <w:right w:val="none" w:sz="0" w:space="0" w:color="auto"/>
          </w:divBdr>
        </w:div>
      </w:divsChild>
    </w:div>
    <w:div w:id="2082827676">
      <w:bodyDiv w:val="1"/>
      <w:marLeft w:val="0"/>
      <w:marRight w:val="0"/>
      <w:marTop w:val="0"/>
      <w:marBottom w:val="0"/>
      <w:divBdr>
        <w:top w:val="none" w:sz="0" w:space="0" w:color="auto"/>
        <w:left w:val="none" w:sz="0" w:space="0" w:color="auto"/>
        <w:bottom w:val="none" w:sz="0" w:space="0" w:color="auto"/>
        <w:right w:val="none" w:sz="0" w:space="0" w:color="auto"/>
      </w:divBdr>
    </w:div>
    <w:div w:id="2085762678">
      <w:bodyDiv w:val="1"/>
      <w:marLeft w:val="0"/>
      <w:marRight w:val="0"/>
      <w:marTop w:val="0"/>
      <w:marBottom w:val="0"/>
      <w:divBdr>
        <w:top w:val="none" w:sz="0" w:space="0" w:color="auto"/>
        <w:left w:val="none" w:sz="0" w:space="0" w:color="auto"/>
        <w:bottom w:val="none" w:sz="0" w:space="0" w:color="auto"/>
        <w:right w:val="none" w:sz="0" w:space="0" w:color="auto"/>
      </w:divBdr>
    </w:div>
    <w:div w:id="2094234022">
      <w:bodyDiv w:val="1"/>
      <w:marLeft w:val="0"/>
      <w:marRight w:val="0"/>
      <w:marTop w:val="0"/>
      <w:marBottom w:val="0"/>
      <w:divBdr>
        <w:top w:val="none" w:sz="0" w:space="0" w:color="auto"/>
        <w:left w:val="none" w:sz="0" w:space="0" w:color="auto"/>
        <w:bottom w:val="none" w:sz="0" w:space="0" w:color="auto"/>
        <w:right w:val="none" w:sz="0" w:space="0" w:color="auto"/>
      </w:divBdr>
    </w:div>
    <w:div w:id="2117866842">
      <w:bodyDiv w:val="1"/>
      <w:marLeft w:val="0"/>
      <w:marRight w:val="0"/>
      <w:marTop w:val="0"/>
      <w:marBottom w:val="0"/>
      <w:divBdr>
        <w:top w:val="none" w:sz="0" w:space="0" w:color="auto"/>
        <w:left w:val="none" w:sz="0" w:space="0" w:color="auto"/>
        <w:bottom w:val="none" w:sz="0" w:space="0" w:color="auto"/>
        <w:right w:val="none" w:sz="0" w:space="0" w:color="auto"/>
      </w:divBdr>
    </w:div>
    <w:div w:id="2128306067">
      <w:bodyDiv w:val="1"/>
      <w:marLeft w:val="0"/>
      <w:marRight w:val="0"/>
      <w:marTop w:val="0"/>
      <w:marBottom w:val="0"/>
      <w:divBdr>
        <w:top w:val="none" w:sz="0" w:space="0" w:color="auto"/>
        <w:left w:val="none" w:sz="0" w:space="0" w:color="auto"/>
        <w:bottom w:val="none" w:sz="0" w:space="0" w:color="auto"/>
        <w:right w:val="none" w:sz="0" w:space="0" w:color="auto"/>
      </w:divBdr>
    </w:div>
    <w:div w:id="2143763419">
      <w:bodyDiv w:val="1"/>
      <w:marLeft w:val="0"/>
      <w:marRight w:val="0"/>
      <w:marTop w:val="0"/>
      <w:marBottom w:val="0"/>
      <w:divBdr>
        <w:top w:val="none" w:sz="0" w:space="0" w:color="auto"/>
        <w:left w:val="none" w:sz="0" w:space="0" w:color="auto"/>
        <w:bottom w:val="none" w:sz="0" w:space="0" w:color="auto"/>
        <w:right w:val="none" w:sz="0" w:space="0" w:color="auto"/>
      </w:divBdr>
      <w:divsChild>
        <w:div w:id="1071319147">
          <w:marLeft w:val="360"/>
          <w:marRight w:val="0"/>
          <w:marTop w:val="200"/>
          <w:marBottom w:val="0"/>
          <w:divBdr>
            <w:top w:val="none" w:sz="0" w:space="0" w:color="auto"/>
            <w:left w:val="none" w:sz="0" w:space="0" w:color="auto"/>
            <w:bottom w:val="none" w:sz="0" w:space="0" w:color="auto"/>
            <w:right w:val="none" w:sz="0" w:space="0" w:color="auto"/>
          </w:divBdr>
        </w:div>
        <w:div w:id="15208546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F296D-ABD0-42ED-8F58-77342F41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18935</Words>
  <Characters>107934</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126616</CharactersWithSpaces>
  <SharedDoc>false</SharedDoc>
  <HLinks>
    <vt:vector size="408" baseType="variant">
      <vt:variant>
        <vt:i4>7143464</vt:i4>
      </vt:variant>
      <vt:variant>
        <vt:i4>560</vt:i4>
      </vt:variant>
      <vt:variant>
        <vt:i4>0</vt:i4>
      </vt:variant>
      <vt:variant>
        <vt:i4>5</vt:i4>
      </vt:variant>
      <vt:variant>
        <vt:lpwstr>https://www.aihw.gov.au/reports/burden-of-disease/illness-death-indigenous-2018/summary</vt:lpwstr>
      </vt:variant>
      <vt:variant>
        <vt:lpwstr/>
      </vt:variant>
      <vt:variant>
        <vt:i4>7077997</vt:i4>
      </vt:variant>
      <vt:variant>
        <vt:i4>557</vt:i4>
      </vt:variant>
      <vt:variant>
        <vt:i4>0</vt:i4>
      </vt:variant>
      <vt:variant>
        <vt:i4>5</vt:i4>
      </vt:variant>
      <vt:variant>
        <vt:lpwstr>https://www.aihw.gov.au/reports/older-people/older-australians/contents/demographic-profile</vt:lpwstr>
      </vt:variant>
      <vt:variant>
        <vt:lpwstr/>
      </vt:variant>
      <vt:variant>
        <vt:i4>1507341</vt:i4>
      </vt:variant>
      <vt:variant>
        <vt:i4>554</vt:i4>
      </vt:variant>
      <vt:variant>
        <vt:i4>0</vt:i4>
      </vt:variant>
      <vt:variant>
        <vt:i4>5</vt:i4>
      </vt:variant>
      <vt:variant>
        <vt:lpwstr>https://www.aihw.gov.au/reports/older-people/older-australia-at-a-glance/contents/health-functioning/health-disability-status</vt:lpwstr>
      </vt:variant>
      <vt:variant>
        <vt:lpwstr/>
      </vt:variant>
      <vt:variant>
        <vt:i4>1703986</vt:i4>
      </vt:variant>
      <vt:variant>
        <vt:i4>380</vt:i4>
      </vt:variant>
      <vt:variant>
        <vt:i4>0</vt:i4>
      </vt:variant>
      <vt:variant>
        <vt:i4>5</vt:i4>
      </vt:variant>
      <vt:variant>
        <vt:lpwstr/>
      </vt:variant>
      <vt:variant>
        <vt:lpwstr>_Toc112659439</vt:lpwstr>
      </vt:variant>
      <vt:variant>
        <vt:i4>1703986</vt:i4>
      </vt:variant>
      <vt:variant>
        <vt:i4>374</vt:i4>
      </vt:variant>
      <vt:variant>
        <vt:i4>0</vt:i4>
      </vt:variant>
      <vt:variant>
        <vt:i4>5</vt:i4>
      </vt:variant>
      <vt:variant>
        <vt:lpwstr/>
      </vt:variant>
      <vt:variant>
        <vt:lpwstr>_Toc112659438</vt:lpwstr>
      </vt:variant>
      <vt:variant>
        <vt:i4>1703986</vt:i4>
      </vt:variant>
      <vt:variant>
        <vt:i4>368</vt:i4>
      </vt:variant>
      <vt:variant>
        <vt:i4>0</vt:i4>
      </vt:variant>
      <vt:variant>
        <vt:i4>5</vt:i4>
      </vt:variant>
      <vt:variant>
        <vt:lpwstr/>
      </vt:variant>
      <vt:variant>
        <vt:lpwstr>_Toc112659437</vt:lpwstr>
      </vt:variant>
      <vt:variant>
        <vt:i4>1703986</vt:i4>
      </vt:variant>
      <vt:variant>
        <vt:i4>362</vt:i4>
      </vt:variant>
      <vt:variant>
        <vt:i4>0</vt:i4>
      </vt:variant>
      <vt:variant>
        <vt:i4>5</vt:i4>
      </vt:variant>
      <vt:variant>
        <vt:lpwstr/>
      </vt:variant>
      <vt:variant>
        <vt:lpwstr>_Toc112659436</vt:lpwstr>
      </vt:variant>
      <vt:variant>
        <vt:i4>1703986</vt:i4>
      </vt:variant>
      <vt:variant>
        <vt:i4>356</vt:i4>
      </vt:variant>
      <vt:variant>
        <vt:i4>0</vt:i4>
      </vt:variant>
      <vt:variant>
        <vt:i4>5</vt:i4>
      </vt:variant>
      <vt:variant>
        <vt:lpwstr/>
      </vt:variant>
      <vt:variant>
        <vt:lpwstr>_Toc112659435</vt:lpwstr>
      </vt:variant>
      <vt:variant>
        <vt:i4>1703986</vt:i4>
      </vt:variant>
      <vt:variant>
        <vt:i4>350</vt:i4>
      </vt:variant>
      <vt:variant>
        <vt:i4>0</vt:i4>
      </vt:variant>
      <vt:variant>
        <vt:i4>5</vt:i4>
      </vt:variant>
      <vt:variant>
        <vt:lpwstr/>
      </vt:variant>
      <vt:variant>
        <vt:lpwstr>_Toc112659434</vt:lpwstr>
      </vt:variant>
      <vt:variant>
        <vt:i4>1703986</vt:i4>
      </vt:variant>
      <vt:variant>
        <vt:i4>344</vt:i4>
      </vt:variant>
      <vt:variant>
        <vt:i4>0</vt:i4>
      </vt:variant>
      <vt:variant>
        <vt:i4>5</vt:i4>
      </vt:variant>
      <vt:variant>
        <vt:lpwstr/>
      </vt:variant>
      <vt:variant>
        <vt:lpwstr>_Toc112659433</vt:lpwstr>
      </vt:variant>
      <vt:variant>
        <vt:i4>1703986</vt:i4>
      </vt:variant>
      <vt:variant>
        <vt:i4>338</vt:i4>
      </vt:variant>
      <vt:variant>
        <vt:i4>0</vt:i4>
      </vt:variant>
      <vt:variant>
        <vt:i4>5</vt:i4>
      </vt:variant>
      <vt:variant>
        <vt:lpwstr/>
      </vt:variant>
      <vt:variant>
        <vt:lpwstr>_Toc112659432</vt:lpwstr>
      </vt:variant>
      <vt:variant>
        <vt:i4>1703986</vt:i4>
      </vt:variant>
      <vt:variant>
        <vt:i4>332</vt:i4>
      </vt:variant>
      <vt:variant>
        <vt:i4>0</vt:i4>
      </vt:variant>
      <vt:variant>
        <vt:i4>5</vt:i4>
      </vt:variant>
      <vt:variant>
        <vt:lpwstr/>
      </vt:variant>
      <vt:variant>
        <vt:lpwstr>_Toc112659431</vt:lpwstr>
      </vt:variant>
      <vt:variant>
        <vt:i4>1703986</vt:i4>
      </vt:variant>
      <vt:variant>
        <vt:i4>326</vt:i4>
      </vt:variant>
      <vt:variant>
        <vt:i4>0</vt:i4>
      </vt:variant>
      <vt:variant>
        <vt:i4>5</vt:i4>
      </vt:variant>
      <vt:variant>
        <vt:lpwstr/>
      </vt:variant>
      <vt:variant>
        <vt:lpwstr>_Toc112659430</vt:lpwstr>
      </vt:variant>
      <vt:variant>
        <vt:i4>1769522</vt:i4>
      </vt:variant>
      <vt:variant>
        <vt:i4>320</vt:i4>
      </vt:variant>
      <vt:variant>
        <vt:i4>0</vt:i4>
      </vt:variant>
      <vt:variant>
        <vt:i4>5</vt:i4>
      </vt:variant>
      <vt:variant>
        <vt:lpwstr/>
      </vt:variant>
      <vt:variant>
        <vt:lpwstr>_Toc112659429</vt:lpwstr>
      </vt:variant>
      <vt:variant>
        <vt:i4>1769522</vt:i4>
      </vt:variant>
      <vt:variant>
        <vt:i4>314</vt:i4>
      </vt:variant>
      <vt:variant>
        <vt:i4>0</vt:i4>
      </vt:variant>
      <vt:variant>
        <vt:i4>5</vt:i4>
      </vt:variant>
      <vt:variant>
        <vt:lpwstr/>
      </vt:variant>
      <vt:variant>
        <vt:lpwstr>_Toc112659428</vt:lpwstr>
      </vt:variant>
      <vt:variant>
        <vt:i4>1769522</vt:i4>
      </vt:variant>
      <vt:variant>
        <vt:i4>308</vt:i4>
      </vt:variant>
      <vt:variant>
        <vt:i4>0</vt:i4>
      </vt:variant>
      <vt:variant>
        <vt:i4>5</vt:i4>
      </vt:variant>
      <vt:variant>
        <vt:lpwstr/>
      </vt:variant>
      <vt:variant>
        <vt:lpwstr>_Toc112659427</vt:lpwstr>
      </vt:variant>
      <vt:variant>
        <vt:i4>1769522</vt:i4>
      </vt:variant>
      <vt:variant>
        <vt:i4>302</vt:i4>
      </vt:variant>
      <vt:variant>
        <vt:i4>0</vt:i4>
      </vt:variant>
      <vt:variant>
        <vt:i4>5</vt:i4>
      </vt:variant>
      <vt:variant>
        <vt:lpwstr/>
      </vt:variant>
      <vt:variant>
        <vt:lpwstr>_Toc112659426</vt:lpwstr>
      </vt:variant>
      <vt:variant>
        <vt:i4>1769522</vt:i4>
      </vt:variant>
      <vt:variant>
        <vt:i4>296</vt:i4>
      </vt:variant>
      <vt:variant>
        <vt:i4>0</vt:i4>
      </vt:variant>
      <vt:variant>
        <vt:i4>5</vt:i4>
      </vt:variant>
      <vt:variant>
        <vt:lpwstr/>
      </vt:variant>
      <vt:variant>
        <vt:lpwstr>_Toc112659425</vt:lpwstr>
      </vt:variant>
      <vt:variant>
        <vt:i4>1769522</vt:i4>
      </vt:variant>
      <vt:variant>
        <vt:i4>290</vt:i4>
      </vt:variant>
      <vt:variant>
        <vt:i4>0</vt:i4>
      </vt:variant>
      <vt:variant>
        <vt:i4>5</vt:i4>
      </vt:variant>
      <vt:variant>
        <vt:lpwstr/>
      </vt:variant>
      <vt:variant>
        <vt:lpwstr>_Toc112659424</vt:lpwstr>
      </vt:variant>
      <vt:variant>
        <vt:i4>1769522</vt:i4>
      </vt:variant>
      <vt:variant>
        <vt:i4>284</vt:i4>
      </vt:variant>
      <vt:variant>
        <vt:i4>0</vt:i4>
      </vt:variant>
      <vt:variant>
        <vt:i4>5</vt:i4>
      </vt:variant>
      <vt:variant>
        <vt:lpwstr/>
      </vt:variant>
      <vt:variant>
        <vt:lpwstr>_Toc112659423</vt:lpwstr>
      </vt:variant>
      <vt:variant>
        <vt:i4>1769522</vt:i4>
      </vt:variant>
      <vt:variant>
        <vt:i4>278</vt:i4>
      </vt:variant>
      <vt:variant>
        <vt:i4>0</vt:i4>
      </vt:variant>
      <vt:variant>
        <vt:i4>5</vt:i4>
      </vt:variant>
      <vt:variant>
        <vt:lpwstr/>
      </vt:variant>
      <vt:variant>
        <vt:lpwstr>_Toc112659422</vt:lpwstr>
      </vt:variant>
      <vt:variant>
        <vt:i4>1769522</vt:i4>
      </vt:variant>
      <vt:variant>
        <vt:i4>272</vt:i4>
      </vt:variant>
      <vt:variant>
        <vt:i4>0</vt:i4>
      </vt:variant>
      <vt:variant>
        <vt:i4>5</vt:i4>
      </vt:variant>
      <vt:variant>
        <vt:lpwstr/>
      </vt:variant>
      <vt:variant>
        <vt:lpwstr>_Toc112659421</vt:lpwstr>
      </vt:variant>
      <vt:variant>
        <vt:i4>1769522</vt:i4>
      </vt:variant>
      <vt:variant>
        <vt:i4>266</vt:i4>
      </vt:variant>
      <vt:variant>
        <vt:i4>0</vt:i4>
      </vt:variant>
      <vt:variant>
        <vt:i4>5</vt:i4>
      </vt:variant>
      <vt:variant>
        <vt:lpwstr/>
      </vt:variant>
      <vt:variant>
        <vt:lpwstr>_Toc112659420</vt:lpwstr>
      </vt:variant>
      <vt:variant>
        <vt:i4>1572914</vt:i4>
      </vt:variant>
      <vt:variant>
        <vt:i4>260</vt:i4>
      </vt:variant>
      <vt:variant>
        <vt:i4>0</vt:i4>
      </vt:variant>
      <vt:variant>
        <vt:i4>5</vt:i4>
      </vt:variant>
      <vt:variant>
        <vt:lpwstr/>
      </vt:variant>
      <vt:variant>
        <vt:lpwstr>_Toc112659419</vt:lpwstr>
      </vt:variant>
      <vt:variant>
        <vt:i4>1572914</vt:i4>
      </vt:variant>
      <vt:variant>
        <vt:i4>254</vt:i4>
      </vt:variant>
      <vt:variant>
        <vt:i4>0</vt:i4>
      </vt:variant>
      <vt:variant>
        <vt:i4>5</vt:i4>
      </vt:variant>
      <vt:variant>
        <vt:lpwstr/>
      </vt:variant>
      <vt:variant>
        <vt:lpwstr>_Toc112659418</vt:lpwstr>
      </vt:variant>
      <vt:variant>
        <vt:i4>1572914</vt:i4>
      </vt:variant>
      <vt:variant>
        <vt:i4>248</vt:i4>
      </vt:variant>
      <vt:variant>
        <vt:i4>0</vt:i4>
      </vt:variant>
      <vt:variant>
        <vt:i4>5</vt:i4>
      </vt:variant>
      <vt:variant>
        <vt:lpwstr/>
      </vt:variant>
      <vt:variant>
        <vt:lpwstr>_Toc112659417</vt:lpwstr>
      </vt:variant>
      <vt:variant>
        <vt:i4>1572914</vt:i4>
      </vt:variant>
      <vt:variant>
        <vt:i4>242</vt:i4>
      </vt:variant>
      <vt:variant>
        <vt:i4>0</vt:i4>
      </vt:variant>
      <vt:variant>
        <vt:i4>5</vt:i4>
      </vt:variant>
      <vt:variant>
        <vt:lpwstr/>
      </vt:variant>
      <vt:variant>
        <vt:lpwstr>_Toc112659416</vt:lpwstr>
      </vt:variant>
      <vt:variant>
        <vt:i4>1572914</vt:i4>
      </vt:variant>
      <vt:variant>
        <vt:i4>236</vt:i4>
      </vt:variant>
      <vt:variant>
        <vt:i4>0</vt:i4>
      </vt:variant>
      <vt:variant>
        <vt:i4>5</vt:i4>
      </vt:variant>
      <vt:variant>
        <vt:lpwstr/>
      </vt:variant>
      <vt:variant>
        <vt:lpwstr>_Toc112659415</vt:lpwstr>
      </vt:variant>
      <vt:variant>
        <vt:i4>1572914</vt:i4>
      </vt:variant>
      <vt:variant>
        <vt:i4>230</vt:i4>
      </vt:variant>
      <vt:variant>
        <vt:i4>0</vt:i4>
      </vt:variant>
      <vt:variant>
        <vt:i4>5</vt:i4>
      </vt:variant>
      <vt:variant>
        <vt:lpwstr/>
      </vt:variant>
      <vt:variant>
        <vt:lpwstr>_Toc112659414</vt:lpwstr>
      </vt:variant>
      <vt:variant>
        <vt:i4>1572914</vt:i4>
      </vt:variant>
      <vt:variant>
        <vt:i4>224</vt:i4>
      </vt:variant>
      <vt:variant>
        <vt:i4>0</vt:i4>
      </vt:variant>
      <vt:variant>
        <vt:i4>5</vt:i4>
      </vt:variant>
      <vt:variant>
        <vt:lpwstr/>
      </vt:variant>
      <vt:variant>
        <vt:lpwstr>_Toc112659413</vt:lpwstr>
      </vt:variant>
      <vt:variant>
        <vt:i4>1572914</vt:i4>
      </vt:variant>
      <vt:variant>
        <vt:i4>218</vt:i4>
      </vt:variant>
      <vt:variant>
        <vt:i4>0</vt:i4>
      </vt:variant>
      <vt:variant>
        <vt:i4>5</vt:i4>
      </vt:variant>
      <vt:variant>
        <vt:lpwstr/>
      </vt:variant>
      <vt:variant>
        <vt:lpwstr>_Toc112659412</vt:lpwstr>
      </vt:variant>
      <vt:variant>
        <vt:i4>1572914</vt:i4>
      </vt:variant>
      <vt:variant>
        <vt:i4>212</vt:i4>
      </vt:variant>
      <vt:variant>
        <vt:i4>0</vt:i4>
      </vt:variant>
      <vt:variant>
        <vt:i4>5</vt:i4>
      </vt:variant>
      <vt:variant>
        <vt:lpwstr/>
      </vt:variant>
      <vt:variant>
        <vt:lpwstr>_Toc112659411</vt:lpwstr>
      </vt:variant>
      <vt:variant>
        <vt:i4>1572914</vt:i4>
      </vt:variant>
      <vt:variant>
        <vt:i4>206</vt:i4>
      </vt:variant>
      <vt:variant>
        <vt:i4>0</vt:i4>
      </vt:variant>
      <vt:variant>
        <vt:i4>5</vt:i4>
      </vt:variant>
      <vt:variant>
        <vt:lpwstr/>
      </vt:variant>
      <vt:variant>
        <vt:lpwstr>_Toc112659410</vt:lpwstr>
      </vt:variant>
      <vt:variant>
        <vt:i4>1638450</vt:i4>
      </vt:variant>
      <vt:variant>
        <vt:i4>200</vt:i4>
      </vt:variant>
      <vt:variant>
        <vt:i4>0</vt:i4>
      </vt:variant>
      <vt:variant>
        <vt:i4>5</vt:i4>
      </vt:variant>
      <vt:variant>
        <vt:lpwstr/>
      </vt:variant>
      <vt:variant>
        <vt:lpwstr>_Toc112659409</vt:lpwstr>
      </vt:variant>
      <vt:variant>
        <vt:i4>1638450</vt:i4>
      </vt:variant>
      <vt:variant>
        <vt:i4>194</vt:i4>
      </vt:variant>
      <vt:variant>
        <vt:i4>0</vt:i4>
      </vt:variant>
      <vt:variant>
        <vt:i4>5</vt:i4>
      </vt:variant>
      <vt:variant>
        <vt:lpwstr/>
      </vt:variant>
      <vt:variant>
        <vt:lpwstr>_Toc112659408</vt:lpwstr>
      </vt:variant>
      <vt:variant>
        <vt:i4>1638450</vt:i4>
      </vt:variant>
      <vt:variant>
        <vt:i4>188</vt:i4>
      </vt:variant>
      <vt:variant>
        <vt:i4>0</vt:i4>
      </vt:variant>
      <vt:variant>
        <vt:i4>5</vt:i4>
      </vt:variant>
      <vt:variant>
        <vt:lpwstr/>
      </vt:variant>
      <vt:variant>
        <vt:lpwstr>_Toc112659407</vt:lpwstr>
      </vt:variant>
      <vt:variant>
        <vt:i4>1638450</vt:i4>
      </vt:variant>
      <vt:variant>
        <vt:i4>182</vt:i4>
      </vt:variant>
      <vt:variant>
        <vt:i4>0</vt:i4>
      </vt:variant>
      <vt:variant>
        <vt:i4>5</vt:i4>
      </vt:variant>
      <vt:variant>
        <vt:lpwstr/>
      </vt:variant>
      <vt:variant>
        <vt:lpwstr>_Toc112659406</vt:lpwstr>
      </vt:variant>
      <vt:variant>
        <vt:i4>1638450</vt:i4>
      </vt:variant>
      <vt:variant>
        <vt:i4>176</vt:i4>
      </vt:variant>
      <vt:variant>
        <vt:i4>0</vt:i4>
      </vt:variant>
      <vt:variant>
        <vt:i4>5</vt:i4>
      </vt:variant>
      <vt:variant>
        <vt:lpwstr/>
      </vt:variant>
      <vt:variant>
        <vt:lpwstr>_Toc112659405</vt:lpwstr>
      </vt:variant>
      <vt:variant>
        <vt:i4>1638450</vt:i4>
      </vt:variant>
      <vt:variant>
        <vt:i4>170</vt:i4>
      </vt:variant>
      <vt:variant>
        <vt:i4>0</vt:i4>
      </vt:variant>
      <vt:variant>
        <vt:i4>5</vt:i4>
      </vt:variant>
      <vt:variant>
        <vt:lpwstr/>
      </vt:variant>
      <vt:variant>
        <vt:lpwstr>_Toc112659404</vt:lpwstr>
      </vt:variant>
      <vt:variant>
        <vt:i4>1638450</vt:i4>
      </vt:variant>
      <vt:variant>
        <vt:i4>164</vt:i4>
      </vt:variant>
      <vt:variant>
        <vt:i4>0</vt:i4>
      </vt:variant>
      <vt:variant>
        <vt:i4>5</vt:i4>
      </vt:variant>
      <vt:variant>
        <vt:lpwstr/>
      </vt:variant>
      <vt:variant>
        <vt:lpwstr>_Toc112659403</vt:lpwstr>
      </vt:variant>
      <vt:variant>
        <vt:i4>1638450</vt:i4>
      </vt:variant>
      <vt:variant>
        <vt:i4>158</vt:i4>
      </vt:variant>
      <vt:variant>
        <vt:i4>0</vt:i4>
      </vt:variant>
      <vt:variant>
        <vt:i4>5</vt:i4>
      </vt:variant>
      <vt:variant>
        <vt:lpwstr/>
      </vt:variant>
      <vt:variant>
        <vt:lpwstr>_Toc112659402</vt:lpwstr>
      </vt:variant>
      <vt:variant>
        <vt:i4>1638450</vt:i4>
      </vt:variant>
      <vt:variant>
        <vt:i4>152</vt:i4>
      </vt:variant>
      <vt:variant>
        <vt:i4>0</vt:i4>
      </vt:variant>
      <vt:variant>
        <vt:i4>5</vt:i4>
      </vt:variant>
      <vt:variant>
        <vt:lpwstr/>
      </vt:variant>
      <vt:variant>
        <vt:lpwstr>_Toc112659401</vt:lpwstr>
      </vt:variant>
      <vt:variant>
        <vt:i4>1638450</vt:i4>
      </vt:variant>
      <vt:variant>
        <vt:i4>146</vt:i4>
      </vt:variant>
      <vt:variant>
        <vt:i4>0</vt:i4>
      </vt:variant>
      <vt:variant>
        <vt:i4>5</vt:i4>
      </vt:variant>
      <vt:variant>
        <vt:lpwstr/>
      </vt:variant>
      <vt:variant>
        <vt:lpwstr>_Toc112659400</vt:lpwstr>
      </vt:variant>
      <vt:variant>
        <vt:i4>1048629</vt:i4>
      </vt:variant>
      <vt:variant>
        <vt:i4>140</vt:i4>
      </vt:variant>
      <vt:variant>
        <vt:i4>0</vt:i4>
      </vt:variant>
      <vt:variant>
        <vt:i4>5</vt:i4>
      </vt:variant>
      <vt:variant>
        <vt:lpwstr/>
      </vt:variant>
      <vt:variant>
        <vt:lpwstr>_Toc112659399</vt:lpwstr>
      </vt:variant>
      <vt:variant>
        <vt:i4>1048629</vt:i4>
      </vt:variant>
      <vt:variant>
        <vt:i4>134</vt:i4>
      </vt:variant>
      <vt:variant>
        <vt:i4>0</vt:i4>
      </vt:variant>
      <vt:variant>
        <vt:i4>5</vt:i4>
      </vt:variant>
      <vt:variant>
        <vt:lpwstr/>
      </vt:variant>
      <vt:variant>
        <vt:lpwstr>_Toc112659398</vt:lpwstr>
      </vt:variant>
      <vt:variant>
        <vt:i4>1048629</vt:i4>
      </vt:variant>
      <vt:variant>
        <vt:i4>128</vt:i4>
      </vt:variant>
      <vt:variant>
        <vt:i4>0</vt:i4>
      </vt:variant>
      <vt:variant>
        <vt:i4>5</vt:i4>
      </vt:variant>
      <vt:variant>
        <vt:lpwstr/>
      </vt:variant>
      <vt:variant>
        <vt:lpwstr>_Toc112659397</vt:lpwstr>
      </vt:variant>
      <vt:variant>
        <vt:i4>1048629</vt:i4>
      </vt:variant>
      <vt:variant>
        <vt:i4>122</vt:i4>
      </vt:variant>
      <vt:variant>
        <vt:i4>0</vt:i4>
      </vt:variant>
      <vt:variant>
        <vt:i4>5</vt:i4>
      </vt:variant>
      <vt:variant>
        <vt:lpwstr/>
      </vt:variant>
      <vt:variant>
        <vt:lpwstr>_Toc112659396</vt:lpwstr>
      </vt:variant>
      <vt:variant>
        <vt:i4>1048629</vt:i4>
      </vt:variant>
      <vt:variant>
        <vt:i4>116</vt:i4>
      </vt:variant>
      <vt:variant>
        <vt:i4>0</vt:i4>
      </vt:variant>
      <vt:variant>
        <vt:i4>5</vt:i4>
      </vt:variant>
      <vt:variant>
        <vt:lpwstr/>
      </vt:variant>
      <vt:variant>
        <vt:lpwstr>_Toc112659395</vt:lpwstr>
      </vt:variant>
      <vt:variant>
        <vt:i4>1048629</vt:i4>
      </vt:variant>
      <vt:variant>
        <vt:i4>110</vt:i4>
      </vt:variant>
      <vt:variant>
        <vt:i4>0</vt:i4>
      </vt:variant>
      <vt:variant>
        <vt:i4>5</vt:i4>
      </vt:variant>
      <vt:variant>
        <vt:lpwstr/>
      </vt:variant>
      <vt:variant>
        <vt:lpwstr>_Toc112659394</vt:lpwstr>
      </vt:variant>
      <vt:variant>
        <vt:i4>1048629</vt:i4>
      </vt:variant>
      <vt:variant>
        <vt:i4>104</vt:i4>
      </vt:variant>
      <vt:variant>
        <vt:i4>0</vt:i4>
      </vt:variant>
      <vt:variant>
        <vt:i4>5</vt:i4>
      </vt:variant>
      <vt:variant>
        <vt:lpwstr/>
      </vt:variant>
      <vt:variant>
        <vt:lpwstr>_Toc112659393</vt:lpwstr>
      </vt:variant>
      <vt:variant>
        <vt:i4>1048629</vt:i4>
      </vt:variant>
      <vt:variant>
        <vt:i4>98</vt:i4>
      </vt:variant>
      <vt:variant>
        <vt:i4>0</vt:i4>
      </vt:variant>
      <vt:variant>
        <vt:i4>5</vt:i4>
      </vt:variant>
      <vt:variant>
        <vt:lpwstr/>
      </vt:variant>
      <vt:variant>
        <vt:lpwstr>_Toc112659392</vt:lpwstr>
      </vt:variant>
      <vt:variant>
        <vt:i4>1048629</vt:i4>
      </vt:variant>
      <vt:variant>
        <vt:i4>92</vt:i4>
      </vt:variant>
      <vt:variant>
        <vt:i4>0</vt:i4>
      </vt:variant>
      <vt:variant>
        <vt:i4>5</vt:i4>
      </vt:variant>
      <vt:variant>
        <vt:lpwstr/>
      </vt:variant>
      <vt:variant>
        <vt:lpwstr>_Toc112659391</vt:lpwstr>
      </vt:variant>
      <vt:variant>
        <vt:i4>1048629</vt:i4>
      </vt:variant>
      <vt:variant>
        <vt:i4>86</vt:i4>
      </vt:variant>
      <vt:variant>
        <vt:i4>0</vt:i4>
      </vt:variant>
      <vt:variant>
        <vt:i4>5</vt:i4>
      </vt:variant>
      <vt:variant>
        <vt:lpwstr/>
      </vt:variant>
      <vt:variant>
        <vt:lpwstr>_Toc112659390</vt:lpwstr>
      </vt:variant>
      <vt:variant>
        <vt:i4>1114165</vt:i4>
      </vt:variant>
      <vt:variant>
        <vt:i4>80</vt:i4>
      </vt:variant>
      <vt:variant>
        <vt:i4>0</vt:i4>
      </vt:variant>
      <vt:variant>
        <vt:i4>5</vt:i4>
      </vt:variant>
      <vt:variant>
        <vt:lpwstr/>
      </vt:variant>
      <vt:variant>
        <vt:lpwstr>_Toc112659389</vt:lpwstr>
      </vt:variant>
      <vt:variant>
        <vt:i4>1114165</vt:i4>
      </vt:variant>
      <vt:variant>
        <vt:i4>74</vt:i4>
      </vt:variant>
      <vt:variant>
        <vt:i4>0</vt:i4>
      </vt:variant>
      <vt:variant>
        <vt:i4>5</vt:i4>
      </vt:variant>
      <vt:variant>
        <vt:lpwstr/>
      </vt:variant>
      <vt:variant>
        <vt:lpwstr>_Toc112659388</vt:lpwstr>
      </vt:variant>
      <vt:variant>
        <vt:i4>1114165</vt:i4>
      </vt:variant>
      <vt:variant>
        <vt:i4>68</vt:i4>
      </vt:variant>
      <vt:variant>
        <vt:i4>0</vt:i4>
      </vt:variant>
      <vt:variant>
        <vt:i4>5</vt:i4>
      </vt:variant>
      <vt:variant>
        <vt:lpwstr/>
      </vt:variant>
      <vt:variant>
        <vt:lpwstr>_Toc112659387</vt:lpwstr>
      </vt:variant>
      <vt:variant>
        <vt:i4>1114165</vt:i4>
      </vt:variant>
      <vt:variant>
        <vt:i4>62</vt:i4>
      </vt:variant>
      <vt:variant>
        <vt:i4>0</vt:i4>
      </vt:variant>
      <vt:variant>
        <vt:i4>5</vt:i4>
      </vt:variant>
      <vt:variant>
        <vt:lpwstr/>
      </vt:variant>
      <vt:variant>
        <vt:lpwstr>_Toc112659386</vt:lpwstr>
      </vt:variant>
      <vt:variant>
        <vt:i4>1114165</vt:i4>
      </vt:variant>
      <vt:variant>
        <vt:i4>56</vt:i4>
      </vt:variant>
      <vt:variant>
        <vt:i4>0</vt:i4>
      </vt:variant>
      <vt:variant>
        <vt:i4>5</vt:i4>
      </vt:variant>
      <vt:variant>
        <vt:lpwstr/>
      </vt:variant>
      <vt:variant>
        <vt:lpwstr>_Toc112659385</vt:lpwstr>
      </vt:variant>
      <vt:variant>
        <vt:i4>1114165</vt:i4>
      </vt:variant>
      <vt:variant>
        <vt:i4>50</vt:i4>
      </vt:variant>
      <vt:variant>
        <vt:i4>0</vt:i4>
      </vt:variant>
      <vt:variant>
        <vt:i4>5</vt:i4>
      </vt:variant>
      <vt:variant>
        <vt:lpwstr/>
      </vt:variant>
      <vt:variant>
        <vt:lpwstr>_Toc112659384</vt:lpwstr>
      </vt:variant>
      <vt:variant>
        <vt:i4>1114165</vt:i4>
      </vt:variant>
      <vt:variant>
        <vt:i4>44</vt:i4>
      </vt:variant>
      <vt:variant>
        <vt:i4>0</vt:i4>
      </vt:variant>
      <vt:variant>
        <vt:i4>5</vt:i4>
      </vt:variant>
      <vt:variant>
        <vt:lpwstr/>
      </vt:variant>
      <vt:variant>
        <vt:lpwstr>_Toc112659383</vt:lpwstr>
      </vt:variant>
      <vt:variant>
        <vt:i4>1114165</vt:i4>
      </vt:variant>
      <vt:variant>
        <vt:i4>38</vt:i4>
      </vt:variant>
      <vt:variant>
        <vt:i4>0</vt:i4>
      </vt:variant>
      <vt:variant>
        <vt:i4>5</vt:i4>
      </vt:variant>
      <vt:variant>
        <vt:lpwstr/>
      </vt:variant>
      <vt:variant>
        <vt:lpwstr>_Toc112659382</vt:lpwstr>
      </vt:variant>
      <vt:variant>
        <vt:i4>1114165</vt:i4>
      </vt:variant>
      <vt:variant>
        <vt:i4>32</vt:i4>
      </vt:variant>
      <vt:variant>
        <vt:i4>0</vt:i4>
      </vt:variant>
      <vt:variant>
        <vt:i4>5</vt:i4>
      </vt:variant>
      <vt:variant>
        <vt:lpwstr/>
      </vt:variant>
      <vt:variant>
        <vt:lpwstr>_Toc112659381</vt:lpwstr>
      </vt:variant>
      <vt:variant>
        <vt:i4>1114165</vt:i4>
      </vt:variant>
      <vt:variant>
        <vt:i4>26</vt:i4>
      </vt:variant>
      <vt:variant>
        <vt:i4>0</vt:i4>
      </vt:variant>
      <vt:variant>
        <vt:i4>5</vt:i4>
      </vt:variant>
      <vt:variant>
        <vt:lpwstr/>
      </vt:variant>
      <vt:variant>
        <vt:lpwstr>_Toc112659380</vt:lpwstr>
      </vt:variant>
      <vt:variant>
        <vt:i4>1966133</vt:i4>
      </vt:variant>
      <vt:variant>
        <vt:i4>20</vt:i4>
      </vt:variant>
      <vt:variant>
        <vt:i4>0</vt:i4>
      </vt:variant>
      <vt:variant>
        <vt:i4>5</vt:i4>
      </vt:variant>
      <vt:variant>
        <vt:lpwstr/>
      </vt:variant>
      <vt:variant>
        <vt:lpwstr>_Toc112659379</vt:lpwstr>
      </vt:variant>
      <vt:variant>
        <vt:i4>1966133</vt:i4>
      </vt:variant>
      <vt:variant>
        <vt:i4>14</vt:i4>
      </vt:variant>
      <vt:variant>
        <vt:i4>0</vt:i4>
      </vt:variant>
      <vt:variant>
        <vt:i4>5</vt:i4>
      </vt:variant>
      <vt:variant>
        <vt:lpwstr/>
      </vt:variant>
      <vt:variant>
        <vt:lpwstr>_Toc112659378</vt:lpwstr>
      </vt:variant>
      <vt:variant>
        <vt:i4>1966133</vt:i4>
      </vt:variant>
      <vt:variant>
        <vt:i4>8</vt:i4>
      </vt:variant>
      <vt:variant>
        <vt:i4>0</vt:i4>
      </vt:variant>
      <vt:variant>
        <vt:i4>5</vt:i4>
      </vt:variant>
      <vt:variant>
        <vt:lpwstr/>
      </vt:variant>
      <vt:variant>
        <vt:lpwstr>_Toc112659377</vt:lpwstr>
      </vt:variant>
      <vt:variant>
        <vt:i4>1966133</vt:i4>
      </vt:variant>
      <vt:variant>
        <vt:i4>2</vt:i4>
      </vt:variant>
      <vt:variant>
        <vt:i4>0</vt:i4>
      </vt:variant>
      <vt:variant>
        <vt:i4>5</vt:i4>
      </vt:variant>
      <vt:variant>
        <vt:lpwstr/>
      </vt:variant>
      <vt:variant>
        <vt:lpwstr>_Toc112659376</vt:lpwstr>
      </vt:variant>
      <vt:variant>
        <vt:i4>4980764</vt:i4>
      </vt:variant>
      <vt:variant>
        <vt:i4>0</vt:i4>
      </vt:variant>
      <vt:variant>
        <vt:i4>0</vt:i4>
      </vt:variant>
      <vt:variant>
        <vt:i4>5</vt:i4>
      </vt:variant>
      <vt:variant>
        <vt:lpwstr>https://www.pbs.gov.au/industry/listing/elements/pbac-meetings/psd/2019-11/files/Inactivated-quadrivalent-influenza-vaccine-psd-november-2019.pdf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2023-02-26T22:34:00Z</dcterms:created>
  <dcterms:modified xsi:type="dcterms:W3CDTF">2023-02-26T22:40:00Z</dcterms:modified>
</cp:coreProperties>
</file>