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8A256" w14:textId="6D11F043" w:rsidR="00732D82" w:rsidRDefault="00732D82" w:rsidP="00732D82">
      <w:pPr>
        <w:rPr>
          <w:color w:val="FF0000"/>
        </w:rPr>
      </w:pPr>
      <w:bookmarkStart w:id="0" w:name="_Toc103244667"/>
      <w:r w:rsidRPr="00A573A6">
        <w:rPr>
          <w:color w:val="FF0000"/>
        </w:rPr>
        <w:t xml:space="preserve">An addendum to </w:t>
      </w:r>
      <w:r w:rsidR="00A27B09">
        <w:rPr>
          <w:color w:val="FF0000"/>
        </w:rPr>
        <w:t>this Public Summary Document</w:t>
      </w:r>
      <w:r w:rsidRPr="00A573A6">
        <w:rPr>
          <w:color w:val="FF0000"/>
        </w:rPr>
        <w:t xml:space="preserve"> has been included at the end of the document.</w:t>
      </w:r>
    </w:p>
    <w:p w14:paraId="25807051" w14:textId="4B619FBD" w:rsidR="00CC4D9A" w:rsidRDefault="00CC4D9A" w:rsidP="00732D82">
      <w:pPr>
        <w:rPr>
          <w:color w:val="FF0000"/>
        </w:rPr>
      </w:pPr>
    </w:p>
    <w:p w14:paraId="59B3A805" w14:textId="447DE2C2" w:rsidR="00FD02D1" w:rsidRDefault="00CC4D9A" w:rsidP="00CC4D9A">
      <w:pPr>
        <w:spacing w:after="120"/>
      </w:pPr>
      <w:r w:rsidRPr="00050473">
        <w:rPr>
          <w:rFonts w:eastAsia="Calibri" w:cstheme="minorHAnsi"/>
          <w:color w:val="FF0000"/>
          <w:lang w:eastAsia="en-US"/>
        </w:rPr>
        <w:t>Changes have been made to this item. Details of the corrigendum are at the end of this document</w:t>
      </w:r>
      <w:r>
        <w:rPr>
          <w:rFonts w:eastAsia="Calibri" w:cstheme="minorHAnsi"/>
          <w:color w:val="FF0000"/>
          <w:lang w:eastAsia="en-US"/>
        </w:rPr>
        <w:t>.</w:t>
      </w:r>
    </w:p>
    <w:p w14:paraId="51C6701A" w14:textId="2065263C" w:rsidR="00B60939" w:rsidRDefault="00A4159D" w:rsidP="00A4159D">
      <w:pPr>
        <w:pStyle w:val="1-MainHeading"/>
      </w:pPr>
      <w:r>
        <w:t>5.03</w:t>
      </w:r>
      <w:r w:rsidR="00163F66">
        <w:tab/>
      </w:r>
      <w:r>
        <w:t>AZACITIDINE</w:t>
      </w:r>
      <w:r w:rsidR="00163F66">
        <w:t>,</w:t>
      </w:r>
      <w:r w:rsidR="00163F66">
        <w:br/>
      </w:r>
      <w:r>
        <w:t>Tablet</w:t>
      </w:r>
      <w:r w:rsidR="000A163E">
        <w:t xml:space="preserve"> 200 mg</w:t>
      </w:r>
      <w:r>
        <w:t xml:space="preserve">, </w:t>
      </w:r>
      <w:r w:rsidR="000A163E">
        <w:t xml:space="preserve">Tablet </w:t>
      </w:r>
      <w:r>
        <w:t>300</w:t>
      </w:r>
      <w:r w:rsidR="000A163E">
        <w:t xml:space="preserve"> </w:t>
      </w:r>
      <w:r>
        <w:t>mg</w:t>
      </w:r>
      <w:r w:rsidR="00163F66">
        <w:t>,</w:t>
      </w:r>
      <w:r w:rsidR="00163F66">
        <w:br/>
      </w:r>
      <w:r>
        <w:t>Onureg</w:t>
      </w:r>
      <w:r w:rsidR="00B60939" w:rsidRPr="004A6040">
        <w:rPr>
          <w:vertAlign w:val="superscript"/>
        </w:rPr>
        <w:t>®</w:t>
      </w:r>
      <w:r w:rsidR="004A6040" w:rsidRPr="004A6040">
        <w:t>,</w:t>
      </w:r>
      <w:r w:rsidR="004A6040" w:rsidRPr="004A6040">
        <w:br/>
      </w:r>
      <w:r>
        <w:t>Celgene Pty Limited</w:t>
      </w:r>
      <w:r w:rsidR="00B60939" w:rsidRPr="004A6040">
        <w:t>.</w:t>
      </w:r>
      <w:bookmarkEnd w:id="0"/>
    </w:p>
    <w:p w14:paraId="11C00795" w14:textId="3DFB6D23" w:rsidR="00B50DB8" w:rsidRPr="00407F2D" w:rsidRDefault="00B50DB8" w:rsidP="004A6040">
      <w:pPr>
        <w:pStyle w:val="2-SectionHeading"/>
      </w:pPr>
      <w:bookmarkStart w:id="1" w:name="_Toc103244669"/>
      <w:r w:rsidRPr="00A854B7">
        <w:t>Purpose</w:t>
      </w:r>
      <w:r w:rsidRPr="00407F2D">
        <w:t xml:space="preserve"> of </w:t>
      </w:r>
      <w:r w:rsidR="00CD7193">
        <w:t>s</w:t>
      </w:r>
      <w:r w:rsidR="00BB3A45">
        <w:t>ubmission</w:t>
      </w:r>
      <w:bookmarkEnd w:id="1"/>
    </w:p>
    <w:p w14:paraId="19414AA1" w14:textId="693DA2EE" w:rsidR="002C2775" w:rsidRPr="008B1757" w:rsidRDefault="007170DA" w:rsidP="004E18E9">
      <w:pPr>
        <w:pStyle w:val="3-BodyText"/>
      </w:pPr>
      <w:r>
        <w:t xml:space="preserve">The </w:t>
      </w:r>
      <w:r w:rsidR="009D15AF">
        <w:t xml:space="preserve">Category 2 </w:t>
      </w:r>
      <w:r>
        <w:t xml:space="preserve">submission </w:t>
      </w:r>
      <w:r w:rsidRPr="004E18E9">
        <w:t xml:space="preserve">requested </w:t>
      </w:r>
      <w:r w:rsidR="00A4159D">
        <w:t xml:space="preserve">a </w:t>
      </w:r>
      <w:r w:rsidR="00753888" w:rsidRPr="00753888">
        <w:rPr>
          <w:bCs/>
        </w:rPr>
        <w:t xml:space="preserve">Section 85 (General Schedule) Authority Required (Streamlined) </w:t>
      </w:r>
      <w:r w:rsidR="008B1757" w:rsidRPr="004E18E9">
        <w:t xml:space="preserve">listing for </w:t>
      </w:r>
      <w:r w:rsidR="00753888">
        <w:t>oral azacitidine</w:t>
      </w:r>
      <w:r w:rsidR="008B1757" w:rsidRPr="004E18E9">
        <w:t xml:space="preserve"> </w:t>
      </w:r>
      <w:r w:rsidR="00753888">
        <w:t>as</w:t>
      </w:r>
      <w:r w:rsidR="008B1757" w:rsidRPr="004E18E9">
        <w:t xml:space="preserve"> </w:t>
      </w:r>
      <w:r w:rsidR="00753888" w:rsidRPr="00753888">
        <w:t>maintenance therapy in patients with acute myeloid leukaemia (AML) who achieve complete remission (CR) or complete remission with incomplete blood count recovery (CRi) following induction chemotherapy with or without consolidation treatment, and who are not candidates for, including those who choose not to proceed to, haematopoietic stem cell transplantation (HSCT</w:t>
      </w:r>
      <w:r w:rsidR="00753888">
        <w:t>).</w:t>
      </w:r>
      <w:r w:rsidR="008B1757" w:rsidRPr="004E18E9">
        <w:t xml:space="preserve"> </w:t>
      </w:r>
      <w:r w:rsidR="00A4159D">
        <w:t>Oral azacitidine has not previously been considered by the PBAC for this indication.</w:t>
      </w:r>
    </w:p>
    <w:p w14:paraId="4E9FBCB5" w14:textId="469641E8" w:rsidR="00C2778B" w:rsidRDefault="005750C5" w:rsidP="004E18E9">
      <w:pPr>
        <w:pStyle w:val="3-BodyText"/>
      </w:pPr>
      <w:r w:rsidRPr="005750C5">
        <w:t xml:space="preserve">Listing was requested on the basis of a </w:t>
      </w:r>
      <w:r w:rsidR="00753888">
        <w:t>cost</w:t>
      </w:r>
      <w:r w:rsidR="00A4159D">
        <w:t>-</w:t>
      </w:r>
      <w:r w:rsidR="00753888">
        <w:t>utility</w:t>
      </w:r>
      <w:r w:rsidRPr="005750C5">
        <w:t xml:space="preserve"> analysis</w:t>
      </w:r>
      <w:r w:rsidR="009D15AF">
        <w:t xml:space="preserve"> (CUA)</w:t>
      </w:r>
      <w:r w:rsidRPr="005750C5">
        <w:t xml:space="preserve"> </w:t>
      </w:r>
      <w:r w:rsidR="00753888">
        <w:t xml:space="preserve">comparing oral azacitidine with </w:t>
      </w:r>
      <w:r w:rsidR="00DC45D4">
        <w:t>best supportive care (</w:t>
      </w:r>
      <w:r w:rsidR="009B5D5E">
        <w:t>BSC</w:t>
      </w:r>
      <w:r w:rsidR="00DC45D4">
        <w:t>)</w:t>
      </w:r>
      <w:r w:rsidR="007F5FDA">
        <w:t xml:space="preserve">, based on the </w:t>
      </w:r>
      <w:r w:rsidR="00CF10B6">
        <w:t>efficacy and</w:t>
      </w:r>
      <w:r w:rsidR="007F5FDA">
        <w:t xml:space="preserve"> safety results from the QUAZAR trial</w:t>
      </w:r>
      <w:r>
        <w:t>.</w:t>
      </w:r>
      <w:r w:rsidR="00753888">
        <w:t xml:space="preserve"> The key components of the clinical issue addressed by the submission are presented in </w:t>
      </w:r>
      <w:r w:rsidR="00A37E73">
        <w:fldChar w:fldCharType="begin" w:fldLock="1"/>
      </w:r>
      <w:r w:rsidR="00A37E73">
        <w:instrText xml:space="preserve"> REF _Ref100749571 \h </w:instrText>
      </w:r>
      <w:r w:rsidR="00A37E73">
        <w:fldChar w:fldCharType="separate"/>
      </w:r>
      <w:r w:rsidR="00602E88">
        <w:t xml:space="preserve">Table </w:t>
      </w:r>
      <w:r w:rsidR="00602E88">
        <w:rPr>
          <w:noProof/>
        </w:rPr>
        <w:t>1</w:t>
      </w:r>
      <w:r w:rsidR="00A37E73">
        <w:fldChar w:fldCharType="end"/>
      </w:r>
      <w:r w:rsidR="00753888">
        <w:t>.</w:t>
      </w:r>
    </w:p>
    <w:p w14:paraId="3718DE61" w14:textId="2FC8B2F0" w:rsidR="008B1757" w:rsidRPr="00405135" w:rsidRDefault="00405135" w:rsidP="007647F0">
      <w:pPr>
        <w:pStyle w:val="TableFigureHeading"/>
        <w:keepLines/>
        <w:rPr>
          <w:rStyle w:val="CommentReference"/>
          <w:rFonts w:ascii="Calibri" w:hAnsi="Calibri"/>
          <w:b/>
          <w:sz w:val="18"/>
          <w:szCs w:val="18"/>
        </w:rPr>
      </w:pPr>
      <w:bookmarkStart w:id="2" w:name="_Ref100749571"/>
      <w:r>
        <w:lastRenderedPageBreak/>
        <w:t xml:space="preserve">Table </w:t>
      </w:r>
      <w:r w:rsidR="00396D16">
        <w:fldChar w:fldCharType="begin" w:fldLock="1"/>
      </w:r>
      <w:r w:rsidR="00396D16">
        <w:instrText xml:space="preserve"> SEQ Table \* ARABIC </w:instrText>
      </w:r>
      <w:r w:rsidR="00396D16">
        <w:fldChar w:fldCharType="separate"/>
      </w:r>
      <w:r w:rsidR="00602E88">
        <w:rPr>
          <w:noProof/>
        </w:rPr>
        <w:t>1</w:t>
      </w:r>
      <w:r w:rsidR="00396D16">
        <w:rPr>
          <w:noProof/>
        </w:rPr>
        <w:fldChar w:fldCharType="end"/>
      </w:r>
      <w:bookmarkEnd w:id="2"/>
      <w:r>
        <w:t xml:space="preserve">: </w:t>
      </w:r>
      <w:r w:rsidRPr="004D7A8F">
        <w:t>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Description w:val="Key components of the clinical issue addressed by the submission "/>
      </w:tblPr>
      <w:tblGrid>
        <w:gridCol w:w="1271"/>
        <w:gridCol w:w="7746"/>
      </w:tblGrid>
      <w:tr w:rsidR="008B1757" w:rsidRPr="00691913" w14:paraId="569F5103" w14:textId="77777777" w:rsidTr="00262EC2">
        <w:trPr>
          <w:cantSplit/>
          <w:tblHeader/>
        </w:trPr>
        <w:tc>
          <w:tcPr>
            <w:tcW w:w="705" w:type="pct"/>
            <w:shd w:val="clear" w:color="auto" w:fill="auto"/>
          </w:tcPr>
          <w:p w14:paraId="501803FB" w14:textId="77777777" w:rsidR="008B1757" w:rsidRPr="008B1757" w:rsidRDefault="008B1757" w:rsidP="007647F0">
            <w:pPr>
              <w:pStyle w:val="In-tableHeading"/>
              <w:keepLines/>
              <w:rPr>
                <w:szCs w:val="20"/>
              </w:rPr>
            </w:pPr>
            <w:r w:rsidRPr="008B1757">
              <w:t>Component</w:t>
            </w:r>
          </w:p>
        </w:tc>
        <w:tc>
          <w:tcPr>
            <w:tcW w:w="4295" w:type="pct"/>
            <w:shd w:val="clear" w:color="auto" w:fill="auto"/>
          </w:tcPr>
          <w:p w14:paraId="445D9EBB" w14:textId="77777777" w:rsidR="008B1757" w:rsidRPr="008B1757" w:rsidRDefault="008B1757" w:rsidP="007647F0">
            <w:pPr>
              <w:pStyle w:val="In-tableHeading"/>
              <w:keepLines/>
            </w:pPr>
            <w:r w:rsidRPr="008B1757">
              <w:t>Description</w:t>
            </w:r>
          </w:p>
        </w:tc>
      </w:tr>
      <w:tr w:rsidR="00405135" w:rsidRPr="00691913" w14:paraId="2EB546E2" w14:textId="77777777" w:rsidTr="00262EC2">
        <w:trPr>
          <w:cantSplit/>
        </w:trPr>
        <w:tc>
          <w:tcPr>
            <w:tcW w:w="705" w:type="pct"/>
            <w:shd w:val="clear" w:color="auto" w:fill="auto"/>
          </w:tcPr>
          <w:p w14:paraId="38F3BB34" w14:textId="77777777" w:rsidR="00405135" w:rsidRPr="00691913" w:rsidRDefault="00405135" w:rsidP="007647F0">
            <w:pPr>
              <w:pStyle w:val="TableText0"/>
              <w:keepLines/>
            </w:pPr>
            <w:r w:rsidRPr="00691913">
              <w:t>Population</w:t>
            </w:r>
          </w:p>
        </w:tc>
        <w:tc>
          <w:tcPr>
            <w:tcW w:w="4295" w:type="pct"/>
            <w:shd w:val="clear" w:color="auto" w:fill="auto"/>
          </w:tcPr>
          <w:p w14:paraId="79618EEE" w14:textId="13C3EB38" w:rsidR="00405135" w:rsidRPr="001E1E86" w:rsidRDefault="00405135" w:rsidP="007647F0">
            <w:pPr>
              <w:pStyle w:val="TableText0"/>
              <w:keepLines/>
              <w:rPr>
                <w:szCs w:val="20"/>
              </w:rPr>
            </w:pPr>
            <w:r>
              <w:t>Adult p</w:t>
            </w:r>
            <w:r w:rsidRPr="00840E4A">
              <w:t>atients with AM</w:t>
            </w:r>
            <w:r>
              <w:t>L</w:t>
            </w:r>
            <w:r w:rsidRPr="00840E4A">
              <w:t xml:space="preserve"> who achieve CR or CRi following induction therapy with or without consolidation treatment, and who are not candidates for, including those who choose not to proceed to HSCT</w:t>
            </w:r>
            <w:r>
              <w:t>.</w:t>
            </w:r>
          </w:p>
        </w:tc>
      </w:tr>
      <w:tr w:rsidR="00405135" w:rsidRPr="00691913" w14:paraId="0CA523AF" w14:textId="77777777" w:rsidTr="00262EC2">
        <w:trPr>
          <w:cantSplit/>
        </w:trPr>
        <w:tc>
          <w:tcPr>
            <w:tcW w:w="705" w:type="pct"/>
            <w:shd w:val="clear" w:color="auto" w:fill="auto"/>
          </w:tcPr>
          <w:p w14:paraId="7B6D20D8" w14:textId="77777777" w:rsidR="00405135" w:rsidRPr="00691913" w:rsidRDefault="00405135" w:rsidP="007647F0">
            <w:pPr>
              <w:pStyle w:val="TableText0"/>
              <w:keepLines/>
            </w:pPr>
            <w:r w:rsidRPr="00691913">
              <w:t>Intervention</w:t>
            </w:r>
          </w:p>
        </w:tc>
        <w:tc>
          <w:tcPr>
            <w:tcW w:w="4295" w:type="pct"/>
            <w:shd w:val="clear" w:color="auto" w:fill="auto"/>
          </w:tcPr>
          <w:p w14:paraId="2491E905" w14:textId="748E68E5" w:rsidR="00405135" w:rsidRPr="00691913" w:rsidRDefault="00A4159D" w:rsidP="007647F0">
            <w:pPr>
              <w:pStyle w:val="TableText0"/>
              <w:keepLines/>
            </w:pPr>
            <w:r>
              <w:t>Azacitidine</w:t>
            </w:r>
            <w:r w:rsidRPr="00C33FA0">
              <w:t xml:space="preserve"> </w:t>
            </w:r>
            <w:r w:rsidR="00405135" w:rsidRPr="00C33FA0">
              <w:t xml:space="preserve">300 mg </w:t>
            </w:r>
            <w:r w:rsidR="00405135">
              <w:t xml:space="preserve">orally </w:t>
            </w:r>
            <w:r w:rsidR="00405135" w:rsidRPr="00C33FA0">
              <w:t>QD. Each repeated cycle consists of a treatment period of 14 days followed by a treatment-free period of 14 days (28-day treatment cycle).</w:t>
            </w:r>
          </w:p>
        </w:tc>
      </w:tr>
      <w:tr w:rsidR="00405135" w:rsidRPr="00691913" w14:paraId="0F81EBE4" w14:textId="77777777" w:rsidTr="00262EC2">
        <w:trPr>
          <w:cantSplit/>
        </w:trPr>
        <w:tc>
          <w:tcPr>
            <w:tcW w:w="705" w:type="pct"/>
            <w:shd w:val="clear" w:color="auto" w:fill="auto"/>
          </w:tcPr>
          <w:p w14:paraId="3656B343" w14:textId="77777777" w:rsidR="00405135" w:rsidRPr="00691913" w:rsidRDefault="00405135" w:rsidP="007647F0">
            <w:pPr>
              <w:pStyle w:val="TableText0"/>
              <w:keepLines/>
            </w:pPr>
            <w:r w:rsidRPr="00691913">
              <w:t>Comparator</w:t>
            </w:r>
          </w:p>
        </w:tc>
        <w:tc>
          <w:tcPr>
            <w:tcW w:w="4295" w:type="pct"/>
            <w:shd w:val="clear" w:color="auto" w:fill="auto"/>
          </w:tcPr>
          <w:p w14:paraId="3727DE24" w14:textId="165B1068" w:rsidR="00405135" w:rsidRPr="00691913" w:rsidRDefault="009B5D5E" w:rsidP="007647F0">
            <w:pPr>
              <w:pStyle w:val="TableText0"/>
              <w:keepLines/>
            </w:pPr>
            <w:r>
              <w:t>BSC</w:t>
            </w:r>
            <w:r w:rsidR="00405135">
              <w:t xml:space="preserve"> or no maintenance therapy.</w:t>
            </w:r>
          </w:p>
        </w:tc>
      </w:tr>
      <w:tr w:rsidR="00405135" w:rsidRPr="00691913" w14:paraId="02F86F0D" w14:textId="77777777" w:rsidTr="00262EC2">
        <w:trPr>
          <w:cantSplit/>
        </w:trPr>
        <w:tc>
          <w:tcPr>
            <w:tcW w:w="705" w:type="pct"/>
            <w:shd w:val="clear" w:color="auto" w:fill="auto"/>
          </w:tcPr>
          <w:p w14:paraId="06433105" w14:textId="77777777" w:rsidR="00405135" w:rsidRPr="00691913" w:rsidRDefault="00405135" w:rsidP="007647F0">
            <w:pPr>
              <w:pStyle w:val="TableText0"/>
              <w:keepLines/>
            </w:pPr>
            <w:r w:rsidRPr="00691913">
              <w:t>Outcomes</w:t>
            </w:r>
          </w:p>
        </w:tc>
        <w:tc>
          <w:tcPr>
            <w:tcW w:w="4295" w:type="pct"/>
            <w:shd w:val="clear" w:color="auto" w:fill="auto"/>
          </w:tcPr>
          <w:p w14:paraId="580C8407" w14:textId="77777777" w:rsidR="00405135" w:rsidRDefault="00405135" w:rsidP="007647F0">
            <w:pPr>
              <w:pStyle w:val="Tabletext"/>
              <w:keepNext/>
              <w:keepLines/>
            </w:pPr>
            <w:r>
              <w:t>Primary: OS</w:t>
            </w:r>
          </w:p>
          <w:p w14:paraId="5ABC4037" w14:textId="7331E95D" w:rsidR="00405135" w:rsidRPr="001E1E86" w:rsidRDefault="00405135" w:rsidP="007647F0">
            <w:pPr>
              <w:pStyle w:val="TableText0"/>
              <w:keepLines/>
              <w:rPr>
                <w:rFonts w:eastAsia="Times New Roman" w:cs="Arial"/>
                <w:bCs w:val="0"/>
                <w:snapToGrid w:val="0"/>
                <w:color w:val="0066FF"/>
                <w:szCs w:val="20"/>
              </w:rPr>
            </w:pPr>
            <w:r>
              <w:t>Key secondary: RFS, TTR, TTD, HRQoL, safety.</w:t>
            </w:r>
          </w:p>
        </w:tc>
      </w:tr>
      <w:tr w:rsidR="00405135" w:rsidRPr="00691913" w14:paraId="22223890" w14:textId="77777777" w:rsidTr="00262EC2">
        <w:trPr>
          <w:cantSplit/>
        </w:trPr>
        <w:tc>
          <w:tcPr>
            <w:tcW w:w="705" w:type="pct"/>
            <w:shd w:val="clear" w:color="auto" w:fill="auto"/>
          </w:tcPr>
          <w:p w14:paraId="0FC8FCE0" w14:textId="77777777" w:rsidR="00405135" w:rsidRPr="00691913" w:rsidRDefault="00405135" w:rsidP="007647F0">
            <w:pPr>
              <w:pStyle w:val="TableText0"/>
              <w:keepLines/>
            </w:pPr>
            <w:r w:rsidRPr="00691913">
              <w:t>Clinical claim</w:t>
            </w:r>
          </w:p>
        </w:tc>
        <w:tc>
          <w:tcPr>
            <w:tcW w:w="4295" w:type="pct"/>
            <w:shd w:val="clear" w:color="auto" w:fill="auto"/>
          </w:tcPr>
          <w:p w14:paraId="2C99C4DE" w14:textId="3E9118F5" w:rsidR="00405135" w:rsidRPr="001E1E86" w:rsidRDefault="00405135" w:rsidP="007647F0">
            <w:pPr>
              <w:pStyle w:val="TableText0"/>
              <w:keepLines/>
              <w:rPr>
                <w:rFonts w:eastAsia="Times New Roman" w:cs="Arial"/>
                <w:bCs w:val="0"/>
                <w:snapToGrid w:val="0"/>
                <w:color w:val="0066FF"/>
                <w:szCs w:val="20"/>
              </w:rPr>
            </w:pPr>
            <w:r>
              <w:t xml:space="preserve">Compared with </w:t>
            </w:r>
            <w:r w:rsidR="009B5D5E">
              <w:t>BSC</w:t>
            </w:r>
            <w:r>
              <w:t xml:space="preserve"> or no active treatment, oral azacitidine offers superior comparative efficacy and inferior, but manageable, comparative safety and </w:t>
            </w:r>
            <w:r w:rsidRPr="001F756C">
              <w:t xml:space="preserve">maintains </w:t>
            </w:r>
            <w:r>
              <w:t xml:space="preserve">HRQoL. </w:t>
            </w:r>
          </w:p>
        </w:tc>
      </w:tr>
    </w:tbl>
    <w:p w14:paraId="34968793" w14:textId="4C1B5CA2" w:rsidR="00405135" w:rsidRPr="00405135" w:rsidRDefault="00405135" w:rsidP="007647F0">
      <w:pPr>
        <w:pStyle w:val="TableFigureFooter"/>
        <w:keepNext/>
        <w:keepLines/>
      </w:pPr>
      <w:r w:rsidRPr="00405135">
        <w:t>Source: Table 1, p7 of the submission.</w:t>
      </w:r>
    </w:p>
    <w:p w14:paraId="527CA7F0" w14:textId="41CD3B3B" w:rsidR="004E43B2" w:rsidRPr="00811811" w:rsidRDefault="00405135" w:rsidP="007647F0">
      <w:pPr>
        <w:pStyle w:val="TableFigureFooter"/>
        <w:keepNext/>
        <w:keepLines/>
      </w:pPr>
      <w:r w:rsidRPr="00405135">
        <w:t xml:space="preserve">Abbreviations: AML = acute myeloid leukaemia; </w:t>
      </w:r>
      <w:r w:rsidR="009B5D5E">
        <w:t xml:space="preserve">BSC = best supportive care; </w:t>
      </w:r>
      <w:r w:rsidRPr="00405135">
        <w:t>CR = complete remission; CRi = complete remission with incomplete blood count recovery; HRQoL = health-related quality of life; HSCT = haematopoietic stem cell transplantation; OS = overall survival; QD = quaque die (one a day); RFS = relapse-free survival; TTD = time to discontinuations; TTR = time to relapse.</w:t>
      </w:r>
    </w:p>
    <w:p w14:paraId="6B4AB6C2" w14:textId="7F01D731" w:rsidR="005C25FF" w:rsidRPr="00407F2D" w:rsidRDefault="005C25FF" w:rsidP="004A6040">
      <w:pPr>
        <w:pStyle w:val="2-SectionHeading"/>
      </w:pPr>
      <w:bookmarkStart w:id="3" w:name="_Toc103244670"/>
      <w:r w:rsidRPr="00407F2D">
        <w:t>Background</w:t>
      </w:r>
      <w:bookmarkEnd w:id="3"/>
    </w:p>
    <w:p w14:paraId="2C521D6D" w14:textId="78CF03EE" w:rsidR="005C25FF" w:rsidRPr="002010FD" w:rsidRDefault="005C25FF" w:rsidP="007F034A">
      <w:pPr>
        <w:pStyle w:val="4-SubsectionHeading"/>
      </w:pPr>
      <w:bookmarkStart w:id="4" w:name="_Toc22897638"/>
      <w:bookmarkStart w:id="5" w:name="_Toc103244671"/>
      <w:r w:rsidRPr="002010FD">
        <w:t>Registration status</w:t>
      </w:r>
      <w:bookmarkEnd w:id="4"/>
      <w:bookmarkEnd w:id="5"/>
    </w:p>
    <w:p w14:paraId="45D40B85" w14:textId="4A9B54EB" w:rsidR="00CC2A63" w:rsidRPr="0010205E" w:rsidRDefault="00C252DD" w:rsidP="00642CFE">
      <w:pPr>
        <w:pStyle w:val="3-BodyText"/>
      </w:pPr>
      <w:r w:rsidRPr="0010205E">
        <w:t>The submission was made under the TGA/PBAC Parallel Process</w:t>
      </w:r>
      <w:r w:rsidR="00A854B7" w:rsidRPr="0010205E">
        <w:t>. The TGA review was conducted</w:t>
      </w:r>
      <w:r w:rsidR="005F4D43" w:rsidRPr="0010205E">
        <w:t xml:space="preserve"> via Project Orbis</w:t>
      </w:r>
      <w:r w:rsidRPr="0010205E">
        <w:t xml:space="preserve">. </w:t>
      </w:r>
      <w:r w:rsidR="00405135" w:rsidRPr="0010205E">
        <w:t xml:space="preserve">Oral azacitidine </w:t>
      </w:r>
      <w:r w:rsidR="005C25FF" w:rsidRPr="0010205E">
        <w:t xml:space="preserve">was </w:t>
      </w:r>
      <w:r w:rsidR="00FE6BCA" w:rsidRPr="0010205E">
        <w:t>TGA registered on 8</w:t>
      </w:r>
      <w:r w:rsidR="005F4D43" w:rsidRPr="0010205E">
        <w:t> </w:t>
      </w:r>
      <w:r w:rsidR="00FE6BCA" w:rsidRPr="0010205E">
        <w:t>April</w:t>
      </w:r>
      <w:r w:rsidR="005F4D43" w:rsidRPr="0010205E">
        <w:t> </w:t>
      </w:r>
      <w:r w:rsidR="00FE6BCA" w:rsidRPr="0010205E">
        <w:t>2022</w:t>
      </w:r>
      <w:r w:rsidR="005C25FF" w:rsidRPr="0010205E">
        <w:t xml:space="preserve"> </w:t>
      </w:r>
      <w:r w:rsidR="00A4159D" w:rsidRPr="0010205E">
        <w:t>(during the evaluation)</w:t>
      </w:r>
      <w:r w:rsidR="00CC2A63" w:rsidRPr="0010205E">
        <w:t xml:space="preserve"> for:</w:t>
      </w:r>
      <w:r w:rsidR="00A4159D" w:rsidRPr="0010205E">
        <w:t xml:space="preserve"> </w:t>
      </w:r>
    </w:p>
    <w:p w14:paraId="4B6C9EAB" w14:textId="7EC88ABF" w:rsidR="00262EC2" w:rsidRPr="0010205E" w:rsidRDefault="005F4D43" w:rsidP="00CC2A63">
      <w:pPr>
        <w:pStyle w:val="3-BodyText"/>
        <w:numPr>
          <w:ilvl w:val="0"/>
          <w:numId w:val="0"/>
        </w:numPr>
        <w:ind w:left="720"/>
      </w:pPr>
      <w:r w:rsidRPr="0010205E">
        <w:t>‘continued treatment of adult patients with acute myeloid leukemia who achieved first complete remission (CR) or complete remission with incomplete blood count recovery (CRi) following intensive induction chemotherapy and are not able to complete intensive curative therapy’</w:t>
      </w:r>
      <w:r w:rsidR="00405135" w:rsidRPr="0010205E">
        <w:t xml:space="preserve">. </w:t>
      </w:r>
    </w:p>
    <w:p w14:paraId="0EF7EFA0" w14:textId="36E8A2C9" w:rsidR="00262EC2" w:rsidRPr="0010205E" w:rsidRDefault="00262EC2" w:rsidP="00642CFE">
      <w:pPr>
        <w:pStyle w:val="3-BodyText"/>
      </w:pPr>
      <w:r w:rsidRPr="0010205E">
        <w:t xml:space="preserve">Oral azacitidine was approved by the United States Food and Drug Authority (FDA) on 1 September 2020; the FDA-approved indication is </w:t>
      </w:r>
      <w:r w:rsidR="009353F3" w:rsidRPr="0010205E">
        <w:t xml:space="preserve">the same as </w:t>
      </w:r>
      <w:r w:rsidRPr="0010205E">
        <w:t>the TGA-approved indication.</w:t>
      </w:r>
    </w:p>
    <w:p w14:paraId="352A7B14" w14:textId="5C41A746" w:rsidR="00642CFE" w:rsidRDefault="00262EC2" w:rsidP="00262EC2">
      <w:pPr>
        <w:pStyle w:val="3-BodyText"/>
      </w:pPr>
      <w:r w:rsidRPr="0010205E">
        <w:t>During the TGA approval process, the TGA Delegate noted the FDA Reviewer’s opinion that no firm conclusions c</w:t>
      </w:r>
      <w:r w:rsidR="002360D0" w:rsidRPr="0010205E">
        <w:t>ould</w:t>
      </w:r>
      <w:r w:rsidRPr="0010205E">
        <w:t xml:space="preserve"> be drawn regarding the efficacy of treatment with oral azacitidine for patients who had completed 3 cycles of consolidation. The TGA Delegate further noted on the basis of data from QUAZAR</w:t>
      </w:r>
      <w:r w:rsidR="006961A2" w:rsidRPr="0010205E">
        <w:t xml:space="preserve"> (see </w:t>
      </w:r>
      <w:r w:rsidR="006961A2" w:rsidRPr="0010205E">
        <w:fldChar w:fldCharType="begin" w:fldLock="1"/>
      </w:r>
      <w:r w:rsidR="006961A2" w:rsidRPr="0010205E">
        <w:instrText xml:space="preserve"> REF _Ref106289853 \h </w:instrText>
      </w:r>
      <w:r w:rsidR="0010205E" w:rsidRPr="0010205E">
        <w:instrText xml:space="preserve"> \* MERGEFORMAT </w:instrText>
      </w:r>
      <w:r w:rsidR="006961A2" w:rsidRPr="0010205E">
        <w:fldChar w:fldCharType="separate"/>
      </w:r>
      <w:r w:rsidR="00602E88" w:rsidRPr="0010205E">
        <w:t xml:space="preserve">Table </w:t>
      </w:r>
      <w:r w:rsidR="00602E88">
        <w:rPr>
          <w:noProof/>
        </w:rPr>
        <w:t>6</w:t>
      </w:r>
      <w:r w:rsidR="006961A2" w:rsidRPr="0010205E">
        <w:fldChar w:fldCharType="end"/>
      </w:r>
      <w:r w:rsidR="006961A2" w:rsidRPr="0010205E">
        <w:t>)</w:t>
      </w:r>
      <w:r w:rsidRPr="0010205E">
        <w:t xml:space="preserve"> that the benefit of maintenance therapy accrues predominantly in patients who have completed no, 1 or 2 cycles of consolidation treatment. The TGA Delegate considered it uncertain if there </w:t>
      </w:r>
      <w:r w:rsidR="002360D0" w:rsidRPr="0010205E">
        <w:t>wa</w:t>
      </w:r>
      <w:r w:rsidRPr="0010205E">
        <w:t xml:space="preserve">s any benefit of maintenance therapy in patients who have had 3 rounds of consolidation therapy in whom, allowing for differences of practice, it could be concluded that curative treatment has been completed. Based on this, the Delegate recommended the above TGA approved indication for oral azacitidine (rather than the original proposed TGA indication, which was closely aligned with the proposed PBS listing, that is, for use in adult patients with AML who achieved CR or CRi following induction with or without </w:t>
      </w:r>
      <w:r w:rsidRPr="0010205E">
        <w:lastRenderedPageBreak/>
        <w:t>consolidation treatment and who are not candidates for, including those who choose not to proceed to HSCT).</w:t>
      </w:r>
      <w:r w:rsidR="009353F3" w:rsidRPr="0010205E">
        <w:t xml:space="preserve"> </w:t>
      </w:r>
    </w:p>
    <w:p w14:paraId="4BCB7CE3" w14:textId="4F2C3897" w:rsidR="0010205E" w:rsidRPr="0010205E" w:rsidRDefault="0010205E" w:rsidP="0010205E">
      <w:pPr>
        <w:pStyle w:val="3-BodyText"/>
        <w:numPr>
          <w:ilvl w:val="0"/>
          <w:numId w:val="0"/>
        </w:numPr>
        <w:ind w:left="720"/>
        <w:rPr>
          <w:i/>
          <w:iCs/>
        </w:rPr>
      </w:pPr>
      <w:r w:rsidRPr="0010205E">
        <w:rPr>
          <w:i/>
          <w:iCs/>
        </w:rPr>
        <w:t>For more detail on PBAC’s view, see section 7 PBAC outcome.</w:t>
      </w:r>
    </w:p>
    <w:p w14:paraId="56763224" w14:textId="21468C34" w:rsidR="00617E12" w:rsidRDefault="00B50DB8" w:rsidP="00617E12">
      <w:pPr>
        <w:pStyle w:val="2-SectionHeading"/>
      </w:pPr>
      <w:bookmarkStart w:id="6" w:name="_Toc103244672"/>
      <w:r w:rsidRPr="00407F2D">
        <w:t>Requested listing</w:t>
      </w:r>
      <w:bookmarkEnd w:id="6"/>
    </w:p>
    <w:p w14:paraId="2A7D7471" w14:textId="7FC98222" w:rsidR="007F034A" w:rsidRPr="00645591" w:rsidRDefault="0050412E" w:rsidP="00CC2A63">
      <w:pPr>
        <w:pStyle w:val="ListParagraph"/>
        <w:numPr>
          <w:ilvl w:val="1"/>
          <w:numId w:val="1"/>
        </w:numPr>
        <w:ind w:left="720"/>
        <w:rPr>
          <w:rFonts w:cs="Calibri"/>
          <w:bCs/>
          <w:i/>
        </w:rPr>
      </w:pPr>
      <w:r w:rsidRPr="00645591">
        <w:rPr>
          <w:rFonts w:cs="Calibri"/>
          <w:bCs/>
          <w:iCs/>
        </w:rPr>
        <w:t xml:space="preserve">The </w:t>
      </w:r>
      <w:r w:rsidR="00D62E5F" w:rsidRPr="00645591">
        <w:rPr>
          <w:rFonts w:cs="Calibri"/>
          <w:bCs/>
          <w:iCs/>
        </w:rPr>
        <w:t xml:space="preserve">restriction </w:t>
      </w:r>
      <w:r w:rsidR="00645591" w:rsidRPr="00645591">
        <w:rPr>
          <w:rFonts w:cs="Calibri"/>
          <w:bCs/>
          <w:iCs/>
        </w:rPr>
        <w:t xml:space="preserve">proposed by the submission </w:t>
      </w:r>
      <w:r w:rsidR="00645591">
        <w:rPr>
          <w:rFonts w:cs="Calibri"/>
          <w:bCs/>
          <w:iCs/>
        </w:rPr>
        <w:t>is outlined below, with amendments proposed in</w:t>
      </w:r>
      <w:r w:rsidR="00D62E5F" w:rsidRPr="00645591">
        <w:rPr>
          <w:rFonts w:cs="Calibri"/>
          <w:bCs/>
          <w:iCs/>
        </w:rPr>
        <w:t xml:space="preserve"> the</w:t>
      </w:r>
      <w:r w:rsidR="003A5BD6">
        <w:rPr>
          <w:rFonts w:cs="Calibri"/>
          <w:bCs/>
          <w:iCs/>
        </w:rPr>
        <w:t xml:space="preserve"> Pre-Sub-Committee Response</w:t>
      </w:r>
      <w:r w:rsidR="00D62E5F" w:rsidRPr="00645591">
        <w:rPr>
          <w:rFonts w:cs="Calibri"/>
          <w:bCs/>
          <w:iCs/>
        </w:rPr>
        <w:t xml:space="preserve"> </w:t>
      </w:r>
      <w:r w:rsidR="003A5BD6">
        <w:rPr>
          <w:rFonts w:cs="Calibri"/>
          <w:bCs/>
          <w:iCs/>
        </w:rPr>
        <w:t>(</w:t>
      </w:r>
      <w:r w:rsidRPr="00645591">
        <w:rPr>
          <w:rFonts w:cs="Calibri"/>
          <w:bCs/>
          <w:iCs/>
        </w:rPr>
        <w:t>PSCR</w:t>
      </w:r>
      <w:r w:rsidR="003A5BD6">
        <w:rPr>
          <w:rFonts w:cs="Calibri"/>
          <w:bCs/>
          <w:iCs/>
        </w:rPr>
        <w:t>)</w:t>
      </w:r>
      <w:r w:rsidRPr="00645591">
        <w:rPr>
          <w:rFonts w:cs="Calibri"/>
          <w:bCs/>
          <w:iCs/>
        </w:rPr>
        <w:t xml:space="preserve"> shown with strikethrough for deletions, and italics for additions. This includes a reduction in the maximum quantity. The DPMQ has been updated accordingly.</w:t>
      </w:r>
      <w:r w:rsidRPr="00645591">
        <w:rPr>
          <w:rFonts w:cs="Calibri"/>
          <w:bCs/>
          <w:i/>
        </w:rPr>
        <w:t xml:space="preserve"> </w:t>
      </w:r>
    </w:p>
    <w:tbl>
      <w:tblPr>
        <w:tblW w:w="5003" w:type="pct"/>
        <w:tblLayout w:type="fixed"/>
        <w:tblCellMar>
          <w:left w:w="28" w:type="dxa"/>
          <w:right w:w="28" w:type="dxa"/>
        </w:tblCellMar>
        <w:tblLook w:val="0000" w:firstRow="0" w:lastRow="0" w:firstColumn="0" w:lastColumn="0" w:noHBand="0" w:noVBand="0"/>
      </w:tblPr>
      <w:tblGrid>
        <w:gridCol w:w="1758"/>
        <w:gridCol w:w="648"/>
        <w:gridCol w:w="992"/>
        <w:gridCol w:w="994"/>
        <w:gridCol w:w="2269"/>
        <w:gridCol w:w="1134"/>
        <w:gridCol w:w="1237"/>
      </w:tblGrid>
      <w:tr w:rsidR="003E3463" w:rsidRPr="00413860" w14:paraId="3F3E5DD2" w14:textId="77777777" w:rsidTr="007647F0">
        <w:trPr>
          <w:trHeight w:val="463"/>
        </w:trPr>
        <w:tc>
          <w:tcPr>
            <w:tcW w:w="1332" w:type="pct"/>
            <w:gridSpan w:val="2"/>
            <w:tcBorders>
              <w:top w:val="single" w:sz="4" w:space="0" w:color="auto"/>
              <w:bottom w:val="single" w:sz="4" w:space="0" w:color="auto"/>
            </w:tcBorders>
            <w:vAlign w:val="center"/>
          </w:tcPr>
          <w:p w14:paraId="1DDDA174" w14:textId="4729BF14" w:rsidR="00617E12" w:rsidRPr="00C7151A" w:rsidRDefault="00617E12" w:rsidP="002360D0">
            <w:pPr>
              <w:keepNext/>
              <w:keepLines/>
              <w:jc w:val="left"/>
              <w:rPr>
                <w:rFonts w:ascii="Arial Narrow" w:hAnsi="Arial Narrow"/>
                <w:b/>
                <w:sz w:val="20"/>
              </w:rPr>
            </w:pPr>
            <w:r w:rsidRPr="00C7151A">
              <w:rPr>
                <w:rFonts w:ascii="Arial Narrow" w:hAnsi="Arial Narrow"/>
                <w:b/>
                <w:sz w:val="20"/>
              </w:rPr>
              <w:t>Name, Restriction</w:t>
            </w:r>
            <w:r w:rsidR="002360D0">
              <w:rPr>
                <w:rFonts w:ascii="Arial Narrow" w:hAnsi="Arial Narrow"/>
                <w:b/>
                <w:sz w:val="20"/>
              </w:rPr>
              <w:t xml:space="preserve">, </w:t>
            </w:r>
            <w:r w:rsidRPr="00C7151A">
              <w:rPr>
                <w:rFonts w:ascii="Arial Narrow" w:hAnsi="Arial Narrow"/>
                <w:b/>
                <w:sz w:val="20"/>
              </w:rPr>
              <w:t>Manner of administration and form</w:t>
            </w:r>
          </w:p>
        </w:tc>
        <w:tc>
          <w:tcPr>
            <w:tcW w:w="549" w:type="pct"/>
            <w:tcBorders>
              <w:top w:val="single" w:sz="4" w:space="0" w:color="auto"/>
              <w:bottom w:val="single" w:sz="4" w:space="0" w:color="auto"/>
            </w:tcBorders>
            <w:vAlign w:val="center"/>
          </w:tcPr>
          <w:p w14:paraId="20B12ACF" w14:textId="486BD13A" w:rsidR="00617E12" w:rsidRPr="00C7151A" w:rsidRDefault="00617E12" w:rsidP="002360D0">
            <w:pPr>
              <w:keepNext/>
              <w:keepLines/>
              <w:jc w:val="center"/>
              <w:rPr>
                <w:rFonts w:ascii="Arial Narrow" w:hAnsi="Arial Narrow"/>
                <w:b/>
                <w:sz w:val="20"/>
              </w:rPr>
            </w:pPr>
            <w:r w:rsidRPr="00C7151A">
              <w:rPr>
                <w:rFonts w:ascii="Arial Narrow" w:hAnsi="Arial Narrow"/>
                <w:b/>
                <w:sz w:val="20"/>
              </w:rPr>
              <w:t>Max.</w:t>
            </w:r>
            <w:r w:rsidR="002360D0">
              <w:rPr>
                <w:rFonts w:ascii="Arial Narrow" w:hAnsi="Arial Narrow"/>
                <w:b/>
                <w:sz w:val="20"/>
              </w:rPr>
              <w:t xml:space="preserve"> </w:t>
            </w:r>
            <w:r w:rsidRPr="00C7151A">
              <w:rPr>
                <w:rFonts w:ascii="Arial Narrow" w:hAnsi="Arial Narrow"/>
                <w:b/>
                <w:sz w:val="20"/>
              </w:rPr>
              <w:t>Qty</w:t>
            </w:r>
            <w:r w:rsidR="00591957" w:rsidRPr="00C7151A">
              <w:rPr>
                <w:rFonts w:ascii="Arial Narrow" w:hAnsi="Arial Narrow"/>
                <w:b/>
                <w:sz w:val="20"/>
              </w:rPr>
              <w:t xml:space="preserve"> </w:t>
            </w:r>
            <w:r w:rsidR="002360D0">
              <w:rPr>
                <w:rFonts w:ascii="Arial Narrow" w:hAnsi="Arial Narrow"/>
                <w:b/>
                <w:sz w:val="20"/>
              </w:rPr>
              <w:br/>
            </w:r>
            <w:r w:rsidR="000A7142">
              <w:rPr>
                <w:rFonts w:ascii="Arial Narrow" w:hAnsi="Arial Narrow"/>
                <w:b/>
                <w:sz w:val="20"/>
              </w:rPr>
              <w:t>(</w:t>
            </w:r>
            <w:r w:rsidR="00C0614D">
              <w:rPr>
                <w:rFonts w:ascii="Arial Narrow" w:hAnsi="Arial Narrow"/>
                <w:b/>
                <w:sz w:val="20"/>
              </w:rPr>
              <w:t>uni</w:t>
            </w:r>
            <w:r w:rsidR="008B1757" w:rsidRPr="00C7151A">
              <w:rPr>
                <w:rFonts w:ascii="Arial Narrow" w:hAnsi="Arial Narrow"/>
                <w:b/>
                <w:sz w:val="20"/>
              </w:rPr>
              <w:t>t</w:t>
            </w:r>
            <w:r w:rsidR="00C0614D">
              <w:rPr>
                <w:rFonts w:ascii="Arial Narrow" w:hAnsi="Arial Narrow"/>
                <w:b/>
                <w:sz w:val="20"/>
              </w:rPr>
              <w:t>s</w:t>
            </w:r>
            <w:r w:rsidR="000A7142">
              <w:rPr>
                <w:rFonts w:ascii="Arial Narrow" w:hAnsi="Arial Narrow"/>
                <w:b/>
                <w:sz w:val="20"/>
              </w:rPr>
              <w:t>)</w:t>
            </w:r>
          </w:p>
        </w:tc>
        <w:tc>
          <w:tcPr>
            <w:tcW w:w="550" w:type="pct"/>
            <w:tcBorders>
              <w:top w:val="single" w:sz="4" w:space="0" w:color="auto"/>
              <w:bottom w:val="single" w:sz="4" w:space="0" w:color="auto"/>
            </w:tcBorders>
            <w:vAlign w:val="center"/>
          </w:tcPr>
          <w:p w14:paraId="47C41B58" w14:textId="3C1D93E7" w:rsidR="00617E12" w:rsidRPr="00C7151A" w:rsidRDefault="00617E12" w:rsidP="00D81477">
            <w:pPr>
              <w:keepNext/>
              <w:keepLines/>
              <w:jc w:val="center"/>
              <w:rPr>
                <w:rFonts w:ascii="Arial Narrow" w:hAnsi="Arial Narrow"/>
                <w:b/>
                <w:sz w:val="20"/>
              </w:rPr>
            </w:pPr>
            <w:r w:rsidRPr="00C7151A">
              <w:rPr>
                <w:rFonts w:ascii="Arial Narrow" w:hAnsi="Arial Narrow" w:cs="Times New Roman"/>
                <w:b/>
                <w:sz w:val="20"/>
              </w:rPr>
              <w:t>№</w:t>
            </w:r>
            <w:r w:rsidRPr="00C7151A">
              <w:rPr>
                <w:rFonts w:ascii="Arial Narrow" w:hAnsi="Arial Narrow"/>
                <w:b/>
                <w:sz w:val="20"/>
              </w:rPr>
              <w:t>.</w:t>
            </w:r>
            <w:r w:rsidR="00C0614D">
              <w:rPr>
                <w:rFonts w:ascii="Arial Narrow" w:hAnsi="Arial Narrow"/>
                <w:b/>
                <w:sz w:val="20"/>
              </w:rPr>
              <w:t xml:space="preserve"> </w:t>
            </w:r>
            <w:r w:rsidRPr="00C7151A">
              <w:rPr>
                <w:rFonts w:ascii="Arial Narrow" w:hAnsi="Arial Narrow"/>
                <w:b/>
                <w:sz w:val="20"/>
              </w:rPr>
              <w:t>of</w:t>
            </w:r>
          </w:p>
          <w:p w14:paraId="4959D822" w14:textId="77777777" w:rsidR="00617E12" w:rsidRPr="00C7151A" w:rsidRDefault="00617E12" w:rsidP="00D81477">
            <w:pPr>
              <w:keepNext/>
              <w:keepLines/>
              <w:jc w:val="center"/>
              <w:rPr>
                <w:rFonts w:ascii="Arial Narrow" w:hAnsi="Arial Narrow"/>
                <w:b/>
                <w:sz w:val="20"/>
              </w:rPr>
            </w:pPr>
            <w:r w:rsidRPr="00C7151A">
              <w:rPr>
                <w:rFonts w:ascii="Arial Narrow" w:hAnsi="Arial Narrow"/>
                <w:b/>
                <w:sz w:val="20"/>
              </w:rPr>
              <w:t>Rpts</w:t>
            </w:r>
          </w:p>
        </w:tc>
        <w:tc>
          <w:tcPr>
            <w:tcW w:w="1256" w:type="pct"/>
            <w:tcBorders>
              <w:top w:val="single" w:sz="4" w:space="0" w:color="auto"/>
              <w:bottom w:val="single" w:sz="4" w:space="0" w:color="auto"/>
            </w:tcBorders>
            <w:vAlign w:val="center"/>
          </w:tcPr>
          <w:p w14:paraId="16C5700A" w14:textId="2CEB6197" w:rsidR="00617E12" w:rsidRPr="00C7151A" w:rsidRDefault="002360D0" w:rsidP="00D81477">
            <w:pPr>
              <w:keepNext/>
              <w:keepLines/>
              <w:jc w:val="center"/>
              <w:rPr>
                <w:rFonts w:ascii="Arial Narrow" w:hAnsi="Arial Narrow"/>
                <w:b/>
                <w:sz w:val="20"/>
              </w:rPr>
            </w:pPr>
            <w:r>
              <w:rPr>
                <w:rFonts w:ascii="Arial Narrow" w:hAnsi="Arial Narrow"/>
                <w:b/>
                <w:sz w:val="20"/>
              </w:rPr>
              <w:t>DPMQ</w:t>
            </w:r>
            <w:r w:rsidR="00591957" w:rsidRPr="00C7151A">
              <w:rPr>
                <w:rFonts w:ascii="Arial Narrow" w:hAnsi="Arial Narrow"/>
                <w:b/>
                <w:sz w:val="20"/>
              </w:rPr>
              <w:t xml:space="preserve"> </w:t>
            </w:r>
          </w:p>
        </w:tc>
        <w:tc>
          <w:tcPr>
            <w:tcW w:w="1313" w:type="pct"/>
            <w:gridSpan w:val="2"/>
            <w:tcBorders>
              <w:top w:val="single" w:sz="4" w:space="0" w:color="auto"/>
              <w:bottom w:val="single" w:sz="4" w:space="0" w:color="auto"/>
            </w:tcBorders>
            <w:vAlign w:val="center"/>
          </w:tcPr>
          <w:p w14:paraId="2F67E163" w14:textId="77777777" w:rsidR="00617E12" w:rsidRPr="00C7151A" w:rsidRDefault="00617E12" w:rsidP="00D81477">
            <w:pPr>
              <w:keepNext/>
              <w:keepLines/>
              <w:jc w:val="center"/>
              <w:rPr>
                <w:rFonts w:ascii="Arial Narrow" w:hAnsi="Arial Narrow"/>
                <w:b/>
                <w:sz w:val="20"/>
                <w:lang w:val="fr-FR"/>
              </w:rPr>
            </w:pPr>
            <w:r w:rsidRPr="00C7151A">
              <w:rPr>
                <w:rFonts w:ascii="Arial Narrow" w:hAnsi="Arial Narrow"/>
                <w:b/>
                <w:sz w:val="20"/>
              </w:rPr>
              <w:t>Proprietary Name and Manufacturer</w:t>
            </w:r>
          </w:p>
        </w:tc>
      </w:tr>
      <w:tr w:rsidR="003E3463" w:rsidRPr="00413860" w14:paraId="7FCBB5F3" w14:textId="77777777" w:rsidTr="007647F0">
        <w:trPr>
          <w:trHeight w:val="567"/>
        </w:trPr>
        <w:tc>
          <w:tcPr>
            <w:tcW w:w="1332" w:type="pct"/>
            <w:gridSpan w:val="2"/>
            <w:tcBorders>
              <w:bottom w:val="single" w:sz="4" w:space="0" w:color="auto"/>
            </w:tcBorders>
            <w:vAlign w:val="center"/>
          </w:tcPr>
          <w:p w14:paraId="19555401" w14:textId="77777777" w:rsidR="00C0614D" w:rsidRPr="00C0614D" w:rsidRDefault="00C0614D" w:rsidP="00D81477">
            <w:pPr>
              <w:keepNext/>
              <w:keepLines/>
              <w:jc w:val="left"/>
              <w:rPr>
                <w:rFonts w:ascii="Arial Narrow" w:hAnsi="Arial Narrow"/>
                <w:sz w:val="20"/>
              </w:rPr>
            </w:pPr>
            <w:r w:rsidRPr="00C0614D">
              <w:rPr>
                <w:rFonts w:ascii="Arial Narrow" w:hAnsi="Arial Narrow"/>
                <w:sz w:val="20"/>
              </w:rPr>
              <w:t>Azacitidine</w:t>
            </w:r>
          </w:p>
          <w:p w14:paraId="20DB567C" w14:textId="7B47A7CF" w:rsidR="00617E12" w:rsidRPr="00591957" w:rsidRDefault="00C0614D" w:rsidP="00D81477">
            <w:pPr>
              <w:keepNext/>
              <w:keepLines/>
              <w:jc w:val="left"/>
              <w:rPr>
                <w:rFonts w:ascii="Arial Narrow" w:hAnsi="Arial Narrow"/>
                <w:sz w:val="20"/>
              </w:rPr>
            </w:pPr>
            <w:r w:rsidRPr="00C0614D">
              <w:rPr>
                <w:rFonts w:ascii="Arial Narrow" w:hAnsi="Arial Narrow"/>
                <w:sz w:val="20"/>
              </w:rPr>
              <w:t>300 mg tablet, 7</w:t>
            </w:r>
          </w:p>
        </w:tc>
        <w:tc>
          <w:tcPr>
            <w:tcW w:w="549" w:type="pct"/>
            <w:tcBorders>
              <w:bottom w:val="single" w:sz="4" w:space="0" w:color="auto"/>
            </w:tcBorders>
            <w:vAlign w:val="center"/>
          </w:tcPr>
          <w:p w14:paraId="0329C315" w14:textId="555E8F07" w:rsidR="00617E12" w:rsidRPr="00C231A8" w:rsidRDefault="0050412E" w:rsidP="00D81477">
            <w:pPr>
              <w:keepNext/>
              <w:keepLines/>
              <w:jc w:val="center"/>
              <w:rPr>
                <w:rFonts w:ascii="Arial Narrow" w:hAnsi="Arial Narrow"/>
                <w:i/>
                <w:iCs/>
                <w:sz w:val="20"/>
              </w:rPr>
            </w:pPr>
            <w:r w:rsidRPr="0050412E">
              <w:rPr>
                <w:rFonts w:ascii="Arial Narrow" w:hAnsi="Arial Narrow"/>
                <w:strike/>
                <w:sz w:val="20"/>
              </w:rPr>
              <w:t>21</w:t>
            </w:r>
            <w:r>
              <w:rPr>
                <w:rFonts w:ascii="Arial Narrow" w:hAnsi="Arial Narrow"/>
                <w:i/>
                <w:iCs/>
                <w:sz w:val="20"/>
              </w:rPr>
              <w:t xml:space="preserve"> </w:t>
            </w:r>
            <w:r w:rsidR="0028651C" w:rsidRPr="00C231A8">
              <w:rPr>
                <w:rFonts w:ascii="Arial Narrow" w:hAnsi="Arial Narrow"/>
                <w:i/>
                <w:iCs/>
                <w:sz w:val="20"/>
              </w:rPr>
              <w:t>14</w:t>
            </w:r>
          </w:p>
        </w:tc>
        <w:tc>
          <w:tcPr>
            <w:tcW w:w="550" w:type="pct"/>
            <w:tcBorders>
              <w:bottom w:val="single" w:sz="4" w:space="0" w:color="auto"/>
            </w:tcBorders>
            <w:vAlign w:val="center"/>
          </w:tcPr>
          <w:p w14:paraId="1822E97A" w14:textId="58795992" w:rsidR="00617E12" w:rsidRPr="00591957" w:rsidRDefault="00C0614D" w:rsidP="00D81477">
            <w:pPr>
              <w:keepNext/>
              <w:keepLines/>
              <w:jc w:val="center"/>
              <w:rPr>
                <w:rFonts w:ascii="Arial Narrow" w:hAnsi="Arial Narrow"/>
                <w:sz w:val="20"/>
              </w:rPr>
            </w:pPr>
            <w:r>
              <w:rPr>
                <w:rFonts w:ascii="Arial Narrow" w:hAnsi="Arial Narrow"/>
                <w:sz w:val="20"/>
              </w:rPr>
              <w:t>2</w:t>
            </w:r>
          </w:p>
        </w:tc>
        <w:tc>
          <w:tcPr>
            <w:tcW w:w="1256" w:type="pct"/>
            <w:tcBorders>
              <w:bottom w:val="single" w:sz="4" w:space="0" w:color="auto"/>
            </w:tcBorders>
            <w:vAlign w:val="center"/>
          </w:tcPr>
          <w:p w14:paraId="69BF595D" w14:textId="37EAD7FF" w:rsidR="00C0614D" w:rsidRPr="00C0614D" w:rsidRDefault="00C0614D" w:rsidP="00D81477">
            <w:pPr>
              <w:keepNext/>
              <w:keepLines/>
              <w:jc w:val="center"/>
              <w:rPr>
                <w:rFonts w:ascii="Arial Narrow" w:hAnsi="Arial Narrow"/>
                <w:bCs/>
                <w:sz w:val="20"/>
              </w:rPr>
            </w:pPr>
            <w:r w:rsidRPr="00C0614D">
              <w:rPr>
                <w:rFonts w:ascii="Arial Narrow" w:hAnsi="Arial Narrow"/>
                <w:bCs/>
                <w:sz w:val="20"/>
              </w:rPr>
              <w:t>Published: $</w:t>
            </w:r>
            <w:r w:rsidR="00C231A8" w:rsidRPr="00C231A8">
              <w:rPr>
                <w:rFonts w:ascii="Arial Narrow" w:hAnsi="Arial Narrow"/>
                <w:bCs/>
                <w:i/>
                <w:iCs/>
                <w:sz w:val="20"/>
              </w:rPr>
              <w:t>20,574.24</w:t>
            </w:r>
          </w:p>
          <w:p w14:paraId="2097F2B6" w14:textId="1D9DC4B5" w:rsidR="00617E12" w:rsidRPr="00591957" w:rsidRDefault="00C0614D" w:rsidP="00D81477">
            <w:pPr>
              <w:keepNext/>
              <w:keepLines/>
              <w:jc w:val="center"/>
              <w:rPr>
                <w:rFonts w:ascii="Arial Narrow" w:hAnsi="Arial Narrow"/>
                <w:sz w:val="20"/>
              </w:rPr>
            </w:pPr>
            <w:r w:rsidRPr="00C0614D">
              <w:rPr>
                <w:rFonts w:ascii="Arial Narrow" w:hAnsi="Arial Narrow"/>
                <w:sz w:val="20"/>
              </w:rPr>
              <w:t>Effective: $</w:t>
            </w:r>
            <w:r w:rsidR="00EB4495" w:rsidRPr="00EB4495">
              <w:rPr>
                <w:rFonts w:ascii="Arial Narrow" w:hAnsi="Arial Narrow"/>
                <w:i/>
                <w:iCs/>
                <w:color w:val="000000"/>
                <w:sz w:val="20"/>
                <w:shd w:val="solid" w:color="000000" w:fill="000000"/>
                <w14:textFill>
                  <w14:solidFill>
                    <w14:srgbClr w14:val="000000">
                      <w14:alpha w14:val="100000"/>
                    </w14:srgbClr>
                  </w14:solidFill>
                </w14:textFill>
              </w:rPr>
              <w:t>|</w:t>
            </w:r>
          </w:p>
        </w:tc>
        <w:tc>
          <w:tcPr>
            <w:tcW w:w="628" w:type="pct"/>
            <w:tcBorders>
              <w:bottom w:val="single" w:sz="4" w:space="0" w:color="auto"/>
            </w:tcBorders>
            <w:vAlign w:val="center"/>
          </w:tcPr>
          <w:p w14:paraId="55ACCE57" w14:textId="54B209E0" w:rsidR="00E366EA" w:rsidRDefault="00E366EA" w:rsidP="002360D0">
            <w:pPr>
              <w:keepNext/>
              <w:keepLines/>
              <w:jc w:val="center"/>
              <w:rPr>
                <w:rFonts w:ascii="Arial Narrow" w:hAnsi="Arial Narrow"/>
                <w:sz w:val="20"/>
                <w:vertAlign w:val="superscript"/>
              </w:rPr>
            </w:pPr>
            <w:r w:rsidRPr="00C0614D">
              <w:rPr>
                <w:rFonts w:ascii="Arial Narrow" w:hAnsi="Arial Narrow"/>
                <w:sz w:val="20"/>
              </w:rPr>
              <w:t>Onureg</w:t>
            </w:r>
            <w:r w:rsidRPr="00C0614D">
              <w:rPr>
                <w:rFonts w:ascii="Arial Narrow" w:hAnsi="Arial Narrow"/>
                <w:sz w:val="20"/>
                <w:vertAlign w:val="superscript"/>
              </w:rPr>
              <w:t>®</w:t>
            </w:r>
          </w:p>
          <w:p w14:paraId="0047029E" w14:textId="42C1DDF9" w:rsidR="00617E12" w:rsidRPr="00591957" w:rsidRDefault="00617E12" w:rsidP="002360D0">
            <w:pPr>
              <w:keepNext/>
              <w:keepLines/>
              <w:jc w:val="center"/>
              <w:rPr>
                <w:rFonts w:ascii="Arial Narrow" w:hAnsi="Arial Narrow"/>
                <w:sz w:val="20"/>
              </w:rPr>
            </w:pPr>
          </w:p>
        </w:tc>
        <w:tc>
          <w:tcPr>
            <w:tcW w:w="685" w:type="pct"/>
            <w:tcBorders>
              <w:bottom w:val="single" w:sz="4" w:space="0" w:color="auto"/>
            </w:tcBorders>
            <w:vAlign w:val="center"/>
          </w:tcPr>
          <w:p w14:paraId="3F3C1A5A" w14:textId="0F2BD8BE" w:rsidR="00591957" w:rsidRPr="00591957" w:rsidRDefault="00C0614D" w:rsidP="00D81477">
            <w:pPr>
              <w:keepNext/>
              <w:keepLines/>
              <w:jc w:val="left"/>
              <w:rPr>
                <w:rFonts w:ascii="Arial Narrow" w:hAnsi="Arial Narrow"/>
                <w:sz w:val="20"/>
              </w:rPr>
            </w:pPr>
            <w:r w:rsidRPr="00C0614D">
              <w:rPr>
                <w:rFonts w:ascii="Arial Narrow" w:hAnsi="Arial Narrow"/>
                <w:sz w:val="20"/>
              </w:rPr>
              <w:t>Celgene Pty</w:t>
            </w:r>
            <w:r>
              <w:rPr>
                <w:rFonts w:ascii="Arial Narrow" w:hAnsi="Arial Narrow"/>
                <w:sz w:val="20"/>
              </w:rPr>
              <w:t xml:space="preserve"> </w:t>
            </w:r>
            <w:r w:rsidRPr="00C0614D">
              <w:rPr>
                <w:rFonts w:ascii="Arial Narrow" w:hAnsi="Arial Narrow"/>
                <w:sz w:val="20"/>
              </w:rPr>
              <w:t>Limited</w:t>
            </w:r>
          </w:p>
        </w:tc>
      </w:tr>
      <w:tr w:rsidR="003E3463" w:rsidRPr="00413860" w14:paraId="4301A127" w14:textId="77777777" w:rsidTr="007647F0">
        <w:trPr>
          <w:trHeight w:val="567"/>
        </w:trPr>
        <w:tc>
          <w:tcPr>
            <w:tcW w:w="1332" w:type="pct"/>
            <w:gridSpan w:val="2"/>
            <w:tcBorders>
              <w:top w:val="single" w:sz="4" w:space="0" w:color="auto"/>
            </w:tcBorders>
            <w:vAlign w:val="center"/>
          </w:tcPr>
          <w:p w14:paraId="6051BA3A" w14:textId="77777777" w:rsidR="00C0614D" w:rsidRPr="00C0614D" w:rsidRDefault="00C0614D" w:rsidP="00D81477">
            <w:pPr>
              <w:keepNext/>
              <w:keepLines/>
              <w:jc w:val="left"/>
              <w:rPr>
                <w:rFonts w:ascii="Arial Narrow" w:hAnsi="Arial Narrow"/>
                <w:sz w:val="20"/>
              </w:rPr>
            </w:pPr>
            <w:r w:rsidRPr="00C0614D">
              <w:rPr>
                <w:rFonts w:ascii="Arial Narrow" w:hAnsi="Arial Narrow"/>
                <w:sz w:val="20"/>
              </w:rPr>
              <w:t>Azacitidine</w:t>
            </w:r>
          </w:p>
          <w:p w14:paraId="5228E320" w14:textId="06FDBBCB" w:rsidR="00C0614D" w:rsidRPr="00C0614D" w:rsidRDefault="00C0614D" w:rsidP="00D81477">
            <w:pPr>
              <w:keepNext/>
              <w:keepLines/>
              <w:jc w:val="left"/>
              <w:rPr>
                <w:rFonts w:ascii="Arial Narrow" w:hAnsi="Arial Narrow"/>
                <w:sz w:val="20"/>
              </w:rPr>
            </w:pPr>
            <w:r>
              <w:rPr>
                <w:rFonts w:ascii="Arial Narrow" w:hAnsi="Arial Narrow"/>
                <w:sz w:val="20"/>
              </w:rPr>
              <w:t>2</w:t>
            </w:r>
            <w:r w:rsidRPr="00C0614D">
              <w:rPr>
                <w:rFonts w:ascii="Arial Narrow" w:hAnsi="Arial Narrow"/>
                <w:sz w:val="20"/>
              </w:rPr>
              <w:t>00 mg tablet, 7</w:t>
            </w:r>
          </w:p>
        </w:tc>
        <w:tc>
          <w:tcPr>
            <w:tcW w:w="549" w:type="pct"/>
            <w:tcBorders>
              <w:top w:val="single" w:sz="4" w:space="0" w:color="auto"/>
            </w:tcBorders>
            <w:vAlign w:val="center"/>
          </w:tcPr>
          <w:p w14:paraId="059E2C81" w14:textId="3E6C1BC3" w:rsidR="00C0614D" w:rsidRPr="00C231A8" w:rsidRDefault="0050412E" w:rsidP="00D81477">
            <w:pPr>
              <w:keepNext/>
              <w:keepLines/>
              <w:jc w:val="center"/>
              <w:rPr>
                <w:rFonts w:ascii="Arial Narrow" w:hAnsi="Arial Narrow"/>
                <w:i/>
                <w:iCs/>
                <w:sz w:val="20"/>
              </w:rPr>
            </w:pPr>
            <w:r w:rsidRPr="0050412E">
              <w:rPr>
                <w:rFonts w:ascii="Arial Narrow" w:hAnsi="Arial Narrow"/>
                <w:strike/>
                <w:sz w:val="20"/>
              </w:rPr>
              <w:t>21</w:t>
            </w:r>
            <w:r w:rsidRPr="0050412E">
              <w:rPr>
                <w:rFonts w:ascii="Arial Narrow" w:hAnsi="Arial Narrow"/>
                <w:sz w:val="20"/>
              </w:rPr>
              <w:t xml:space="preserve"> </w:t>
            </w:r>
            <w:r w:rsidR="0028651C" w:rsidRPr="00C231A8">
              <w:rPr>
                <w:rFonts w:ascii="Arial Narrow" w:hAnsi="Arial Narrow"/>
                <w:i/>
                <w:iCs/>
                <w:sz w:val="20"/>
              </w:rPr>
              <w:t>14</w:t>
            </w:r>
          </w:p>
        </w:tc>
        <w:tc>
          <w:tcPr>
            <w:tcW w:w="550" w:type="pct"/>
            <w:tcBorders>
              <w:top w:val="single" w:sz="4" w:space="0" w:color="auto"/>
            </w:tcBorders>
            <w:vAlign w:val="center"/>
          </w:tcPr>
          <w:p w14:paraId="201DF73B" w14:textId="3E84F85A" w:rsidR="00C0614D" w:rsidRPr="00591957" w:rsidRDefault="00C0614D" w:rsidP="00D81477">
            <w:pPr>
              <w:keepNext/>
              <w:keepLines/>
              <w:jc w:val="center"/>
              <w:rPr>
                <w:rFonts w:ascii="Arial Narrow" w:hAnsi="Arial Narrow"/>
                <w:sz w:val="20"/>
              </w:rPr>
            </w:pPr>
            <w:r>
              <w:rPr>
                <w:rFonts w:ascii="Arial Narrow" w:hAnsi="Arial Narrow"/>
                <w:sz w:val="20"/>
              </w:rPr>
              <w:t>2</w:t>
            </w:r>
          </w:p>
        </w:tc>
        <w:tc>
          <w:tcPr>
            <w:tcW w:w="1256" w:type="pct"/>
            <w:tcBorders>
              <w:top w:val="single" w:sz="4" w:space="0" w:color="auto"/>
            </w:tcBorders>
            <w:vAlign w:val="center"/>
          </w:tcPr>
          <w:p w14:paraId="7009C96D" w14:textId="10284CB1" w:rsidR="00C0614D" w:rsidRPr="00C0614D" w:rsidRDefault="00C0614D" w:rsidP="00D81477">
            <w:pPr>
              <w:keepNext/>
              <w:keepLines/>
              <w:jc w:val="center"/>
              <w:rPr>
                <w:rFonts w:ascii="Arial Narrow" w:hAnsi="Arial Narrow"/>
                <w:bCs/>
                <w:sz w:val="20"/>
              </w:rPr>
            </w:pPr>
            <w:r w:rsidRPr="00C0614D">
              <w:rPr>
                <w:rFonts w:ascii="Arial Narrow" w:hAnsi="Arial Narrow"/>
                <w:bCs/>
                <w:sz w:val="20"/>
              </w:rPr>
              <w:t>Published: $</w:t>
            </w:r>
            <w:r w:rsidR="00C231A8" w:rsidRPr="00C231A8">
              <w:rPr>
                <w:rFonts w:ascii="Arial Narrow" w:hAnsi="Arial Narrow"/>
                <w:bCs/>
                <w:i/>
                <w:iCs/>
                <w:sz w:val="20"/>
              </w:rPr>
              <w:t>20,574.24</w:t>
            </w:r>
          </w:p>
          <w:p w14:paraId="38A245E9" w14:textId="6F8F9D6B" w:rsidR="00C0614D" w:rsidRPr="00591957" w:rsidRDefault="00C0614D" w:rsidP="00D81477">
            <w:pPr>
              <w:keepNext/>
              <w:keepLines/>
              <w:jc w:val="center"/>
              <w:rPr>
                <w:rFonts w:ascii="Arial Narrow" w:hAnsi="Arial Narrow"/>
                <w:sz w:val="20"/>
              </w:rPr>
            </w:pPr>
            <w:r w:rsidRPr="00C0614D">
              <w:rPr>
                <w:rFonts w:ascii="Arial Narrow" w:hAnsi="Arial Narrow"/>
                <w:sz w:val="20"/>
              </w:rPr>
              <w:t>Effective: $</w:t>
            </w:r>
            <w:r w:rsidR="00EB4495" w:rsidRPr="00EB4495">
              <w:rPr>
                <w:rFonts w:ascii="Arial Narrow" w:hAnsi="Arial Narrow"/>
                <w:i/>
                <w:iCs/>
                <w:color w:val="000000"/>
                <w:sz w:val="20"/>
                <w:shd w:val="solid" w:color="000000" w:fill="000000"/>
                <w14:textFill>
                  <w14:solidFill>
                    <w14:srgbClr w14:val="000000">
                      <w14:alpha w14:val="100000"/>
                    </w14:srgbClr>
                  </w14:solidFill>
                </w14:textFill>
              </w:rPr>
              <w:t>|</w:t>
            </w:r>
          </w:p>
        </w:tc>
        <w:tc>
          <w:tcPr>
            <w:tcW w:w="628" w:type="pct"/>
            <w:tcBorders>
              <w:top w:val="single" w:sz="4" w:space="0" w:color="auto"/>
            </w:tcBorders>
            <w:vAlign w:val="center"/>
          </w:tcPr>
          <w:p w14:paraId="16698F63" w14:textId="4D31B47C" w:rsidR="00E366EA" w:rsidRDefault="00E366EA" w:rsidP="002360D0">
            <w:pPr>
              <w:keepNext/>
              <w:keepLines/>
              <w:jc w:val="center"/>
              <w:rPr>
                <w:rFonts w:ascii="Arial Narrow" w:hAnsi="Arial Narrow"/>
                <w:sz w:val="20"/>
                <w:vertAlign w:val="superscript"/>
              </w:rPr>
            </w:pPr>
            <w:r w:rsidRPr="00C0614D">
              <w:rPr>
                <w:rFonts w:ascii="Arial Narrow" w:hAnsi="Arial Narrow"/>
                <w:sz w:val="20"/>
              </w:rPr>
              <w:t>Onureg</w:t>
            </w:r>
            <w:r w:rsidRPr="00C0614D">
              <w:rPr>
                <w:rFonts w:ascii="Arial Narrow" w:hAnsi="Arial Narrow"/>
                <w:sz w:val="20"/>
                <w:vertAlign w:val="superscript"/>
              </w:rPr>
              <w:t>®</w:t>
            </w:r>
          </w:p>
          <w:p w14:paraId="4460CD51" w14:textId="77777777" w:rsidR="00C0614D" w:rsidRPr="00591957" w:rsidRDefault="00C0614D" w:rsidP="002360D0">
            <w:pPr>
              <w:keepNext/>
              <w:keepLines/>
              <w:jc w:val="center"/>
              <w:rPr>
                <w:rFonts w:ascii="Arial Narrow" w:hAnsi="Arial Narrow"/>
                <w:sz w:val="20"/>
              </w:rPr>
            </w:pPr>
          </w:p>
        </w:tc>
        <w:tc>
          <w:tcPr>
            <w:tcW w:w="685" w:type="pct"/>
            <w:tcBorders>
              <w:top w:val="single" w:sz="4" w:space="0" w:color="auto"/>
            </w:tcBorders>
            <w:vAlign w:val="center"/>
          </w:tcPr>
          <w:p w14:paraId="50B175D1" w14:textId="202699C9" w:rsidR="00C0614D" w:rsidRPr="00591957" w:rsidRDefault="00C0614D" w:rsidP="00D81477">
            <w:pPr>
              <w:keepNext/>
              <w:keepLines/>
              <w:jc w:val="left"/>
              <w:rPr>
                <w:rFonts w:ascii="Arial Narrow" w:hAnsi="Arial Narrow"/>
                <w:sz w:val="20"/>
              </w:rPr>
            </w:pPr>
            <w:r w:rsidRPr="00C0614D">
              <w:rPr>
                <w:rFonts w:ascii="Arial Narrow" w:hAnsi="Arial Narrow"/>
                <w:sz w:val="20"/>
              </w:rPr>
              <w:t>Celgene Pty Limited</w:t>
            </w:r>
          </w:p>
        </w:tc>
      </w:tr>
      <w:tr w:rsidR="005765FF" w:rsidRPr="00A30A33" w14:paraId="714ABA0E" w14:textId="77777777" w:rsidTr="003D4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73" w:type="pct"/>
            <w:tcBorders>
              <w:top w:val="single" w:sz="4" w:space="0" w:color="auto"/>
              <w:left w:val="single" w:sz="4" w:space="0" w:color="auto"/>
              <w:bottom w:val="single" w:sz="4" w:space="0" w:color="auto"/>
              <w:right w:val="single" w:sz="4" w:space="0" w:color="auto"/>
            </w:tcBorders>
            <w:hideMark/>
          </w:tcPr>
          <w:p w14:paraId="37D692F1" w14:textId="1D344C53" w:rsidR="005765FF" w:rsidRPr="002360D0" w:rsidRDefault="005765FF" w:rsidP="00D81477">
            <w:pPr>
              <w:pStyle w:val="Tabletext"/>
              <w:keepNext/>
              <w:keepLines/>
              <w:rPr>
                <w:b/>
                <w:bCs/>
              </w:rPr>
            </w:pPr>
            <w:r w:rsidRPr="002360D0">
              <w:rPr>
                <w:b/>
                <w:bCs/>
              </w:rPr>
              <w:t>Category/Program:</w:t>
            </w:r>
          </w:p>
        </w:tc>
        <w:tc>
          <w:tcPr>
            <w:tcW w:w="4027" w:type="pct"/>
            <w:gridSpan w:val="6"/>
            <w:tcBorders>
              <w:top w:val="single" w:sz="4" w:space="0" w:color="auto"/>
              <w:left w:val="single" w:sz="4" w:space="0" w:color="auto"/>
              <w:bottom w:val="single" w:sz="4" w:space="0" w:color="auto"/>
              <w:right w:val="single" w:sz="4" w:space="0" w:color="auto"/>
            </w:tcBorders>
          </w:tcPr>
          <w:p w14:paraId="3DD00B35" w14:textId="364FB14D" w:rsidR="005765FF" w:rsidRPr="00A30A33" w:rsidRDefault="005765FF" w:rsidP="00D81477">
            <w:pPr>
              <w:pStyle w:val="Tabletext"/>
              <w:keepNext/>
              <w:keepLines/>
            </w:pPr>
            <w:r>
              <w:t>GENERAL – General Schedule (Code GE)</w:t>
            </w:r>
          </w:p>
        </w:tc>
      </w:tr>
      <w:tr w:rsidR="005765FF" w:rsidRPr="00A30A33" w14:paraId="6A82E2AD" w14:textId="77777777" w:rsidTr="003D4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73" w:type="pct"/>
            <w:tcBorders>
              <w:top w:val="single" w:sz="4" w:space="0" w:color="auto"/>
              <w:left w:val="single" w:sz="4" w:space="0" w:color="auto"/>
              <w:bottom w:val="single" w:sz="4" w:space="0" w:color="auto"/>
              <w:right w:val="single" w:sz="4" w:space="0" w:color="auto"/>
            </w:tcBorders>
            <w:hideMark/>
          </w:tcPr>
          <w:p w14:paraId="5AD0A811" w14:textId="4DA0756A" w:rsidR="005765FF" w:rsidRPr="002360D0" w:rsidRDefault="005765FF" w:rsidP="00D81477">
            <w:pPr>
              <w:pStyle w:val="Tabletext"/>
              <w:keepNext/>
              <w:keepLines/>
              <w:rPr>
                <w:b/>
                <w:bCs/>
              </w:rPr>
            </w:pPr>
            <w:r w:rsidRPr="002360D0">
              <w:rPr>
                <w:b/>
                <w:bCs/>
              </w:rPr>
              <w:t>PBS indication:</w:t>
            </w:r>
          </w:p>
        </w:tc>
        <w:tc>
          <w:tcPr>
            <w:tcW w:w="4027" w:type="pct"/>
            <w:gridSpan w:val="6"/>
            <w:tcBorders>
              <w:top w:val="single" w:sz="4" w:space="0" w:color="auto"/>
              <w:left w:val="single" w:sz="4" w:space="0" w:color="auto"/>
              <w:bottom w:val="single" w:sz="4" w:space="0" w:color="auto"/>
              <w:right w:val="single" w:sz="4" w:space="0" w:color="auto"/>
            </w:tcBorders>
          </w:tcPr>
          <w:p w14:paraId="11CC6D1E" w14:textId="77D3055C" w:rsidR="005765FF" w:rsidRPr="00A30A33" w:rsidRDefault="005765FF" w:rsidP="00D81477">
            <w:pPr>
              <w:pStyle w:val="Tabletext"/>
              <w:keepNext/>
              <w:keepLines/>
            </w:pPr>
            <w:r w:rsidRPr="00BB1EA6">
              <w:rPr>
                <w:strike/>
              </w:rPr>
              <w:t>Maintenance</w:t>
            </w:r>
            <w:r>
              <w:t xml:space="preserve"> Acute Myeloid Leukaemia</w:t>
            </w:r>
          </w:p>
        </w:tc>
      </w:tr>
      <w:tr w:rsidR="005765FF" w:rsidRPr="00A30A33" w14:paraId="06EC54A9" w14:textId="77777777" w:rsidTr="003D4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73" w:type="pct"/>
            <w:tcBorders>
              <w:top w:val="single" w:sz="4" w:space="0" w:color="auto"/>
              <w:left w:val="single" w:sz="4" w:space="0" w:color="auto"/>
              <w:bottom w:val="single" w:sz="4" w:space="0" w:color="auto"/>
              <w:right w:val="single" w:sz="4" w:space="0" w:color="auto"/>
            </w:tcBorders>
            <w:hideMark/>
          </w:tcPr>
          <w:p w14:paraId="5E559BD4" w14:textId="37238FA9" w:rsidR="005765FF" w:rsidRPr="002360D0" w:rsidRDefault="005765FF" w:rsidP="00D81477">
            <w:pPr>
              <w:pStyle w:val="Tabletext"/>
              <w:keepNext/>
              <w:keepLines/>
              <w:rPr>
                <w:b/>
                <w:bCs/>
              </w:rPr>
            </w:pPr>
            <w:r w:rsidRPr="002360D0">
              <w:rPr>
                <w:b/>
                <w:bCs/>
              </w:rPr>
              <w:t>Restriction:</w:t>
            </w:r>
          </w:p>
        </w:tc>
        <w:tc>
          <w:tcPr>
            <w:tcW w:w="4027" w:type="pct"/>
            <w:gridSpan w:val="6"/>
            <w:tcBorders>
              <w:top w:val="single" w:sz="4" w:space="0" w:color="auto"/>
              <w:left w:val="single" w:sz="4" w:space="0" w:color="auto"/>
              <w:bottom w:val="single" w:sz="4" w:space="0" w:color="auto"/>
              <w:right w:val="single" w:sz="4" w:space="0" w:color="auto"/>
            </w:tcBorders>
          </w:tcPr>
          <w:p w14:paraId="154804C9" w14:textId="1B191C0E" w:rsidR="005765FF" w:rsidRPr="00A30A33" w:rsidRDefault="005765FF" w:rsidP="00D81477">
            <w:pPr>
              <w:pStyle w:val="Tabletext"/>
              <w:keepNext/>
              <w:keepLines/>
            </w:pPr>
            <w:r>
              <w:fldChar w:fldCharType="begin" w:fldLock="1">
                <w:ffData>
                  <w:name w:val="Check5"/>
                  <w:enabled/>
                  <w:calcOnExit w:val="0"/>
                  <w:checkBox>
                    <w:sizeAuto/>
                    <w:default w:val="1"/>
                  </w:checkBox>
                </w:ffData>
              </w:fldChar>
            </w:r>
            <w:bookmarkStart w:id="7" w:name="Check5"/>
            <w:r>
              <w:instrText xml:space="preserve"> FORMCHECKBOX </w:instrText>
            </w:r>
            <w:r w:rsidR="00396D16">
              <w:fldChar w:fldCharType="separate"/>
            </w:r>
            <w:r>
              <w:fldChar w:fldCharType="end"/>
            </w:r>
            <w:bookmarkEnd w:id="7"/>
            <w:r w:rsidRPr="00B43577">
              <w:t>Streamlined</w:t>
            </w:r>
          </w:p>
        </w:tc>
      </w:tr>
      <w:tr w:rsidR="00744D91" w:rsidRPr="00A30A33" w14:paraId="5AF19801" w14:textId="77777777" w:rsidTr="003D4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tcPr>
          <w:p w14:paraId="5EA0D3FE" w14:textId="77777777" w:rsidR="00744D91" w:rsidRDefault="00744D91" w:rsidP="00D81477">
            <w:pPr>
              <w:pStyle w:val="Tabletext"/>
              <w:keepNext/>
              <w:keepLines/>
            </w:pPr>
          </w:p>
        </w:tc>
      </w:tr>
      <w:tr w:rsidR="005765FF" w:rsidRPr="00A30A33" w14:paraId="6E90CFEE" w14:textId="77777777" w:rsidTr="003D4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73" w:type="pct"/>
            <w:tcBorders>
              <w:top w:val="single" w:sz="4" w:space="0" w:color="auto"/>
              <w:left w:val="single" w:sz="4" w:space="0" w:color="auto"/>
              <w:bottom w:val="single" w:sz="4" w:space="0" w:color="auto"/>
              <w:right w:val="single" w:sz="4" w:space="0" w:color="auto"/>
            </w:tcBorders>
          </w:tcPr>
          <w:p w14:paraId="0028F915" w14:textId="0F8BCD89" w:rsidR="005765FF" w:rsidRPr="002360D0" w:rsidRDefault="005765FF" w:rsidP="00D81477">
            <w:pPr>
              <w:pStyle w:val="Tabletext"/>
              <w:keepNext/>
              <w:keepLines/>
              <w:rPr>
                <w:b/>
                <w:bCs/>
              </w:rPr>
            </w:pPr>
            <w:r w:rsidRPr="002360D0">
              <w:rPr>
                <w:b/>
                <w:bCs/>
              </w:rPr>
              <w:t>Treatment phase:</w:t>
            </w:r>
          </w:p>
        </w:tc>
        <w:tc>
          <w:tcPr>
            <w:tcW w:w="4027" w:type="pct"/>
            <w:gridSpan w:val="6"/>
            <w:tcBorders>
              <w:top w:val="single" w:sz="4" w:space="0" w:color="auto"/>
              <w:left w:val="single" w:sz="4" w:space="0" w:color="auto"/>
              <w:bottom w:val="single" w:sz="4" w:space="0" w:color="auto"/>
              <w:right w:val="single" w:sz="4" w:space="0" w:color="auto"/>
            </w:tcBorders>
          </w:tcPr>
          <w:p w14:paraId="3EE83D9F" w14:textId="0158AE08" w:rsidR="005765FF" w:rsidRDefault="005765FF" w:rsidP="00D81477">
            <w:pPr>
              <w:pStyle w:val="Tabletext"/>
              <w:keepNext/>
              <w:keepLines/>
            </w:pPr>
            <w:r>
              <w:t xml:space="preserve">Initial </w:t>
            </w:r>
          </w:p>
        </w:tc>
      </w:tr>
      <w:tr w:rsidR="005765FF" w:rsidRPr="00A30A33" w14:paraId="0479F7D8" w14:textId="77777777" w:rsidTr="003D4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73" w:type="pct"/>
            <w:tcBorders>
              <w:top w:val="single" w:sz="4" w:space="0" w:color="auto"/>
              <w:left w:val="single" w:sz="4" w:space="0" w:color="auto"/>
              <w:bottom w:val="single" w:sz="4" w:space="0" w:color="auto"/>
              <w:right w:val="single" w:sz="4" w:space="0" w:color="auto"/>
            </w:tcBorders>
            <w:hideMark/>
          </w:tcPr>
          <w:p w14:paraId="33B5F61F" w14:textId="5DF57CEB" w:rsidR="005765FF" w:rsidRPr="002360D0" w:rsidRDefault="005765FF" w:rsidP="00D81477">
            <w:pPr>
              <w:pStyle w:val="Tabletext"/>
              <w:keepNext/>
              <w:keepLines/>
              <w:rPr>
                <w:b/>
                <w:bCs/>
              </w:rPr>
            </w:pPr>
            <w:r w:rsidRPr="002360D0">
              <w:rPr>
                <w:b/>
                <w:bCs/>
              </w:rPr>
              <w:t>Clinical criteria:</w:t>
            </w:r>
          </w:p>
        </w:tc>
        <w:tc>
          <w:tcPr>
            <w:tcW w:w="4027" w:type="pct"/>
            <w:gridSpan w:val="6"/>
            <w:tcBorders>
              <w:top w:val="single" w:sz="4" w:space="0" w:color="auto"/>
              <w:left w:val="single" w:sz="4" w:space="0" w:color="auto"/>
              <w:bottom w:val="single" w:sz="4" w:space="0" w:color="auto"/>
              <w:right w:val="single" w:sz="4" w:space="0" w:color="auto"/>
            </w:tcBorders>
          </w:tcPr>
          <w:p w14:paraId="05521E96" w14:textId="77777777" w:rsidR="005765FF" w:rsidRDefault="005765FF" w:rsidP="00D81477">
            <w:pPr>
              <w:pStyle w:val="TableText0"/>
              <w:keepLines/>
              <w:rPr>
                <w:rFonts w:cs="Arial"/>
              </w:rPr>
            </w:pPr>
            <w:r w:rsidRPr="00C035DC">
              <w:rPr>
                <w:rFonts w:cs="Arial"/>
              </w:rPr>
              <w:t>Patient must have demonstrated complete remission or complete remission with incomplete blood count recovery following standard remission induction chemotherapy with or without consolidation treatment,</w:t>
            </w:r>
          </w:p>
          <w:p w14:paraId="5F35A38A" w14:textId="77777777" w:rsidR="005765FF" w:rsidRDefault="005765FF" w:rsidP="00D81477">
            <w:pPr>
              <w:pStyle w:val="TableText0"/>
              <w:keepLines/>
              <w:rPr>
                <w:rFonts w:cs="Arial"/>
              </w:rPr>
            </w:pPr>
            <w:r>
              <w:rPr>
                <w:rFonts w:cs="Arial"/>
              </w:rPr>
              <w:t>AND</w:t>
            </w:r>
          </w:p>
          <w:p w14:paraId="66AFE1E5" w14:textId="6B817E3A" w:rsidR="005765FF" w:rsidRPr="00A30A33" w:rsidRDefault="005765FF" w:rsidP="00D81477">
            <w:pPr>
              <w:pStyle w:val="Tabletext"/>
              <w:keepNext/>
              <w:keepLines/>
            </w:pPr>
            <w:bookmarkStart w:id="8" w:name="_Hlk99106807"/>
            <w:r w:rsidRPr="00C035DC">
              <w:rPr>
                <w:rFonts w:cs="Arial"/>
              </w:rPr>
              <w:t>Patient must not be a candidate for, including those who choose not to proceed to, haematopoietic stem cell transplantation.</w:t>
            </w:r>
            <w:bookmarkEnd w:id="8"/>
          </w:p>
        </w:tc>
      </w:tr>
      <w:tr w:rsidR="007647F0" w:rsidRPr="007647F0" w14:paraId="7BB4901E" w14:textId="77777777" w:rsidTr="003D4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73" w:type="pct"/>
            <w:tcBorders>
              <w:top w:val="single" w:sz="4" w:space="0" w:color="auto"/>
              <w:left w:val="single" w:sz="4" w:space="0" w:color="auto"/>
              <w:bottom w:val="single" w:sz="4" w:space="0" w:color="auto"/>
              <w:right w:val="single" w:sz="4" w:space="0" w:color="auto"/>
            </w:tcBorders>
          </w:tcPr>
          <w:p w14:paraId="146FA0ED" w14:textId="01D34998" w:rsidR="007647F0" w:rsidRPr="007647F0" w:rsidRDefault="007647F0" w:rsidP="00D81477">
            <w:pPr>
              <w:pStyle w:val="Tabletext"/>
              <w:keepNext/>
              <w:keepLines/>
              <w:rPr>
                <w:b/>
                <w:bCs/>
                <w:strike/>
              </w:rPr>
            </w:pPr>
            <w:r w:rsidRPr="007647F0">
              <w:rPr>
                <w:b/>
                <w:bCs/>
                <w:strike/>
              </w:rPr>
              <w:t>Population criteria:</w:t>
            </w:r>
          </w:p>
        </w:tc>
        <w:tc>
          <w:tcPr>
            <w:tcW w:w="4027" w:type="pct"/>
            <w:gridSpan w:val="6"/>
            <w:tcBorders>
              <w:top w:val="single" w:sz="4" w:space="0" w:color="auto"/>
              <w:left w:val="single" w:sz="4" w:space="0" w:color="auto"/>
              <w:bottom w:val="single" w:sz="4" w:space="0" w:color="auto"/>
              <w:right w:val="single" w:sz="4" w:space="0" w:color="auto"/>
            </w:tcBorders>
          </w:tcPr>
          <w:p w14:paraId="197D6C68" w14:textId="4AD4418C" w:rsidR="007647F0" w:rsidRPr="007647F0" w:rsidRDefault="007647F0" w:rsidP="00D81477">
            <w:pPr>
              <w:pStyle w:val="TableText0"/>
              <w:keepLines/>
              <w:rPr>
                <w:rFonts w:cs="Arial"/>
                <w:strike/>
              </w:rPr>
            </w:pPr>
            <w:r w:rsidRPr="007647F0">
              <w:rPr>
                <w:rFonts w:cs="Arial"/>
                <w:strike/>
              </w:rPr>
              <w:t>Adult patients</w:t>
            </w:r>
          </w:p>
        </w:tc>
      </w:tr>
      <w:tr w:rsidR="00744D91" w:rsidRPr="00A30A33" w14:paraId="7ABFE081" w14:textId="77777777" w:rsidTr="003D4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tcPr>
          <w:p w14:paraId="5CDBE3D2" w14:textId="77777777" w:rsidR="00744D91" w:rsidRDefault="00744D91" w:rsidP="00D81477">
            <w:pPr>
              <w:pStyle w:val="TableText0"/>
              <w:keepLines/>
              <w:rPr>
                <w:rFonts w:cs="Arial"/>
              </w:rPr>
            </w:pPr>
          </w:p>
        </w:tc>
      </w:tr>
      <w:tr w:rsidR="005765FF" w:rsidRPr="00A30A33" w14:paraId="3198AF5E" w14:textId="77777777" w:rsidTr="003D4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73" w:type="pct"/>
            <w:tcBorders>
              <w:top w:val="single" w:sz="4" w:space="0" w:color="auto"/>
              <w:left w:val="single" w:sz="4" w:space="0" w:color="auto"/>
              <w:bottom w:val="single" w:sz="4" w:space="0" w:color="auto"/>
              <w:right w:val="single" w:sz="4" w:space="0" w:color="auto"/>
            </w:tcBorders>
          </w:tcPr>
          <w:p w14:paraId="1BE90378" w14:textId="553844F6" w:rsidR="005765FF" w:rsidRPr="002360D0" w:rsidRDefault="005765FF" w:rsidP="00D81477">
            <w:pPr>
              <w:pStyle w:val="Tabletext"/>
              <w:keepNext/>
              <w:keepLines/>
              <w:rPr>
                <w:b/>
                <w:bCs/>
              </w:rPr>
            </w:pPr>
            <w:r w:rsidRPr="002360D0">
              <w:rPr>
                <w:b/>
                <w:bCs/>
              </w:rPr>
              <w:t>Treatment phase</w:t>
            </w:r>
            <w:r w:rsidR="00E366EA" w:rsidRPr="002360D0">
              <w:rPr>
                <w:b/>
                <w:bCs/>
              </w:rPr>
              <w:t>:</w:t>
            </w:r>
          </w:p>
        </w:tc>
        <w:tc>
          <w:tcPr>
            <w:tcW w:w="4027" w:type="pct"/>
            <w:gridSpan w:val="6"/>
            <w:tcBorders>
              <w:top w:val="single" w:sz="4" w:space="0" w:color="auto"/>
              <w:left w:val="single" w:sz="4" w:space="0" w:color="auto"/>
              <w:bottom w:val="single" w:sz="4" w:space="0" w:color="auto"/>
              <w:right w:val="single" w:sz="4" w:space="0" w:color="auto"/>
            </w:tcBorders>
          </w:tcPr>
          <w:p w14:paraId="5536C7B8" w14:textId="20A2FA8A" w:rsidR="005765FF" w:rsidRPr="00C035DC" w:rsidRDefault="005765FF" w:rsidP="00D81477">
            <w:pPr>
              <w:pStyle w:val="TableText0"/>
              <w:keepLines/>
              <w:rPr>
                <w:rFonts w:cs="Arial"/>
              </w:rPr>
            </w:pPr>
            <w:r>
              <w:rPr>
                <w:rFonts w:cs="Arial"/>
              </w:rPr>
              <w:t xml:space="preserve">Continuing </w:t>
            </w:r>
          </w:p>
        </w:tc>
      </w:tr>
      <w:tr w:rsidR="005765FF" w:rsidRPr="00A30A33" w14:paraId="523D8367" w14:textId="77777777" w:rsidTr="003D4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73" w:type="pct"/>
            <w:tcBorders>
              <w:top w:val="single" w:sz="4" w:space="0" w:color="auto"/>
              <w:left w:val="single" w:sz="4" w:space="0" w:color="auto"/>
              <w:bottom w:val="single" w:sz="4" w:space="0" w:color="auto"/>
              <w:right w:val="single" w:sz="4" w:space="0" w:color="auto"/>
            </w:tcBorders>
          </w:tcPr>
          <w:p w14:paraId="48CFC383" w14:textId="6ABA82A8" w:rsidR="005765FF" w:rsidRPr="002360D0" w:rsidRDefault="005765FF" w:rsidP="00D81477">
            <w:pPr>
              <w:pStyle w:val="Tabletext"/>
              <w:keepNext/>
              <w:keepLines/>
              <w:rPr>
                <w:b/>
                <w:bCs/>
              </w:rPr>
            </w:pPr>
            <w:r w:rsidRPr="002360D0">
              <w:rPr>
                <w:b/>
                <w:bCs/>
              </w:rPr>
              <w:t>Clinical criteria</w:t>
            </w:r>
            <w:r w:rsidR="00E366EA" w:rsidRPr="002360D0">
              <w:rPr>
                <w:b/>
                <w:bCs/>
              </w:rPr>
              <w:t>:</w:t>
            </w:r>
          </w:p>
        </w:tc>
        <w:tc>
          <w:tcPr>
            <w:tcW w:w="4027" w:type="pct"/>
            <w:gridSpan w:val="6"/>
            <w:tcBorders>
              <w:top w:val="single" w:sz="4" w:space="0" w:color="auto"/>
              <w:left w:val="single" w:sz="4" w:space="0" w:color="auto"/>
              <w:bottom w:val="single" w:sz="4" w:space="0" w:color="auto"/>
              <w:right w:val="single" w:sz="4" w:space="0" w:color="auto"/>
            </w:tcBorders>
          </w:tcPr>
          <w:p w14:paraId="022B1419" w14:textId="74E4436C" w:rsidR="005765FF" w:rsidRDefault="005765FF" w:rsidP="00D81477">
            <w:pPr>
              <w:pStyle w:val="TableText0"/>
              <w:keepLines/>
            </w:pPr>
            <w:r w:rsidRPr="0058492D">
              <w:t>Patient must have previously received PBS-subsidised treatment with this drug for this condition</w:t>
            </w:r>
            <w:r w:rsidR="00BE453D">
              <w:t>,</w:t>
            </w:r>
          </w:p>
          <w:p w14:paraId="4ECC5B8E" w14:textId="77777777" w:rsidR="005765FF" w:rsidRDefault="005765FF" w:rsidP="00D81477">
            <w:pPr>
              <w:pStyle w:val="TableText0"/>
              <w:keepLines/>
              <w:rPr>
                <w:rFonts w:cs="Arial"/>
              </w:rPr>
            </w:pPr>
            <w:r>
              <w:rPr>
                <w:rFonts w:cs="Arial"/>
              </w:rPr>
              <w:t>AND</w:t>
            </w:r>
          </w:p>
          <w:p w14:paraId="658C4B9C" w14:textId="1BF77CC4" w:rsidR="005765FF" w:rsidRPr="00BB1EA6" w:rsidRDefault="005765FF" w:rsidP="00D81477">
            <w:pPr>
              <w:pStyle w:val="TableText0"/>
              <w:keepLines/>
              <w:rPr>
                <w:rFonts w:cs="Arial"/>
              </w:rPr>
            </w:pPr>
            <w:r w:rsidRPr="00BB1EA6">
              <w:rPr>
                <w:rFonts w:cs="Arial"/>
                <w:strike/>
              </w:rPr>
              <w:t>Patient must not have progressive disease</w:t>
            </w:r>
            <w:r w:rsidR="00BE453D" w:rsidRPr="00BB1EA6">
              <w:rPr>
                <w:rFonts w:cs="Arial"/>
                <w:strike/>
              </w:rPr>
              <w:t>.</w:t>
            </w:r>
            <w:r w:rsidR="00BB1EA6" w:rsidRPr="001F14C1">
              <w:rPr>
                <w:rFonts w:cs="Arial"/>
              </w:rPr>
              <w:t xml:space="preserve"> </w:t>
            </w:r>
            <w:r w:rsidR="00BB1EA6" w:rsidRPr="00BB1EA6">
              <w:rPr>
                <w:rFonts w:cs="Arial"/>
                <w:i/>
                <w:iCs/>
              </w:rPr>
              <w:t>Patient must not have &gt; 15% blasts in the bone marrow or peripheral blood not attributable to any other cause than AML</w:t>
            </w:r>
            <w:r w:rsidR="00BB1EA6">
              <w:rPr>
                <w:rFonts w:cs="Arial"/>
                <w:i/>
                <w:iCs/>
              </w:rPr>
              <w:t>.</w:t>
            </w:r>
          </w:p>
        </w:tc>
      </w:tr>
      <w:tr w:rsidR="005765FF" w:rsidRPr="00A30A33" w14:paraId="7CAE1652" w14:textId="77777777" w:rsidTr="003D4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73" w:type="pct"/>
            <w:tcBorders>
              <w:top w:val="single" w:sz="4" w:space="0" w:color="auto"/>
              <w:left w:val="single" w:sz="4" w:space="0" w:color="auto"/>
              <w:bottom w:val="single" w:sz="4" w:space="0" w:color="auto"/>
              <w:right w:val="single" w:sz="4" w:space="0" w:color="auto"/>
            </w:tcBorders>
          </w:tcPr>
          <w:p w14:paraId="2BD1AE49" w14:textId="34E60E37" w:rsidR="005765FF" w:rsidRPr="00BB1EA6" w:rsidRDefault="005765FF" w:rsidP="00D81477">
            <w:pPr>
              <w:pStyle w:val="Tabletext"/>
              <w:keepNext/>
              <w:keepLines/>
              <w:rPr>
                <w:b/>
                <w:bCs/>
                <w:strike/>
              </w:rPr>
            </w:pPr>
            <w:r w:rsidRPr="00BB1EA6">
              <w:rPr>
                <w:b/>
                <w:bCs/>
                <w:strike/>
              </w:rPr>
              <w:t>Treatment criteria:</w:t>
            </w:r>
          </w:p>
        </w:tc>
        <w:tc>
          <w:tcPr>
            <w:tcW w:w="4027" w:type="pct"/>
            <w:gridSpan w:val="6"/>
            <w:tcBorders>
              <w:top w:val="single" w:sz="4" w:space="0" w:color="auto"/>
              <w:left w:val="single" w:sz="4" w:space="0" w:color="auto"/>
              <w:bottom w:val="single" w:sz="4" w:space="0" w:color="auto"/>
              <w:right w:val="single" w:sz="4" w:space="0" w:color="auto"/>
            </w:tcBorders>
          </w:tcPr>
          <w:p w14:paraId="2617DE0B" w14:textId="41465825" w:rsidR="005765FF" w:rsidRPr="00BB1EA6" w:rsidRDefault="005765FF" w:rsidP="00D81477">
            <w:pPr>
              <w:pStyle w:val="Tabletext"/>
              <w:keepNext/>
              <w:keepLines/>
              <w:rPr>
                <w:strike/>
                <w:color w:val="000000"/>
              </w:rPr>
            </w:pPr>
            <w:r w:rsidRPr="00BB1EA6">
              <w:rPr>
                <w:strike/>
              </w:rPr>
              <w:t>Progressive disease is defined as &gt; 15% blasts in the bone marrow or peripheral blood not attributable to any other cause.</w:t>
            </w:r>
          </w:p>
        </w:tc>
      </w:tr>
      <w:tr w:rsidR="007647F0" w:rsidRPr="007647F0" w14:paraId="5FA9DCC9" w14:textId="77777777" w:rsidTr="008C5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73" w:type="pct"/>
            <w:tcBorders>
              <w:top w:val="single" w:sz="4" w:space="0" w:color="auto"/>
              <w:left w:val="single" w:sz="4" w:space="0" w:color="auto"/>
              <w:bottom w:val="single" w:sz="4" w:space="0" w:color="auto"/>
              <w:right w:val="single" w:sz="4" w:space="0" w:color="auto"/>
            </w:tcBorders>
          </w:tcPr>
          <w:p w14:paraId="79A766C0" w14:textId="77777777" w:rsidR="007647F0" w:rsidRPr="007647F0" w:rsidRDefault="007647F0" w:rsidP="008C584C">
            <w:pPr>
              <w:pStyle w:val="Tabletext"/>
              <w:keepNext/>
              <w:keepLines/>
              <w:rPr>
                <w:b/>
                <w:bCs/>
                <w:strike/>
              </w:rPr>
            </w:pPr>
            <w:r w:rsidRPr="007647F0">
              <w:rPr>
                <w:b/>
                <w:bCs/>
                <w:strike/>
              </w:rPr>
              <w:t>Population criteria:</w:t>
            </w:r>
          </w:p>
        </w:tc>
        <w:tc>
          <w:tcPr>
            <w:tcW w:w="4027" w:type="pct"/>
            <w:gridSpan w:val="6"/>
            <w:tcBorders>
              <w:top w:val="single" w:sz="4" w:space="0" w:color="auto"/>
              <w:left w:val="single" w:sz="4" w:space="0" w:color="auto"/>
              <w:bottom w:val="single" w:sz="4" w:space="0" w:color="auto"/>
              <w:right w:val="single" w:sz="4" w:space="0" w:color="auto"/>
            </w:tcBorders>
          </w:tcPr>
          <w:p w14:paraId="261DC8B7" w14:textId="77777777" w:rsidR="007647F0" w:rsidRPr="007647F0" w:rsidRDefault="007647F0" w:rsidP="008C584C">
            <w:pPr>
              <w:pStyle w:val="TableText0"/>
              <w:keepLines/>
              <w:rPr>
                <w:rFonts w:cs="Arial"/>
                <w:strike/>
              </w:rPr>
            </w:pPr>
            <w:r w:rsidRPr="007647F0">
              <w:rPr>
                <w:rFonts w:cs="Arial"/>
                <w:strike/>
              </w:rPr>
              <w:t>Adult patients</w:t>
            </w:r>
          </w:p>
        </w:tc>
      </w:tr>
      <w:tr w:rsidR="00BB1EA6" w:rsidRPr="00BB1EA6" w14:paraId="607A9702" w14:textId="77777777" w:rsidTr="003D4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73" w:type="pct"/>
            <w:tcBorders>
              <w:top w:val="single" w:sz="4" w:space="0" w:color="auto"/>
              <w:left w:val="single" w:sz="4" w:space="0" w:color="auto"/>
              <w:bottom w:val="single" w:sz="4" w:space="0" w:color="auto"/>
              <w:right w:val="single" w:sz="4" w:space="0" w:color="auto"/>
            </w:tcBorders>
          </w:tcPr>
          <w:p w14:paraId="41E1E2AF" w14:textId="70755370" w:rsidR="00BB1EA6" w:rsidRPr="00BB1EA6" w:rsidRDefault="00BB1EA6" w:rsidP="00D81477">
            <w:pPr>
              <w:pStyle w:val="Tabletext"/>
              <w:keepNext/>
              <w:keepLines/>
              <w:rPr>
                <w:b/>
                <w:bCs/>
                <w:i/>
                <w:iCs/>
              </w:rPr>
            </w:pPr>
            <w:r w:rsidRPr="00BB1EA6">
              <w:rPr>
                <w:b/>
                <w:bCs/>
                <w:i/>
                <w:iCs/>
              </w:rPr>
              <w:t>Administrative advice:</w:t>
            </w:r>
          </w:p>
        </w:tc>
        <w:tc>
          <w:tcPr>
            <w:tcW w:w="4027" w:type="pct"/>
            <w:gridSpan w:val="6"/>
            <w:tcBorders>
              <w:top w:val="single" w:sz="4" w:space="0" w:color="auto"/>
              <w:left w:val="single" w:sz="4" w:space="0" w:color="auto"/>
              <w:bottom w:val="single" w:sz="4" w:space="0" w:color="auto"/>
              <w:right w:val="single" w:sz="4" w:space="0" w:color="auto"/>
            </w:tcBorders>
          </w:tcPr>
          <w:p w14:paraId="11C227B9" w14:textId="16281D44" w:rsidR="00BB1EA6" w:rsidRPr="00BB1EA6" w:rsidRDefault="00BB1EA6" w:rsidP="00D81477">
            <w:pPr>
              <w:pStyle w:val="Tabletext"/>
              <w:keepNext/>
              <w:keepLines/>
              <w:rPr>
                <w:i/>
                <w:iCs/>
              </w:rPr>
            </w:pPr>
            <w:r w:rsidRPr="00BB1EA6">
              <w:rPr>
                <w:i/>
                <w:iCs/>
              </w:rPr>
              <w:t>An increased maximum quantity of the 300 mg strength may be requested for patients with 5% to 15% blasts in the peripheral blood or bone marrow in order to extend the dose schedule as per the TGA Product Information.</w:t>
            </w:r>
          </w:p>
        </w:tc>
      </w:tr>
    </w:tbl>
    <w:p w14:paraId="4ACA543C" w14:textId="4F5266F6" w:rsidR="00811811" w:rsidRDefault="00811811" w:rsidP="00811811">
      <w:pPr>
        <w:pStyle w:val="TableFooter"/>
        <w:keepNext/>
      </w:pPr>
      <w:r>
        <w:t>Source: Table 24, p38; Table 25, p42 and Attachment 1 Restriction template</w:t>
      </w:r>
      <w:r w:rsidRPr="00D13A3E">
        <w:t xml:space="preserve"> of the </w:t>
      </w:r>
      <w:r>
        <w:t>submission</w:t>
      </w:r>
      <w:r w:rsidR="007647F0">
        <w:t>; PSCR p2</w:t>
      </w:r>
      <w:r>
        <w:t>.</w:t>
      </w:r>
    </w:p>
    <w:p w14:paraId="4F0E4E26" w14:textId="77777777" w:rsidR="00811811" w:rsidRDefault="00811811" w:rsidP="00811811">
      <w:pPr>
        <w:pStyle w:val="TableFooter"/>
        <w:keepNext/>
      </w:pPr>
      <w:r>
        <w:t>Abbreviations: mg = milligram</w:t>
      </w:r>
    </w:p>
    <w:p w14:paraId="63E28AE7" w14:textId="77777777" w:rsidR="00B60939" w:rsidRPr="00882085" w:rsidRDefault="00B60939" w:rsidP="004B1CB4"/>
    <w:p w14:paraId="6B3C453F" w14:textId="33FAAA50" w:rsidR="00BB1EA6" w:rsidRPr="0010205E" w:rsidRDefault="00642CFE" w:rsidP="00735146">
      <w:pPr>
        <w:pStyle w:val="3-BodyText"/>
        <w:rPr>
          <w:bCs/>
        </w:rPr>
      </w:pPr>
      <w:r w:rsidRPr="0010205E">
        <w:t xml:space="preserve">The </w:t>
      </w:r>
      <w:r w:rsidR="00BE453D" w:rsidRPr="0010205E">
        <w:t xml:space="preserve">submission sought </w:t>
      </w:r>
      <w:r w:rsidR="005D554A" w:rsidRPr="0010205E">
        <w:t xml:space="preserve">a </w:t>
      </w:r>
      <w:r w:rsidRPr="0010205E">
        <w:rPr>
          <w:bCs/>
        </w:rPr>
        <w:t xml:space="preserve">special price arrangement (SPA) for oral azacitidine, with a price </w:t>
      </w:r>
      <w:r w:rsidR="00CF10B6" w:rsidRPr="0010205E">
        <w:rPr>
          <w:bCs/>
        </w:rPr>
        <w:t xml:space="preserve">rebate </w:t>
      </w:r>
      <w:r w:rsidRPr="0010205E">
        <w:rPr>
          <w:bCs/>
        </w:rPr>
        <w:t xml:space="preserve">of approximately </w:t>
      </w:r>
      <w:r w:rsidR="00EB4495" w:rsidRPr="000F0268">
        <w:rPr>
          <w:bCs/>
          <w:color w:val="000000"/>
          <w:w w:val="15"/>
          <w:shd w:val="solid" w:color="000000" w:fill="000000"/>
          <w:fitText w:val="-20" w:id="-1435823872"/>
          <w14:textFill>
            <w14:solidFill>
              <w14:srgbClr w14:val="000000">
                <w14:alpha w14:val="100000"/>
              </w14:srgbClr>
            </w14:solidFill>
          </w14:textFill>
        </w:rPr>
        <w:t xml:space="preserve">|  </w:t>
      </w:r>
      <w:r w:rsidR="00EB4495" w:rsidRPr="000F0268">
        <w:rPr>
          <w:bCs/>
          <w:color w:val="000000"/>
          <w:spacing w:val="-69"/>
          <w:w w:val="15"/>
          <w:shd w:val="solid" w:color="000000" w:fill="000000"/>
          <w:fitText w:val="-20" w:id="-1435823872"/>
          <w14:textFill>
            <w14:solidFill>
              <w14:srgbClr w14:val="000000">
                <w14:alpha w14:val="100000"/>
              </w14:srgbClr>
            </w14:solidFill>
          </w14:textFill>
        </w:rPr>
        <w:t>|</w:t>
      </w:r>
      <w:r w:rsidRPr="00DA3545">
        <w:rPr>
          <w:bCs/>
        </w:rPr>
        <w:t>%</w:t>
      </w:r>
      <w:r w:rsidRPr="0010205E">
        <w:rPr>
          <w:bCs/>
        </w:rPr>
        <w:t>.</w:t>
      </w:r>
    </w:p>
    <w:p w14:paraId="1E0932B2" w14:textId="1EFE83F7" w:rsidR="00F74CD2" w:rsidRPr="0010205E" w:rsidRDefault="00BB1EA6" w:rsidP="00BB1EA6">
      <w:pPr>
        <w:pStyle w:val="3-BodyText"/>
        <w:rPr>
          <w:bCs/>
        </w:rPr>
      </w:pPr>
      <w:r w:rsidRPr="0010205E">
        <w:rPr>
          <w:bCs/>
        </w:rPr>
        <w:t xml:space="preserve">The submission proposed a General Schedule listing, reasoning that oral azacitidine is administered orally and can be commenced outside a hospital setting. An Authority </w:t>
      </w:r>
      <w:r w:rsidRPr="0010205E">
        <w:rPr>
          <w:bCs/>
        </w:rPr>
        <w:lastRenderedPageBreak/>
        <w:t>Required (Streamlined) listing was requested given that eligible patients would have been previously diagnosed with AML and received treatment with induction chemotherapy agents (e.g. cytarabine/idarubicin), which are listed on the PBS without an Authority requirement.</w:t>
      </w:r>
      <w:r w:rsidR="00F74CD2" w:rsidRPr="0010205E">
        <w:rPr>
          <w:rFonts w:cstheme="minorHAnsi"/>
          <w:snapToGrid/>
          <w:szCs w:val="20"/>
        </w:rPr>
        <w:t xml:space="preserve"> </w:t>
      </w:r>
    </w:p>
    <w:p w14:paraId="56B081F7" w14:textId="4228D7DC" w:rsidR="00BB1EA6" w:rsidRPr="0010205E" w:rsidRDefault="00F74CD2" w:rsidP="00F74CD2">
      <w:pPr>
        <w:pStyle w:val="3-BodyText"/>
      </w:pPr>
      <w:r w:rsidRPr="0010205E">
        <w:t>The ESC noted the evaluation’s concerns that the proposed PBS restriction could potentially be interpreted as broader in scope than the TGA indication, although both were based on the same key clinical evidence, the QUAZAR trial. However, the ESC considered the proposed PBS criteria reflected a defined patient population within the marketing authorisation and that the terminology used in the PBS restriction was applicable to Australian practice (i.e. Patient must have demonstrated complete remission or complete remission with incomplete blood count recovery following standard remission induction chemotherapy with or without consolidation treatment, AND Patient must not be a candidate for, including those who choose not to proceed to, haematopoietic stem cell transplantation)</w:t>
      </w:r>
      <w:r w:rsidR="0011741E">
        <w:t>.</w:t>
      </w:r>
    </w:p>
    <w:p w14:paraId="336B3FF8" w14:textId="4CD066B9" w:rsidR="00A02CA4" w:rsidRPr="00645591" w:rsidRDefault="00A02CA4" w:rsidP="00F74CD2">
      <w:pPr>
        <w:pStyle w:val="3-BodyText"/>
      </w:pPr>
      <w:r w:rsidRPr="0010205E">
        <w:t xml:space="preserve">The </w:t>
      </w:r>
      <w:r w:rsidR="00EB1BF8" w:rsidRPr="0010205E">
        <w:t xml:space="preserve">ESC noted that the </w:t>
      </w:r>
      <w:r w:rsidRPr="0010205E">
        <w:t xml:space="preserve">definition of progressive disease (&gt; 15% blasts in the bone marrow) </w:t>
      </w:r>
      <w:r w:rsidR="00EB1BF8" w:rsidRPr="0010205E">
        <w:t>was</w:t>
      </w:r>
      <w:r w:rsidRPr="0010205E">
        <w:t xml:space="preserve"> inconsistent with previous considerations by the PBAC for treatments for AML which have defined progressive disease as &gt; 5% blasts in the marrow not attributable to bone marrow regeneration or another cause (paragraph 2.1, midostaurin</w:t>
      </w:r>
      <w:r w:rsidR="003A5BD6">
        <w:t xml:space="preserve"> Public Summary Document</w:t>
      </w:r>
      <w:r w:rsidRPr="0010205E">
        <w:t xml:space="preserve"> </w:t>
      </w:r>
      <w:r w:rsidR="003A5BD6">
        <w:t>(</w:t>
      </w:r>
      <w:r w:rsidRPr="0010205E">
        <w:t>PSD</w:t>
      </w:r>
      <w:r w:rsidR="003A5BD6">
        <w:t>)</w:t>
      </w:r>
      <w:r w:rsidRPr="0010205E">
        <w:t xml:space="preserve">, July 2018 and </w:t>
      </w:r>
      <w:r w:rsidRPr="00645591">
        <w:t xml:space="preserve">paragraph 3.2, gemtuzumab PSD, November 2021). </w:t>
      </w:r>
      <w:r w:rsidR="00EB1BF8" w:rsidRPr="00645591">
        <w:t xml:space="preserve">It was also inconsistent with the criteria to determine CR or CRi in the QUAZAR trial (i.e. &gt; 5% blasts in bone marrow). The PSCR revised this criterion to be, ‘Patient must not have &gt; 15% blasts in the bone marrow or peripheral blood not attributable to any other cause than AML’. </w:t>
      </w:r>
      <w:r w:rsidRPr="00645591">
        <w:t xml:space="preserve">The PSCR </w:t>
      </w:r>
      <w:r w:rsidR="00EB1BF8" w:rsidRPr="00645591">
        <w:t>added</w:t>
      </w:r>
      <w:r w:rsidRPr="00645591">
        <w:t xml:space="preserve"> that the approved TGA indication was for continuous therapy, rather than maintenance therapy, and therefore considered that the proposed stopping criteria (i.e. blasts &gt; 15%) was appropriate for continuous treatment. The PSCR </w:t>
      </w:r>
      <w:r w:rsidR="006D267B" w:rsidRPr="00645591">
        <w:t>claimed</w:t>
      </w:r>
      <w:r w:rsidRPr="00645591">
        <w:t xml:space="preserve"> that midostaurin and gemtuzumab are not intended for continuous therapy, so it was logical that they had a different stopping rule of &gt; 5% blast count. The PSCR requested that the word ‘maintenance’ be removed from the proposed PBS indication and treatment phase. The ESC considered </w:t>
      </w:r>
      <w:r w:rsidR="00AA32D6" w:rsidRPr="00645591">
        <w:t xml:space="preserve">that </w:t>
      </w:r>
      <w:r w:rsidRPr="00645591">
        <w:t>as the QUAZAR trial compare</w:t>
      </w:r>
      <w:r w:rsidR="00AA32D6" w:rsidRPr="00645591">
        <w:t>d</w:t>
      </w:r>
      <w:r w:rsidRPr="00645591">
        <w:t xml:space="preserve"> oral azacitidine with BSC </w:t>
      </w:r>
      <w:r w:rsidR="00AA32D6" w:rsidRPr="00645591">
        <w:t xml:space="preserve">as maintenance therapy in patients with AML in complete remission, the removal of the term ‘maintenance’ from the proposed PBS indication was not reasonable. </w:t>
      </w:r>
    </w:p>
    <w:p w14:paraId="6F1C4877" w14:textId="2F7B4E05" w:rsidR="00D16256" w:rsidRPr="00890660" w:rsidRDefault="000A7142" w:rsidP="00F74CD2">
      <w:pPr>
        <w:pStyle w:val="3-BodyText"/>
      </w:pPr>
      <w:r w:rsidRPr="00890660">
        <w:t xml:space="preserve">The maximum quantity of 21 tablets </w:t>
      </w:r>
      <w:r w:rsidR="00AA32D6" w:rsidRPr="00890660">
        <w:t>proposed in the submission was</w:t>
      </w:r>
      <w:r w:rsidRPr="00890660">
        <w:t xml:space="preserve"> intended to allow for dose escalation in </w:t>
      </w:r>
      <w:r w:rsidR="00890660" w:rsidRPr="00890660">
        <w:t xml:space="preserve">the </w:t>
      </w:r>
      <w:r w:rsidRPr="00890660">
        <w:t>event of relapse (defined in the approved P</w:t>
      </w:r>
      <w:r w:rsidR="002360D0" w:rsidRPr="00890660">
        <w:t>roduct Information</w:t>
      </w:r>
      <w:r w:rsidRPr="00890660">
        <w:t xml:space="preserve"> as 5% to 15% blasts in the peripheral bone marrow), although it is anticipated that most </w:t>
      </w:r>
      <w:r w:rsidR="002360D0" w:rsidRPr="00890660">
        <w:t xml:space="preserve">dispensing’s </w:t>
      </w:r>
      <w:r w:rsidRPr="00890660">
        <w:t>w</w:t>
      </w:r>
      <w:r w:rsidR="001F2038" w:rsidRPr="00890660">
        <w:t xml:space="preserve">ould </w:t>
      </w:r>
      <w:r w:rsidRPr="00890660">
        <w:t xml:space="preserve">be for 14 tablets. </w:t>
      </w:r>
      <w:r w:rsidR="00D16256" w:rsidRPr="00890660">
        <w:t>The</w:t>
      </w:r>
      <w:r w:rsidR="002B37F2" w:rsidRPr="00890660">
        <w:t xml:space="preserve"> </w:t>
      </w:r>
      <w:r w:rsidR="000C7676" w:rsidRPr="00890660">
        <w:t xml:space="preserve">ESC considered that </w:t>
      </w:r>
      <w:r w:rsidR="002360D0" w:rsidRPr="00890660">
        <w:t xml:space="preserve">allowance of </w:t>
      </w:r>
      <w:r w:rsidR="002B37F2" w:rsidRPr="00890660">
        <w:t xml:space="preserve">dose escalation </w:t>
      </w:r>
      <w:r w:rsidR="009B6323" w:rsidRPr="00890660">
        <w:t>wa</w:t>
      </w:r>
      <w:r w:rsidR="002B37F2" w:rsidRPr="00890660">
        <w:t xml:space="preserve">s inconsistent with the </w:t>
      </w:r>
      <w:r w:rsidRPr="00890660">
        <w:t>clinical positioning</w:t>
      </w:r>
      <w:r w:rsidR="002B37F2" w:rsidRPr="00890660">
        <w:t xml:space="preserve"> of oral azacitidine as maintenance therapy </w:t>
      </w:r>
      <w:r w:rsidR="005076E0" w:rsidRPr="00890660">
        <w:t xml:space="preserve">(a therapy given post CR/CRi) </w:t>
      </w:r>
      <w:r w:rsidRPr="00890660">
        <w:t>as</w:t>
      </w:r>
      <w:r w:rsidR="002B37F2" w:rsidRPr="00890660">
        <w:t xml:space="preserve"> </w:t>
      </w:r>
      <w:r w:rsidR="002360D0" w:rsidRPr="00890660">
        <w:t xml:space="preserve">the </w:t>
      </w:r>
      <w:r w:rsidR="00D16256" w:rsidRPr="00890660">
        <w:t xml:space="preserve">proposed post-relapse dose escalation seeks to continue treatment and reinitiate remission. </w:t>
      </w:r>
      <w:r w:rsidR="000820DB" w:rsidRPr="00890660">
        <w:t xml:space="preserve">The ESC noted that data provided in the PSCR relating to dose escalation and noted that </w:t>
      </w:r>
      <w:r w:rsidR="000820DB" w:rsidRPr="00890660">
        <w:lastRenderedPageBreak/>
        <w:t xml:space="preserve">although 23.3% of patients in the azacitidine arm returned to remission, so did 11.4% of patients in the BSC arm. </w:t>
      </w:r>
    </w:p>
    <w:p w14:paraId="5D726249" w14:textId="55E68C2B" w:rsidR="002B37F2" w:rsidRPr="0010205E" w:rsidRDefault="00C8214F" w:rsidP="00F74CD2">
      <w:pPr>
        <w:pStyle w:val="3-BodyText"/>
      </w:pPr>
      <w:r w:rsidRPr="00890660">
        <w:t xml:space="preserve">The proposed restriction </w:t>
      </w:r>
      <w:r w:rsidR="0011741E">
        <w:t>did</w:t>
      </w:r>
      <w:r w:rsidRPr="00890660">
        <w:t xml:space="preserve"> not restrict access to oral azacitidine on the basis of cytogenetic risk</w:t>
      </w:r>
      <w:r w:rsidR="002360D0" w:rsidRPr="00890660">
        <w:t>. Th</w:t>
      </w:r>
      <w:r w:rsidR="00C5577E" w:rsidRPr="00890660">
        <w:t>e</w:t>
      </w:r>
      <w:r w:rsidR="00C5577E" w:rsidRPr="0010205E">
        <w:t xml:space="preserve"> ESC noted that th</w:t>
      </w:r>
      <w:r w:rsidR="002360D0" w:rsidRPr="0010205E">
        <w:t>is</w:t>
      </w:r>
      <w:r w:rsidRPr="0010205E">
        <w:t xml:space="preserve"> </w:t>
      </w:r>
      <w:r w:rsidR="002360D0" w:rsidRPr="0010205E">
        <w:t>wa</w:t>
      </w:r>
      <w:r w:rsidRPr="0010205E">
        <w:t xml:space="preserve">s inconsistent with </w:t>
      </w:r>
      <w:r w:rsidR="002360D0" w:rsidRPr="0010205E">
        <w:t xml:space="preserve">the </w:t>
      </w:r>
      <w:r w:rsidRPr="0010205E">
        <w:t xml:space="preserve">QUAZAR </w:t>
      </w:r>
      <w:r w:rsidR="002360D0" w:rsidRPr="0010205E">
        <w:t xml:space="preserve">trial </w:t>
      </w:r>
      <w:r w:rsidRPr="0010205E">
        <w:t>wh</w:t>
      </w:r>
      <w:r w:rsidR="002360D0" w:rsidRPr="0010205E">
        <w:t>ich</w:t>
      </w:r>
      <w:r w:rsidRPr="0010205E">
        <w:t xml:space="preserve"> only </w:t>
      </w:r>
      <w:r w:rsidR="002360D0" w:rsidRPr="0010205E">
        <w:t xml:space="preserve">enrolled </w:t>
      </w:r>
      <w:r w:rsidRPr="0010205E">
        <w:t>patients with intermediate and poor cytogenetic risk. The submission did not provide evidence of efficacy and safety of oral azacitidine in patients with favourable cytogenetic risk.</w:t>
      </w:r>
    </w:p>
    <w:p w14:paraId="44009657" w14:textId="77777777" w:rsidR="002D59A5" w:rsidRPr="00890660" w:rsidRDefault="002B37F2" w:rsidP="00F74CD2">
      <w:pPr>
        <w:pStyle w:val="3-BodyText"/>
      </w:pPr>
      <w:r w:rsidRPr="0010205E">
        <w:t xml:space="preserve">The proposed PBS restriction is inconsistent with the QUAZAR trial </w:t>
      </w:r>
      <w:r w:rsidR="002360D0" w:rsidRPr="0010205E">
        <w:t xml:space="preserve">in which </w:t>
      </w:r>
      <w:r w:rsidRPr="0010205E">
        <w:t xml:space="preserve">patients who had previously achieved CR/CRi following therapy with an </w:t>
      </w:r>
      <w:r w:rsidR="00A4159D" w:rsidRPr="0010205E">
        <w:t xml:space="preserve">hypomethylating agent (HMA) </w:t>
      </w:r>
      <w:r w:rsidRPr="0010205E">
        <w:t xml:space="preserve">were excluded. </w:t>
      </w:r>
      <w:r w:rsidR="00744D91" w:rsidRPr="0010205E">
        <w:t>T</w:t>
      </w:r>
      <w:r w:rsidRPr="0010205E">
        <w:t xml:space="preserve">he listing of oral azacitidine on the PBS as treatment for patients who have previously received standard intensive remission induction chemotherapy may result in use in </w:t>
      </w:r>
      <w:r w:rsidRPr="00890660">
        <w:t>patients who have previously received venetoclax plus injectable azacitidine</w:t>
      </w:r>
      <w:r w:rsidR="00A531C1" w:rsidRPr="00890660">
        <w:t xml:space="preserve"> (an HMA)</w:t>
      </w:r>
      <w:r w:rsidRPr="00890660">
        <w:t>.</w:t>
      </w:r>
    </w:p>
    <w:p w14:paraId="72AA5D4A" w14:textId="2F626644" w:rsidR="002D59A5" w:rsidRPr="00890660" w:rsidRDefault="002D59A5" w:rsidP="00F74CD2">
      <w:pPr>
        <w:pStyle w:val="3-BodyText"/>
      </w:pPr>
      <w:bookmarkStart w:id="9" w:name="_Ref110936311"/>
      <w:r w:rsidRPr="00890660">
        <w:t xml:space="preserve">The ESC </w:t>
      </w:r>
      <w:r w:rsidR="003B6D3C">
        <w:t xml:space="preserve">and the PBAC </w:t>
      </w:r>
      <w:r w:rsidRPr="00890660">
        <w:t>considered that the restriction should prevent use in patients post HSCT</w:t>
      </w:r>
      <w:r w:rsidR="00660262" w:rsidRPr="00890660">
        <w:t xml:space="preserve">, as </w:t>
      </w:r>
      <w:r w:rsidR="0008592E" w:rsidRPr="00890660">
        <w:t>this use was excluded in the key clinical trial</w:t>
      </w:r>
      <w:r w:rsidRPr="00890660">
        <w:t>.</w:t>
      </w:r>
      <w:bookmarkEnd w:id="9"/>
    </w:p>
    <w:p w14:paraId="268B646A" w14:textId="286CDB34" w:rsidR="00184CAF" w:rsidRPr="00890660" w:rsidRDefault="002D59A5" w:rsidP="00F74CD2">
      <w:pPr>
        <w:pStyle w:val="3-BodyText"/>
      </w:pPr>
      <w:r w:rsidRPr="00890660">
        <w:t>T</w:t>
      </w:r>
      <w:r w:rsidR="00A4159D" w:rsidRPr="00890660">
        <w:t xml:space="preserve">he approved TGA indication </w:t>
      </w:r>
      <w:r w:rsidR="00184CAF" w:rsidRPr="00890660">
        <w:t xml:space="preserve">and the proposed PBS restriction </w:t>
      </w:r>
      <w:r w:rsidR="00A4159D" w:rsidRPr="00890660">
        <w:t>specifie</w:t>
      </w:r>
      <w:r w:rsidR="00184CAF" w:rsidRPr="00890660">
        <w:t>d</w:t>
      </w:r>
      <w:r w:rsidR="00A4159D" w:rsidRPr="00890660">
        <w:t xml:space="preserve"> use of oral azacitidine for adult patients</w:t>
      </w:r>
      <w:r w:rsidR="001E3AA5" w:rsidRPr="00890660">
        <w:t xml:space="preserve"> only</w:t>
      </w:r>
      <w:r w:rsidR="00A4159D" w:rsidRPr="00890660">
        <w:t>. The QUAZAR trial included patients of 55 years or older.</w:t>
      </w:r>
      <w:r w:rsidR="00744D91" w:rsidRPr="00890660">
        <w:t xml:space="preserve"> </w:t>
      </w:r>
      <w:r w:rsidR="00BA35C5" w:rsidRPr="00890660">
        <w:t>T</w:t>
      </w:r>
      <w:r w:rsidR="00A4159D" w:rsidRPr="00890660">
        <w:t xml:space="preserve">he PBS restriction for treatment of AML </w:t>
      </w:r>
      <w:r w:rsidR="00BA35C5" w:rsidRPr="00890660">
        <w:t xml:space="preserve">with midostaurin </w:t>
      </w:r>
      <w:r w:rsidR="00A4159D" w:rsidRPr="00890660">
        <w:t xml:space="preserve">does not restrict treatment by age, </w:t>
      </w:r>
      <w:r w:rsidR="00744D91" w:rsidRPr="00890660">
        <w:t xml:space="preserve">although its </w:t>
      </w:r>
      <w:r w:rsidR="00A4159D" w:rsidRPr="00890660">
        <w:t xml:space="preserve">approved TGA indication is in adults only. </w:t>
      </w:r>
      <w:r w:rsidR="00184CAF" w:rsidRPr="00890660">
        <w:t xml:space="preserve">The PSCR proposed that </w:t>
      </w:r>
      <w:r w:rsidR="000907F4" w:rsidRPr="00890660">
        <w:t xml:space="preserve">the population criteria specifying use in </w:t>
      </w:r>
      <w:r w:rsidR="00184CAF" w:rsidRPr="00890660">
        <w:t xml:space="preserve">adult patients </w:t>
      </w:r>
      <w:r w:rsidR="000907F4" w:rsidRPr="00890660">
        <w:t xml:space="preserve">only could </w:t>
      </w:r>
      <w:r w:rsidR="00184CAF" w:rsidRPr="00890660">
        <w:t>be removed from</w:t>
      </w:r>
      <w:r w:rsidR="000907F4" w:rsidRPr="00890660">
        <w:t xml:space="preserve"> restriction</w:t>
      </w:r>
      <w:r w:rsidR="00184CAF" w:rsidRPr="00890660">
        <w:t xml:space="preserve">; </w:t>
      </w:r>
      <w:r w:rsidR="000C7676" w:rsidRPr="00890660">
        <w:t xml:space="preserve">the ESC </w:t>
      </w:r>
      <w:r w:rsidR="003B6D3C">
        <w:t xml:space="preserve">and the PBAC </w:t>
      </w:r>
      <w:r w:rsidR="000C7676" w:rsidRPr="00890660">
        <w:t>agreed that this was reasonable.</w:t>
      </w:r>
    </w:p>
    <w:p w14:paraId="625E9450" w14:textId="691B919D" w:rsidR="00B135AB" w:rsidRPr="00890660" w:rsidRDefault="00B135AB" w:rsidP="00F74CD2">
      <w:pPr>
        <w:pStyle w:val="3-BodyText"/>
      </w:pPr>
      <w:bookmarkStart w:id="10" w:name="_Ref110936326"/>
      <w:r w:rsidRPr="00890660">
        <w:t xml:space="preserve">The proposed PBS restrictions </w:t>
      </w:r>
      <w:r w:rsidR="00B4284F" w:rsidRPr="00890660">
        <w:t>do</w:t>
      </w:r>
      <w:r w:rsidRPr="00890660">
        <w:t xml:space="preserve"> not exclude</w:t>
      </w:r>
      <w:r w:rsidRPr="0010205E">
        <w:t xml:space="preserve"> patients with a FLT3 mutation, which is inconsistent with the clinical </w:t>
      </w:r>
      <w:r w:rsidRPr="00890660">
        <w:t>algorithm. The QUAZAR trial included approximately 25</w:t>
      </w:r>
      <w:r w:rsidR="0011741E">
        <w:noBreakHyphen/>
      </w:r>
      <w:r w:rsidRPr="00890660">
        <w:t>30% of patients with an FLT3 mutation.</w:t>
      </w:r>
      <w:r w:rsidR="00184CAF" w:rsidRPr="00890660">
        <w:t xml:space="preserve"> The ESC </w:t>
      </w:r>
      <w:r w:rsidR="003B6D3C">
        <w:t xml:space="preserve">and the PBAC </w:t>
      </w:r>
      <w:r w:rsidR="00184CAF" w:rsidRPr="00890660">
        <w:t>considered that the restriction should prevent concomitant use of oral azacitidine and midostaurin.</w:t>
      </w:r>
      <w:bookmarkEnd w:id="10"/>
      <w:r w:rsidR="00184CAF" w:rsidRPr="00890660">
        <w:t xml:space="preserve"> </w:t>
      </w:r>
    </w:p>
    <w:p w14:paraId="0B2629CE" w14:textId="6B34B5DF" w:rsidR="00BF7B6F" w:rsidRPr="00890660" w:rsidRDefault="00BF7B6F" w:rsidP="00F74CD2">
      <w:pPr>
        <w:pStyle w:val="3-BodyText"/>
      </w:pPr>
      <w:r w:rsidRPr="00890660">
        <w:t>Azacitidine is a Category X drug and an appropriate pregnancy caution should apply to any PBS listing.</w:t>
      </w:r>
    </w:p>
    <w:p w14:paraId="16E29CA8" w14:textId="192B1730" w:rsidR="0010205E" w:rsidRPr="0010205E" w:rsidRDefault="0010205E" w:rsidP="0010205E">
      <w:pPr>
        <w:pStyle w:val="3-BodyText"/>
        <w:numPr>
          <w:ilvl w:val="0"/>
          <w:numId w:val="0"/>
        </w:numPr>
        <w:ind w:left="720"/>
        <w:rPr>
          <w:i/>
          <w:iCs/>
        </w:rPr>
      </w:pPr>
      <w:r w:rsidRPr="0010205E">
        <w:rPr>
          <w:i/>
          <w:iCs/>
        </w:rPr>
        <w:t>For more detail on PBAC’s view, see section 7 PBAC outcome.</w:t>
      </w:r>
    </w:p>
    <w:p w14:paraId="67F546BD" w14:textId="77777777" w:rsidR="00CC2A63" w:rsidRPr="00407F2D" w:rsidRDefault="00CC2A63" w:rsidP="00CC2A63">
      <w:pPr>
        <w:pStyle w:val="2-SectionHeading"/>
      </w:pPr>
      <w:r>
        <w:t>Population and disease</w:t>
      </w:r>
    </w:p>
    <w:p w14:paraId="72FC41C6" w14:textId="74978D4B" w:rsidR="0086608D" w:rsidRDefault="0086608D" w:rsidP="004E18E9">
      <w:pPr>
        <w:pStyle w:val="3-BodyText"/>
      </w:pPr>
      <w:r w:rsidRPr="0086608D">
        <w:t xml:space="preserve">AML is a rare cancer, accounting for 0.8% of all cancers diagnosed despite being the most common acute myeloid malignancy among adults (Sant et al. 2010, Visser et al. 2012, Shallis et al. 2019). AML involves dysfunctional differentiation of myeloblasts and suppression of normal bone marrow haematopoiesis, leading to excessive proliferation of immature blasts and accumulation of leukaemic cells in the bone marrow (Döhner et al. 2015, De Kouchkovsky et al. 2016, Vosberg et al. 2019). </w:t>
      </w:r>
      <w:r w:rsidR="0072485C" w:rsidRPr="0072485C">
        <w:t>AML commonly results from chromosomal abnormalities or single gene mutations</w:t>
      </w:r>
      <w:r w:rsidR="0072485C">
        <w:t>.</w:t>
      </w:r>
      <w:r w:rsidR="0072485C" w:rsidRPr="0072485C">
        <w:t xml:space="preserve">  </w:t>
      </w:r>
    </w:p>
    <w:p w14:paraId="6CC6FA87" w14:textId="62D3BEB2" w:rsidR="0072485C" w:rsidRDefault="0072485C" w:rsidP="004E18E9">
      <w:pPr>
        <w:pStyle w:val="3-BodyText"/>
      </w:pPr>
      <w:r>
        <w:lastRenderedPageBreak/>
        <w:t xml:space="preserve">The </w:t>
      </w:r>
      <w:r w:rsidRPr="0072485C">
        <w:t xml:space="preserve">signs and symptoms </w:t>
      </w:r>
      <w:r>
        <w:t xml:space="preserve">associated with AML </w:t>
      </w:r>
      <w:r w:rsidRPr="0072485C">
        <w:t>are often non-specific and secondary to the development of other conditions</w:t>
      </w:r>
      <w:r>
        <w:t xml:space="preserve">. It is </w:t>
      </w:r>
      <w:r w:rsidRPr="0072485C">
        <w:t xml:space="preserve">diagnosed based on the presence of 20% or more blasts in the bone marrow or peripheral blood in combination with immunohistochemistry, cytogenetics, and molecular analyses </w:t>
      </w:r>
      <w:r w:rsidRPr="0072485C">
        <w:fldChar w:fldCharType="begin" w:fldLock="1">
          <w:fldData xml:space="preserve">PEVuZE5vdGU+PENpdGU+PEF1dGhvcj5BcmJlcjwvQXV0aG9yPjxZZWFyPjIwMTc8L1llYXI+PFJl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</w:fldData>
        </w:fldChar>
      </w:r>
      <w:r w:rsidRPr="0072485C">
        <w:instrText xml:space="preserve"> ADDIN EN.CITE </w:instrText>
      </w:r>
      <w:r w:rsidRPr="0072485C">
        <w:fldChar w:fldCharType="begin" w:fldLock="1">
          <w:fldData xml:space="preserve">PEVuZE5vdGU+PENpdGU+PEF1dGhvcj5BcmJlcjwvQXV0aG9yPjxZZWFyPjIwMTc8L1llYXI+PFJl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</w:fldData>
        </w:fldChar>
      </w:r>
      <w:r w:rsidRPr="0072485C">
        <w:instrText xml:space="preserve"> ADDIN EN.CITE.DATA </w:instrText>
      </w:r>
      <w:r w:rsidRPr="0072485C">
        <w:fldChar w:fldCharType="end"/>
      </w:r>
      <w:r w:rsidRPr="0072485C">
        <w:fldChar w:fldCharType="separate"/>
      </w:r>
      <w:r w:rsidRPr="0072485C">
        <w:t>(Cheson et al. 2003, Arber et al. 2016, Arber et al. 2017, Döhner et al. 2017, Swerdlow et al. 2017, NCCN 2020)</w:t>
      </w:r>
      <w:r w:rsidRPr="0072485C">
        <w:fldChar w:fldCharType="end"/>
      </w:r>
      <w:r w:rsidR="00C8214F">
        <w:t>.</w:t>
      </w:r>
    </w:p>
    <w:p w14:paraId="7047A0CE" w14:textId="6A1A9DB5" w:rsidR="00C8214F" w:rsidRPr="00BD7DD8" w:rsidRDefault="00C8214F" w:rsidP="004E18E9">
      <w:pPr>
        <w:pStyle w:val="3-BodyText"/>
      </w:pPr>
      <w:r w:rsidRPr="00C8214F">
        <w:t xml:space="preserve">In 2021, the </w:t>
      </w:r>
      <w:r w:rsidR="004B66AD">
        <w:t>Australian Institute of Health and Welfare (</w:t>
      </w:r>
      <w:r w:rsidRPr="00C8214F">
        <w:t>AIHW</w:t>
      </w:r>
      <w:r w:rsidR="004B66AD">
        <w:t>)</w:t>
      </w:r>
      <w:r w:rsidRPr="00C8214F">
        <w:t xml:space="preserve"> ranked AML as the 12</w:t>
      </w:r>
      <w:r w:rsidR="007B66BE">
        <w:t>th</w:t>
      </w:r>
      <w:r w:rsidRPr="00C8214F">
        <w:t xml:space="preserve"> most common cause of death from cancer; ranked 11</w:t>
      </w:r>
      <w:r w:rsidR="007B66BE">
        <w:t>th</w:t>
      </w:r>
      <w:r w:rsidRPr="00C8214F">
        <w:t xml:space="preserve"> and 13</w:t>
      </w:r>
      <w:r w:rsidR="007B66BE">
        <w:t>th</w:t>
      </w:r>
      <w:r w:rsidRPr="00C8214F">
        <w:t xml:space="preserve"> for male and females respectively.</w:t>
      </w:r>
      <w:r>
        <w:t xml:space="preserve"> </w:t>
      </w:r>
      <w:r w:rsidRPr="007F034A">
        <w:t xml:space="preserve">The 5-year relative survival of patients in all ages for the 2013-2017 period </w:t>
      </w:r>
      <w:r w:rsidR="00A4159D" w:rsidRPr="007F034A">
        <w:t>was</w:t>
      </w:r>
      <w:r w:rsidRPr="007F034A">
        <w:t xml:space="preserve"> 26.3%</w:t>
      </w:r>
      <w:r w:rsidR="00A4159D" w:rsidRPr="007F034A">
        <w:t>.</w:t>
      </w:r>
      <w:r w:rsidRPr="007F034A">
        <w:t xml:space="preserve"> </w:t>
      </w:r>
      <w:r w:rsidR="00A4159D" w:rsidRPr="007F034A">
        <w:t>R</w:t>
      </w:r>
      <w:r w:rsidRPr="007F034A">
        <w:t>elative survival at 5 years is higher in younger patients (0-19 years: 73.7%; 20-39 years: 72.3%), decreasing to approximately 52% for patients aged 40-59 and becoming worse among older patients 60 years and above (60-79</w:t>
      </w:r>
      <w:r w:rsidR="00463C26" w:rsidRPr="007F034A">
        <w:t xml:space="preserve"> </w:t>
      </w:r>
      <w:r w:rsidRPr="007F034A">
        <w:t>years: 15.1%; 80+ years: 1.4%) (AIHW Cancer data in Australia 2021; Workbook ‘AIHW-CAN-122-CDiA-2021-Book-3b-Cancer-survival-by-age-age-adjusted-estimates’)</w:t>
      </w:r>
      <w:r w:rsidR="00A4159D" w:rsidRPr="007F034A">
        <w:t>.</w:t>
      </w:r>
    </w:p>
    <w:p w14:paraId="1778F2F3" w14:textId="6DEF3914" w:rsidR="00241EE8" w:rsidRPr="00744D91" w:rsidRDefault="00241EE8" w:rsidP="004E18E9">
      <w:pPr>
        <w:pStyle w:val="3-BodyText"/>
      </w:pPr>
      <w:r w:rsidRPr="00744D91">
        <w:t>The submission define</w:t>
      </w:r>
      <w:r w:rsidR="0081267C" w:rsidRPr="00744D91">
        <w:t>d</w:t>
      </w:r>
      <w:r w:rsidRPr="00744D91">
        <w:t xml:space="preserve"> maintenance treatment in AML as treatment given post CR/CRi with the intention of delaying relapse and prolonging survival. The submission supported this with definitions used in the literature for maintenance treatment in AML; </w:t>
      </w:r>
      <w:r w:rsidR="00BD7DD8" w:rsidRPr="00744D91">
        <w:t xml:space="preserve">for </w:t>
      </w:r>
      <w:r w:rsidRPr="00744D91">
        <w:t>example</w:t>
      </w:r>
      <w:r w:rsidR="00744D91">
        <w:t>,</w:t>
      </w:r>
      <w:r w:rsidRPr="00744D91">
        <w:t xml:space="preserve"> the FDA, NCCN guidelines and </w:t>
      </w:r>
      <w:r w:rsidR="00491E6C" w:rsidRPr="00744D91">
        <w:t xml:space="preserve">other </w:t>
      </w:r>
      <w:r w:rsidRPr="00744D91">
        <w:t xml:space="preserve">randomised clinical trials. </w:t>
      </w:r>
    </w:p>
    <w:p w14:paraId="39B233AF" w14:textId="5C77BF35" w:rsidR="004B66AD" w:rsidRDefault="00B135AB" w:rsidP="004E18E9">
      <w:pPr>
        <w:pStyle w:val="3-BodyText"/>
      </w:pPr>
      <w:r>
        <w:t xml:space="preserve">The proposed clinical management algorithm is presented in </w:t>
      </w:r>
      <w:r>
        <w:fldChar w:fldCharType="begin" w:fldLock="1"/>
      </w:r>
      <w:r>
        <w:instrText xml:space="preserve"> REF _Ref101262895 \h </w:instrText>
      </w:r>
      <w:r>
        <w:fldChar w:fldCharType="separate"/>
      </w:r>
      <w:r w:rsidR="00602E88">
        <w:t xml:space="preserve">Figure </w:t>
      </w:r>
      <w:r w:rsidR="00602E88">
        <w:rPr>
          <w:noProof/>
        </w:rPr>
        <w:t>1</w:t>
      </w:r>
      <w:r>
        <w:fldChar w:fldCharType="end"/>
      </w:r>
      <w:r>
        <w:t xml:space="preserve">. </w:t>
      </w:r>
      <w:r w:rsidR="004B66AD" w:rsidRPr="007F034A">
        <w:t xml:space="preserve">The submission did not state what sources the proposed clinical management algorithm was based </w:t>
      </w:r>
      <w:r w:rsidR="00744D91" w:rsidRPr="007F034A">
        <w:t>up</w:t>
      </w:r>
      <w:r w:rsidR="004B66AD" w:rsidRPr="007F034A">
        <w:t xml:space="preserve">on; however, </w:t>
      </w:r>
      <w:r w:rsidR="00744D91" w:rsidRPr="007F034A">
        <w:t>it</w:t>
      </w:r>
      <w:r w:rsidR="004B66AD" w:rsidRPr="007F034A">
        <w:t xml:space="preserve"> was </w:t>
      </w:r>
      <w:r w:rsidR="00B23C5B" w:rsidRPr="007F034A">
        <w:t xml:space="preserve">largely </w:t>
      </w:r>
      <w:r w:rsidR="004B66AD" w:rsidRPr="007F034A">
        <w:t xml:space="preserve">consistent with current practice in Australia and international guidelines, </w:t>
      </w:r>
      <w:r w:rsidR="007B66BE" w:rsidRPr="007F034A">
        <w:t xml:space="preserve">as </w:t>
      </w:r>
      <w:r w:rsidR="004B66AD" w:rsidRPr="007F034A">
        <w:t>presented in the submission.</w:t>
      </w:r>
      <w:r w:rsidR="004B66AD" w:rsidRPr="004B66AD">
        <w:t xml:space="preserve"> </w:t>
      </w:r>
    </w:p>
    <w:p w14:paraId="6B9F7A08" w14:textId="50C69508" w:rsidR="00B135AB" w:rsidRDefault="00B135AB" w:rsidP="00B135AB">
      <w:pPr>
        <w:pStyle w:val="TableFigureHeading"/>
      </w:pPr>
      <w:bookmarkStart w:id="11" w:name="_Ref101262895"/>
      <w:r>
        <w:lastRenderedPageBreak/>
        <w:t xml:space="preserve">Figure </w:t>
      </w:r>
      <w:r w:rsidR="00396D16">
        <w:fldChar w:fldCharType="begin" w:fldLock="1"/>
      </w:r>
      <w:r w:rsidR="00396D16">
        <w:instrText xml:space="preserve"> SEQ Figure \* </w:instrText>
      </w:r>
      <w:r w:rsidR="00396D16">
        <w:instrText xml:space="preserve">ARABIC </w:instrText>
      </w:r>
      <w:r w:rsidR="00396D16">
        <w:fldChar w:fldCharType="separate"/>
      </w:r>
      <w:r w:rsidR="00602E88">
        <w:rPr>
          <w:noProof/>
        </w:rPr>
        <w:t>1</w:t>
      </w:r>
      <w:r w:rsidR="00396D16">
        <w:rPr>
          <w:noProof/>
        </w:rPr>
        <w:fldChar w:fldCharType="end"/>
      </w:r>
      <w:bookmarkEnd w:id="11"/>
      <w:r>
        <w:t xml:space="preserve">: </w:t>
      </w:r>
      <w:r w:rsidRPr="006B18EB">
        <w:t>Treatment algorithm indicating positioning of oral azacitidine if made available on the PBS</w:t>
      </w:r>
    </w:p>
    <w:p w14:paraId="013C4053" w14:textId="197CEEE6" w:rsidR="00B135AB" w:rsidRDefault="00B135AB" w:rsidP="00B135AB">
      <w:pPr>
        <w:pStyle w:val="In-tableHeading"/>
        <w:rPr>
          <w:lang w:val="en-AU"/>
        </w:rPr>
      </w:pPr>
      <w:r>
        <w:rPr>
          <w:noProof/>
          <w:lang w:val="en-AU"/>
        </w:rPr>
        <w:drawing>
          <wp:inline distT="0" distB="0" distL="0" distR="0" wp14:anchorId="247E7587" wp14:editId="69149605">
            <wp:extent cx="5731510" cy="4640580"/>
            <wp:effectExtent l="0" t="0" r="2540" b="7620"/>
            <wp:docPr id="23" name="Picture 23" descr="Figure 1: Treatment algorithm indicating positioning of oral azacitidine if made available on the P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Figure 1: Treatment algorithm indicating positioning of oral azacitidine if made available on the PBS"/>
                    <pic:cNvPicPr/>
                  </pic:nvPicPr>
                  <pic:blipFill>
                    <a:blip r:embed="rId8"/>
                    <a:stretch>
                      <a:fillRect/>
                    </a:stretch>
                  </pic:blipFill>
                  <pic:spPr>
                    <a:xfrm>
                      <a:off x="0" y="0"/>
                      <a:ext cx="5731510" cy="4640580"/>
                    </a:xfrm>
                    <a:prstGeom prst="rect">
                      <a:avLst/>
                    </a:prstGeom>
                  </pic:spPr>
                </pic:pic>
              </a:graphicData>
            </a:graphic>
          </wp:inline>
        </w:drawing>
      </w:r>
    </w:p>
    <w:p w14:paraId="7DB616E6" w14:textId="77777777" w:rsidR="00B135AB" w:rsidRDefault="00B135AB" w:rsidP="00B135AB">
      <w:pPr>
        <w:pStyle w:val="TableFigureFooter"/>
      </w:pPr>
      <w:r>
        <w:t>Source: Figure 7, p34 of the submission.</w:t>
      </w:r>
    </w:p>
    <w:p w14:paraId="4D998365" w14:textId="3EC79C1A" w:rsidR="00B135AB" w:rsidRDefault="00B135AB" w:rsidP="00B135AB">
      <w:pPr>
        <w:pStyle w:val="TableFigureFooter"/>
      </w:pPr>
      <w:r>
        <w:t xml:space="preserve">Abbreviations: </w:t>
      </w:r>
      <w:r w:rsidRPr="00795CCA">
        <w:t xml:space="preserve">AlloHSCT = allogenic haemopoietic stem cell transplant; </w:t>
      </w:r>
      <w:r>
        <w:t xml:space="preserve">AML = acute myeloid leukemia; </w:t>
      </w:r>
      <w:r w:rsidRPr="00795CCA">
        <w:t>CR = complete remission; CRi = complete remission with incomplete blood count recovery; IC = intensive chemotherapy</w:t>
      </w:r>
      <w:r>
        <w:t>; PBS = Pharmaceutical Benefit Scheme.</w:t>
      </w:r>
    </w:p>
    <w:p w14:paraId="15528DB0" w14:textId="7B7209E9" w:rsidR="00B135AB" w:rsidRDefault="00B135AB" w:rsidP="00B135AB">
      <w:pPr>
        <w:pStyle w:val="TableFigureFooter"/>
      </w:pPr>
      <w:r>
        <w:t>Note: The current standard of no treatment is represented in grey and the positioning of oral azacitidine on the PBS is shown in purple</w:t>
      </w:r>
      <w:r w:rsidR="007B66BE">
        <w:t>.</w:t>
      </w:r>
    </w:p>
    <w:p w14:paraId="1B12642B" w14:textId="77777777" w:rsidR="00B135AB" w:rsidRPr="00795CCA" w:rsidRDefault="00B135AB" w:rsidP="00B135AB">
      <w:pPr>
        <w:pStyle w:val="TableFigureFooter"/>
      </w:pPr>
      <w:r>
        <w:rPr>
          <w:vertAlign w:val="superscript"/>
        </w:rPr>
        <w:t>1</w:t>
      </w:r>
      <w:r w:rsidRPr="00795CCA">
        <w:t>The condition must be internal tandem duplication (ITD) or tyrosine kinase domain (TKD) FMS tyrosine kinase 3 (FLT3) mutation positive AML</w:t>
      </w:r>
    </w:p>
    <w:p w14:paraId="2B99872F" w14:textId="77777777" w:rsidR="00B135AB" w:rsidRPr="00795CCA" w:rsidRDefault="00B135AB" w:rsidP="00B135AB">
      <w:pPr>
        <w:pStyle w:val="TableFigureFooter"/>
      </w:pPr>
      <w:r>
        <w:rPr>
          <w:vertAlign w:val="superscript"/>
        </w:rPr>
        <w:t>2</w:t>
      </w:r>
      <w:r w:rsidRPr="00795CCA">
        <w:t>At the November 2021 PBAC meeting, the PBAC recommended the listing of gemtuzumab ozogamicin, in combination with standard intensive chemotherapy (an anthracycline and cytarabine), for the treatment of patients with previously untreated, de novo CD33-positve AML except acute promyelocytic leukaemia, who have favourable/intermediate/unknown cytogenetic risk (where the unknown risk is due to inconclusive test results). This was PBS-listed on 1 March 2022.</w:t>
      </w:r>
    </w:p>
    <w:p w14:paraId="3BE3ED71" w14:textId="1E085CC0" w:rsidR="00B135AB" w:rsidRPr="007F034A" w:rsidRDefault="00B135AB" w:rsidP="00B135AB">
      <w:pPr>
        <w:pStyle w:val="TableFigureFooter"/>
      </w:pPr>
      <w:r>
        <w:rPr>
          <w:vertAlign w:val="superscript"/>
        </w:rPr>
        <w:t>3</w:t>
      </w:r>
      <w:r w:rsidRPr="00795CCA">
        <w:t>Patient must have demonstrated complete remission after induction and consolidation chemotherapy in combination with midostaurin in order to receive maintenance treatment with midostaurin.</w:t>
      </w:r>
      <w:r w:rsidR="00316523" w:rsidRPr="007F034A">
        <w:t xml:space="preserve"> </w:t>
      </w:r>
      <w:bookmarkStart w:id="12" w:name="_Hlk102648402"/>
      <w:r w:rsidR="00316523" w:rsidRPr="007F034A">
        <w:t xml:space="preserve">The clinical criteria for PBS listed midostaurin for maintenance treatment states that </w:t>
      </w:r>
      <w:r w:rsidR="00491E6C" w:rsidRPr="007F034A">
        <w:t xml:space="preserve">a </w:t>
      </w:r>
      <w:r w:rsidR="00356190" w:rsidRPr="007F034A">
        <w:t>‘</w:t>
      </w:r>
      <w:r w:rsidR="00316523" w:rsidRPr="007F034A">
        <w:t>patient must not be undergoing, or have undergone</w:t>
      </w:r>
      <w:r w:rsidR="00744D91" w:rsidRPr="007F034A">
        <w:t>,</w:t>
      </w:r>
      <w:r w:rsidR="00316523" w:rsidRPr="007F034A">
        <w:t xml:space="preserve"> a stem cell transplant</w:t>
      </w:r>
      <w:r w:rsidR="00356190" w:rsidRPr="007F034A">
        <w:t>’</w:t>
      </w:r>
      <w:r w:rsidR="00316523" w:rsidRPr="007F034A">
        <w:t xml:space="preserve"> (</w:t>
      </w:r>
      <w:r w:rsidR="00463C26" w:rsidRPr="007F034A">
        <w:t>p</w:t>
      </w:r>
      <w:r w:rsidR="00316523" w:rsidRPr="007F034A">
        <w:t>ara</w:t>
      </w:r>
      <w:r w:rsidR="00813569" w:rsidRPr="007F034A">
        <w:t>graph</w:t>
      </w:r>
      <w:r w:rsidR="00316523" w:rsidRPr="007F034A">
        <w:t xml:space="preserve"> 2.1, </w:t>
      </w:r>
      <w:r w:rsidR="00463C26" w:rsidRPr="007F034A">
        <w:t>m</w:t>
      </w:r>
      <w:r w:rsidR="00316523" w:rsidRPr="007F034A">
        <w:t>idostaurin PSD</w:t>
      </w:r>
      <w:r w:rsidR="00D702FB" w:rsidRPr="007F034A">
        <w:t>,</w:t>
      </w:r>
      <w:r w:rsidR="00316523" w:rsidRPr="007F034A">
        <w:t xml:space="preserve"> July 2018).</w:t>
      </w:r>
      <w:bookmarkEnd w:id="12"/>
    </w:p>
    <w:p w14:paraId="68E5A6A6" w14:textId="77777777" w:rsidR="00B135AB" w:rsidRPr="00B135AB" w:rsidRDefault="00B135AB" w:rsidP="00B135AB">
      <w:pPr>
        <w:pStyle w:val="In-tableHeading"/>
        <w:rPr>
          <w:lang w:val="en-AU"/>
        </w:rPr>
      </w:pPr>
    </w:p>
    <w:p w14:paraId="002159F0" w14:textId="0054DCA6" w:rsidR="008D46F6" w:rsidRPr="007F034A" w:rsidRDefault="004B66AD" w:rsidP="00A4159D">
      <w:pPr>
        <w:pStyle w:val="3-BodyText"/>
        <w:rPr>
          <w:iCs/>
        </w:rPr>
      </w:pPr>
      <w:r w:rsidRPr="007F034A">
        <w:rPr>
          <w:iCs/>
        </w:rPr>
        <w:t xml:space="preserve">The proposed clinical management algorithm </w:t>
      </w:r>
      <w:r w:rsidR="0011741E">
        <w:rPr>
          <w:iCs/>
        </w:rPr>
        <w:t>was</w:t>
      </w:r>
      <w:r w:rsidRPr="007F034A">
        <w:rPr>
          <w:iCs/>
        </w:rPr>
        <w:t xml:space="preserve"> inconsistent</w:t>
      </w:r>
      <w:r w:rsidR="007A346B" w:rsidRPr="007F034A">
        <w:rPr>
          <w:iCs/>
        </w:rPr>
        <w:t xml:space="preserve"> with</w:t>
      </w:r>
      <w:r w:rsidRPr="007F034A">
        <w:rPr>
          <w:iCs/>
        </w:rPr>
        <w:t xml:space="preserve"> the evidence presented and the economic model</w:t>
      </w:r>
      <w:r w:rsidR="00A4159D" w:rsidRPr="007F034A">
        <w:rPr>
          <w:iCs/>
        </w:rPr>
        <w:t>, where a proportion of patients received HSCT post treatment with oral azacitidine</w:t>
      </w:r>
      <w:r w:rsidRPr="007F034A">
        <w:rPr>
          <w:iCs/>
        </w:rPr>
        <w:t xml:space="preserve"> </w:t>
      </w:r>
      <w:r w:rsidR="00A4159D" w:rsidRPr="007F034A">
        <w:rPr>
          <w:iCs/>
        </w:rPr>
        <w:t xml:space="preserve">(6.3% in the oral azacitidine arm and 13.7% in the </w:t>
      </w:r>
      <w:r w:rsidR="004F2221" w:rsidRPr="007F034A">
        <w:rPr>
          <w:iCs/>
        </w:rPr>
        <w:t>BSC</w:t>
      </w:r>
      <w:r w:rsidR="00A4159D" w:rsidRPr="007F034A">
        <w:rPr>
          <w:iCs/>
        </w:rPr>
        <w:t xml:space="preserve"> arm</w:t>
      </w:r>
      <w:r w:rsidR="00B4284F" w:rsidRPr="007F034A">
        <w:rPr>
          <w:iCs/>
        </w:rPr>
        <w:t xml:space="preserve"> of QUAZAR</w:t>
      </w:r>
      <w:r w:rsidR="00A4159D" w:rsidRPr="007F034A">
        <w:rPr>
          <w:iCs/>
        </w:rPr>
        <w:t xml:space="preserve">). </w:t>
      </w:r>
      <w:r w:rsidR="00105768" w:rsidRPr="007F034A">
        <w:rPr>
          <w:iCs/>
        </w:rPr>
        <w:t>An expert statement provided with</w:t>
      </w:r>
      <w:r w:rsidR="00A531C1" w:rsidRPr="007F034A">
        <w:rPr>
          <w:iCs/>
        </w:rPr>
        <w:t xml:space="preserve"> the submission</w:t>
      </w:r>
      <w:r w:rsidR="008D46F6" w:rsidRPr="007F034A">
        <w:rPr>
          <w:iCs/>
        </w:rPr>
        <w:t xml:space="preserve"> estimated </w:t>
      </w:r>
      <w:r w:rsidR="00A4159D" w:rsidRPr="007F034A">
        <w:rPr>
          <w:iCs/>
        </w:rPr>
        <w:lastRenderedPageBreak/>
        <w:t xml:space="preserve">the </w:t>
      </w:r>
      <w:r w:rsidR="008D46F6" w:rsidRPr="007F034A">
        <w:rPr>
          <w:iCs/>
        </w:rPr>
        <w:t>proportion of patients to be</w:t>
      </w:r>
      <w:r w:rsidR="00A4159D" w:rsidRPr="007F034A">
        <w:rPr>
          <w:iCs/>
        </w:rPr>
        <w:t>come fit enough for transplant post treatment to be</w:t>
      </w:r>
      <w:r w:rsidR="008D46F6" w:rsidRPr="007F034A">
        <w:rPr>
          <w:iCs/>
        </w:rPr>
        <w:t xml:space="preserve"> no more than 15%. </w:t>
      </w:r>
    </w:p>
    <w:p w14:paraId="64BF8494" w14:textId="10C96D6B" w:rsidR="008D46F6" w:rsidRPr="0086608D" w:rsidRDefault="00A4159D" w:rsidP="004E18E9">
      <w:pPr>
        <w:pStyle w:val="3-BodyText"/>
      </w:pPr>
      <w:r w:rsidRPr="007F034A">
        <w:rPr>
          <w:bCs/>
        </w:rPr>
        <w:t xml:space="preserve">The clinical management algorithm </w:t>
      </w:r>
      <w:r w:rsidR="009D15AF" w:rsidRPr="007F034A">
        <w:rPr>
          <w:bCs/>
        </w:rPr>
        <w:t>suggest</w:t>
      </w:r>
      <w:r w:rsidR="0011741E">
        <w:rPr>
          <w:bCs/>
        </w:rPr>
        <w:t>ed</w:t>
      </w:r>
      <w:r w:rsidRPr="007F034A">
        <w:rPr>
          <w:bCs/>
        </w:rPr>
        <w:t xml:space="preserve"> that patients treated with midostaurin as induction therapy will not receive oral azacitidine as maintenanc</w:t>
      </w:r>
      <w:r w:rsidR="009D15AF" w:rsidRPr="007F034A">
        <w:rPr>
          <w:bCs/>
        </w:rPr>
        <w:t>e</w:t>
      </w:r>
      <w:r w:rsidRPr="007F034A">
        <w:rPr>
          <w:bCs/>
        </w:rPr>
        <w:t xml:space="preserve"> therapy. While it is</w:t>
      </w:r>
      <w:r w:rsidR="008D46F6" w:rsidRPr="007F034A">
        <w:rPr>
          <w:bCs/>
          <w:iCs/>
        </w:rPr>
        <w:t xml:space="preserve"> unlikely that </w:t>
      </w:r>
      <w:r w:rsidR="008D46F6" w:rsidRPr="007F034A">
        <w:rPr>
          <w:bCs/>
        </w:rPr>
        <w:t>oral azacitidine</w:t>
      </w:r>
      <w:r w:rsidR="008D46F6" w:rsidRPr="007F034A">
        <w:rPr>
          <w:bCs/>
          <w:iCs/>
        </w:rPr>
        <w:t xml:space="preserve"> will displace/replace midostaurin for patients with a</w:t>
      </w:r>
      <w:r w:rsidR="009D6FA6" w:rsidRPr="007F034A">
        <w:rPr>
          <w:bCs/>
          <w:iCs/>
        </w:rPr>
        <w:t>n</w:t>
      </w:r>
      <w:r w:rsidR="008D46F6" w:rsidRPr="007F034A">
        <w:rPr>
          <w:bCs/>
          <w:iCs/>
        </w:rPr>
        <w:t xml:space="preserve"> </w:t>
      </w:r>
      <w:r w:rsidR="009D15AF" w:rsidRPr="007F034A">
        <w:t>FMS-like tyrosine kinase-3 (</w:t>
      </w:r>
      <w:r w:rsidR="008D46F6" w:rsidRPr="007F034A">
        <w:rPr>
          <w:bCs/>
          <w:iCs/>
        </w:rPr>
        <w:t>FLT3</w:t>
      </w:r>
      <w:r w:rsidR="009D15AF" w:rsidRPr="007F034A">
        <w:rPr>
          <w:bCs/>
          <w:iCs/>
        </w:rPr>
        <w:t>)</w:t>
      </w:r>
      <w:r w:rsidR="008D46F6" w:rsidRPr="007F034A">
        <w:rPr>
          <w:bCs/>
          <w:iCs/>
        </w:rPr>
        <w:t xml:space="preserve"> mutation</w:t>
      </w:r>
      <w:r w:rsidR="00105768" w:rsidRPr="007F034A">
        <w:rPr>
          <w:bCs/>
          <w:iCs/>
        </w:rPr>
        <w:t>,</w:t>
      </w:r>
      <w:r w:rsidRPr="007F034A">
        <w:rPr>
          <w:bCs/>
          <w:iCs/>
        </w:rPr>
        <w:t xml:space="preserve"> </w:t>
      </w:r>
      <w:r w:rsidR="008D46F6" w:rsidRPr="007F034A">
        <w:rPr>
          <w:bCs/>
          <w:iCs/>
        </w:rPr>
        <w:t xml:space="preserve">a proportion of patients who experience severe adverse events with midostaurin induction and/or consolidation may opt for oral azacitidine if </w:t>
      </w:r>
      <w:r w:rsidR="005F67D1" w:rsidRPr="007F034A">
        <w:rPr>
          <w:bCs/>
          <w:iCs/>
        </w:rPr>
        <w:t xml:space="preserve">it is </w:t>
      </w:r>
      <w:r w:rsidR="008D46F6" w:rsidRPr="007F034A">
        <w:rPr>
          <w:bCs/>
          <w:iCs/>
        </w:rPr>
        <w:t>available for maintenance.</w:t>
      </w:r>
      <w:r w:rsidR="00356190" w:rsidRPr="007F034A">
        <w:rPr>
          <w:bCs/>
          <w:iCs/>
        </w:rPr>
        <w:t xml:space="preserve"> A subgroup analysis by FLT3 mutation status demonstrated </w:t>
      </w:r>
      <w:r w:rsidR="00E75BD5" w:rsidRPr="007F034A">
        <w:rPr>
          <w:bCs/>
          <w:iCs/>
        </w:rPr>
        <w:t>oral azacitidine provid</w:t>
      </w:r>
      <w:r w:rsidR="00BD7DD8" w:rsidRPr="007F034A">
        <w:rPr>
          <w:bCs/>
          <w:iCs/>
        </w:rPr>
        <w:t>ed</w:t>
      </w:r>
      <w:r w:rsidR="00E75BD5" w:rsidRPr="007F034A">
        <w:rPr>
          <w:bCs/>
          <w:iCs/>
        </w:rPr>
        <w:t xml:space="preserve"> an improvement in OS compared to BSC regardless of FLT</w:t>
      </w:r>
      <w:r w:rsidR="00800889" w:rsidRPr="007F034A">
        <w:rPr>
          <w:bCs/>
          <w:iCs/>
        </w:rPr>
        <w:t>3</w:t>
      </w:r>
      <w:r w:rsidR="00E75BD5" w:rsidRPr="007F034A">
        <w:rPr>
          <w:bCs/>
          <w:iCs/>
        </w:rPr>
        <w:t xml:space="preserve"> mutation status (median time to event for FLT3 mutant patients: 28.2</w:t>
      </w:r>
      <w:r w:rsidR="005F67D1" w:rsidRPr="007F034A">
        <w:rPr>
          <w:bCs/>
          <w:iCs/>
        </w:rPr>
        <w:t xml:space="preserve"> months</w:t>
      </w:r>
      <w:r w:rsidR="00E75BD5" w:rsidRPr="007F034A">
        <w:rPr>
          <w:bCs/>
          <w:iCs/>
        </w:rPr>
        <w:t xml:space="preserve"> (95%</w:t>
      </w:r>
      <w:r w:rsidR="005F67D1" w:rsidRPr="007F034A">
        <w:rPr>
          <w:bCs/>
          <w:iCs/>
        </w:rPr>
        <w:t xml:space="preserve"> </w:t>
      </w:r>
      <w:r w:rsidR="00E75BD5" w:rsidRPr="007F034A">
        <w:rPr>
          <w:bCs/>
          <w:iCs/>
        </w:rPr>
        <w:t>CI: NR) versus 9.7</w:t>
      </w:r>
      <w:r w:rsidR="00301286" w:rsidRPr="007F034A">
        <w:rPr>
          <w:bCs/>
          <w:iCs/>
        </w:rPr>
        <w:t xml:space="preserve"> </w:t>
      </w:r>
      <w:r w:rsidR="005F67D1" w:rsidRPr="007F034A">
        <w:rPr>
          <w:bCs/>
          <w:iCs/>
        </w:rPr>
        <w:t xml:space="preserve">months </w:t>
      </w:r>
      <w:r w:rsidR="00E75BD5" w:rsidRPr="007F034A">
        <w:rPr>
          <w:bCs/>
          <w:iCs/>
        </w:rPr>
        <w:t>(95%</w:t>
      </w:r>
      <w:r w:rsidR="005F67D1" w:rsidRPr="007F034A">
        <w:rPr>
          <w:bCs/>
          <w:iCs/>
        </w:rPr>
        <w:t xml:space="preserve"> </w:t>
      </w:r>
      <w:r w:rsidR="00E75BD5" w:rsidRPr="007F034A">
        <w:rPr>
          <w:bCs/>
          <w:iCs/>
        </w:rPr>
        <w:t>CI: NR) for oral azacitidine and BSC respectively)</w:t>
      </w:r>
      <w:r w:rsidR="00356190" w:rsidRPr="007F034A">
        <w:rPr>
          <w:bCs/>
          <w:iCs/>
        </w:rPr>
        <w:t>.</w:t>
      </w:r>
    </w:p>
    <w:p w14:paraId="46E58604" w14:textId="1768D3FF" w:rsidR="00D13D6D" w:rsidRPr="00D13D6D" w:rsidRDefault="008E71BC" w:rsidP="00D13D6D">
      <w:pPr>
        <w:pStyle w:val="3-BodyText"/>
        <w:rPr>
          <w:color w:val="0066FF"/>
        </w:rPr>
      </w:pPr>
      <w:r w:rsidRPr="008E71BC">
        <w:t xml:space="preserve">Oral azacitidine is an oral formulation of the HMA azacitidine, a cytidine nucleoside analogue that incorporates into DNA and ribonucleic acid (RNA). </w:t>
      </w:r>
      <w:r w:rsidR="00FB79B2" w:rsidRPr="00FB79B2">
        <w:t>Azacitidine exerts its clinical efficacy through reduction of DNA hypermethylation and induction of cytotoxicity in abnormal haematopoietic cells</w:t>
      </w:r>
      <w:r w:rsidR="00FB79B2">
        <w:t xml:space="preserve"> (Garcia-Manero et al. 2016).</w:t>
      </w:r>
      <w:r w:rsidR="00D13D6D">
        <w:rPr>
          <w:color w:val="0066FF"/>
        </w:rPr>
        <w:t xml:space="preserve"> </w:t>
      </w:r>
      <w:bookmarkStart w:id="13" w:name="_Hlk100749316"/>
      <w:r w:rsidR="00D13D6D" w:rsidRPr="00D13D6D">
        <w:t>Best supportive care</w:t>
      </w:r>
      <w:r w:rsidR="00D13D6D">
        <w:t xml:space="preserve"> (BSC)</w:t>
      </w:r>
      <w:r w:rsidR="00D13D6D" w:rsidRPr="00D13D6D">
        <w:t xml:space="preserve"> is provided alongside oral azacitidine. </w:t>
      </w:r>
      <w:r w:rsidR="00D13D6D">
        <w:t>BSC</w:t>
      </w:r>
      <w:r w:rsidR="00D13D6D" w:rsidRPr="00D13D6D">
        <w:t xml:space="preserve"> includes but</w:t>
      </w:r>
      <w:r w:rsidR="00A4159D">
        <w:t xml:space="preserve"> is</w:t>
      </w:r>
      <w:r w:rsidR="00D13D6D" w:rsidRPr="00D13D6D">
        <w:t xml:space="preserve"> not limited to red blood cell (RBC) and platelet transfusions, antibiotics, antiviral and antifungal therapy, nutritional support and granulocyte colony stimulating factors </w:t>
      </w:r>
      <w:r w:rsidR="00B135AB">
        <w:t>(</w:t>
      </w:r>
      <w:r w:rsidR="00D13D6D" w:rsidRPr="00D13D6D">
        <w:t>G-CSFs)</w:t>
      </w:r>
      <w:bookmarkEnd w:id="13"/>
      <w:r w:rsidR="00D13D6D" w:rsidRPr="00D13D6D">
        <w:t>.</w:t>
      </w:r>
      <w:r w:rsidR="00D13D6D" w:rsidRPr="007F034A">
        <w:t xml:space="preserve"> </w:t>
      </w:r>
    </w:p>
    <w:p w14:paraId="4C0C4378" w14:textId="64D67D52" w:rsidR="001244EA" w:rsidRPr="0010205E" w:rsidRDefault="001244EA" w:rsidP="00D13D6D">
      <w:pPr>
        <w:pStyle w:val="3-BodyText"/>
        <w:rPr>
          <w:color w:val="0066FF"/>
        </w:rPr>
      </w:pPr>
      <w:r w:rsidRPr="007F034A">
        <w:t>The recommended dosing schedule of oral azacitidine proposed by the submission was consistent with the oral azacitidine P</w:t>
      </w:r>
      <w:r w:rsidR="007A20FA">
        <w:t xml:space="preserve">roduct </w:t>
      </w:r>
      <w:r w:rsidRPr="007F034A">
        <w:t>I</w:t>
      </w:r>
      <w:r w:rsidR="007A20FA">
        <w:t>nformation</w:t>
      </w:r>
      <w:r w:rsidRPr="007F034A">
        <w:t xml:space="preserve"> and </w:t>
      </w:r>
      <w:r w:rsidR="00A4159D" w:rsidRPr="007F034A">
        <w:t xml:space="preserve">the dosing schedule in </w:t>
      </w:r>
      <w:r w:rsidRPr="007F034A">
        <w:t xml:space="preserve">QUAZAR. </w:t>
      </w:r>
      <w:r w:rsidRPr="00E8728B">
        <w:t xml:space="preserve">Prophylactic concomitant treatment with anti-emetics is recommended </w:t>
      </w:r>
      <w:r w:rsidR="00E8728B" w:rsidRPr="00E8728B">
        <w:t>30 minutes prior to each dose of oral azacitidine for the first two treatment cycles, however, anti-emetics can be omitted after 2 cycles if there has been no nausea and vomiting. Complete blood count (CB</w:t>
      </w:r>
      <w:r w:rsidR="00A4159D">
        <w:t>C</w:t>
      </w:r>
      <w:r w:rsidR="00E8728B" w:rsidRPr="00E8728B">
        <w:t xml:space="preserve">) is </w:t>
      </w:r>
      <w:r w:rsidR="00E8728B">
        <w:t xml:space="preserve">also </w:t>
      </w:r>
      <w:r w:rsidR="00E8728B" w:rsidRPr="00E8728B">
        <w:t>recommended prior to initiation of therapy, every other week for the first 2 cycles (56 days), every other week for the next 2 cycles after dose adjustment, and monthly thereafter, prior to the start of subsequent cycles of treatment.</w:t>
      </w:r>
      <w:r w:rsidR="00E8728B" w:rsidRPr="007F034A">
        <w:t xml:space="preserve"> Costs of prophylactic anti-emetics </w:t>
      </w:r>
      <w:r w:rsidRPr="007F034A">
        <w:t xml:space="preserve">and CBCs were </w:t>
      </w:r>
      <w:r w:rsidR="00624201" w:rsidRPr="007F034A">
        <w:t>included</w:t>
      </w:r>
      <w:r w:rsidRPr="007F034A">
        <w:t xml:space="preserve"> in </w:t>
      </w:r>
      <w:r w:rsidR="00A93684">
        <w:t>the economic analysis</w:t>
      </w:r>
      <w:r w:rsidRPr="007F034A">
        <w:t xml:space="preserve">, but not </w:t>
      </w:r>
      <w:r w:rsidR="00A93684">
        <w:t>the estimated financial impact estimates</w:t>
      </w:r>
      <w:r w:rsidRPr="007F034A">
        <w:t xml:space="preserve">. </w:t>
      </w:r>
    </w:p>
    <w:p w14:paraId="22C0F248" w14:textId="0D2E0C44" w:rsidR="0010205E" w:rsidRPr="0010205E" w:rsidRDefault="0010205E" w:rsidP="0010205E">
      <w:pPr>
        <w:pStyle w:val="3-BodyText"/>
        <w:numPr>
          <w:ilvl w:val="0"/>
          <w:numId w:val="0"/>
        </w:numPr>
        <w:ind w:left="720"/>
        <w:rPr>
          <w:i/>
          <w:iCs/>
        </w:rPr>
      </w:pPr>
      <w:r w:rsidRPr="0010205E">
        <w:rPr>
          <w:i/>
          <w:iCs/>
        </w:rPr>
        <w:t>For more detail on PBAC’s view, see section 7 PBAC outcome.</w:t>
      </w:r>
    </w:p>
    <w:p w14:paraId="51E5AE96" w14:textId="136A63B1" w:rsidR="00B50DB8" w:rsidRPr="00407F2D" w:rsidRDefault="00B50DB8" w:rsidP="004E18E9">
      <w:pPr>
        <w:pStyle w:val="2-SectionHeading"/>
      </w:pPr>
      <w:bookmarkStart w:id="14" w:name="_Toc103244674"/>
      <w:r w:rsidRPr="00407F2D">
        <w:t>Comparator</w:t>
      </w:r>
      <w:bookmarkEnd w:id="14"/>
    </w:p>
    <w:p w14:paraId="55C1175D" w14:textId="239E1B72" w:rsidR="008E71BC" w:rsidRPr="0010205E" w:rsidRDefault="008E71BC" w:rsidP="00B5205F">
      <w:pPr>
        <w:pStyle w:val="3-BodyText"/>
      </w:pPr>
      <w:bookmarkStart w:id="15" w:name="_Hlk103065732"/>
      <w:r w:rsidRPr="0010205E">
        <w:t xml:space="preserve">The submission nominated placebo or no maintenance therapy as the main comparator. </w:t>
      </w:r>
      <w:bookmarkStart w:id="16" w:name="_Hlk100749346"/>
      <w:r w:rsidR="00B135AB" w:rsidRPr="0010205E">
        <w:t>While all AML patients will receive BSC, in addition to active therapy</w:t>
      </w:r>
      <w:r w:rsidR="00EE6BC5" w:rsidRPr="0010205E">
        <w:t xml:space="preserve"> or placebo</w:t>
      </w:r>
      <w:r w:rsidR="00B135AB" w:rsidRPr="0010205E">
        <w:t>, the submission refer</w:t>
      </w:r>
      <w:r w:rsidR="0011741E">
        <w:t>red</w:t>
      </w:r>
      <w:r w:rsidR="00B135AB" w:rsidRPr="0010205E">
        <w:t xml:space="preserve"> to the use of BSC in the absence of active therapy as </w:t>
      </w:r>
      <w:r w:rsidR="00EE6BC5" w:rsidRPr="0010205E">
        <w:t>‘</w:t>
      </w:r>
      <w:r w:rsidR="00B135AB" w:rsidRPr="0010205E">
        <w:t>placebo</w:t>
      </w:r>
      <w:r w:rsidR="00EE6BC5" w:rsidRPr="0010205E">
        <w:t>’; this will be referred to as ‘BSC’ hereafter</w:t>
      </w:r>
      <w:r w:rsidR="00B135AB" w:rsidRPr="0010205E">
        <w:t xml:space="preserve">. </w:t>
      </w:r>
      <w:bookmarkEnd w:id="16"/>
      <w:r w:rsidR="009B5D5E" w:rsidRPr="0010205E">
        <w:t xml:space="preserve">Patients in the comparator arm of QUAZAR received placebo alongside BSC; the comparator arm of QUAZAR will also be referred to as </w:t>
      </w:r>
      <w:r w:rsidR="00491E6C" w:rsidRPr="0010205E">
        <w:t>‘</w:t>
      </w:r>
      <w:r w:rsidR="009B5D5E" w:rsidRPr="0010205E">
        <w:t>BSC</w:t>
      </w:r>
      <w:r w:rsidR="00491E6C" w:rsidRPr="0010205E">
        <w:t>’</w:t>
      </w:r>
      <w:r w:rsidR="009B5D5E" w:rsidRPr="0010205E">
        <w:t xml:space="preserve"> hereafter. </w:t>
      </w:r>
      <w:bookmarkEnd w:id="15"/>
      <w:r w:rsidRPr="0010205E">
        <w:t xml:space="preserve">The main argument provided in support of this nomination was that no therapies are currently registered or reimbursed as </w:t>
      </w:r>
      <w:r w:rsidRPr="0010205E">
        <w:lastRenderedPageBreak/>
        <w:t xml:space="preserve">maintenance therapy for </w:t>
      </w:r>
      <w:r w:rsidR="005E11C4" w:rsidRPr="0010205E">
        <w:t>the proposed population</w:t>
      </w:r>
      <w:r w:rsidRPr="0010205E">
        <w:t xml:space="preserve">. The </w:t>
      </w:r>
      <w:r w:rsidR="003F1791" w:rsidRPr="0010205E">
        <w:t xml:space="preserve">ESC considered that the </w:t>
      </w:r>
      <w:r w:rsidRPr="0010205E">
        <w:t xml:space="preserve">choice of comparator was appropriate. </w:t>
      </w:r>
    </w:p>
    <w:p w14:paraId="6B92570B" w14:textId="3A99493F" w:rsidR="008E71BC" w:rsidRPr="0010205E" w:rsidRDefault="008E71BC" w:rsidP="007E6C08">
      <w:pPr>
        <w:pStyle w:val="3-BodyText"/>
        <w:rPr>
          <w:snapToGrid/>
          <w:lang w:val="en-US"/>
        </w:rPr>
      </w:pPr>
      <w:r w:rsidRPr="0010205E">
        <w:rPr>
          <w:bCs/>
        </w:rPr>
        <w:t xml:space="preserve">Midostaurin is PBS listed </w:t>
      </w:r>
      <w:r w:rsidR="00A4159D" w:rsidRPr="0010205E">
        <w:rPr>
          <w:bCs/>
        </w:rPr>
        <w:t xml:space="preserve">for use in </w:t>
      </w:r>
      <w:r w:rsidRPr="0010205E">
        <w:rPr>
          <w:bCs/>
        </w:rPr>
        <w:t>FLT3 mutation positive AML patients as induction/consolidation therapy and as maintenance therapy</w:t>
      </w:r>
      <w:r w:rsidR="004F2221" w:rsidRPr="0010205E">
        <w:rPr>
          <w:bCs/>
        </w:rPr>
        <w:t xml:space="preserve">. </w:t>
      </w:r>
      <w:r w:rsidR="009D15AF" w:rsidRPr="0010205E">
        <w:rPr>
          <w:bCs/>
        </w:rPr>
        <w:t>While unlikely</w:t>
      </w:r>
      <w:r w:rsidR="005F67D1" w:rsidRPr="0010205E">
        <w:rPr>
          <w:bCs/>
        </w:rPr>
        <w:t xml:space="preserve">, there is a possibility that a small proportion </w:t>
      </w:r>
      <w:r w:rsidR="008112DA" w:rsidRPr="0010205E">
        <w:rPr>
          <w:bCs/>
        </w:rPr>
        <w:t xml:space="preserve">of </w:t>
      </w:r>
      <w:r w:rsidR="009D15AF" w:rsidRPr="0010205E">
        <w:rPr>
          <w:bCs/>
        </w:rPr>
        <w:t xml:space="preserve">patients with a positive FLT3 mutation who have received midostaurin will receive </w:t>
      </w:r>
      <w:r w:rsidR="009C2A06" w:rsidRPr="0010205E">
        <w:rPr>
          <w:bCs/>
        </w:rPr>
        <w:t xml:space="preserve">oral </w:t>
      </w:r>
      <w:r w:rsidR="009D15AF" w:rsidRPr="0010205E">
        <w:rPr>
          <w:bCs/>
        </w:rPr>
        <w:t>azacitidine as maintenance therapy</w:t>
      </w:r>
      <w:r w:rsidR="00815993" w:rsidRPr="0010205E">
        <w:rPr>
          <w:snapToGrid/>
        </w:rPr>
        <w:t xml:space="preserve">. </w:t>
      </w:r>
      <w:r w:rsidR="00DB021D" w:rsidRPr="0010205E">
        <w:rPr>
          <w:snapToGrid/>
        </w:rPr>
        <w:t xml:space="preserve">Expert opinion provided with the </w:t>
      </w:r>
      <w:r w:rsidR="00F46A9B" w:rsidRPr="0010205E">
        <w:rPr>
          <w:snapToGrid/>
        </w:rPr>
        <w:t xml:space="preserve">submission noted </w:t>
      </w:r>
      <w:r w:rsidR="009D15AF" w:rsidRPr="0010205E">
        <w:rPr>
          <w:snapToGrid/>
        </w:rPr>
        <w:t xml:space="preserve">that </w:t>
      </w:r>
      <w:r w:rsidR="00F46A9B" w:rsidRPr="0010205E">
        <w:rPr>
          <w:snapToGrid/>
        </w:rPr>
        <w:t xml:space="preserve">for </w:t>
      </w:r>
      <w:r w:rsidR="009D15AF" w:rsidRPr="0010205E">
        <w:rPr>
          <w:snapToGrid/>
        </w:rPr>
        <w:t>FLT3 mutation positive patients</w:t>
      </w:r>
      <w:r w:rsidR="00F46A9B" w:rsidRPr="0010205E">
        <w:rPr>
          <w:snapToGrid/>
        </w:rPr>
        <w:t>,</w:t>
      </w:r>
      <w:r w:rsidR="009D15AF" w:rsidRPr="0010205E">
        <w:rPr>
          <w:snapToGrid/>
        </w:rPr>
        <w:t xml:space="preserve"> ‘approximately 5 to 10% of patients may have side-effects related to midostaurin and may access </w:t>
      </w:r>
      <w:r w:rsidR="00DB021D" w:rsidRPr="0010205E">
        <w:rPr>
          <w:snapToGrid/>
        </w:rPr>
        <w:t xml:space="preserve">[oral] </w:t>
      </w:r>
      <w:r w:rsidR="009D15AF" w:rsidRPr="0010205E">
        <w:rPr>
          <w:snapToGrid/>
        </w:rPr>
        <w:t xml:space="preserve">azacitidine instead’. </w:t>
      </w:r>
    </w:p>
    <w:p w14:paraId="259BC6BC" w14:textId="61FF5985" w:rsidR="0010205E" w:rsidRPr="0010205E" w:rsidRDefault="0010205E" w:rsidP="0010205E">
      <w:pPr>
        <w:pStyle w:val="3-BodyText"/>
        <w:numPr>
          <w:ilvl w:val="0"/>
          <w:numId w:val="0"/>
        </w:numPr>
        <w:ind w:left="720"/>
        <w:rPr>
          <w:i/>
          <w:iCs/>
        </w:rPr>
      </w:pPr>
      <w:r w:rsidRPr="0010205E">
        <w:rPr>
          <w:i/>
          <w:iCs/>
        </w:rPr>
        <w:t>For more detail on PBAC’s view, see section 7 PBAC outcome.</w:t>
      </w:r>
    </w:p>
    <w:p w14:paraId="7F9C27C8" w14:textId="77777777" w:rsidR="00223D5A" w:rsidRPr="00407F2D" w:rsidRDefault="00223D5A" w:rsidP="00223D5A">
      <w:pPr>
        <w:pStyle w:val="2-SectionHeading"/>
        <w:numPr>
          <w:ilvl w:val="0"/>
          <w:numId w:val="1"/>
        </w:numPr>
      </w:pPr>
      <w:bookmarkStart w:id="17" w:name="_Toc103244675"/>
      <w:bookmarkStart w:id="18" w:name="_Toc22897640"/>
      <w:r>
        <w:t>C</w:t>
      </w:r>
      <w:r w:rsidRPr="00407F2D">
        <w:t>onsideration of the evidence</w:t>
      </w:r>
      <w:bookmarkEnd w:id="17"/>
    </w:p>
    <w:p w14:paraId="04808C38" w14:textId="77777777" w:rsidR="0010205E" w:rsidRPr="0010205E" w:rsidRDefault="0010205E" w:rsidP="0010205E">
      <w:pPr>
        <w:pStyle w:val="4-SubsectionHeading"/>
      </w:pPr>
      <w:bookmarkStart w:id="19" w:name="_Hlk76375935"/>
      <w:bookmarkStart w:id="20" w:name="_Toc103244676"/>
      <w:r w:rsidRPr="0010205E">
        <w:t>Sponsor hearing</w:t>
      </w:r>
    </w:p>
    <w:p w14:paraId="77DCED35" w14:textId="7FD9C878" w:rsidR="0010205E" w:rsidRPr="00F91542" w:rsidRDefault="0010205E" w:rsidP="0010205E">
      <w:pPr>
        <w:widowControl w:val="0"/>
        <w:numPr>
          <w:ilvl w:val="1"/>
          <w:numId w:val="1"/>
        </w:numPr>
        <w:spacing w:after="120"/>
        <w:ind w:left="720"/>
        <w:rPr>
          <w:rFonts w:cs="Calibri"/>
          <w:bCs/>
          <w:snapToGrid w:val="0"/>
        </w:rPr>
      </w:pPr>
      <w:r w:rsidRPr="00F91542">
        <w:rPr>
          <w:rFonts w:cs="Calibri"/>
          <w:bCs/>
          <w:snapToGrid w:val="0"/>
        </w:rPr>
        <w:t>There was no hearing for this item.</w:t>
      </w:r>
    </w:p>
    <w:p w14:paraId="173424BC" w14:textId="77777777" w:rsidR="0010205E" w:rsidRPr="006E1229" w:rsidRDefault="0010205E" w:rsidP="0010205E">
      <w:pPr>
        <w:pStyle w:val="4-SubsectionHeading"/>
      </w:pPr>
      <w:r w:rsidRPr="006E1229">
        <w:t>Consumer comments</w:t>
      </w:r>
    </w:p>
    <w:p w14:paraId="467200A9" w14:textId="49187934" w:rsidR="00350F89" w:rsidRPr="00836F75" w:rsidRDefault="0010205E" w:rsidP="00350F89">
      <w:pPr>
        <w:widowControl w:val="0"/>
        <w:numPr>
          <w:ilvl w:val="1"/>
          <w:numId w:val="1"/>
        </w:numPr>
        <w:spacing w:after="120"/>
        <w:ind w:left="720"/>
        <w:rPr>
          <w:rFonts w:asciiTheme="minorHAnsi" w:hAnsiTheme="minorHAnsi"/>
          <w:bCs/>
          <w:snapToGrid w:val="0"/>
        </w:rPr>
      </w:pPr>
      <w:bookmarkStart w:id="21" w:name="_Hlk76382618"/>
      <w:r w:rsidRPr="00836F75">
        <w:rPr>
          <w:rFonts w:asciiTheme="minorHAnsi" w:hAnsiTheme="minorHAnsi"/>
          <w:bCs/>
          <w:snapToGrid w:val="0"/>
        </w:rPr>
        <w:t>The PBAC noted and welcomed the input from individuals (</w:t>
      </w:r>
      <w:r w:rsidR="00350F89">
        <w:rPr>
          <w:rFonts w:asciiTheme="minorHAnsi" w:hAnsiTheme="minorHAnsi"/>
          <w:bCs/>
          <w:snapToGrid w:val="0"/>
        </w:rPr>
        <w:t>2</w:t>
      </w:r>
      <w:r w:rsidRPr="00836F75">
        <w:rPr>
          <w:rFonts w:asciiTheme="minorHAnsi" w:hAnsiTheme="minorHAnsi"/>
          <w:bCs/>
          <w:snapToGrid w:val="0"/>
        </w:rPr>
        <w:t>) and organisations (</w:t>
      </w:r>
      <w:r w:rsidR="00350F89">
        <w:rPr>
          <w:rFonts w:asciiTheme="minorHAnsi" w:hAnsiTheme="minorHAnsi"/>
          <w:bCs/>
          <w:snapToGrid w:val="0"/>
        </w:rPr>
        <w:t>2</w:t>
      </w:r>
      <w:r w:rsidRPr="00836F75">
        <w:rPr>
          <w:rFonts w:asciiTheme="minorHAnsi" w:hAnsiTheme="minorHAnsi"/>
          <w:bCs/>
          <w:snapToGrid w:val="0"/>
        </w:rPr>
        <w:t xml:space="preserve">) via the Consumer Comments facility on the PBS website.  </w:t>
      </w:r>
      <w:r w:rsidR="00350F89">
        <w:rPr>
          <w:rFonts w:asciiTheme="minorHAnsi" w:hAnsiTheme="minorHAnsi"/>
          <w:bCs/>
          <w:snapToGrid w:val="0"/>
        </w:rPr>
        <w:t>Comments from individuals and South East Myeloma Support</w:t>
      </w:r>
      <w:r w:rsidR="00EB2762">
        <w:rPr>
          <w:rFonts w:asciiTheme="minorHAnsi" w:hAnsiTheme="minorHAnsi"/>
          <w:bCs/>
          <w:snapToGrid w:val="0"/>
        </w:rPr>
        <w:t xml:space="preserve"> expressed support for the listing of oral azacitidine.</w:t>
      </w:r>
    </w:p>
    <w:p w14:paraId="1E902E5C" w14:textId="5DF9E6F8" w:rsidR="0010205E" w:rsidRDefault="0010205E" w:rsidP="0010205E">
      <w:pPr>
        <w:widowControl w:val="0"/>
        <w:numPr>
          <w:ilvl w:val="1"/>
          <w:numId w:val="1"/>
        </w:numPr>
        <w:spacing w:after="120"/>
        <w:ind w:left="720"/>
        <w:rPr>
          <w:rFonts w:asciiTheme="minorHAnsi" w:hAnsiTheme="minorHAnsi"/>
          <w:bCs/>
          <w:snapToGrid w:val="0"/>
        </w:rPr>
      </w:pPr>
      <w:r w:rsidRPr="00836F75">
        <w:rPr>
          <w:rFonts w:asciiTheme="minorHAnsi" w:hAnsiTheme="minorHAnsi"/>
          <w:bCs/>
          <w:snapToGrid w:val="0"/>
        </w:rPr>
        <w:t xml:space="preserve">The PBAC noted the advice received from </w:t>
      </w:r>
      <w:r w:rsidR="00350F89">
        <w:rPr>
          <w:rFonts w:asciiTheme="minorHAnsi" w:hAnsiTheme="minorHAnsi"/>
          <w:bCs/>
          <w:snapToGrid w:val="0"/>
        </w:rPr>
        <w:t>the Leukaemia Foundation</w:t>
      </w:r>
      <w:r w:rsidR="00EB2762">
        <w:rPr>
          <w:rFonts w:asciiTheme="minorHAnsi" w:hAnsiTheme="minorHAnsi"/>
          <w:bCs/>
          <w:snapToGrid w:val="0"/>
        </w:rPr>
        <w:t>.</w:t>
      </w:r>
      <w:r w:rsidRPr="00836F75">
        <w:rPr>
          <w:rFonts w:asciiTheme="minorHAnsi" w:hAnsiTheme="minorHAnsi"/>
          <w:bCs/>
          <w:snapToGrid w:val="0"/>
        </w:rPr>
        <w:t xml:space="preserve"> The PBAC specifically noted the advice that the use of </w:t>
      </w:r>
      <w:r w:rsidR="00EB2762">
        <w:rPr>
          <w:rFonts w:asciiTheme="minorHAnsi" w:hAnsiTheme="minorHAnsi"/>
          <w:bCs/>
          <w:snapToGrid w:val="0"/>
        </w:rPr>
        <w:t xml:space="preserve">oral azacitidine as maintenance therapy for certain patients with AML may improve overall survival and appears to have very acceptable tolerability. The Leukaemia Foundation also noted the unmet need for effective AML maintenance therapies. </w:t>
      </w:r>
      <w:r w:rsidRPr="00836F75">
        <w:rPr>
          <w:rFonts w:asciiTheme="minorHAnsi" w:hAnsiTheme="minorHAnsi"/>
          <w:bCs/>
          <w:snapToGrid w:val="0"/>
        </w:rPr>
        <w:t>The PBAC noted that this advice was</w:t>
      </w:r>
      <w:r w:rsidR="00EB2762">
        <w:rPr>
          <w:rFonts w:asciiTheme="minorHAnsi" w:hAnsiTheme="minorHAnsi"/>
          <w:bCs/>
          <w:snapToGrid w:val="0"/>
        </w:rPr>
        <w:t xml:space="preserve"> supportive</w:t>
      </w:r>
      <w:r w:rsidRPr="00836F75">
        <w:rPr>
          <w:rFonts w:asciiTheme="minorHAnsi" w:hAnsiTheme="minorHAnsi"/>
          <w:bCs/>
          <w:snapToGrid w:val="0"/>
        </w:rPr>
        <w:t xml:space="preserve"> of the evidence provided in the submission.</w:t>
      </w:r>
    </w:p>
    <w:bookmarkEnd w:id="19"/>
    <w:bookmarkEnd w:id="21"/>
    <w:p w14:paraId="609C0765" w14:textId="1472E894" w:rsidR="00B60939" w:rsidRPr="00C9624D" w:rsidRDefault="00B60939" w:rsidP="002E4F02">
      <w:pPr>
        <w:pStyle w:val="4-SubsectionHeading"/>
      </w:pPr>
      <w:r w:rsidRPr="00C9624D">
        <w:t>Clinical trials</w:t>
      </w:r>
      <w:bookmarkEnd w:id="18"/>
      <w:bookmarkEnd w:id="20"/>
    </w:p>
    <w:p w14:paraId="17DE34DC" w14:textId="3C6F7DA0" w:rsidR="007F1017" w:rsidRPr="00B56BF8" w:rsidRDefault="00A73134" w:rsidP="002E4F02">
      <w:pPr>
        <w:pStyle w:val="3-BodyText"/>
      </w:pPr>
      <w:r>
        <w:rPr>
          <w:snapToGrid/>
          <w:lang w:val="en-US"/>
        </w:rPr>
        <w:t xml:space="preserve">The </w:t>
      </w:r>
      <w:r w:rsidR="00B56BF8">
        <w:rPr>
          <w:snapToGrid/>
          <w:lang w:val="en-US"/>
        </w:rPr>
        <w:t xml:space="preserve">submission was based on </w:t>
      </w:r>
      <w:r w:rsidR="005F67D1">
        <w:rPr>
          <w:snapToGrid/>
          <w:lang w:val="en-US"/>
        </w:rPr>
        <w:t>the QUAZAR trial, a</w:t>
      </w:r>
      <w:r w:rsidR="00B56BF8" w:rsidRPr="00B56BF8">
        <w:rPr>
          <w:snapToGrid/>
        </w:rPr>
        <w:t xml:space="preserve"> head-to-head</w:t>
      </w:r>
      <w:r w:rsidR="005F67D1">
        <w:rPr>
          <w:snapToGrid/>
        </w:rPr>
        <w:t>,</w:t>
      </w:r>
      <w:r w:rsidR="00B56BF8" w:rsidRPr="00B56BF8">
        <w:rPr>
          <w:snapToGrid/>
        </w:rPr>
        <w:t xml:space="preserve"> randomised</w:t>
      </w:r>
      <w:r w:rsidR="005F67D1">
        <w:rPr>
          <w:snapToGrid/>
        </w:rPr>
        <w:t>,</w:t>
      </w:r>
      <w:r w:rsidR="00B56BF8" w:rsidRPr="00B56BF8">
        <w:rPr>
          <w:snapToGrid/>
        </w:rPr>
        <w:t xml:space="preserve"> phase 3 trial comparing oral azacitidine to placebo</w:t>
      </w:r>
      <w:r w:rsidR="009B5D5E">
        <w:rPr>
          <w:snapToGrid/>
        </w:rPr>
        <w:t xml:space="preserve"> (BSC)</w:t>
      </w:r>
      <w:r w:rsidR="00B56BF8" w:rsidRPr="00B56BF8">
        <w:rPr>
          <w:snapToGrid/>
          <w:lang w:val="en-US"/>
        </w:rPr>
        <w:t xml:space="preserve"> </w:t>
      </w:r>
      <w:r>
        <w:rPr>
          <w:snapToGrid/>
          <w:lang w:val="en-US"/>
        </w:rPr>
        <w:t>(n=</w:t>
      </w:r>
      <w:r w:rsidR="00B56BF8">
        <w:rPr>
          <w:snapToGrid/>
          <w:lang w:val="en-US"/>
        </w:rPr>
        <w:t>472</w:t>
      </w:r>
      <w:r>
        <w:rPr>
          <w:snapToGrid/>
          <w:lang w:val="en-US"/>
        </w:rPr>
        <w:t>)</w:t>
      </w:r>
      <w:r w:rsidRPr="00B56BF8">
        <w:rPr>
          <w:snapToGrid/>
          <w:lang w:val="en-US"/>
        </w:rPr>
        <w:t xml:space="preserve">. </w:t>
      </w:r>
      <w:r w:rsidR="00B56BF8">
        <w:rPr>
          <w:snapToGrid/>
          <w:lang w:val="en-US"/>
        </w:rPr>
        <w:t>The submission presented data from two clinical cut-off</w:t>
      </w:r>
      <w:r w:rsidR="00A4159D">
        <w:rPr>
          <w:snapToGrid/>
          <w:lang w:val="en-US"/>
        </w:rPr>
        <w:t>s</w:t>
      </w:r>
      <w:r w:rsidR="005F67D1">
        <w:rPr>
          <w:snapToGrid/>
          <w:lang w:val="en-US"/>
        </w:rPr>
        <w:t>:</w:t>
      </w:r>
      <w:r w:rsidR="00B56BF8">
        <w:rPr>
          <w:snapToGrid/>
          <w:lang w:val="en-US"/>
        </w:rPr>
        <w:t xml:space="preserve"> </w:t>
      </w:r>
      <w:r w:rsidR="00202237">
        <w:rPr>
          <w:snapToGrid/>
          <w:lang w:val="en-US"/>
        </w:rPr>
        <w:t>primary analysis (</w:t>
      </w:r>
      <w:r w:rsidR="00B56BF8">
        <w:rPr>
          <w:snapToGrid/>
          <w:lang w:val="en-US"/>
        </w:rPr>
        <w:t>July 2019 data cut-off</w:t>
      </w:r>
      <w:r w:rsidR="00202237">
        <w:rPr>
          <w:snapToGrid/>
          <w:lang w:val="en-US"/>
        </w:rPr>
        <w:t>)</w:t>
      </w:r>
      <w:r w:rsidR="00B56BF8">
        <w:rPr>
          <w:snapToGrid/>
          <w:lang w:val="en-US"/>
        </w:rPr>
        <w:t xml:space="preserve"> with a median follow-up of 40.2 months</w:t>
      </w:r>
      <w:r w:rsidR="005F67D1">
        <w:rPr>
          <w:snapToGrid/>
          <w:lang w:val="en-US"/>
        </w:rPr>
        <w:t>,</w:t>
      </w:r>
      <w:r w:rsidR="00B56BF8">
        <w:rPr>
          <w:snapToGrid/>
          <w:lang w:val="en-US"/>
        </w:rPr>
        <w:t xml:space="preserve"> and </w:t>
      </w:r>
      <w:r w:rsidR="00202237">
        <w:rPr>
          <w:snapToGrid/>
          <w:lang w:val="en-US"/>
        </w:rPr>
        <w:t>updated analysis (</w:t>
      </w:r>
      <w:r w:rsidR="00B56BF8">
        <w:rPr>
          <w:snapToGrid/>
          <w:lang w:val="en-US"/>
        </w:rPr>
        <w:t>September 2020 data cut-off</w:t>
      </w:r>
      <w:r w:rsidR="00202237">
        <w:rPr>
          <w:snapToGrid/>
          <w:lang w:val="en-US"/>
        </w:rPr>
        <w:t>)</w:t>
      </w:r>
      <w:r w:rsidR="00B56BF8">
        <w:rPr>
          <w:snapToGrid/>
          <w:lang w:val="en-US"/>
        </w:rPr>
        <w:t xml:space="preserve"> with a median follow-up of 51.7 months.</w:t>
      </w:r>
    </w:p>
    <w:p w14:paraId="7F6E069A" w14:textId="33542FF6" w:rsidR="00B56BF8" w:rsidRDefault="00B56BF8" w:rsidP="002E4F02">
      <w:pPr>
        <w:pStyle w:val="3-BodyText"/>
      </w:pPr>
      <w:r>
        <w:t xml:space="preserve">Results from the September 2020 data cut-off informed the efficacy outcome </w:t>
      </w:r>
      <w:r w:rsidR="00632019">
        <w:t xml:space="preserve">for </w:t>
      </w:r>
      <w:r>
        <w:t xml:space="preserve">OS used in the economic model. Safety </w:t>
      </w:r>
      <w:r w:rsidR="00AD203A">
        <w:t xml:space="preserve">and relapse free survival (RFS) </w:t>
      </w:r>
      <w:r>
        <w:t xml:space="preserve">outcomes </w:t>
      </w:r>
      <w:r w:rsidR="0097709A">
        <w:t xml:space="preserve">presented in the submission </w:t>
      </w:r>
      <w:r>
        <w:t>were based on the July 2019 data cut-off</w:t>
      </w:r>
      <w:r w:rsidR="00162984">
        <w:t xml:space="preserve">, </w:t>
      </w:r>
      <w:r w:rsidR="00162984" w:rsidRPr="007F034A">
        <w:rPr>
          <w:iCs/>
        </w:rPr>
        <w:t xml:space="preserve">although RFS at the September 2020 data cut-off was </w:t>
      </w:r>
      <w:r w:rsidR="0097709A" w:rsidRPr="007F034A">
        <w:rPr>
          <w:iCs/>
        </w:rPr>
        <w:t xml:space="preserve">also then </w:t>
      </w:r>
      <w:r w:rsidR="00162984" w:rsidRPr="007F034A">
        <w:rPr>
          <w:iCs/>
        </w:rPr>
        <w:t>compiled during the evaluation</w:t>
      </w:r>
      <w:r>
        <w:t>.</w:t>
      </w:r>
    </w:p>
    <w:p w14:paraId="2F777864" w14:textId="032026CD" w:rsidR="00CC4A1E" w:rsidRPr="00F76546" w:rsidRDefault="00A73134" w:rsidP="00114121">
      <w:pPr>
        <w:pStyle w:val="3-BodyText"/>
      </w:pPr>
      <w:r w:rsidRPr="00602E88">
        <w:rPr>
          <w:snapToGrid/>
          <w:lang w:val="en-US"/>
        </w:rPr>
        <w:t xml:space="preserve">Details of the trials presented in the submission </w:t>
      </w:r>
      <w:proofErr w:type="gramStart"/>
      <w:r w:rsidRPr="00F76546">
        <w:t>are provided</w:t>
      </w:r>
      <w:proofErr w:type="gramEnd"/>
      <w:r w:rsidRPr="00F76546">
        <w:t xml:space="preserve"> in </w:t>
      </w:r>
      <w:r w:rsidR="00602E88">
        <w:fldChar w:fldCharType="begin" w:fldLock="1"/>
      </w:r>
      <w:r w:rsidR="00602E88">
        <w:instrText xml:space="preserve"> REF _Ref111196229 \h </w:instrText>
      </w:r>
      <w:r w:rsidR="00602E88">
        <w:fldChar w:fldCharType="separate"/>
      </w:r>
      <w:r w:rsidR="00602E88">
        <w:t xml:space="preserve">Table </w:t>
      </w:r>
      <w:r w:rsidR="00602E88">
        <w:rPr>
          <w:noProof/>
        </w:rPr>
        <w:t>2</w:t>
      </w:r>
      <w:r w:rsidR="00602E88">
        <w:fldChar w:fldCharType="end"/>
      </w:r>
      <w:r w:rsidRPr="00602E88">
        <w:rPr>
          <w:lang w:val="en-US"/>
        </w:rPr>
        <w:t>.</w:t>
      </w:r>
      <w:r w:rsidR="00BC591F" w:rsidRPr="00602E88">
        <w:rPr>
          <w:lang w:val="en-US"/>
        </w:rPr>
        <w:t xml:space="preserve"> </w:t>
      </w:r>
      <w:bookmarkStart w:id="22" w:name="_Ref100749552"/>
    </w:p>
    <w:p w14:paraId="6B2D94D5" w14:textId="1F21EFAD" w:rsidR="00F46A9B" w:rsidRDefault="00A37E73" w:rsidP="00E2167F">
      <w:pPr>
        <w:pStyle w:val="TableFigureHeading"/>
        <w:keepLines/>
        <w:widowControl w:val="0"/>
      </w:pPr>
      <w:bookmarkStart w:id="23" w:name="_Ref111196229"/>
      <w:r>
        <w:lastRenderedPageBreak/>
        <w:t xml:space="preserve">Table </w:t>
      </w:r>
      <w:r w:rsidR="00396D16">
        <w:fldChar w:fldCharType="begin" w:fldLock="1"/>
      </w:r>
      <w:r w:rsidR="00396D16">
        <w:instrText xml:space="preserve"> SEQ Table \* ARABIC </w:instrText>
      </w:r>
      <w:r w:rsidR="00396D16">
        <w:fldChar w:fldCharType="separate"/>
      </w:r>
      <w:r w:rsidR="00602E88">
        <w:rPr>
          <w:noProof/>
        </w:rPr>
        <w:t>2</w:t>
      </w:r>
      <w:r w:rsidR="00396D16">
        <w:rPr>
          <w:noProof/>
        </w:rPr>
        <w:fldChar w:fldCharType="end"/>
      </w:r>
      <w:bookmarkEnd w:id="22"/>
      <w:bookmarkEnd w:id="23"/>
      <w:r>
        <w:t xml:space="preserve">: </w:t>
      </w:r>
      <w:r w:rsidRPr="00D92E91">
        <w:t xml:space="preserve">Trials and </w:t>
      </w:r>
      <w:r w:rsidR="000D6E8C">
        <w:t xml:space="preserve">key </w:t>
      </w:r>
      <w:r w:rsidRPr="00D92E91">
        <w:t>associated reports presented in the submission</w:t>
      </w:r>
    </w:p>
    <w:tbl>
      <w:tblPr>
        <w:tblStyle w:val="TableGrid"/>
        <w:tblW w:w="0" w:type="auto"/>
        <w:tblLook w:val="04A0" w:firstRow="1" w:lastRow="0" w:firstColumn="1" w:lastColumn="0" w:noHBand="0" w:noVBand="1"/>
      </w:tblPr>
      <w:tblGrid>
        <w:gridCol w:w="1271"/>
        <w:gridCol w:w="5528"/>
        <w:gridCol w:w="2218"/>
      </w:tblGrid>
      <w:tr w:rsidR="00F46A9B" w14:paraId="33182A01" w14:textId="77777777" w:rsidTr="00DE78E2">
        <w:trPr>
          <w:tblHeader/>
        </w:trPr>
        <w:tc>
          <w:tcPr>
            <w:tcW w:w="1271" w:type="dxa"/>
            <w:tcMar>
              <w:left w:w="28" w:type="dxa"/>
              <w:right w:w="28" w:type="dxa"/>
            </w:tcMar>
            <w:vAlign w:val="center"/>
          </w:tcPr>
          <w:p w14:paraId="2FF2FCAF" w14:textId="47316F4B" w:rsidR="00F46A9B" w:rsidRPr="00F46A9B" w:rsidRDefault="00F46A9B" w:rsidP="00E2167F">
            <w:pPr>
              <w:pStyle w:val="TableFigureHeading"/>
            </w:pPr>
            <w:r w:rsidRPr="00F46A9B">
              <w:t>Trial ID</w:t>
            </w:r>
          </w:p>
        </w:tc>
        <w:tc>
          <w:tcPr>
            <w:tcW w:w="5528" w:type="dxa"/>
            <w:tcMar>
              <w:left w:w="28" w:type="dxa"/>
              <w:right w:w="28" w:type="dxa"/>
            </w:tcMar>
            <w:vAlign w:val="center"/>
          </w:tcPr>
          <w:p w14:paraId="17D49693" w14:textId="4E876E6E" w:rsidR="00F46A9B" w:rsidRPr="00F46A9B" w:rsidRDefault="00F46A9B" w:rsidP="00E2167F">
            <w:pPr>
              <w:pStyle w:val="TableFigureHeading"/>
            </w:pPr>
            <w:r w:rsidRPr="00F46A9B">
              <w:t>Protocol title/ Publication title</w:t>
            </w:r>
          </w:p>
        </w:tc>
        <w:tc>
          <w:tcPr>
            <w:tcW w:w="2218" w:type="dxa"/>
            <w:tcMar>
              <w:left w:w="28" w:type="dxa"/>
              <w:right w:w="28" w:type="dxa"/>
            </w:tcMar>
            <w:vAlign w:val="center"/>
          </w:tcPr>
          <w:p w14:paraId="51A14670" w14:textId="3CA4582A" w:rsidR="00F46A9B" w:rsidRPr="00F46A9B" w:rsidRDefault="00F46A9B" w:rsidP="00E2167F">
            <w:pPr>
              <w:pStyle w:val="TableFigureHeading"/>
            </w:pPr>
            <w:r w:rsidRPr="00F46A9B">
              <w:t>Publication citation</w:t>
            </w:r>
          </w:p>
        </w:tc>
      </w:tr>
      <w:tr w:rsidR="00F46A9B" w14:paraId="4F9E275F" w14:textId="77777777" w:rsidTr="00DE78E2">
        <w:tc>
          <w:tcPr>
            <w:tcW w:w="1271" w:type="dxa"/>
            <w:vMerge w:val="restart"/>
            <w:tcMar>
              <w:left w:w="28" w:type="dxa"/>
              <w:right w:w="28" w:type="dxa"/>
            </w:tcMar>
          </w:tcPr>
          <w:p w14:paraId="411030BF" w14:textId="5DBC05C4" w:rsidR="00F46A9B" w:rsidRDefault="00F46A9B" w:rsidP="00E2167F">
            <w:pPr>
              <w:pStyle w:val="Tabletext"/>
              <w:keepNext/>
            </w:pPr>
            <w:r>
              <w:t>QUAZAR AML-001 (QUAZAR): NCT01757535</w:t>
            </w:r>
          </w:p>
        </w:tc>
        <w:tc>
          <w:tcPr>
            <w:tcW w:w="5528" w:type="dxa"/>
            <w:tcMar>
              <w:left w:w="28" w:type="dxa"/>
              <w:right w:w="28" w:type="dxa"/>
            </w:tcMar>
          </w:tcPr>
          <w:p w14:paraId="252AD4B3" w14:textId="6109F665" w:rsidR="00F46A9B" w:rsidRDefault="00F46A9B" w:rsidP="00DE78E2">
            <w:pPr>
              <w:pStyle w:val="Tabletext"/>
              <w:keepNext/>
            </w:pPr>
            <w:r w:rsidRPr="00F842BA">
              <w:t>A Phase 3, Randomized, Double-blind, Placebo-controlled Study to compare efficacy and safety of Oral Azacitidine plus best supportive care versus best supportive care as Maintenance Therapy in subjects with Acute Myeloid Leukemia in complete remission</w:t>
            </w:r>
            <w:r>
              <w:t>: clinical study report</w:t>
            </w:r>
            <w:r w:rsidRPr="00F842BA">
              <w:t>.</w:t>
            </w:r>
          </w:p>
        </w:tc>
        <w:tc>
          <w:tcPr>
            <w:tcW w:w="2218" w:type="dxa"/>
            <w:tcMar>
              <w:left w:w="28" w:type="dxa"/>
              <w:right w:w="28" w:type="dxa"/>
            </w:tcMar>
          </w:tcPr>
          <w:p w14:paraId="772E8B2D" w14:textId="563E71D5" w:rsidR="00F46A9B" w:rsidRPr="00DE78E2" w:rsidRDefault="00F46A9B" w:rsidP="00DE78E2">
            <w:pPr>
              <w:pStyle w:val="Tabletext"/>
              <w:keepNext/>
            </w:pPr>
            <w:r w:rsidRPr="00DE78E2">
              <w:t>8 January 2020</w:t>
            </w:r>
          </w:p>
        </w:tc>
      </w:tr>
      <w:tr w:rsidR="00F46A9B" w14:paraId="54BBA041" w14:textId="77777777" w:rsidTr="00DE78E2">
        <w:tc>
          <w:tcPr>
            <w:tcW w:w="1271" w:type="dxa"/>
            <w:vMerge/>
            <w:tcMar>
              <w:left w:w="28" w:type="dxa"/>
              <w:right w:w="28" w:type="dxa"/>
            </w:tcMar>
          </w:tcPr>
          <w:p w14:paraId="01594241" w14:textId="77777777" w:rsidR="00F46A9B" w:rsidRDefault="00F46A9B" w:rsidP="00E2167F">
            <w:pPr>
              <w:pStyle w:val="Tabletext"/>
              <w:keepNext/>
            </w:pPr>
          </w:p>
        </w:tc>
        <w:tc>
          <w:tcPr>
            <w:tcW w:w="5528" w:type="dxa"/>
            <w:tcMar>
              <w:left w:w="28" w:type="dxa"/>
              <w:right w:w="28" w:type="dxa"/>
            </w:tcMar>
          </w:tcPr>
          <w:p w14:paraId="584F69D0" w14:textId="34A1DCDC" w:rsidR="00F46A9B" w:rsidRDefault="00F46A9B" w:rsidP="00DE78E2">
            <w:pPr>
              <w:pStyle w:val="Tabletext"/>
              <w:keepNext/>
            </w:pPr>
            <w:r>
              <w:t>QUAZAR September 2020 Data cut: Survival Analysis Technical Appendix</w:t>
            </w:r>
          </w:p>
        </w:tc>
        <w:tc>
          <w:tcPr>
            <w:tcW w:w="2218" w:type="dxa"/>
            <w:tcMar>
              <w:left w:w="28" w:type="dxa"/>
              <w:right w:w="28" w:type="dxa"/>
            </w:tcMar>
          </w:tcPr>
          <w:p w14:paraId="799B4539" w14:textId="40A2ADA7" w:rsidR="00F46A9B" w:rsidRPr="00DE78E2" w:rsidRDefault="00F46A9B" w:rsidP="00DE78E2">
            <w:pPr>
              <w:pStyle w:val="Tabletext"/>
              <w:keepNext/>
            </w:pPr>
            <w:r w:rsidRPr="00DE78E2">
              <w:t>23 March 2021</w:t>
            </w:r>
          </w:p>
        </w:tc>
      </w:tr>
      <w:tr w:rsidR="00F46A9B" w14:paraId="16967287" w14:textId="77777777" w:rsidTr="00DE78E2">
        <w:tc>
          <w:tcPr>
            <w:tcW w:w="1271" w:type="dxa"/>
            <w:vMerge/>
            <w:tcMar>
              <w:left w:w="28" w:type="dxa"/>
              <w:right w:w="28" w:type="dxa"/>
            </w:tcMar>
          </w:tcPr>
          <w:p w14:paraId="3CFFC3E4" w14:textId="77777777" w:rsidR="00F46A9B" w:rsidRDefault="00F46A9B" w:rsidP="00E2167F">
            <w:pPr>
              <w:pStyle w:val="Tabletext"/>
              <w:keepNext/>
            </w:pPr>
          </w:p>
        </w:tc>
        <w:tc>
          <w:tcPr>
            <w:tcW w:w="5528" w:type="dxa"/>
            <w:tcMar>
              <w:left w:w="28" w:type="dxa"/>
              <w:right w:w="28" w:type="dxa"/>
            </w:tcMar>
          </w:tcPr>
          <w:p w14:paraId="3B0AD958" w14:textId="32D55652" w:rsidR="00F46A9B" w:rsidRDefault="00F46A9B" w:rsidP="00DE78E2">
            <w:pPr>
              <w:pStyle w:val="Tabletext"/>
              <w:keepNext/>
            </w:pPr>
            <w:r w:rsidRPr="00850212">
              <w:rPr>
                <w:szCs w:val="18"/>
              </w:rPr>
              <w:t>Wei, A. H., Döhner, H., Pocock, C., et al. Oral azacitidine maintenance therapy for acute myeloid leukemia in first remission</w:t>
            </w:r>
          </w:p>
        </w:tc>
        <w:tc>
          <w:tcPr>
            <w:tcW w:w="2218" w:type="dxa"/>
            <w:tcMar>
              <w:left w:w="28" w:type="dxa"/>
              <w:right w:w="28" w:type="dxa"/>
            </w:tcMar>
          </w:tcPr>
          <w:p w14:paraId="2A40E4CE" w14:textId="3D5D45D5" w:rsidR="00F46A9B" w:rsidRPr="00DE78E2" w:rsidRDefault="00F46A9B" w:rsidP="00DE78E2">
            <w:pPr>
              <w:pStyle w:val="Tabletext"/>
              <w:keepNext/>
            </w:pPr>
            <w:r w:rsidRPr="00DE78E2">
              <w:rPr>
                <w:szCs w:val="18"/>
              </w:rPr>
              <w:t xml:space="preserve">NEJM 2020; 383(26), 2526-2537 </w:t>
            </w:r>
          </w:p>
        </w:tc>
      </w:tr>
      <w:tr w:rsidR="00F46A9B" w14:paraId="3EB12728" w14:textId="77777777" w:rsidTr="00DE78E2">
        <w:tc>
          <w:tcPr>
            <w:tcW w:w="1271" w:type="dxa"/>
            <w:vMerge/>
            <w:tcMar>
              <w:left w:w="28" w:type="dxa"/>
              <w:right w:w="28" w:type="dxa"/>
            </w:tcMar>
          </w:tcPr>
          <w:p w14:paraId="24B467A8" w14:textId="77777777" w:rsidR="00F46A9B" w:rsidRDefault="00F46A9B" w:rsidP="00E2167F">
            <w:pPr>
              <w:pStyle w:val="Tabletext"/>
              <w:keepNext/>
            </w:pPr>
          </w:p>
        </w:tc>
        <w:tc>
          <w:tcPr>
            <w:tcW w:w="5528" w:type="dxa"/>
            <w:tcMar>
              <w:left w:w="28" w:type="dxa"/>
              <w:right w:w="28" w:type="dxa"/>
            </w:tcMar>
          </w:tcPr>
          <w:p w14:paraId="37F95DDE" w14:textId="1C332F2E" w:rsidR="00F46A9B" w:rsidRDefault="00F46A9B" w:rsidP="00DE78E2">
            <w:pPr>
              <w:pStyle w:val="Tabletext"/>
              <w:keepNext/>
            </w:pPr>
            <w:r w:rsidRPr="000D5E87">
              <w:rPr>
                <w:szCs w:val="18"/>
              </w:rPr>
              <w:t>D</w:t>
            </w:r>
            <w:r w:rsidR="00CE3D7C" w:rsidRPr="00850212">
              <w:rPr>
                <w:szCs w:val="18"/>
              </w:rPr>
              <w:t>ö</w:t>
            </w:r>
            <w:r w:rsidRPr="000D5E87">
              <w:rPr>
                <w:szCs w:val="18"/>
              </w:rPr>
              <w:t>hner, H., Wei, A.H., Roboz, G.</w:t>
            </w:r>
            <w:r w:rsidR="00CE3D7C">
              <w:rPr>
                <w:szCs w:val="18"/>
              </w:rPr>
              <w:t xml:space="preserve">, </w:t>
            </w:r>
            <w:r w:rsidRPr="000D5E87">
              <w:rPr>
                <w:szCs w:val="18"/>
              </w:rPr>
              <w:t>et al. Prognostic Impact of NPM1 and FLT3 Mutations at Diagnosis and Presence of Measurable Residual Disease (MRD) after Intensive Chemotherapy (IC) for Patients with Acute Myeloid Leukemia (AML) in Remission: Outcomes from the QUAZAR AML-001 Trial of Oral Azacitidine (Oral-AZA) Maintenance.</w:t>
            </w:r>
          </w:p>
        </w:tc>
        <w:tc>
          <w:tcPr>
            <w:tcW w:w="2218" w:type="dxa"/>
            <w:tcMar>
              <w:left w:w="28" w:type="dxa"/>
              <w:right w:w="28" w:type="dxa"/>
            </w:tcMar>
          </w:tcPr>
          <w:p w14:paraId="7492CC36" w14:textId="72A5B932" w:rsidR="00F46A9B" w:rsidRPr="00DE78E2" w:rsidRDefault="00F46A9B" w:rsidP="00DE78E2">
            <w:pPr>
              <w:pStyle w:val="Tabletext"/>
              <w:keepNext/>
            </w:pPr>
            <w:r w:rsidRPr="00DE78E2">
              <w:rPr>
                <w:szCs w:val="18"/>
              </w:rPr>
              <w:t>63</w:t>
            </w:r>
            <w:r w:rsidR="000D6E8C" w:rsidRPr="00DE78E2">
              <w:rPr>
                <w:szCs w:val="18"/>
              </w:rPr>
              <w:t>rd</w:t>
            </w:r>
            <w:r w:rsidRPr="00DE78E2">
              <w:rPr>
                <w:szCs w:val="18"/>
              </w:rPr>
              <w:t xml:space="preserve"> </w:t>
            </w:r>
            <w:r w:rsidRPr="00DE78E2">
              <w:rPr>
                <w:szCs w:val="18"/>
                <w:lang w:val="en-US"/>
              </w:rPr>
              <w:t>American Society of Hematology (</w:t>
            </w:r>
            <w:r w:rsidRPr="00DE78E2">
              <w:rPr>
                <w:szCs w:val="18"/>
              </w:rPr>
              <w:t xml:space="preserve">ASH) Annual Meeting </w:t>
            </w:r>
            <w:r w:rsidRPr="00DE78E2">
              <w:t>Blood 2021; 138, p.804.</w:t>
            </w:r>
          </w:p>
        </w:tc>
      </w:tr>
      <w:tr w:rsidR="00F46A9B" w14:paraId="214793F0" w14:textId="77777777" w:rsidTr="00DE78E2">
        <w:tc>
          <w:tcPr>
            <w:tcW w:w="1271" w:type="dxa"/>
            <w:vMerge/>
            <w:tcMar>
              <w:left w:w="28" w:type="dxa"/>
              <w:right w:w="28" w:type="dxa"/>
            </w:tcMar>
          </w:tcPr>
          <w:p w14:paraId="54838E30" w14:textId="77777777" w:rsidR="00F46A9B" w:rsidRDefault="00F46A9B" w:rsidP="00E2167F">
            <w:pPr>
              <w:pStyle w:val="Tabletext"/>
              <w:keepNext/>
            </w:pPr>
          </w:p>
        </w:tc>
        <w:tc>
          <w:tcPr>
            <w:tcW w:w="5528" w:type="dxa"/>
            <w:tcMar>
              <w:left w:w="28" w:type="dxa"/>
              <w:right w:w="28" w:type="dxa"/>
            </w:tcMar>
          </w:tcPr>
          <w:p w14:paraId="55F2A9F8" w14:textId="70452B57" w:rsidR="00F46A9B" w:rsidRDefault="00F46A9B" w:rsidP="00DE78E2">
            <w:pPr>
              <w:pStyle w:val="Tabletext"/>
              <w:keepNext/>
            </w:pPr>
            <w:r w:rsidRPr="000D5E87">
              <w:rPr>
                <w:szCs w:val="18"/>
              </w:rPr>
              <w:t xml:space="preserve">Ravandi, F., Roboz, G., Wei, A., et al. Hematologic adverse events and management strategies for patients with acute myeloid leukemia (AML) in first remission receiving oral azacitidine (ORAL-AZA) in the phase 3 </w:t>
            </w:r>
            <w:r w:rsidR="001E6B7A">
              <w:rPr>
                <w:szCs w:val="18"/>
              </w:rPr>
              <w:t>QUAZAR</w:t>
            </w:r>
            <w:r w:rsidRPr="000D5E87">
              <w:rPr>
                <w:szCs w:val="18"/>
              </w:rPr>
              <w:t xml:space="preserve"> AML-001 trial.</w:t>
            </w:r>
          </w:p>
        </w:tc>
        <w:tc>
          <w:tcPr>
            <w:tcW w:w="2218" w:type="dxa"/>
            <w:tcMar>
              <w:left w:w="28" w:type="dxa"/>
              <w:right w:w="28" w:type="dxa"/>
            </w:tcMar>
          </w:tcPr>
          <w:p w14:paraId="596F6376" w14:textId="3737E110" w:rsidR="00F46A9B" w:rsidRPr="00DE78E2" w:rsidRDefault="00F46A9B" w:rsidP="00DE78E2">
            <w:pPr>
              <w:pStyle w:val="TableText0"/>
              <w:keepLines/>
              <w:widowControl w:val="0"/>
              <w:rPr>
                <w:szCs w:val="18"/>
              </w:rPr>
            </w:pPr>
            <w:r w:rsidRPr="00DE78E2">
              <w:rPr>
                <w:szCs w:val="18"/>
              </w:rPr>
              <w:t>European Haemotology association (EHA) 2021 meeting HemaSphere 2021; 5(SUPPL 2), 181-182.</w:t>
            </w:r>
          </w:p>
        </w:tc>
      </w:tr>
      <w:tr w:rsidR="00F46A9B" w14:paraId="273EE37E" w14:textId="77777777" w:rsidTr="00DE78E2">
        <w:tc>
          <w:tcPr>
            <w:tcW w:w="1271" w:type="dxa"/>
            <w:vMerge/>
            <w:tcMar>
              <w:left w:w="28" w:type="dxa"/>
              <w:right w:w="28" w:type="dxa"/>
            </w:tcMar>
          </w:tcPr>
          <w:p w14:paraId="56D88A18" w14:textId="77777777" w:rsidR="00F46A9B" w:rsidRDefault="00F46A9B" w:rsidP="00E2167F">
            <w:pPr>
              <w:pStyle w:val="Tabletext"/>
              <w:keepNext/>
            </w:pPr>
          </w:p>
        </w:tc>
        <w:tc>
          <w:tcPr>
            <w:tcW w:w="5528" w:type="dxa"/>
            <w:tcMar>
              <w:left w:w="28" w:type="dxa"/>
              <w:right w:w="28" w:type="dxa"/>
            </w:tcMar>
          </w:tcPr>
          <w:p w14:paraId="4C36AC4F" w14:textId="10BC9CC5" w:rsidR="00F46A9B" w:rsidRDefault="00F46A9B" w:rsidP="00DE78E2">
            <w:pPr>
              <w:pStyle w:val="Tabletext"/>
              <w:keepNext/>
            </w:pPr>
            <w:r w:rsidRPr="00170DFC">
              <w:rPr>
                <w:szCs w:val="18"/>
              </w:rPr>
              <w:t xml:space="preserve">Wei, A.H., Döhner, H., Sayar, H., et al. Long-Term Overall Survival (OS) with Oral Azacitidine (Oral-AZA) in Patients with Acute Myeloid Leukemia (AML) in First Remission after Intensive Chemotherapy (IC): Updated Results from the Phase 3 QUAZAR AML-001 Trial. </w:t>
            </w:r>
          </w:p>
        </w:tc>
        <w:tc>
          <w:tcPr>
            <w:tcW w:w="2218" w:type="dxa"/>
            <w:tcMar>
              <w:left w:w="28" w:type="dxa"/>
              <w:right w:w="28" w:type="dxa"/>
            </w:tcMar>
          </w:tcPr>
          <w:p w14:paraId="687D3A9F" w14:textId="75C1E712" w:rsidR="00F46A9B" w:rsidRPr="00DE78E2" w:rsidRDefault="00F46A9B" w:rsidP="00DE78E2">
            <w:pPr>
              <w:pStyle w:val="Tabletext"/>
              <w:keepNext/>
            </w:pPr>
            <w:r w:rsidRPr="00DE78E2">
              <w:rPr>
                <w:szCs w:val="20"/>
              </w:rPr>
              <w:t xml:space="preserve">63rd </w:t>
            </w:r>
            <w:r w:rsidRPr="00DE78E2">
              <w:rPr>
                <w:szCs w:val="18"/>
                <w:lang w:val="en-US"/>
              </w:rPr>
              <w:t>American Society of Hematology (</w:t>
            </w:r>
            <w:r w:rsidRPr="00DE78E2">
              <w:rPr>
                <w:szCs w:val="18"/>
              </w:rPr>
              <w:t>ASH) Annual Meeting</w:t>
            </w:r>
            <w:r w:rsidRPr="00DE78E2">
              <w:rPr>
                <w:szCs w:val="20"/>
              </w:rPr>
              <w:t xml:space="preserve"> and Exposition </w:t>
            </w:r>
            <w:r w:rsidRPr="00DE78E2">
              <w:rPr>
                <w:szCs w:val="18"/>
              </w:rPr>
              <w:t>Blood 2021; 138, p.871.</w:t>
            </w:r>
          </w:p>
        </w:tc>
      </w:tr>
    </w:tbl>
    <w:p w14:paraId="1F159EFC" w14:textId="54BC88E4" w:rsidR="000C28C1" w:rsidRPr="000C28C1" w:rsidRDefault="000C28C1" w:rsidP="001E6B7A">
      <w:pPr>
        <w:pStyle w:val="TableFigureFooter"/>
        <w:keepLines/>
        <w:widowControl w:val="0"/>
        <w:rPr>
          <w:rFonts w:eastAsiaTheme="majorEastAsia"/>
        </w:rPr>
      </w:pPr>
      <w:r w:rsidRPr="000C28C1">
        <w:rPr>
          <w:rFonts w:eastAsiaTheme="majorEastAsia"/>
        </w:rPr>
        <w:t>Source: Table 27, p</w:t>
      </w:r>
      <w:r w:rsidR="00E5131A">
        <w:rPr>
          <w:rFonts w:eastAsiaTheme="majorEastAsia"/>
        </w:rPr>
        <w:t>p</w:t>
      </w:r>
      <w:r w:rsidRPr="000C28C1">
        <w:rPr>
          <w:rFonts w:eastAsiaTheme="majorEastAsia"/>
        </w:rPr>
        <w:t>48-50 of the submission.</w:t>
      </w:r>
    </w:p>
    <w:p w14:paraId="1B80EF75" w14:textId="77777777" w:rsidR="000C28C1" w:rsidRPr="000C28C1" w:rsidRDefault="000C28C1" w:rsidP="001E6B7A">
      <w:pPr>
        <w:pStyle w:val="TableFigureFooter"/>
        <w:keepLines/>
        <w:widowControl w:val="0"/>
        <w:rPr>
          <w:rFonts w:eastAsiaTheme="majorEastAsia"/>
        </w:rPr>
      </w:pPr>
      <w:r w:rsidRPr="000C28C1">
        <w:rPr>
          <w:rFonts w:eastAsiaTheme="majorEastAsia"/>
        </w:rPr>
        <w:t>Abbreviations: AML = acute myeloid leukemia; AZA = azacitidine; CC-486 = oral azacitidine; IC = intensive chemotherapy; MRD = measurable residual disease; OS = overall survival; RFS = relapse free survival; SUPPL = supplement</w:t>
      </w:r>
    </w:p>
    <w:p w14:paraId="1DD06D7D" w14:textId="6B763A3B" w:rsidR="007F1017" w:rsidRPr="0010205E" w:rsidRDefault="008F120A" w:rsidP="001E6B7A">
      <w:pPr>
        <w:pStyle w:val="3-BodyText"/>
        <w:rPr>
          <w:color w:val="0066FF"/>
        </w:rPr>
      </w:pPr>
      <w:r w:rsidRPr="0010205E">
        <w:t xml:space="preserve">The key features of </w:t>
      </w:r>
      <w:r w:rsidR="00AD7919" w:rsidRPr="0010205E">
        <w:t xml:space="preserve">QUAZAR are summarised in </w:t>
      </w:r>
      <w:r w:rsidR="00AD7919" w:rsidRPr="0010205E">
        <w:fldChar w:fldCharType="begin" w:fldLock="1"/>
      </w:r>
      <w:r w:rsidR="00AD7919" w:rsidRPr="0010205E">
        <w:instrText xml:space="preserve"> REF _Ref100753872 \h </w:instrText>
      </w:r>
      <w:r w:rsidR="0010205E" w:rsidRPr="0010205E">
        <w:instrText xml:space="preserve"> \* MERGEFORMAT </w:instrText>
      </w:r>
      <w:r w:rsidR="00AD7919" w:rsidRPr="0010205E">
        <w:fldChar w:fldCharType="separate"/>
      </w:r>
      <w:r w:rsidR="00602E88" w:rsidRPr="0010205E">
        <w:t xml:space="preserve">Table </w:t>
      </w:r>
      <w:r w:rsidR="00602E88">
        <w:rPr>
          <w:noProof/>
        </w:rPr>
        <w:t>3</w:t>
      </w:r>
      <w:r w:rsidR="00AD7919" w:rsidRPr="0010205E">
        <w:fldChar w:fldCharType="end"/>
      </w:r>
      <w:r w:rsidRPr="0010205E">
        <w:t>.</w:t>
      </w:r>
      <w:r w:rsidR="005D5717" w:rsidRPr="0010205E">
        <w:rPr>
          <w:rFonts w:ascii="Calibri" w:hAnsi="Calibri"/>
          <w:snapToGrid/>
        </w:rPr>
        <w:t xml:space="preserve"> </w:t>
      </w:r>
      <w:r w:rsidR="005D5717" w:rsidRPr="0010205E">
        <w:t xml:space="preserve">Overall, the risk of bias </w:t>
      </w:r>
      <w:r w:rsidR="005F67D1" w:rsidRPr="0010205E">
        <w:t>in</w:t>
      </w:r>
      <w:r w:rsidR="005D5717" w:rsidRPr="0010205E">
        <w:t xml:space="preserve"> QUAZAR was low. Assessment of disease response (primary and secondary endpoints) were conducted in a blinded manner. The efficacy analysis was based on all patients who were randomised, </w:t>
      </w:r>
      <w:r w:rsidR="005F67D1" w:rsidRPr="0010205E">
        <w:t xml:space="preserve">i.e. </w:t>
      </w:r>
      <w:r w:rsidR="005D5717" w:rsidRPr="0010205E">
        <w:t xml:space="preserve">the </w:t>
      </w:r>
      <w:r w:rsidR="00BA35C5" w:rsidRPr="0010205E">
        <w:t>intention-to-treat (</w:t>
      </w:r>
      <w:r w:rsidR="005D5717" w:rsidRPr="0010205E">
        <w:t>ITT</w:t>
      </w:r>
      <w:r w:rsidR="00BA35C5" w:rsidRPr="0010205E">
        <w:t>)</w:t>
      </w:r>
      <w:r w:rsidR="005D5717" w:rsidRPr="0010205E">
        <w:t xml:space="preserve"> population</w:t>
      </w:r>
      <w:r w:rsidR="00811811" w:rsidRPr="0010205E">
        <w:t>.</w:t>
      </w:r>
    </w:p>
    <w:p w14:paraId="007B32F4" w14:textId="6911F445" w:rsidR="0081203C" w:rsidRPr="0010205E" w:rsidRDefault="00F46A9B" w:rsidP="001E6B7A">
      <w:pPr>
        <w:pStyle w:val="3-BodyText"/>
      </w:pPr>
      <w:r w:rsidRPr="0010205E">
        <w:t>No patients were reported to be lost to follow-up in the oral azacitidine arm</w:t>
      </w:r>
      <w:r w:rsidR="005F67D1" w:rsidRPr="0010205E">
        <w:t xml:space="preserve"> and only</w:t>
      </w:r>
      <w:r w:rsidRPr="0010205E">
        <w:t xml:space="preserve"> one patient was lost to follow-up in the </w:t>
      </w:r>
      <w:r w:rsidR="002E5E1C" w:rsidRPr="0010205E">
        <w:t xml:space="preserve">BSC </w:t>
      </w:r>
      <w:r w:rsidRPr="0010205E">
        <w:t xml:space="preserve">arm. Overall, discontinuations were lower for the oral azacitidine arm compared to the </w:t>
      </w:r>
      <w:r w:rsidR="009B5D5E" w:rsidRPr="0010205E">
        <w:t>BSC</w:t>
      </w:r>
      <w:r w:rsidRPr="0010205E">
        <w:t xml:space="preserve"> arm </w:t>
      </w:r>
      <w:r w:rsidR="005F67D1" w:rsidRPr="0010205E">
        <w:t>at</w:t>
      </w:r>
      <w:r w:rsidRPr="0010205E">
        <w:t xml:space="preserve"> the first data cut-off (81% v</w:t>
      </w:r>
      <w:r w:rsidR="001C53D8" w:rsidRPr="0010205E">
        <w:t>er</w:t>
      </w:r>
      <w:r w:rsidRPr="0010205E">
        <w:t>s</w:t>
      </w:r>
      <w:r w:rsidR="001C53D8" w:rsidRPr="0010205E">
        <w:t>us</w:t>
      </w:r>
      <w:r w:rsidRPr="0010205E">
        <w:t xml:space="preserve"> 89%</w:t>
      </w:r>
      <w:r w:rsidR="005F67D1" w:rsidRPr="0010205E">
        <w:t xml:space="preserve"> respectively</w:t>
      </w:r>
      <w:r w:rsidRPr="0010205E">
        <w:t>). The main reasons for discontinuations were disease relapse, adverse events and withdrawal of consent. The number of patients who discontinued treatment due to adverse events in the oral azacitidine arm w</w:t>
      </w:r>
      <w:r w:rsidR="00842676" w:rsidRPr="0010205E">
        <w:t>as</w:t>
      </w:r>
      <w:r w:rsidRPr="0010205E">
        <w:t xml:space="preserve"> higher compared to the </w:t>
      </w:r>
      <w:r w:rsidR="009B5D5E" w:rsidRPr="0010205E">
        <w:t>BSC</w:t>
      </w:r>
      <w:r w:rsidRPr="0010205E">
        <w:t xml:space="preserve"> arm (29 v</w:t>
      </w:r>
      <w:r w:rsidR="001C53D8" w:rsidRPr="0010205E">
        <w:t>er</w:t>
      </w:r>
      <w:r w:rsidRPr="0010205E">
        <w:t>s</w:t>
      </w:r>
      <w:r w:rsidR="001C53D8" w:rsidRPr="0010205E">
        <w:t>us</w:t>
      </w:r>
      <w:r w:rsidRPr="0010205E">
        <w:t xml:space="preserve"> 11</w:t>
      </w:r>
      <w:r w:rsidR="005F67D1" w:rsidRPr="0010205E">
        <w:t xml:space="preserve"> respectively</w:t>
      </w:r>
      <w:r w:rsidRPr="0010205E">
        <w:t xml:space="preserve">). </w:t>
      </w:r>
    </w:p>
    <w:p w14:paraId="355E2F15" w14:textId="6E0DB985" w:rsidR="007F1017" w:rsidRPr="0010205E" w:rsidRDefault="00AD7919" w:rsidP="009D15AF">
      <w:pPr>
        <w:pStyle w:val="TableFigureHeading"/>
        <w:rPr>
          <w:rStyle w:val="CommentReference"/>
          <w:rFonts w:ascii="Calibri" w:hAnsi="Calibri"/>
          <w:b/>
          <w:sz w:val="18"/>
          <w:szCs w:val="18"/>
        </w:rPr>
      </w:pPr>
      <w:bookmarkStart w:id="24" w:name="_Ref100753872"/>
      <w:r w:rsidRPr="0010205E">
        <w:lastRenderedPageBreak/>
        <w:t xml:space="preserve">Table </w:t>
      </w:r>
      <w:r w:rsidR="00396D16">
        <w:fldChar w:fldCharType="begin" w:fldLock="1"/>
      </w:r>
      <w:r w:rsidR="00396D16">
        <w:instrText xml:space="preserve"> SEQ Table \* ARABIC </w:instrText>
      </w:r>
      <w:r w:rsidR="00396D16">
        <w:fldChar w:fldCharType="separate"/>
      </w:r>
      <w:r w:rsidR="00602E88">
        <w:rPr>
          <w:noProof/>
        </w:rPr>
        <w:t>3</w:t>
      </w:r>
      <w:r w:rsidR="00396D16">
        <w:rPr>
          <w:noProof/>
        </w:rPr>
        <w:fldChar w:fldCharType="end"/>
      </w:r>
      <w:bookmarkEnd w:id="24"/>
      <w:r w:rsidRPr="0010205E">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846"/>
        <w:gridCol w:w="568"/>
        <w:gridCol w:w="849"/>
        <w:gridCol w:w="709"/>
        <w:gridCol w:w="3544"/>
        <w:gridCol w:w="1417"/>
        <w:gridCol w:w="1084"/>
      </w:tblGrid>
      <w:tr w:rsidR="00B41614" w:rsidRPr="0010205E" w14:paraId="53DD7CC6" w14:textId="77777777" w:rsidTr="001C53D8">
        <w:trPr>
          <w:cantSplit/>
          <w:tblHeader/>
        </w:trPr>
        <w:tc>
          <w:tcPr>
            <w:tcW w:w="469" w:type="pct"/>
            <w:shd w:val="clear" w:color="auto" w:fill="auto"/>
            <w:vAlign w:val="center"/>
          </w:tcPr>
          <w:p w14:paraId="794116BC" w14:textId="77777777" w:rsidR="007F1017" w:rsidRPr="0010205E" w:rsidRDefault="007F1017" w:rsidP="009D15AF">
            <w:pPr>
              <w:pStyle w:val="In-tableHeading"/>
            </w:pPr>
            <w:r w:rsidRPr="0010205E">
              <w:t>Trial</w:t>
            </w:r>
          </w:p>
        </w:tc>
        <w:tc>
          <w:tcPr>
            <w:tcW w:w="315" w:type="pct"/>
            <w:shd w:val="clear" w:color="auto" w:fill="auto"/>
            <w:vAlign w:val="center"/>
          </w:tcPr>
          <w:p w14:paraId="51122FE5" w14:textId="77777777" w:rsidR="007F1017" w:rsidRPr="0010205E" w:rsidRDefault="007F1017" w:rsidP="009D15AF">
            <w:pPr>
              <w:pStyle w:val="In-tableHeading"/>
              <w:jc w:val="center"/>
            </w:pPr>
            <w:r w:rsidRPr="0010205E">
              <w:t>N</w:t>
            </w:r>
          </w:p>
        </w:tc>
        <w:tc>
          <w:tcPr>
            <w:tcW w:w="471" w:type="pct"/>
            <w:shd w:val="clear" w:color="auto" w:fill="auto"/>
            <w:vAlign w:val="center"/>
          </w:tcPr>
          <w:p w14:paraId="41C438EF" w14:textId="289CA058" w:rsidR="007F1017" w:rsidRPr="0010205E" w:rsidRDefault="007F1017" w:rsidP="009D15AF">
            <w:pPr>
              <w:pStyle w:val="In-tableHeading"/>
              <w:jc w:val="center"/>
            </w:pPr>
            <w:r w:rsidRPr="0010205E">
              <w:t>Design</w:t>
            </w:r>
          </w:p>
        </w:tc>
        <w:tc>
          <w:tcPr>
            <w:tcW w:w="393" w:type="pct"/>
            <w:shd w:val="clear" w:color="auto" w:fill="auto"/>
            <w:vAlign w:val="center"/>
          </w:tcPr>
          <w:p w14:paraId="1FC91360" w14:textId="77777777" w:rsidR="007F1017" w:rsidRPr="0010205E" w:rsidRDefault="007F1017" w:rsidP="009D15AF">
            <w:pPr>
              <w:pStyle w:val="In-tableHeading"/>
              <w:jc w:val="center"/>
            </w:pPr>
            <w:r w:rsidRPr="0010205E">
              <w:t>Risk of bias</w:t>
            </w:r>
          </w:p>
        </w:tc>
        <w:tc>
          <w:tcPr>
            <w:tcW w:w="1965" w:type="pct"/>
            <w:shd w:val="clear" w:color="auto" w:fill="auto"/>
            <w:vAlign w:val="center"/>
          </w:tcPr>
          <w:p w14:paraId="7FF90896" w14:textId="77777777" w:rsidR="007F1017" w:rsidRPr="0010205E" w:rsidRDefault="007F1017" w:rsidP="009D15AF">
            <w:pPr>
              <w:pStyle w:val="In-tableHeading"/>
              <w:jc w:val="center"/>
            </w:pPr>
            <w:r w:rsidRPr="0010205E">
              <w:t>Patient population</w:t>
            </w:r>
          </w:p>
        </w:tc>
        <w:tc>
          <w:tcPr>
            <w:tcW w:w="786" w:type="pct"/>
            <w:shd w:val="clear" w:color="auto" w:fill="auto"/>
            <w:vAlign w:val="center"/>
          </w:tcPr>
          <w:p w14:paraId="0FCB63F9" w14:textId="5647D96C" w:rsidR="007F1017" w:rsidRPr="0010205E" w:rsidRDefault="007F1017" w:rsidP="009D15AF">
            <w:pPr>
              <w:pStyle w:val="In-tableHeading"/>
              <w:jc w:val="center"/>
            </w:pPr>
            <w:r w:rsidRPr="0010205E">
              <w:t>Outcomes</w:t>
            </w:r>
          </w:p>
        </w:tc>
        <w:tc>
          <w:tcPr>
            <w:tcW w:w="601" w:type="pct"/>
            <w:shd w:val="clear" w:color="auto" w:fill="auto"/>
            <w:vAlign w:val="center"/>
          </w:tcPr>
          <w:p w14:paraId="08C6F624" w14:textId="26105933" w:rsidR="007F1017" w:rsidRPr="0010205E" w:rsidRDefault="007F1017" w:rsidP="009D15AF">
            <w:pPr>
              <w:pStyle w:val="In-tableHeading"/>
              <w:jc w:val="center"/>
            </w:pPr>
            <w:r w:rsidRPr="0010205E">
              <w:t>Use</w:t>
            </w:r>
            <w:r w:rsidR="00DE78E2">
              <w:t>d</w:t>
            </w:r>
            <w:r w:rsidRPr="0010205E">
              <w:t xml:space="preserve"> in modelled evaluation</w:t>
            </w:r>
          </w:p>
        </w:tc>
      </w:tr>
      <w:tr w:rsidR="007F1017" w:rsidRPr="0010205E" w14:paraId="2A03CD4B" w14:textId="77777777" w:rsidTr="00682BA6">
        <w:trPr>
          <w:cantSplit/>
        </w:trPr>
        <w:tc>
          <w:tcPr>
            <w:tcW w:w="5000" w:type="pct"/>
            <w:gridSpan w:val="7"/>
            <w:shd w:val="clear" w:color="auto" w:fill="auto"/>
            <w:vAlign w:val="center"/>
          </w:tcPr>
          <w:p w14:paraId="73088C85" w14:textId="00057D20" w:rsidR="007F1017" w:rsidRPr="0010205E" w:rsidRDefault="005D5717" w:rsidP="009D15AF">
            <w:pPr>
              <w:pStyle w:val="In-tableHeading"/>
            </w:pPr>
            <w:r w:rsidRPr="0010205E">
              <w:t xml:space="preserve">Oral azacitidine versus </w:t>
            </w:r>
            <w:r w:rsidR="009B5D5E" w:rsidRPr="0010205E">
              <w:t>BSC</w:t>
            </w:r>
          </w:p>
        </w:tc>
      </w:tr>
      <w:tr w:rsidR="00B41614" w:rsidRPr="0010205E" w14:paraId="4EE88DCB" w14:textId="77777777" w:rsidTr="001C53D8">
        <w:trPr>
          <w:cantSplit/>
        </w:trPr>
        <w:tc>
          <w:tcPr>
            <w:tcW w:w="469" w:type="pct"/>
            <w:shd w:val="clear" w:color="auto" w:fill="auto"/>
            <w:vAlign w:val="center"/>
          </w:tcPr>
          <w:p w14:paraId="6EE77D33" w14:textId="4A9907DC" w:rsidR="007F1017" w:rsidRPr="0010205E" w:rsidRDefault="00AD7919" w:rsidP="00624201">
            <w:pPr>
              <w:pStyle w:val="TableText0"/>
              <w:rPr>
                <w:lang w:val="en-US"/>
              </w:rPr>
            </w:pPr>
            <w:r w:rsidRPr="0010205E">
              <w:rPr>
                <w:lang w:val="en-US"/>
              </w:rPr>
              <w:t>QUAZAR</w:t>
            </w:r>
          </w:p>
        </w:tc>
        <w:tc>
          <w:tcPr>
            <w:tcW w:w="315" w:type="pct"/>
            <w:shd w:val="clear" w:color="auto" w:fill="auto"/>
            <w:vAlign w:val="center"/>
          </w:tcPr>
          <w:p w14:paraId="41BB0E41" w14:textId="260E54D9" w:rsidR="007F1017" w:rsidRPr="0010205E" w:rsidRDefault="00AD7919" w:rsidP="00B4284F">
            <w:pPr>
              <w:pStyle w:val="TableText0"/>
              <w:jc w:val="center"/>
              <w:rPr>
                <w:lang w:val="en-US"/>
              </w:rPr>
            </w:pPr>
            <w:r w:rsidRPr="0010205E">
              <w:rPr>
                <w:lang w:val="en-US"/>
              </w:rPr>
              <w:t>472</w:t>
            </w:r>
          </w:p>
        </w:tc>
        <w:tc>
          <w:tcPr>
            <w:tcW w:w="471" w:type="pct"/>
            <w:shd w:val="clear" w:color="auto" w:fill="auto"/>
            <w:vAlign w:val="center"/>
          </w:tcPr>
          <w:p w14:paraId="401EAFDA" w14:textId="531EF867" w:rsidR="007F1017" w:rsidRPr="0010205E" w:rsidRDefault="007F1017" w:rsidP="001E6B7A">
            <w:pPr>
              <w:pStyle w:val="TableText0"/>
              <w:jc w:val="center"/>
              <w:rPr>
                <w:lang w:val="en-US"/>
              </w:rPr>
            </w:pPr>
            <w:r w:rsidRPr="0010205E">
              <w:rPr>
                <w:lang w:val="en-US"/>
              </w:rPr>
              <w:t>R, DB</w:t>
            </w:r>
            <w:r w:rsidR="001E6B7A" w:rsidRPr="0010205E">
              <w:rPr>
                <w:lang w:val="en-US"/>
              </w:rPr>
              <w:t>,</w:t>
            </w:r>
            <w:r w:rsidR="005D5717" w:rsidRPr="0010205E">
              <w:rPr>
                <w:lang w:val="en-US"/>
              </w:rPr>
              <w:t xml:space="preserve"> </w:t>
            </w:r>
            <w:r w:rsidR="001E6B7A" w:rsidRPr="0010205E">
              <w:rPr>
                <w:lang w:val="en-US"/>
              </w:rPr>
              <w:t>P</w:t>
            </w:r>
            <w:r w:rsidR="005D5717" w:rsidRPr="0010205E">
              <w:rPr>
                <w:lang w:val="en-US"/>
              </w:rPr>
              <w:t>hase 3</w:t>
            </w:r>
            <w:r w:rsidR="001E6B7A" w:rsidRPr="0010205E">
              <w:rPr>
                <w:lang w:val="en-US"/>
              </w:rPr>
              <w:t>,</w:t>
            </w:r>
            <w:r w:rsidR="005D5717" w:rsidRPr="0010205E">
              <w:rPr>
                <w:lang w:val="en-US"/>
              </w:rPr>
              <w:t xml:space="preserve"> MC</w:t>
            </w:r>
          </w:p>
          <w:p w14:paraId="744D08AC" w14:textId="51011D13" w:rsidR="007F1017" w:rsidRPr="0010205E" w:rsidRDefault="007F1017" w:rsidP="00624201">
            <w:pPr>
              <w:pStyle w:val="TableText0"/>
              <w:rPr>
                <w:lang w:val="en-US"/>
              </w:rPr>
            </w:pPr>
          </w:p>
        </w:tc>
        <w:tc>
          <w:tcPr>
            <w:tcW w:w="393" w:type="pct"/>
            <w:shd w:val="clear" w:color="auto" w:fill="auto"/>
            <w:vAlign w:val="center"/>
          </w:tcPr>
          <w:p w14:paraId="4A529D74" w14:textId="77777777" w:rsidR="007F1017" w:rsidRPr="0010205E" w:rsidRDefault="007F1017" w:rsidP="001E6B7A">
            <w:pPr>
              <w:pStyle w:val="TableText0"/>
              <w:jc w:val="center"/>
              <w:rPr>
                <w:lang w:val="en-US"/>
              </w:rPr>
            </w:pPr>
            <w:r w:rsidRPr="0010205E">
              <w:rPr>
                <w:lang w:val="en-US"/>
              </w:rPr>
              <w:t>Low</w:t>
            </w:r>
          </w:p>
        </w:tc>
        <w:tc>
          <w:tcPr>
            <w:tcW w:w="1965" w:type="pct"/>
            <w:shd w:val="clear" w:color="auto" w:fill="auto"/>
            <w:vAlign w:val="center"/>
          </w:tcPr>
          <w:p w14:paraId="5E6F456D" w14:textId="693EDBF9" w:rsidR="007F1017" w:rsidRPr="0010205E" w:rsidRDefault="00AD203A" w:rsidP="00624201">
            <w:pPr>
              <w:pStyle w:val="TableText0"/>
              <w:rPr>
                <w:lang w:val="en-US"/>
              </w:rPr>
            </w:pPr>
            <w:r w:rsidRPr="0010205E">
              <w:rPr>
                <w:lang w:val="en-US"/>
              </w:rPr>
              <w:t xml:space="preserve">Patients aged </w:t>
            </w:r>
            <w:r w:rsidRPr="0010205E">
              <w:t>≥ 55 years; were newly diagnosed, histologically confirmed de novo AML or AML secondary to prior myelodysplastic disease or CMML; ha</w:t>
            </w:r>
            <w:r w:rsidR="001E6B7A" w:rsidRPr="0010205E">
              <w:t xml:space="preserve">d </w:t>
            </w:r>
            <w:r w:rsidRPr="0010205E">
              <w:t>received induction therapy with intensive chemotherapy ± consolidation therapy; achieved first CR/CRi status within 4 months (±</w:t>
            </w:r>
            <w:r w:rsidR="001C53D8" w:rsidRPr="0010205E">
              <w:t> </w:t>
            </w:r>
            <w:r w:rsidRPr="0010205E">
              <w:t>7 days) prior to randomisation</w:t>
            </w:r>
            <w:r w:rsidR="001E6B7A" w:rsidRPr="0010205E">
              <w:t>;</w:t>
            </w:r>
            <w:r w:rsidRPr="0010205E">
              <w:t xml:space="preserve"> had an ECOG performance status of 0, 1, 2 or 3.</w:t>
            </w:r>
          </w:p>
        </w:tc>
        <w:tc>
          <w:tcPr>
            <w:tcW w:w="786" w:type="pct"/>
            <w:shd w:val="clear" w:color="auto" w:fill="auto"/>
            <w:vAlign w:val="center"/>
          </w:tcPr>
          <w:p w14:paraId="6DC76214" w14:textId="7C372A89" w:rsidR="007F1017" w:rsidRPr="0010205E" w:rsidRDefault="007F1017" w:rsidP="00624201">
            <w:pPr>
              <w:pStyle w:val="TableText0"/>
              <w:rPr>
                <w:lang w:val="en-US"/>
              </w:rPr>
            </w:pPr>
            <w:r w:rsidRPr="0010205E">
              <w:rPr>
                <w:lang w:val="en-US"/>
              </w:rPr>
              <w:t>OS</w:t>
            </w:r>
            <w:r w:rsidR="00AD203A" w:rsidRPr="0010205E">
              <w:rPr>
                <w:lang w:val="en-US"/>
              </w:rPr>
              <w:t xml:space="preserve">, RFS, safety, </w:t>
            </w:r>
            <w:r w:rsidR="00AF61A6" w:rsidRPr="0010205E">
              <w:rPr>
                <w:lang w:val="en-US"/>
              </w:rPr>
              <w:t>HR</w:t>
            </w:r>
            <w:r w:rsidR="00140E02" w:rsidRPr="0010205E">
              <w:rPr>
                <w:lang w:val="en-US"/>
              </w:rPr>
              <w:t xml:space="preserve">QoL, </w:t>
            </w:r>
            <w:r w:rsidR="00A4159D" w:rsidRPr="0010205E">
              <w:rPr>
                <w:lang w:val="en-US"/>
              </w:rPr>
              <w:t>t</w:t>
            </w:r>
            <w:r w:rsidR="00AD203A" w:rsidRPr="0010205E">
              <w:rPr>
                <w:lang w:val="en-US"/>
              </w:rPr>
              <w:t>ime to relapse from CR/C</w:t>
            </w:r>
            <w:r w:rsidR="00A4159D" w:rsidRPr="0010205E">
              <w:rPr>
                <w:lang w:val="en-US"/>
              </w:rPr>
              <w:t>R</w:t>
            </w:r>
            <w:r w:rsidR="00AD203A" w:rsidRPr="0010205E">
              <w:rPr>
                <w:lang w:val="en-US"/>
              </w:rPr>
              <w:t xml:space="preserve">i, time to discontinuation from treatment </w:t>
            </w:r>
          </w:p>
        </w:tc>
        <w:tc>
          <w:tcPr>
            <w:tcW w:w="601" w:type="pct"/>
            <w:shd w:val="clear" w:color="auto" w:fill="auto"/>
            <w:vAlign w:val="center"/>
          </w:tcPr>
          <w:p w14:paraId="150A804C" w14:textId="790D475C" w:rsidR="007F1017" w:rsidRPr="0010205E" w:rsidRDefault="00DE78E2" w:rsidP="00DE78E2">
            <w:pPr>
              <w:pStyle w:val="TableText0"/>
              <w:jc w:val="center"/>
              <w:rPr>
                <w:lang w:val="en-US"/>
              </w:rPr>
            </w:pPr>
            <w:r>
              <w:rPr>
                <w:lang w:val="en-US"/>
              </w:rPr>
              <w:t xml:space="preserve">Yes; </w:t>
            </w:r>
            <w:r>
              <w:rPr>
                <w:lang w:val="en-US"/>
              </w:rPr>
              <w:br/>
            </w:r>
            <w:r w:rsidR="00AD203A" w:rsidRPr="0010205E">
              <w:rPr>
                <w:lang w:val="en-US"/>
              </w:rPr>
              <w:t xml:space="preserve">OS, RFS and </w:t>
            </w:r>
            <w:r w:rsidR="00A4159D" w:rsidRPr="0010205E">
              <w:rPr>
                <w:lang w:val="en-US"/>
              </w:rPr>
              <w:t>s</w:t>
            </w:r>
            <w:r w:rsidR="00AD203A" w:rsidRPr="0010205E">
              <w:rPr>
                <w:lang w:val="en-US"/>
              </w:rPr>
              <w:t>afety</w:t>
            </w:r>
          </w:p>
        </w:tc>
      </w:tr>
    </w:tbl>
    <w:p w14:paraId="560080D2" w14:textId="7915CF3E" w:rsidR="00045017" w:rsidRDefault="00045017" w:rsidP="009D15AF">
      <w:pPr>
        <w:pStyle w:val="TableFigureFooter"/>
        <w:keepNext/>
      </w:pPr>
      <w:r>
        <w:t xml:space="preserve">Source: </w:t>
      </w:r>
      <w:r w:rsidR="00AD203A">
        <w:t>Table 30, p52, Table 41, p</w:t>
      </w:r>
      <w:r w:rsidR="00E5131A">
        <w:t>p</w:t>
      </w:r>
      <w:r w:rsidR="00AD203A">
        <w:t>62-63</w:t>
      </w:r>
      <w:r>
        <w:t xml:space="preserve"> </w:t>
      </w:r>
      <w:r w:rsidRPr="00D13A3E">
        <w:t xml:space="preserve">of the </w:t>
      </w:r>
      <w:r>
        <w:t>submission.</w:t>
      </w:r>
    </w:p>
    <w:p w14:paraId="1095487C" w14:textId="01179316" w:rsidR="00620C25" w:rsidRPr="00B1011F" w:rsidRDefault="00AD203A" w:rsidP="009D15AF">
      <w:pPr>
        <w:pStyle w:val="TableFigureFooter"/>
        <w:keepNext/>
        <w:rPr>
          <w:sz w:val="20"/>
        </w:rPr>
      </w:pPr>
      <w:r>
        <w:t>Abbreviations:</w:t>
      </w:r>
      <w:r w:rsidRPr="00AD203A">
        <w:rPr>
          <w:rFonts w:ascii="Calibri" w:hAnsi="Calibri"/>
          <w:snapToGrid/>
          <w:sz w:val="24"/>
          <w:szCs w:val="18"/>
        </w:rPr>
        <w:t xml:space="preserve"> </w:t>
      </w:r>
      <w:r w:rsidRPr="00AD203A">
        <w:t xml:space="preserve">AML = acute myeloid leukaemia; </w:t>
      </w:r>
      <w:r w:rsidR="009B5D5E">
        <w:t xml:space="preserve">BSC = best supportive care; </w:t>
      </w:r>
      <w:r w:rsidR="005D5717">
        <w:t xml:space="preserve">CMML = </w:t>
      </w:r>
      <w:r w:rsidR="005D5717" w:rsidRPr="005D5717">
        <w:t>chronic myelomonocytic leukaemia</w:t>
      </w:r>
      <w:r w:rsidR="005D5717">
        <w:t>;</w:t>
      </w:r>
      <w:r w:rsidR="005D5717" w:rsidRPr="005D5717">
        <w:t xml:space="preserve"> </w:t>
      </w:r>
      <w:r w:rsidRPr="00AD203A">
        <w:t>CR = complete response; CRi = complete response with incomplete blood count recovery</w:t>
      </w:r>
      <w:r>
        <w:t xml:space="preserve"> </w:t>
      </w:r>
      <w:r w:rsidR="00620C25" w:rsidRPr="0072416F">
        <w:t>DB</w:t>
      </w:r>
      <w:r w:rsidR="00620C25">
        <w:t xml:space="preserve"> </w:t>
      </w:r>
      <w:r w:rsidR="00620C25" w:rsidRPr="0072416F">
        <w:t>=</w:t>
      </w:r>
      <w:r w:rsidR="00620C25">
        <w:t xml:space="preserve"> </w:t>
      </w:r>
      <w:r w:rsidR="00620C25" w:rsidRPr="0072416F">
        <w:t xml:space="preserve">double blind; </w:t>
      </w:r>
      <w:r w:rsidR="005D5717" w:rsidRPr="005D5717">
        <w:t>ECOG = Eastern Cooperative Oncology Group</w:t>
      </w:r>
      <w:r w:rsidR="00140E02">
        <w:t>; HRQoL = health related quality of life;</w:t>
      </w:r>
      <w:r w:rsidR="005D5717" w:rsidRPr="005D5717">
        <w:t xml:space="preserve"> </w:t>
      </w:r>
      <w:r w:rsidR="00620C25" w:rsidRPr="0072416F">
        <w:t>MC</w:t>
      </w:r>
      <w:r w:rsidR="00620C25">
        <w:t xml:space="preserve"> </w:t>
      </w:r>
      <w:r w:rsidR="00620C25" w:rsidRPr="0072416F">
        <w:t>=</w:t>
      </w:r>
      <w:r w:rsidR="00620C25">
        <w:t xml:space="preserve"> </w:t>
      </w:r>
      <w:r w:rsidR="00620C25" w:rsidRPr="0072416F">
        <w:t>multi-centre; OS</w:t>
      </w:r>
      <w:r w:rsidR="00620C25">
        <w:t xml:space="preserve"> </w:t>
      </w:r>
      <w:r w:rsidR="00620C25" w:rsidRPr="0072416F">
        <w:t>=</w:t>
      </w:r>
      <w:r w:rsidR="00620C25">
        <w:t xml:space="preserve"> </w:t>
      </w:r>
      <w:r w:rsidR="00620C25" w:rsidRPr="0072416F">
        <w:t xml:space="preserve">overall survival; </w:t>
      </w:r>
      <w:r w:rsidR="005D5717">
        <w:t>R</w:t>
      </w:r>
      <w:r w:rsidR="00620C25" w:rsidRPr="0072416F">
        <w:t>FS</w:t>
      </w:r>
      <w:r w:rsidR="00620C25">
        <w:t xml:space="preserve"> </w:t>
      </w:r>
      <w:r w:rsidR="00620C25" w:rsidRPr="0072416F">
        <w:t>=</w:t>
      </w:r>
      <w:r w:rsidR="00620C25">
        <w:t xml:space="preserve"> </w:t>
      </w:r>
      <w:r w:rsidR="005D5717">
        <w:t xml:space="preserve">relapse </w:t>
      </w:r>
      <w:r w:rsidR="00620C25" w:rsidRPr="0072416F">
        <w:t>free survival; R</w:t>
      </w:r>
      <w:r w:rsidR="00620C25">
        <w:t xml:space="preserve"> </w:t>
      </w:r>
      <w:r w:rsidR="00620C25" w:rsidRPr="0072416F">
        <w:t>=</w:t>
      </w:r>
      <w:r w:rsidR="00620C25">
        <w:t xml:space="preserve"> </w:t>
      </w:r>
      <w:r w:rsidR="00620C25" w:rsidRPr="0072416F">
        <w:t>randomised.</w:t>
      </w:r>
    </w:p>
    <w:p w14:paraId="04B2DE31" w14:textId="52B0016E" w:rsidR="00FC0AF8" w:rsidRPr="0010205E" w:rsidRDefault="00980FD1" w:rsidP="00980FD1">
      <w:pPr>
        <w:pStyle w:val="3-BodyText"/>
      </w:pPr>
      <w:r w:rsidRPr="0010205E">
        <w:t>The baseline characteristics</w:t>
      </w:r>
      <w:r w:rsidR="007D270E">
        <w:t xml:space="preserve"> of</w:t>
      </w:r>
      <w:r w:rsidRPr="0010205E">
        <w:t xml:space="preserve"> the treatment groups were similar, except for measurable residual disease (MRD) status, where 43% of patients in the oral azacitidine arm were positive compared to 50% in the </w:t>
      </w:r>
      <w:r w:rsidR="009B5D5E" w:rsidRPr="0010205E">
        <w:t>BSC</w:t>
      </w:r>
      <w:r w:rsidRPr="0010205E">
        <w:t xml:space="preserve"> arm. The submission acknowledged that MRD has </w:t>
      </w:r>
      <w:r w:rsidR="00624201" w:rsidRPr="0010205E">
        <w:t xml:space="preserve">negative </w:t>
      </w:r>
      <w:r w:rsidRPr="0010205E">
        <w:t>prognostic value with MRD positive patients reported as having a significantly higher relapse rate (Buccisano et al. 2010)</w:t>
      </w:r>
      <w:r w:rsidR="00851B20" w:rsidRPr="0010205E">
        <w:t xml:space="preserve"> and </w:t>
      </w:r>
      <w:r w:rsidRPr="0010205E">
        <w:t>presented</w:t>
      </w:r>
      <w:r w:rsidR="00A4159D" w:rsidRPr="0010205E">
        <w:t xml:space="preserve"> relevant subgroup analyses.</w:t>
      </w:r>
      <w:r w:rsidRPr="0010205E">
        <w:t xml:space="preserve"> Patients who were MRD positive were </w:t>
      </w:r>
      <w:r w:rsidR="006E7A26" w:rsidRPr="0010205E">
        <w:t xml:space="preserve">less </w:t>
      </w:r>
      <w:r w:rsidRPr="0010205E">
        <w:t>likely to survive compared to those who were MRD negative (</w:t>
      </w:r>
      <w:r w:rsidR="00851B20" w:rsidRPr="0010205E">
        <w:t xml:space="preserve">median time to event in the BSC arm: MRD positive = </w:t>
      </w:r>
      <w:r w:rsidRPr="0010205E">
        <w:t>10.4</w:t>
      </w:r>
      <w:r w:rsidR="001C53D8" w:rsidRPr="0010205E">
        <w:t> </w:t>
      </w:r>
      <w:r w:rsidRPr="0010205E">
        <w:t>months v</w:t>
      </w:r>
      <w:r w:rsidR="001C53D8" w:rsidRPr="0010205E">
        <w:t>er</w:t>
      </w:r>
      <w:r w:rsidRPr="0010205E">
        <w:t>s</w:t>
      </w:r>
      <w:r w:rsidR="001C53D8" w:rsidRPr="0010205E">
        <w:t>us</w:t>
      </w:r>
      <w:r w:rsidRPr="0010205E">
        <w:t xml:space="preserve"> </w:t>
      </w:r>
      <w:r w:rsidR="00851B20" w:rsidRPr="0010205E">
        <w:t xml:space="preserve">MRD negative = </w:t>
      </w:r>
      <w:r w:rsidRPr="0010205E">
        <w:t>24.3 months)</w:t>
      </w:r>
      <w:r w:rsidR="00851B20" w:rsidRPr="0010205E">
        <w:t xml:space="preserve">. This </w:t>
      </w:r>
      <w:r w:rsidRPr="0010205E">
        <w:t>bias</w:t>
      </w:r>
      <w:r w:rsidR="00851B20" w:rsidRPr="0010205E">
        <w:t>ed</w:t>
      </w:r>
      <w:r w:rsidRPr="0010205E">
        <w:t xml:space="preserve"> the results against the </w:t>
      </w:r>
      <w:r w:rsidR="009B5D5E" w:rsidRPr="0010205E">
        <w:t>BSC</w:t>
      </w:r>
      <w:r w:rsidRPr="0010205E">
        <w:t xml:space="preserve"> arm. </w:t>
      </w:r>
    </w:p>
    <w:p w14:paraId="7F0BCEEE" w14:textId="70D4EC21" w:rsidR="00980FD1" w:rsidRPr="0010205E" w:rsidRDefault="00FC0AF8" w:rsidP="00980FD1">
      <w:pPr>
        <w:pStyle w:val="3-BodyText"/>
      </w:pPr>
      <w:r w:rsidRPr="0010205E">
        <w:t xml:space="preserve">A higher proportion of patients randomised to the oral azacitidine arm reported dose adjustments attributable to adverse events. The submission noted this as reasonable given the use of an active anti-cancer drug compared with patients receiving </w:t>
      </w:r>
      <w:r w:rsidR="009B5D5E" w:rsidRPr="0010205E">
        <w:t>BSC</w:t>
      </w:r>
      <w:r w:rsidRPr="0010205E">
        <w:t>. In addition, the submission stated the prolonged time to the first dose reduction due to an adverse event in the oral azacitidine arm (mean 179 days) is suggestive of oral azacitidine being reasonably well tolerated over a prolonged treatment period</w:t>
      </w:r>
      <w:r w:rsidR="00B4284F" w:rsidRPr="0010205E">
        <w:t>.</w:t>
      </w:r>
      <w:r w:rsidRPr="0010205E">
        <w:t xml:space="preserve"> This was reasonable.</w:t>
      </w:r>
    </w:p>
    <w:p w14:paraId="234FF46B" w14:textId="6748D270" w:rsidR="00140E02" w:rsidRPr="0010205E" w:rsidRDefault="00851B20" w:rsidP="00980FD1">
      <w:pPr>
        <w:pStyle w:val="3-BodyText"/>
      </w:pPr>
      <w:r w:rsidRPr="0010205E">
        <w:t>Health related quality of life (</w:t>
      </w:r>
      <w:r w:rsidR="00140E02" w:rsidRPr="0010205E">
        <w:t>HRQoL</w:t>
      </w:r>
      <w:r w:rsidRPr="0010205E">
        <w:t>)</w:t>
      </w:r>
      <w:r w:rsidR="00140E02" w:rsidRPr="0010205E">
        <w:t xml:space="preserve"> data were </w:t>
      </w:r>
      <w:r w:rsidR="00A4159D" w:rsidRPr="0010205E">
        <w:t xml:space="preserve">obtained </w:t>
      </w:r>
      <w:r w:rsidR="00140E02" w:rsidRPr="0010205E">
        <w:t xml:space="preserve">in QUAZAR using the EQ-5D-3L instrument and the FACIT-Fatigue scale, a subscale of the FACIT-F instrument. </w:t>
      </w:r>
      <w:r w:rsidR="00133B94" w:rsidRPr="0010205E">
        <w:t xml:space="preserve">The </w:t>
      </w:r>
      <w:r w:rsidR="00140E02" w:rsidRPr="0010205E">
        <w:t>FACIT-Fatigue scale is a 13-question disease-specific scale with scores ranging from 0 to 52</w:t>
      </w:r>
      <w:r w:rsidR="001C53D8" w:rsidRPr="0010205E">
        <w:t>, with</w:t>
      </w:r>
      <w:r w:rsidR="00140E02" w:rsidRPr="0010205E">
        <w:t xml:space="preserve"> higher scores indicating less fatigue. HRQoL data were collected on Day 1 of each 28-day treatment cycle and upon treatment discontinuation.</w:t>
      </w:r>
    </w:p>
    <w:p w14:paraId="532D40FB" w14:textId="63C1F68C" w:rsidR="00140E02" w:rsidRPr="0010205E" w:rsidRDefault="00140E02" w:rsidP="00980FD1">
      <w:pPr>
        <w:pStyle w:val="3-BodyText"/>
      </w:pPr>
      <w:r w:rsidRPr="0010205E">
        <w:t>The submission proposed minimum clinically important differences for HRQoL</w:t>
      </w:r>
      <w:r w:rsidR="000A3F92" w:rsidRPr="0010205E">
        <w:t xml:space="preserve"> based on published literature. </w:t>
      </w:r>
      <w:r w:rsidRPr="0010205E">
        <w:t>For the FACIT-Fatigue Scale, a change from baseline of ≥ 3 points was used to define clinically meaningful improvement and worsening at the individual level (Cella et al. 2002). For the EQ</w:t>
      </w:r>
      <w:r w:rsidRPr="0010205E">
        <w:noBreakHyphen/>
        <w:t>5D-3L health utility index, a 0.08 point and 0.10 point or greater change</w:t>
      </w:r>
      <w:r w:rsidR="00133B94" w:rsidRPr="0010205E">
        <w:t>s</w:t>
      </w:r>
      <w:r w:rsidRPr="0010205E">
        <w:t xml:space="preserve"> from baseline </w:t>
      </w:r>
      <w:r w:rsidR="00133B94" w:rsidRPr="0010205E">
        <w:t xml:space="preserve">were </w:t>
      </w:r>
      <w:r w:rsidRPr="0010205E">
        <w:t xml:space="preserve">used to define clinically </w:t>
      </w:r>
      <w:r w:rsidRPr="0010205E">
        <w:lastRenderedPageBreak/>
        <w:t xml:space="preserve">meaningful improvement </w:t>
      </w:r>
      <w:r w:rsidR="00133B94" w:rsidRPr="0010205E">
        <w:t xml:space="preserve">or </w:t>
      </w:r>
      <w:r w:rsidRPr="0010205E">
        <w:t xml:space="preserve">worsening respectively (Pickard et al. 2007, Kvam et al. 2011). </w:t>
      </w:r>
    </w:p>
    <w:p w14:paraId="4A4FE085" w14:textId="1C5613CC" w:rsidR="00B60939" w:rsidRPr="00C9624D" w:rsidRDefault="00B60939" w:rsidP="00EC5836">
      <w:pPr>
        <w:pStyle w:val="4-SubsectionHeading"/>
      </w:pPr>
      <w:bookmarkStart w:id="25" w:name="_Toc22897641"/>
      <w:bookmarkStart w:id="26" w:name="_Toc103244677"/>
      <w:r w:rsidRPr="00C9624D">
        <w:t>Comparative effectiveness</w:t>
      </w:r>
      <w:bookmarkEnd w:id="25"/>
      <w:bookmarkEnd w:id="26"/>
    </w:p>
    <w:p w14:paraId="64AE518C" w14:textId="31DDE079" w:rsidR="00FC0AF8" w:rsidRPr="00FC0AF8" w:rsidRDefault="00FC0AF8" w:rsidP="00F20166">
      <w:pPr>
        <w:pStyle w:val="3-BodyText"/>
      </w:pPr>
      <w:r w:rsidRPr="00FC0AF8">
        <w:rPr>
          <w:snapToGrid/>
        </w:rPr>
        <w:t xml:space="preserve">The results from the primary and updated analysis of OS </w:t>
      </w:r>
      <w:r w:rsidR="009D15AF">
        <w:rPr>
          <w:snapToGrid/>
        </w:rPr>
        <w:t>are</w:t>
      </w:r>
      <w:r w:rsidR="009D15AF" w:rsidRPr="00FC0AF8">
        <w:rPr>
          <w:snapToGrid/>
        </w:rPr>
        <w:t xml:space="preserve"> </w:t>
      </w:r>
      <w:r w:rsidRPr="00FC0AF8">
        <w:rPr>
          <w:snapToGrid/>
        </w:rPr>
        <w:t xml:space="preserve">presented in </w:t>
      </w:r>
      <w:r>
        <w:rPr>
          <w:snapToGrid/>
        </w:rPr>
        <w:fldChar w:fldCharType="begin" w:fldLock="1"/>
      </w:r>
      <w:r>
        <w:rPr>
          <w:snapToGrid/>
        </w:rPr>
        <w:instrText xml:space="preserve"> REF _Ref100758120 \h </w:instrText>
      </w:r>
      <w:r>
        <w:rPr>
          <w:snapToGrid/>
        </w:rPr>
      </w:r>
      <w:r>
        <w:rPr>
          <w:snapToGrid/>
        </w:rPr>
        <w:fldChar w:fldCharType="separate"/>
      </w:r>
      <w:r w:rsidR="00602E88">
        <w:t xml:space="preserve">Table </w:t>
      </w:r>
      <w:r w:rsidR="00602E88">
        <w:rPr>
          <w:noProof/>
        </w:rPr>
        <w:t>4</w:t>
      </w:r>
      <w:r>
        <w:rPr>
          <w:snapToGrid/>
        </w:rPr>
        <w:fldChar w:fldCharType="end"/>
      </w:r>
      <w:r w:rsidRPr="00FC0AF8">
        <w:rPr>
          <w:snapToGrid/>
        </w:rPr>
        <w:t xml:space="preserve"> and</w:t>
      </w:r>
      <w:r w:rsidR="00B4284F">
        <w:rPr>
          <w:snapToGrid/>
        </w:rPr>
        <w:t xml:space="preserve"> </w:t>
      </w:r>
      <w:r w:rsidR="0081203C" w:rsidRPr="0081203C">
        <w:fldChar w:fldCharType="begin" w:fldLock="1"/>
      </w:r>
      <w:r w:rsidR="0081203C" w:rsidRPr="0081203C">
        <w:instrText xml:space="preserve"> REF _Ref101264484 \h </w:instrText>
      </w:r>
      <w:r w:rsidR="0081203C">
        <w:instrText xml:space="preserve"> \* MERGEFORMAT </w:instrText>
      </w:r>
      <w:r w:rsidR="0081203C" w:rsidRPr="0081203C">
        <w:fldChar w:fldCharType="separate"/>
      </w:r>
      <w:r w:rsidR="00602E88" w:rsidRPr="00602E88">
        <w:t>Figure 2</w:t>
      </w:r>
      <w:r w:rsidR="0081203C" w:rsidRPr="0081203C">
        <w:fldChar w:fldCharType="end"/>
      </w:r>
      <w:r w:rsidRPr="00FC0AF8">
        <w:rPr>
          <w:snapToGrid/>
        </w:rPr>
        <w:t>. There was a statistically significant improvement in OS for the oral azacitidine arm at both data cut-off dates</w:t>
      </w:r>
      <w:r>
        <w:rPr>
          <w:snapToGrid/>
        </w:rPr>
        <w:t>.</w:t>
      </w:r>
      <w:r w:rsidR="001C02AA">
        <w:rPr>
          <w:snapToGrid/>
        </w:rPr>
        <w:t xml:space="preserve"> </w:t>
      </w:r>
    </w:p>
    <w:p w14:paraId="6E290872" w14:textId="2A59E126" w:rsidR="00EF0171" w:rsidRDefault="00FC0AF8" w:rsidP="001E6B7A">
      <w:pPr>
        <w:pStyle w:val="TableFigureHeading"/>
        <w:keepNext w:val="0"/>
      </w:pPr>
      <w:bookmarkStart w:id="27" w:name="_Ref100758120"/>
      <w:r>
        <w:t xml:space="preserve">Table </w:t>
      </w:r>
      <w:r w:rsidR="00396D16">
        <w:fldChar w:fldCharType="begin" w:fldLock="1"/>
      </w:r>
      <w:r w:rsidR="00396D16">
        <w:instrText xml:space="preserve"> SEQ Table \* ARABIC </w:instrText>
      </w:r>
      <w:r w:rsidR="00396D16">
        <w:fldChar w:fldCharType="separate"/>
      </w:r>
      <w:r w:rsidR="00602E88">
        <w:rPr>
          <w:noProof/>
        </w:rPr>
        <w:t>4</w:t>
      </w:r>
      <w:r w:rsidR="00396D16">
        <w:rPr>
          <w:noProof/>
        </w:rPr>
        <w:fldChar w:fldCharType="end"/>
      </w:r>
      <w:bookmarkEnd w:id="27"/>
      <w:r>
        <w:t xml:space="preserve">: </w:t>
      </w:r>
      <w:r w:rsidRPr="000834A8">
        <w:t>Results of overall survival in QUAZAR trial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4: Results of overall survival in QUAZAR trial (ITT population)"/>
      </w:tblPr>
      <w:tblGrid>
        <w:gridCol w:w="2122"/>
        <w:gridCol w:w="849"/>
        <w:gridCol w:w="1277"/>
        <w:gridCol w:w="819"/>
        <w:gridCol w:w="1295"/>
        <w:gridCol w:w="866"/>
        <w:gridCol w:w="860"/>
        <w:gridCol w:w="929"/>
      </w:tblGrid>
      <w:tr w:rsidR="00DE78E2" w:rsidRPr="00B1011F" w14:paraId="31E867F3" w14:textId="77777777" w:rsidTr="00DE78E2">
        <w:trPr>
          <w:tblHeader/>
        </w:trPr>
        <w:tc>
          <w:tcPr>
            <w:tcW w:w="1177" w:type="pct"/>
            <w:vMerge w:val="restart"/>
          </w:tcPr>
          <w:p w14:paraId="6EE01BC2" w14:textId="77777777" w:rsidR="00DE78E2" w:rsidRDefault="00DE78E2" w:rsidP="001E6B7A">
            <w:pPr>
              <w:pStyle w:val="TableFigureHeading"/>
              <w:keepNext w:val="0"/>
              <w:jc w:val="center"/>
            </w:pPr>
          </w:p>
        </w:tc>
        <w:tc>
          <w:tcPr>
            <w:tcW w:w="1179" w:type="pct"/>
            <w:gridSpan w:val="2"/>
            <w:tcMar>
              <w:left w:w="28" w:type="dxa"/>
              <w:right w:w="28" w:type="dxa"/>
            </w:tcMar>
            <w:vAlign w:val="center"/>
          </w:tcPr>
          <w:p w14:paraId="7B05F89C" w14:textId="67BA3DC2" w:rsidR="00DE78E2" w:rsidRPr="001E2483" w:rsidRDefault="00DE78E2" w:rsidP="001E6B7A">
            <w:pPr>
              <w:pStyle w:val="TableFigureHeading"/>
              <w:keepNext w:val="0"/>
              <w:jc w:val="center"/>
            </w:pPr>
            <w:r>
              <w:t>Oral azacitidine</w:t>
            </w:r>
          </w:p>
        </w:tc>
        <w:tc>
          <w:tcPr>
            <w:tcW w:w="1172" w:type="pct"/>
            <w:gridSpan w:val="2"/>
            <w:tcMar>
              <w:left w:w="28" w:type="dxa"/>
              <w:right w:w="28" w:type="dxa"/>
            </w:tcMar>
            <w:vAlign w:val="center"/>
          </w:tcPr>
          <w:p w14:paraId="2F1F7D85" w14:textId="136BA55F" w:rsidR="00DE78E2" w:rsidRPr="001E2483" w:rsidRDefault="00DE78E2" w:rsidP="001E6B7A">
            <w:pPr>
              <w:pStyle w:val="TableFigureHeading"/>
              <w:keepNext w:val="0"/>
              <w:jc w:val="center"/>
            </w:pPr>
            <w:r>
              <w:t>BSC</w:t>
            </w:r>
          </w:p>
        </w:tc>
        <w:tc>
          <w:tcPr>
            <w:tcW w:w="480" w:type="pct"/>
            <w:vMerge w:val="restart"/>
            <w:tcMar>
              <w:left w:w="28" w:type="dxa"/>
              <w:right w:w="28" w:type="dxa"/>
            </w:tcMar>
            <w:vAlign w:val="center"/>
          </w:tcPr>
          <w:p w14:paraId="661F331A" w14:textId="77777777" w:rsidR="00DE78E2" w:rsidRPr="001E2483" w:rsidRDefault="00DE78E2" w:rsidP="001E6B7A">
            <w:pPr>
              <w:pStyle w:val="TableFigureHeading"/>
              <w:keepNext w:val="0"/>
              <w:jc w:val="center"/>
            </w:pPr>
            <w:r w:rsidRPr="001E2483">
              <w:t>Difference in median</w:t>
            </w:r>
          </w:p>
        </w:tc>
        <w:tc>
          <w:tcPr>
            <w:tcW w:w="477" w:type="pct"/>
            <w:vMerge w:val="restart"/>
            <w:tcMar>
              <w:left w:w="28" w:type="dxa"/>
              <w:right w:w="28" w:type="dxa"/>
            </w:tcMar>
            <w:vAlign w:val="center"/>
          </w:tcPr>
          <w:p w14:paraId="55F859D7" w14:textId="77777777" w:rsidR="00DE78E2" w:rsidRPr="001E2483" w:rsidRDefault="00DE78E2" w:rsidP="001E6B7A">
            <w:pPr>
              <w:pStyle w:val="TableFigureHeading"/>
              <w:keepNext w:val="0"/>
              <w:jc w:val="center"/>
            </w:pPr>
            <w:r w:rsidRPr="001E2483">
              <w:t>P value</w:t>
            </w:r>
          </w:p>
          <w:p w14:paraId="339B6E70" w14:textId="77777777" w:rsidR="00DE78E2" w:rsidRPr="001E2483" w:rsidRDefault="00DE78E2" w:rsidP="001E6B7A">
            <w:pPr>
              <w:pStyle w:val="TableFigureHeading"/>
              <w:keepNext w:val="0"/>
              <w:jc w:val="center"/>
            </w:pPr>
            <w:r w:rsidRPr="001E2483">
              <w:t>(log rank test)</w:t>
            </w:r>
          </w:p>
        </w:tc>
        <w:tc>
          <w:tcPr>
            <w:tcW w:w="515" w:type="pct"/>
            <w:vMerge w:val="restart"/>
            <w:tcMar>
              <w:left w:w="28" w:type="dxa"/>
              <w:right w:w="28" w:type="dxa"/>
            </w:tcMar>
            <w:vAlign w:val="center"/>
          </w:tcPr>
          <w:p w14:paraId="6CE896A7" w14:textId="1153A89D" w:rsidR="00DE78E2" w:rsidRPr="001E2483" w:rsidRDefault="00DE78E2" w:rsidP="001E6B7A">
            <w:pPr>
              <w:pStyle w:val="TableFigureHeading"/>
              <w:keepNext w:val="0"/>
              <w:jc w:val="center"/>
            </w:pPr>
            <w:r w:rsidRPr="001E2483">
              <w:t xml:space="preserve">Hazard ratio </w:t>
            </w:r>
            <w:r>
              <w:rPr>
                <w:b w:val="0"/>
              </w:rPr>
              <w:br/>
            </w:r>
            <w:r w:rsidRPr="001E2483">
              <w:t>(95% CI)</w:t>
            </w:r>
          </w:p>
        </w:tc>
      </w:tr>
      <w:tr w:rsidR="00DE78E2" w:rsidRPr="00B1011F" w14:paraId="265333DB" w14:textId="77777777" w:rsidTr="00DE78E2">
        <w:tc>
          <w:tcPr>
            <w:tcW w:w="1177" w:type="pct"/>
            <w:vMerge/>
          </w:tcPr>
          <w:p w14:paraId="5B98A911" w14:textId="77777777" w:rsidR="00DE78E2" w:rsidRPr="00B1011F" w:rsidRDefault="00DE78E2" w:rsidP="001E6B7A">
            <w:pPr>
              <w:pStyle w:val="TableFigureHeading"/>
              <w:keepNext w:val="0"/>
              <w:jc w:val="center"/>
            </w:pPr>
          </w:p>
        </w:tc>
        <w:tc>
          <w:tcPr>
            <w:tcW w:w="471" w:type="pct"/>
            <w:tcMar>
              <w:left w:w="28" w:type="dxa"/>
              <w:right w:w="28" w:type="dxa"/>
            </w:tcMar>
            <w:vAlign w:val="center"/>
          </w:tcPr>
          <w:p w14:paraId="66B5B909" w14:textId="2695CAFA" w:rsidR="00DE78E2" w:rsidRPr="00B1011F" w:rsidRDefault="00DE78E2" w:rsidP="001E6B7A">
            <w:pPr>
              <w:pStyle w:val="TableFigureHeading"/>
              <w:keepNext w:val="0"/>
              <w:jc w:val="center"/>
            </w:pPr>
            <w:r w:rsidRPr="00B1011F">
              <w:t>n/N (%)</w:t>
            </w:r>
          </w:p>
        </w:tc>
        <w:tc>
          <w:tcPr>
            <w:tcW w:w="708" w:type="pct"/>
            <w:tcMar>
              <w:left w:w="28" w:type="dxa"/>
              <w:right w:w="28" w:type="dxa"/>
            </w:tcMar>
            <w:vAlign w:val="center"/>
          </w:tcPr>
          <w:p w14:paraId="64888794" w14:textId="77777777" w:rsidR="00DE78E2" w:rsidRPr="00B1011F" w:rsidRDefault="00DE78E2" w:rsidP="001E6B7A">
            <w:pPr>
              <w:pStyle w:val="TableFigureHeading"/>
              <w:keepNext w:val="0"/>
              <w:jc w:val="center"/>
            </w:pPr>
            <w:r>
              <w:t>M</w:t>
            </w:r>
            <w:r w:rsidRPr="00B1011F">
              <w:t>edian time to event (95% CI)</w:t>
            </w:r>
          </w:p>
        </w:tc>
        <w:tc>
          <w:tcPr>
            <w:tcW w:w="454" w:type="pct"/>
            <w:tcMar>
              <w:left w:w="28" w:type="dxa"/>
              <w:right w:w="28" w:type="dxa"/>
            </w:tcMar>
            <w:vAlign w:val="center"/>
          </w:tcPr>
          <w:p w14:paraId="64C61586" w14:textId="2D418E64" w:rsidR="00DE78E2" w:rsidRPr="00B1011F" w:rsidRDefault="00DE78E2" w:rsidP="001E6B7A">
            <w:pPr>
              <w:pStyle w:val="TableFigureHeading"/>
              <w:keepNext w:val="0"/>
              <w:jc w:val="center"/>
            </w:pPr>
            <w:r w:rsidRPr="00B1011F">
              <w:t>n/N (%)</w:t>
            </w:r>
          </w:p>
        </w:tc>
        <w:tc>
          <w:tcPr>
            <w:tcW w:w="718" w:type="pct"/>
            <w:tcMar>
              <w:left w:w="28" w:type="dxa"/>
              <w:right w:w="28" w:type="dxa"/>
            </w:tcMar>
            <w:vAlign w:val="center"/>
          </w:tcPr>
          <w:p w14:paraId="1E34B0F0" w14:textId="77777777" w:rsidR="00DE78E2" w:rsidRPr="00B1011F" w:rsidRDefault="00DE78E2" w:rsidP="001E6B7A">
            <w:pPr>
              <w:pStyle w:val="TableFigureHeading"/>
              <w:keepNext w:val="0"/>
              <w:jc w:val="center"/>
            </w:pPr>
            <w:r>
              <w:t>M</w:t>
            </w:r>
            <w:r w:rsidRPr="00B1011F">
              <w:t>edian time to event (95% CI)</w:t>
            </w:r>
          </w:p>
        </w:tc>
        <w:tc>
          <w:tcPr>
            <w:tcW w:w="480" w:type="pct"/>
            <w:vMerge/>
            <w:tcMar>
              <w:left w:w="28" w:type="dxa"/>
              <w:right w:w="28" w:type="dxa"/>
            </w:tcMar>
            <w:vAlign w:val="center"/>
          </w:tcPr>
          <w:p w14:paraId="6674B94F" w14:textId="77777777" w:rsidR="00DE78E2" w:rsidRPr="00B1011F" w:rsidRDefault="00DE78E2" w:rsidP="001E6B7A">
            <w:pPr>
              <w:pStyle w:val="TableText0"/>
              <w:keepNext w:val="0"/>
              <w:jc w:val="center"/>
            </w:pPr>
          </w:p>
        </w:tc>
        <w:tc>
          <w:tcPr>
            <w:tcW w:w="477" w:type="pct"/>
            <w:vMerge/>
            <w:tcMar>
              <w:left w:w="28" w:type="dxa"/>
              <w:right w:w="28" w:type="dxa"/>
            </w:tcMar>
            <w:vAlign w:val="center"/>
          </w:tcPr>
          <w:p w14:paraId="26F5E88A" w14:textId="77777777" w:rsidR="00DE78E2" w:rsidRPr="00B1011F" w:rsidRDefault="00DE78E2" w:rsidP="001E6B7A">
            <w:pPr>
              <w:pStyle w:val="TableText0"/>
              <w:keepNext w:val="0"/>
              <w:jc w:val="center"/>
            </w:pPr>
          </w:p>
        </w:tc>
        <w:tc>
          <w:tcPr>
            <w:tcW w:w="515" w:type="pct"/>
            <w:vMerge/>
            <w:tcMar>
              <w:left w:w="28" w:type="dxa"/>
              <w:right w:w="28" w:type="dxa"/>
            </w:tcMar>
            <w:vAlign w:val="center"/>
          </w:tcPr>
          <w:p w14:paraId="42E6ABA2" w14:textId="77777777" w:rsidR="00DE78E2" w:rsidRPr="00B1011F" w:rsidRDefault="00DE78E2" w:rsidP="001E6B7A">
            <w:pPr>
              <w:pStyle w:val="TableText0"/>
              <w:keepNext w:val="0"/>
              <w:jc w:val="center"/>
            </w:pPr>
          </w:p>
        </w:tc>
      </w:tr>
      <w:tr w:rsidR="00DE78E2" w:rsidRPr="00B1011F" w14:paraId="35D236EE" w14:textId="77777777" w:rsidTr="00DE78E2">
        <w:tc>
          <w:tcPr>
            <w:tcW w:w="1177" w:type="pct"/>
            <w:tcMar>
              <w:left w:w="28" w:type="dxa"/>
              <w:right w:w="28" w:type="dxa"/>
            </w:tcMar>
          </w:tcPr>
          <w:p w14:paraId="09147A71" w14:textId="66FCE894" w:rsidR="00DE78E2" w:rsidRDefault="00DE78E2" w:rsidP="00DE78E2">
            <w:pPr>
              <w:pStyle w:val="TableText0"/>
              <w:keepNext w:val="0"/>
            </w:pPr>
            <w:r w:rsidRPr="003F1791">
              <w:rPr>
                <w:b/>
                <w:bCs w:val="0"/>
              </w:rPr>
              <w:t>Primary analysis (median follow-up 40.2 months</w:t>
            </w:r>
            <w:r>
              <w:rPr>
                <w:b/>
                <w:bCs w:val="0"/>
              </w:rPr>
              <w:t>)</w:t>
            </w:r>
          </w:p>
        </w:tc>
        <w:tc>
          <w:tcPr>
            <w:tcW w:w="471" w:type="pct"/>
            <w:tcMar>
              <w:left w:w="28" w:type="dxa"/>
              <w:right w:w="28" w:type="dxa"/>
            </w:tcMar>
            <w:vAlign w:val="center"/>
          </w:tcPr>
          <w:p w14:paraId="07649CA7" w14:textId="72DFA6F2" w:rsidR="00DE78E2" w:rsidRPr="00B1011F" w:rsidRDefault="00DE78E2" w:rsidP="00DE78E2">
            <w:pPr>
              <w:pStyle w:val="TableText0"/>
              <w:keepNext w:val="0"/>
              <w:jc w:val="center"/>
            </w:pPr>
            <w:r>
              <w:t>158/238 (66%)</w:t>
            </w:r>
          </w:p>
        </w:tc>
        <w:tc>
          <w:tcPr>
            <w:tcW w:w="708" w:type="pct"/>
            <w:tcMar>
              <w:left w:w="28" w:type="dxa"/>
              <w:right w:w="28" w:type="dxa"/>
            </w:tcMar>
            <w:vAlign w:val="center"/>
          </w:tcPr>
          <w:p w14:paraId="39DA7821" w14:textId="5A89D069" w:rsidR="00DE78E2" w:rsidRPr="00B1011F" w:rsidRDefault="00DE78E2" w:rsidP="00DE78E2">
            <w:pPr>
              <w:pStyle w:val="TableText0"/>
              <w:keepNext w:val="0"/>
              <w:jc w:val="center"/>
            </w:pPr>
            <w:r>
              <w:t>24.7 months</w:t>
            </w:r>
            <w:r>
              <w:br/>
              <w:t>(18.7, 30.5)</w:t>
            </w:r>
          </w:p>
        </w:tc>
        <w:tc>
          <w:tcPr>
            <w:tcW w:w="454" w:type="pct"/>
            <w:tcMar>
              <w:left w:w="28" w:type="dxa"/>
              <w:right w:w="28" w:type="dxa"/>
            </w:tcMar>
            <w:vAlign w:val="center"/>
          </w:tcPr>
          <w:p w14:paraId="0D3F4C14" w14:textId="77777777" w:rsidR="00DE78E2" w:rsidRPr="00B1011F" w:rsidRDefault="00DE78E2" w:rsidP="00DE78E2">
            <w:pPr>
              <w:pStyle w:val="TableText0"/>
              <w:keepNext w:val="0"/>
              <w:jc w:val="center"/>
            </w:pPr>
            <w:r>
              <w:t>171/234 (73%)</w:t>
            </w:r>
          </w:p>
        </w:tc>
        <w:tc>
          <w:tcPr>
            <w:tcW w:w="718" w:type="pct"/>
            <w:tcMar>
              <w:left w:w="28" w:type="dxa"/>
              <w:right w:w="28" w:type="dxa"/>
            </w:tcMar>
            <w:vAlign w:val="center"/>
          </w:tcPr>
          <w:p w14:paraId="505656AF" w14:textId="242E4DF8" w:rsidR="00DE78E2" w:rsidRPr="00B1011F" w:rsidRDefault="00DE78E2" w:rsidP="00DE78E2">
            <w:pPr>
              <w:pStyle w:val="TableText0"/>
              <w:keepNext w:val="0"/>
              <w:jc w:val="center"/>
            </w:pPr>
            <w:r>
              <w:t>14.8 months</w:t>
            </w:r>
            <w:r>
              <w:br/>
              <w:t>(11.7, 17.6)</w:t>
            </w:r>
          </w:p>
        </w:tc>
        <w:tc>
          <w:tcPr>
            <w:tcW w:w="480" w:type="pct"/>
            <w:tcMar>
              <w:left w:w="28" w:type="dxa"/>
              <w:right w:w="28" w:type="dxa"/>
            </w:tcMar>
            <w:vAlign w:val="center"/>
          </w:tcPr>
          <w:p w14:paraId="1B4852FD" w14:textId="77777777" w:rsidR="00DE78E2" w:rsidRPr="00B1011F" w:rsidRDefault="00DE78E2" w:rsidP="00DE78E2">
            <w:pPr>
              <w:pStyle w:val="TableText0"/>
              <w:keepNext w:val="0"/>
              <w:jc w:val="center"/>
            </w:pPr>
            <w:r>
              <w:t>9.9</w:t>
            </w:r>
          </w:p>
        </w:tc>
        <w:tc>
          <w:tcPr>
            <w:tcW w:w="477" w:type="pct"/>
            <w:tcMar>
              <w:left w:w="28" w:type="dxa"/>
              <w:right w:w="28" w:type="dxa"/>
            </w:tcMar>
            <w:vAlign w:val="center"/>
          </w:tcPr>
          <w:p w14:paraId="40A47E77" w14:textId="77777777" w:rsidR="00DE78E2" w:rsidRPr="00B1011F" w:rsidRDefault="00DE78E2" w:rsidP="00DE78E2">
            <w:pPr>
              <w:pStyle w:val="TableText0"/>
              <w:keepNext w:val="0"/>
              <w:jc w:val="center"/>
            </w:pPr>
            <w:r>
              <w:t>&lt;0.001</w:t>
            </w:r>
          </w:p>
        </w:tc>
        <w:tc>
          <w:tcPr>
            <w:tcW w:w="515" w:type="pct"/>
            <w:tcMar>
              <w:left w:w="28" w:type="dxa"/>
              <w:right w:w="28" w:type="dxa"/>
            </w:tcMar>
            <w:vAlign w:val="center"/>
          </w:tcPr>
          <w:p w14:paraId="01946ACF" w14:textId="7A93D409" w:rsidR="00DE78E2" w:rsidRPr="00EA57CE" w:rsidRDefault="00DE78E2" w:rsidP="00DE78E2">
            <w:pPr>
              <w:pStyle w:val="TableText0"/>
              <w:keepNext w:val="0"/>
              <w:jc w:val="center"/>
              <w:rPr>
                <w:b/>
              </w:rPr>
            </w:pPr>
            <w:r w:rsidRPr="00EA57CE">
              <w:rPr>
                <w:b/>
              </w:rPr>
              <w:t xml:space="preserve">0.69 </w:t>
            </w:r>
            <w:r>
              <w:rPr>
                <w:b/>
              </w:rPr>
              <w:br/>
            </w:r>
            <w:r w:rsidRPr="00EA57CE">
              <w:rPr>
                <w:b/>
              </w:rPr>
              <w:t>(0.55, 0.86)</w:t>
            </w:r>
          </w:p>
        </w:tc>
      </w:tr>
      <w:tr w:rsidR="00DE78E2" w:rsidRPr="00B1011F" w14:paraId="2F9A7479" w14:textId="77777777" w:rsidTr="00DE78E2">
        <w:tc>
          <w:tcPr>
            <w:tcW w:w="1177" w:type="pct"/>
            <w:tcMar>
              <w:left w:w="28" w:type="dxa"/>
              <w:right w:w="28" w:type="dxa"/>
            </w:tcMar>
          </w:tcPr>
          <w:p w14:paraId="4871E288" w14:textId="237BF402" w:rsidR="00DE78E2" w:rsidRPr="00A93684" w:rsidRDefault="00DE78E2" w:rsidP="00DE78E2">
            <w:pPr>
              <w:pStyle w:val="TableText0"/>
              <w:keepNext w:val="0"/>
            </w:pPr>
            <w:r w:rsidRPr="003F1791">
              <w:rPr>
                <w:b/>
                <w:bCs w:val="0"/>
              </w:rPr>
              <w:t xml:space="preserve">Updated analysis </w:t>
            </w:r>
            <w:r>
              <w:rPr>
                <w:b/>
                <w:bCs w:val="0"/>
              </w:rPr>
              <w:t>(</w:t>
            </w:r>
            <w:r w:rsidRPr="003F1791">
              <w:rPr>
                <w:b/>
                <w:bCs w:val="0"/>
              </w:rPr>
              <w:t>median follow-up 51.7 months</w:t>
            </w:r>
            <w:r>
              <w:rPr>
                <w:b/>
                <w:bCs w:val="0"/>
              </w:rPr>
              <w:t>)</w:t>
            </w:r>
          </w:p>
        </w:tc>
        <w:tc>
          <w:tcPr>
            <w:tcW w:w="471" w:type="pct"/>
            <w:tcMar>
              <w:left w:w="28" w:type="dxa"/>
              <w:right w:w="28" w:type="dxa"/>
            </w:tcMar>
            <w:vAlign w:val="center"/>
          </w:tcPr>
          <w:p w14:paraId="374F10D0" w14:textId="532789DF" w:rsidR="00DE78E2" w:rsidRPr="00A93684" w:rsidRDefault="00DE78E2" w:rsidP="00DE78E2">
            <w:pPr>
              <w:pStyle w:val="TableText0"/>
              <w:keepNext w:val="0"/>
              <w:jc w:val="center"/>
            </w:pPr>
            <w:r w:rsidRPr="00A93684">
              <w:t>16</w:t>
            </w:r>
            <w:r w:rsidR="009D46BB">
              <w:t>5</w:t>
            </w:r>
            <w:r w:rsidRPr="00A93684">
              <w:t>/238 (</w:t>
            </w:r>
            <w:r w:rsidR="00DA3545">
              <w:t>69</w:t>
            </w:r>
            <w:r w:rsidRPr="00A93684">
              <w:t>%)</w:t>
            </w:r>
          </w:p>
        </w:tc>
        <w:tc>
          <w:tcPr>
            <w:tcW w:w="708" w:type="pct"/>
            <w:tcMar>
              <w:left w:w="28" w:type="dxa"/>
              <w:right w:w="28" w:type="dxa"/>
            </w:tcMar>
            <w:vAlign w:val="center"/>
          </w:tcPr>
          <w:p w14:paraId="6F44CCA2" w14:textId="57C00FA4" w:rsidR="00DE78E2" w:rsidRPr="00A93684" w:rsidRDefault="00DE78E2" w:rsidP="00DE78E2">
            <w:pPr>
              <w:pStyle w:val="TableText0"/>
              <w:keepNext w:val="0"/>
              <w:jc w:val="center"/>
            </w:pPr>
            <w:r w:rsidRPr="00A93684">
              <w:t xml:space="preserve">24.7 </w:t>
            </w:r>
            <w:r>
              <w:t>months</w:t>
            </w:r>
            <w:r w:rsidRPr="00A93684">
              <w:br/>
              <w:t>(18.7, 30.5)</w:t>
            </w:r>
          </w:p>
        </w:tc>
        <w:tc>
          <w:tcPr>
            <w:tcW w:w="454" w:type="pct"/>
            <w:tcMar>
              <w:left w:w="28" w:type="dxa"/>
              <w:right w:w="28" w:type="dxa"/>
            </w:tcMar>
            <w:vAlign w:val="center"/>
          </w:tcPr>
          <w:p w14:paraId="3D6B5139" w14:textId="77777777" w:rsidR="00DE78E2" w:rsidRPr="00A93684" w:rsidRDefault="00DE78E2" w:rsidP="00DE78E2">
            <w:pPr>
              <w:pStyle w:val="TableText0"/>
              <w:keepNext w:val="0"/>
              <w:jc w:val="center"/>
            </w:pPr>
            <w:r w:rsidRPr="00A93684">
              <w:t>176/234 (75%)</w:t>
            </w:r>
          </w:p>
        </w:tc>
        <w:tc>
          <w:tcPr>
            <w:tcW w:w="718" w:type="pct"/>
            <w:tcMar>
              <w:left w:w="28" w:type="dxa"/>
              <w:right w:w="28" w:type="dxa"/>
            </w:tcMar>
            <w:vAlign w:val="center"/>
          </w:tcPr>
          <w:p w14:paraId="5917C09C" w14:textId="2B7DCF8C" w:rsidR="00DE78E2" w:rsidRPr="00A93684" w:rsidRDefault="00DE78E2" w:rsidP="00DE78E2">
            <w:pPr>
              <w:pStyle w:val="TableText0"/>
              <w:keepNext w:val="0"/>
              <w:jc w:val="center"/>
            </w:pPr>
            <w:r w:rsidRPr="00A93684">
              <w:t xml:space="preserve">14.8 </w:t>
            </w:r>
            <w:r>
              <w:t>months</w:t>
            </w:r>
            <w:r w:rsidRPr="00A93684">
              <w:br/>
              <w:t>(11.7, 17.6)</w:t>
            </w:r>
          </w:p>
        </w:tc>
        <w:tc>
          <w:tcPr>
            <w:tcW w:w="480" w:type="pct"/>
            <w:tcMar>
              <w:left w:w="28" w:type="dxa"/>
              <w:right w:w="28" w:type="dxa"/>
            </w:tcMar>
            <w:vAlign w:val="center"/>
          </w:tcPr>
          <w:p w14:paraId="7F4516C1" w14:textId="77777777" w:rsidR="00DE78E2" w:rsidRPr="00A93684" w:rsidRDefault="00DE78E2" w:rsidP="00DE78E2">
            <w:pPr>
              <w:pStyle w:val="TableText0"/>
              <w:keepNext w:val="0"/>
              <w:jc w:val="center"/>
            </w:pPr>
            <w:r w:rsidRPr="00A93684">
              <w:t>9.9</w:t>
            </w:r>
          </w:p>
        </w:tc>
        <w:tc>
          <w:tcPr>
            <w:tcW w:w="477" w:type="pct"/>
            <w:tcMar>
              <w:left w:w="28" w:type="dxa"/>
              <w:right w:w="28" w:type="dxa"/>
            </w:tcMar>
            <w:vAlign w:val="center"/>
          </w:tcPr>
          <w:p w14:paraId="1886F482" w14:textId="77777777" w:rsidR="00DE78E2" w:rsidRPr="00A93684" w:rsidRDefault="00DE78E2" w:rsidP="00DE78E2">
            <w:pPr>
              <w:pStyle w:val="TableText0"/>
              <w:keepNext w:val="0"/>
              <w:jc w:val="center"/>
            </w:pPr>
            <w:r w:rsidRPr="00A93684">
              <w:t>0.0008</w:t>
            </w:r>
          </w:p>
        </w:tc>
        <w:tc>
          <w:tcPr>
            <w:tcW w:w="515" w:type="pct"/>
            <w:tcMar>
              <w:left w:w="28" w:type="dxa"/>
              <w:right w:w="28" w:type="dxa"/>
            </w:tcMar>
            <w:vAlign w:val="center"/>
          </w:tcPr>
          <w:p w14:paraId="0C5EE596" w14:textId="143A5D66" w:rsidR="00DE78E2" w:rsidRPr="00A93684" w:rsidRDefault="00DE78E2" w:rsidP="00DE78E2">
            <w:pPr>
              <w:pStyle w:val="TableText0"/>
              <w:keepNext w:val="0"/>
              <w:jc w:val="center"/>
              <w:rPr>
                <w:b/>
              </w:rPr>
            </w:pPr>
            <w:r w:rsidRPr="00A93684">
              <w:rPr>
                <w:b/>
              </w:rPr>
              <w:t xml:space="preserve">0.69 </w:t>
            </w:r>
            <w:r w:rsidRPr="00A93684">
              <w:rPr>
                <w:b/>
              </w:rPr>
              <w:br/>
              <w:t>(0.56, 0.86)</w:t>
            </w:r>
          </w:p>
        </w:tc>
      </w:tr>
    </w:tbl>
    <w:p w14:paraId="7C3919D2" w14:textId="23B3DCDE" w:rsidR="00FC0AF8" w:rsidRPr="00B1011F" w:rsidRDefault="00FC0AF8" w:rsidP="001E6B7A">
      <w:pPr>
        <w:pStyle w:val="TableFooter"/>
        <w:rPr>
          <w:sz w:val="20"/>
        </w:rPr>
      </w:pPr>
      <w:r>
        <w:t xml:space="preserve">Source: Table 42, p67 </w:t>
      </w:r>
      <w:r w:rsidRPr="00D13A3E">
        <w:t xml:space="preserve">of the </w:t>
      </w:r>
      <w:r>
        <w:t>submission</w:t>
      </w:r>
      <w:r w:rsidR="00162984">
        <w:t>;</w:t>
      </w:r>
      <w:r>
        <w:t xml:space="preserve"> Figure 1, p14 of the QUAZAR September 2020 Data-cut Survival Analysis Technical Appendix. Docx.</w:t>
      </w:r>
    </w:p>
    <w:p w14:paraId="35A092F6" w14:textId="476446FC" w:rsidR="00FC0AF8" w:rsidRPr="00B40358" w:rsidRDefault="00FC0AF8" w:rsidP="001E6B7A">
      <w:pPr>
        <w:pStyle w:val="TableFooter"/>
        <w:rPr>
          <w:rFonts w:eastAsia="Calibri"/>
        </w:rPr>
      </w:pPr>
      <w:r>
        <w:rPr>
          <w:rFonts w:eastAsia="Calibri"/>
        </w:rPr>
        <w:t xml:space="preserve">Abbreviations: </w:t>
      </w:r>
      <w:r w:rsidR="009B5D5E">
        <w:t xml:space="preserve">BSC = best supportive care; </w:t>
      </w:r>
      <w:r w:rsidRPr="00B40358">
        <w:rPr>
          <w:rFonts w:eastAsia="Calibri"/>
        </w:rPr>
        <w:t xml:space="preserve">CI = confidence interval; </w:t>
      </w:r>
      <w:r>
        <w:rPr>
          <w:rFonts w:eastAsia="Calibri"/>
        </w:rPr>
        <w:t xml:space="preserve">ITT = intention to treat; </w:t>
      </w:r>
      <w:r w:rsidRPr="00B40358">
        <w:rPr>
          <w:rFonts w:eastAsia="Calibri"/>
        </w:rPr>
        <w:t>n = number of participants reporting data; N = total participants in group</w:t>
      </w:r>
    </w:p>
    <w:p w14:paraId="183C586F" w14:textId="59D20B00" w:rsidR="0084032E" w:rsidRDefault="00FC0AF8" w:rsidP="001E6B7A">
      <w:pPr>
        <w:pStyle w:val="TableFigureFooter"/>
      </w:pPr>
      <w:r>
        <w:t xml:space="preserve">Bold indicate statistically significant. </w:t>
      </w:r>
      <w:bookmarkStart w:id="28" w:name="_Ref100758327"/>
    </w:p>
    <w:p w14:paraId="69FCDED5" w14:textId="77777777" w:rsidR="00851B20" w:rsidRDefault="00851B20" w:rsidP="001E6B7A">
      <w:pPr>
        <w:pStyle w:val="TableFigureFooter"/>
      </w:pPr>
    </w:p>
    <w:p w14:paraId="2C43118E" w14:textId="41DF1155" w:rsidR="00FC0AF8" w:rsidRPr="0084032E" w:rsidRDefault="00FC0AF8" w:rsidP="001E6B7A">
      <w:pPr>
        <w:pStyle w:val="TableFigureFooter"/>
        <w:keepNext/>
        <w:widowControl w:val="0"/>
        <w:rPr>
          <w:b/>
          <w:bCs/>
          <w:sz w:val="20"/>
          <w:szCs w:val="20"/>
        </w:rPr>
      </w:pPr>
      <w:bookmarkStart w:id="29" w:name="_Ref101264484"/>
      <w:r w:rsidRPr="0084032E">
        <w:rPr>
          <w:b/>
          <w:bCs/>
          <w:sz w:val="20"/>
          <w:szCs w:val="20"/>
        </w:rPr>
        <w:t xml:space="preserve">Figure </w:t>
      </w:r>
      <w:r w:rsidR="00A16EC7" w:rsidRPr="0084032E">
        <w:rPr>
          <w:b/>
          <w:bCs/>
          <w:sz w:val="20"/>
          <w:szCs w:val="20"/>
        </w:rPr>
        <w:fldChar w:fldCharType="begin" w:fldLock="1"/>
      </w:r>
      <w:r w:rsidR="00A16EC7" w:rsidRPr="0084032E">
        <w:rPr>
          <w:b/>
          <w:bCs/>
          <w:sz w:val="20"/>
          <w:szCs w:val="20"/>
        </w:rPr>
        <w:instrText xml:space="preserve"> SEQ Figure \* ARABIC </w:instrText>
      </w:r>
      <w:r w:rsidR="00A16EC7" w:rsidRPr="0084032E">
        <w:rPr>
          <w:b/>
          <w:bCs/>
          <w:sz w:val="20"/>
          <w:szCs w:val="20"/>
        </w:rPr>
        <w:fldChar w:fldCharType="separate"/>
      </w:r>
      <w:r w:rsidR="00602E88">
        <w:rPr>
          <w:b/>
          <w:bCs/>
          <w:noProof/>
          <w:sz w:val="20"/>
          <w:szCs w:val="20"/>
        </w:rPr>
        <w:t>2</w:t>
      </w:r>
      <w:r w:rsidR="00A16EC7" w:rsidRPr="0084032E">
        <w:rPr>
          <w:b/>
          <w:bCs/>
          <w:noProof/>
          <w:sz w:val="20"/>
          <w:szCs w:val="20"/>
        </w:rPr>
        <w:fldChar w:fldCharType="end"/>
      </w:r>
      <w:bookmarkEnd w:id="28"/>
      <w:bookmarkEnd w:id="29"/>
      <w:r w:rsidRPr="0084032E">
        <w:rPr>
          <w:b/>
          <w:bCs/>
          <w:sz w:val="20"/>
          <w:szCs w:val="20"/>
        </w:rPr>
        <w:t xml:space="preserve">: </w:t>
      </w:r>
      <w:r w:rsidR="00E5131A">
        <w:rPr>
          <w:b/>
          <w:bCs/>
          <w:sz w:val="20"/>
          <w:szCs w:val="20"/>
        </w:rPr>
        <w:t>Kaplan–Meier</w:t>
      </w:r>
      <w:r w:rsidRPr="0084032E">
        <w:rPr>
          <w:b/>
          <w:bCs/>
          <w:sz w:val="20"/>
          <w:szCs w:val="20"/>
        </w:rPr>
        <w:t xml:space="preserve"> analysis of overall survival in QUAZAR trial (ITT population)</w:t>
      </w:r>
      <w:r w:rsidR="00650139">
        <w:rPr>
          <w:b/>
          <w:bCs/>
          <w:sz w:val="20"/>
          <w:szCs w:val="20"/>
        </w:rPr>
        <w:t>; September 2020 data cut-off</w:t>
      </w:r>
    </w:p>
    <w:p w14:paraId="62EC8679" w14:textId="7C0411AD" w:rsidR="00650139" w:rsidRDefault="00650139" w:rsidP="001E6B7A">
      <w:pPr>
        <w:pStyle w:val="In-tableHeading"/>
        <w:widowControl w:val="0"/>
        <w:rPr>
          <w:lang w:val="en-AU"/>
        </w:rPr>
      </w:pPr>
      <w:r w:rsidRPr="00052E8F">
        <w:rPr>
          <w:noProof/>
          <w:lang w:val="en-AU"/>
        </w:rPr>
        <w:drawing>
          <wp:inline distT="0" distB="0" distL="0" distR="0" wp14:anchorId="43270C57" wp14:editId="49329432">
            <wp:extent cx="5732145" cy="2910166"/>
            <wp:effectExtent l="0" t="0" r="1905" b="5080"/>
            <wp:docPr id="39" name="Picture 39" descr="Figure 2: Kaplan–Meier analysis of overall survival in QUAZAR trial (ITT population); September 2020 data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Figure 2: Kaplan–Meier analysis of overall survival in QUAZAR trial (ITT population); September 2020 data cut-off"/>
                    <pic:cNvPicPr/>
                  </pic:nvPicPr>
                  <pic:blipFill rotWithShape="1">
                    <a:blip r:embed="rId9"/>
                    <a:srcRect t="5939"/>
                    <a:stretch/>
                  </pic:blipFill>
                  <pic:spPr bwMode="auto">
                    <a:xfrm>
                      <a:off x="0" y="0"/>
                      <a:ext cx="5732145" cy="2910166"/>
                    </a:xfrm>
                    <a:prstGeom prst="rect">
                      <a:avLst/>
                    </a:prstGeom>
                    <a:ln>
                      <a:noFill/>
                    </a:ln>
                    <a:extLst>
                      <a:ext uri="{53640926-AAD7-44D8-BBD7-CCE9431645EC}">
                        <a14:shadowObscured xmlns:a14="http://schemas.microsoft.com/office/drawing/2010/main"/>
                      </a:ext>
                    </a:extLst>
                  </pic:spPr>
                </pic:pic>
              </a:graphicData>
            </a:graphic>
          </wp:inline>
        </w:drawing>
      </w:r>
    </w:p>
    <w:p w14:paraId="0FD78E91" w14:textId="2CCE02EC" w:rsidR="00FC0AF8" w:rsidRPr="00B1011F" w:rsidRDefault="00FC0AF8" w:rsidP="001E6B7A">
      <w:pPr>
        <w:pStyle w:val="TableFooter"/>
        <w:keepNext/>
        <w:widowControl w:val="0"/>
        <w:rPr>
          <w:sz w:val="20"/>
        </w:rPr>
      </w:pPr>
      <w:r>
        <w:t xml:space="preserve">Source: Figure 1, p13 of ‘QUAZAR September 2020 Datacut Survival Analysis Technical Appendix’ </w:t>
      </w:r>
      <w:r w:rsidRPr="00D13A3E">
        <w:t xml:space="preserve">of the </w:t>
      </w:r>
      <w:r>
        <w:t>submission</w:t>
      </w:r>
    </w:p>
    <w:p w14:paraId="5B8507D2" w14:textId="7652D09A" w:rsidR="00FC0AF8" w:rsidRDefault="00FC0AF8" w:rsidP="00851B20">
      <w:pPr>
        <w:pStyle w:val="TableFooter"/>
        <w:widowControl w:val="0"/>
        <w:rPr>
          <w:rFonts w:eastAsia="Calibri"/>
        </w:rPr>
      </w:pPr>
      <w:r>
        <w:rPr>
          <w:rFonts w:eastAsia="Calibri"/>
        </w:rPr>
        <w:t xml:space="preserve">Abbreviations: AZA = azacitidine; </w:t>
      </w:r>
      <w:r w:rsidRPr="00B40358">
        <w:rPr>
          <w:rFonts w:eastAsia="Calibri"/>
        </w:rPr>
        <w:t>CI = confidence interval;</w:t>
      </w:r>
      <w:r>
        <w:rPr>
          <w:rFonts w:eastAsia="Calibri"/>
        </w:rPr>
        <w:t xml:space="preserve"> HR = hazard ratio;</w:t>
      </w:r>
      <w:r w:rsidRPr="00B40358">
        <w:rPr>
          <w:rFonts w:eastAsia="Calibri"/>
        </w:rPr>
        <w:t xml:space="preserve"> </w:t>
      </w:r>
      <w:r>
        <w:rPr>
          <w:rFonts w:eastAsia="Calibri"/>
        </w:rPr>
        <w:t>ITT = intention to treat</w:t>
      </w:r>
    </w:p>
    <w:p w14:paraId="25BEFCB3" w14:textId="537706A6" w:rsidR="00F52451" w:rsidRDefault="00F52451" w:rsidP="00851B20">
      <w:pPr>
        <w:pStyle w:val="TableFooter"/>
        <w:widowControl w:val="0"/>
        <w:rPr>
          <w:rFonts w:eastAsia="Calibri"/>
        </w:rPr>
      </w:pPr>
      <w:r>
        <w:rPr>
          <w:rFonts w:eastAsia="Calibri"/>
        </w:rPr>
        <w:t>Note: Placebo = BSC</w:t>
      </w:r>
    </w:p>
    <w:p w14:paraId="2B738986" w14:textId="77777777" w:rsidR="00FC0AF8" w:rsidRPr="00FC0AF8" w:rsidRDefault="00FC0AF8" w:rsidP="00851B20">
      <w:pPr>
        <w:pStyle w:val="In-tableHeading"/>
        <w:keepNext w:val="0"/>
        <w:rPr>
          <w:lang w:val="en-AU"/>
        </w:rPr>
      </w:pPr>
    </w:p>
    <w:p w14:paraId="172105B0" w14:textId="4935E35A" w:rsidR="00202237" w:rsidRPr="00202237" w:rsidRDefault="00202237" w:rsidP="00851B20">
      <w:pPr>
        <w:pStyle w:val="3-BodyText"/>
      </w:pPr>
      <w:r w:rsidRPr="00202237">
        <w:rPr>
          <w:snapToGrid/>
        </w:rPr>
        <w:t>The submission provided the results of RFS for only the primary analysis data cut-off, July 2019;</w:t>
      </w:r>
      <w:r>
        <w:rPr>
          <w:snapToGrid/>
        </w:rPr>
        <w:t xml:space="preserve"> </w:t>
      </w:r>
      <w:r>
        <w:rPr>
          <w:snapToGrid/>
        </w:rPr>
        <w:fldChar w:fldCharType="begin" w:fldLock="1"/>
      </w:r>
      <w:r>
        <w:rPr>
          <w:snapToGrid/>
        </w:rPr>
        <w:instrText xml:space="preserve"> REF _Ref100758835 \h </w:instrText>
      </w:r>
      <w:r>
        <w:rPr>
          <w:snapToGrid/>
        </w:rPr>
      </w:r>
      <w:r>
        <w:rPr>
          <w:snapToGrid/>
        </w:rPr>
        <w:fldChar w:fldCharType="separate"/>
      </w:r>
      <w:r w:rsidR="00602E88">
        <w:t xml:space="preserve">Table </w:t>
      </w:r>
      <w:r w:rsidR="00602E88">
        <w:rPr>
          <w:noProof/>
        </w:rPr>
        <w:t>5</w:t>
      </w:r>
      <w:r>
        <w:rPr>
          <w:snapToGrid/>
        </w:rPr>
        <w:fldChar w:fldCharType="end"/>
      </w:r>
      <w:r>
        <w:rPr>
          <w:snapToGrid/>
        </w:rPr>
        <w:t xml:space="preserve"> and</w:t>
      </w:r>
      <w:r w:rsidRPr="00202237">
        <w:rPr>
          <w:snapToGrid/>
        </w:rPr>
        <w:t xml:space="preserve"> </w:t>
      </w:r>
      <w:r>
        <w:rPr>
          <w:snapToGrid/>
        </w:rPr>
        <w:fldChar w:fldCharType="begin" w:fldLock="1"/>
      </w:r>
      <w:r>
        <w:rPr>
          <w:snapToGrid/>
        </w:rPr>
        <w:instrText xml:space="preserve"> REF _Ref100758798 \h </w:instrText>
      </w:r>
      <w:r>
        <w:rPr>
          <w:snapToGrid/>
        </w:rPr>
      </w:r>
      <w:r>
        <w:rPr>
          <w:snapToGrid/>
        </w:rPr>
        <w:fldChar w:fldCharType="separate"/>
      </w:r>
      <w:r w:rsidR="00602E88">
        <w:t xml:space="preserve">Figure </w:t>
      </w:r>
      <w:r w:rsidR="00602E88">
        <w:rPr>
          <w:noProof/>
        </w:rPr>
        <w:t>3</w:t>
      </w:r>
      <w:r>
        <w:rPr>
          <w:snapToGrid/>
        </w:rPr>
        <w:fldChar w:fldCharType="end"/>
      </w:r>
      <w:r w:rsidRPr="00202237">
        <w:rPr>
          <w:snapToGrid/>
        </w:rPr>
        <w:t xml:space="preserve">. </w:t>
      </w:r>
      <w:r w:rsidRPr="007F034A">
        <w:rPr>
          <w:snapToGrid/>
        </w:rPr>
        <w:t xml:space="preserve">Results of RFS for </w:t>
      </w:r>
      <w:r w:rsidRPr="007F034A">
        <w:rPr>
          <w:snapToGrid/>
        </w:rPr>
        <w:lastRenderedPageBreak/>
        <w:t xml:space="preserve">the updated data cut-off, September 2020 were compiled during the evaluation in </w:t>
      </w:r>
      <w:r w:rsidRPr="007F034A">
        <w:rPr>
          <w:snapToGrid/>
        </w:rPr>
        <w:fldChar w:fldCharType="begin" w:fldLock="1"/>
      </w:r>
      <w:r w:rsidRPr="007F034A">
        <w:rPr>
          <w:snapToGrid/>
        </w:rPr>
        <w:instrText xml:space="preserve"> REF _Ref100758835 \h </w:instrText>
      </w:r>
      <w:r w:rsidR="009D15AF" w:rsidRPr="007F034A">
        <w:rPr>
          <w:snapToGrid/>
        </w:rPr>
        <w:instrText xml:space="preserve"> \* MERGEFORMAT </w:instrText>
      </w:r>
      <w:r w:rsidRPr="007F034A">
        <w:rPr>
          <w:snapToGrid/>
        </w:rPr>
      </w:r>
      <w:r w:rsidRPr="007F034A">
        <w:rPr>
          <w:snapToGrid/>
        </w:rPr>
        <w:fldChar w:fldCharType="separate"/>
      </w:r>
      <w:r w:rsidR="00602E88">
        <w:t xml:space="preserve">Table </w:t>
      </w:r>
      <w:r w:rsidR="00602E88">
        <w:rPr>
          <w:noProof/>
        </w:rPr>
        <w:t>5</w:t>
      </w:r>
      <w:r w:rsidRPr="007F034A">
        <w:rPr>
          <w:snapToGrid/>
        </w:rPr>
        <w:fldChar w:fldCharType="end"/>
      </w:r>
      <w:r w:rsidRPr="007F034A">
        <w:rPr>
          <w:snapToGrid/>
        </w:rPr>
        <w:t>.</w:t>
      </w:r>
    </w:p>
    <w:p w14:paraId="5987447C" w14:textId="4A19A1AA" w:rsidR="00202237" w:rsidRDefault="00202237" w:rsidP="00202237">
      <w:pPr>
        <w:pStyle w:val="TableFigureHeading"/>
      </w:pPr>
      <w:bookmarkStart w:id="30" w:name="_Ref100758835"/>
      <w:r>
        <w:t xml:space="preserve">Table </w:t>
      </w:r>
      <w:r w:rsidR="00396D16">
        <w:fldChar w:fldCharType="begin" w:fldLock="1"/>
      </w:r>
      <w:r w:rsidR="00396D16">
        <w:instrText xml:space="preserve"> SEQ Table \* ARABIC </w:instrText>
      </w:r>
      <w:r w:rsidR="00396D16">
        <w:fldChar w:fldCharType="separate"/>
      </w:r>
      <w:r w:rsidR="00602E88">
        <w:rPr>
          <w:noProof/>
        </w:rPr>
        <w:t>5</w:t>
      </w:r>
      <w:r w:rsidR="00396D16">
        <w:rPr>
          <w:noProof/>
        </w:rPr>
        <w:fldChar w:fldCharType="end"/>
      </w:r>
      <w:bookmarkEnd w:id="30"/>
      <w:r>
        <w:t xml:space="preserve">: </w:t>
      </w:r>
      <w:r w:rsidRPr="001D5C14">
        <w:t>Duration of relapse-free survival reported in the QUAZAR trial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5: Duration of relapse-free survival reported in the QUAZAR trial (ITT population)"/>
      </w:tblPr>
      <w:tblGrid>
        <w:gridCol w:w="2122"/>
        <w:gridCol w:w="849"/>
        <w:gridCol w:w="1277"/>
        <w:gridCol w:w="709"/>
        <w:gridCol w:w="1259"/>
        <w:gridCol w:w="867"/>
        <w:gridCol w:w="884"/>
        <w:gridCol w:w="1050"/>
      </w:tblGrid>
      <w:tr w:rsidR="00DE78E2" w:rsidRPr="00B1011F" w14:paraId="29299155" w14:textId="77777777" w:rsidTr="00032BAE">
        <w:trPr>
          <w:tblHeader/>
        </w:trPr>
        <w:tc>
          <w:tcPr>
            <w:tcW w:w="1177" w:type="pct"/>
            <w:vMerge w:val="restart"/>
          </w:tcPr>
          <w:p w14:paraId="4C848BDA" w14:textId="77777777" w:rsidR="00DE78E2" w:rsidRDefault="00DE78E2" w:rsidP="0043166B">
            <w:pPr>
              <w:pStyle w:val="TableFigureHeading"/>
              <w:jc w:val="center"/>
            </w:pPr>
          </w:p>
        </w:tc>
        <w:tc>
          <w:tcPr>
            <w:tcW w:w="1179" w:type="pct"/>
            <w:gridSpan w:val="2"/>
            <w:tcMar>
              <w:left w:w="28" w:type="dxa"/>
              <w:right w:w="28" w:type="dxa"/>
            </w:tcMar>
            <w:vAlign w:val="center"/>
          </w:tcPr>
          <w:p w14:paraId="27D5214C" w14:textId="12E73FBA" w:rsidR="00DE78E2" w:rsidRPr="001E2483" w:rsidRDefault="00DE78E2" w:rsidP="0043166B">
            <w:pPr>
              <w:pStyle w:val="TableFigureHeading"/>
              <w:jc w:val="center"/>
            </w:pPr>
            <w:r>
              <w:t>Oral azacitidine</w:t>
            </w:r>
          </w:p>
        </w:tc>
        <w:tc>
          <w:tcPr>
            <w:tcW w:w="1091" w:type="pct"/>
            <w:gridSpan w:val="2"/>
            <w:tcMar>
              <w:left w:w="28" w:type="dxa"/>
              <w:right w:w="28" w:type="dxa"/>
            </w:tcMar>
            <w:vAlign w:val="center"/>
          </w:tcPr>
          <w:p w14:paraId="366B3428" w14:textId="61FE59E4" w:rsidR="00DE78E2" w:rsidRPr="001E2483" w:rsidRDefault="00DE78E2" w:rsidP="0043166B">
            <w:pPr>
              <w:pStyle w:val="TableFigureHeading"/>
              <w:jc w:val="center"/>
            </w:pPr>
            <w:r>
              <w:t>BSC</w:t>
            </w:r>
          </w:p>
        </w:tc>
        <w:tc>
          <w:tcPr>
            <w:tcW w:w="481" w:type="pct"/>
            <w:vMerge w:val="restart"/>
            <w:tcMar>
              <w:left w:w="28" w:type="dxa"/>
              <w:right w:w="28" w:type="dxa"/>
            </w:tcMar>
            <w:vAlign w:val="center"/>
          </w:tcPr>
          <w:p w14:paraId="49BCAA50" w14:textId="77777777" w:rsidR="00DE78E2" w:rsidRPr="001E2483" w:rsidRDefault="00DE78E2" w:rsidP="0043166B">
            <w:pPr>
              <w:pStyle w:val="TableFigureHeading"/>
              <w:jc w:val="center"/>
            </w:pPr>
            <w:r w:rsidRPr="001E2483">
              <w:t>Difference in median</w:t>
            </w:r>
          </w:p>
        </w:tc>
        <w:tc>
          <w:tcPr>
            <w:tcW w:w="490" w:type="pct"/>
            <w:vMerge w:val="restart"/>
            <w:tcMar>
              <w:left w:w="28" w:type="dxa"/>
              <w:right w:w="28" w:type="dxa"/>
            </w:tcMar>
            <w:vAlign w:val="center"/>
          </w:tcPr>
          <w:p w14:paraId="65DE9959" w14:textId="77777777" w:rsidR="00DE78E2" w:rsidRPr="001E2483" w:rsidRDefault="00DE78E2" w:rsidP="0043166B">
            <w:pPr>
              <w:pStyle w:val="TableFigureHeading"/>
              <w:jc w:val="center"/>
            </w:pPr>
            <w:r w:rsidRPr="001E2483">
              <w:t>P value</w:t>
            </w:r>
          </w:p>
          <w:p w14:paraId="27ADE6D1" w14:textId="77777777" w:rsidR="00DE78E2" w:rsidRPr="001E2483" w:rsidRDefault="00DE78E2" w:rsidP="0043166B">
            <w:pPr>
              <w:pStyle w:val="TableFigureHeading"/>
              <w:jc w:val="center"/>
            </w:pPr>
            <w:r w:rsidRPr="001E2483">
              <w:t>(log rank test)</w:t>
            </w:r>
          </w:p>
        </w:tc>
        <w:tc>
          <w:tcPr>
            <w:tcW w:w="582" w:type="pct"/>
            <w:vMerge w:val="restart"/>
            <w:tcMar>
              <w:left w:w="28" w:type="dxa"/>
              <w:right w:w="28" w:type="dxa"/>
            </w:tcMar>
            <w:vAlign w:val="center"/>
          </w:tcPr>
          <w:p w14:paraId="557CA097" w14:textId="77777777" w:rsidR="00DE78E2" w:rsidRPr="001E2483" w:rsidRDefault="00DE78E2" w:rsidP="0043166B">
            <w:pPr>
              <w:pStyle w:val="TableFigureHeading"/>
              <w:jc w:val="center"/>
            </w:pPr>
            <w:r w:rsidRPr="001E2483">
              <w:t>Hazard ratio (95% CI)</w:t>
            </w:r>
          </w:p>
        </w:tc>
      </w:tr>
      <w:tr w:rsidR="00DE78E2" w:rsidRPr="00B1011F" w14:paraId="0E81F913" w14:textId="77777777" w:rsidTr="00032BAE">
        <w:tc>
          <w:tcPr>
            <w:tcW w:w="1177" w:type="pct"/>
            <w:vMerge/>
          </w:tcPr>
          <w:p w14:paraId="5FB3B2AA" w14:textId="77777777" w:rsidR="00DE78E2" w:rsidRPr="00B1011F" w:rsidRDefault="00DE78E2" w:rsidP="0097709A">
            <w:pPr>
              <w:pStyle w:val="TableFigureHeading"/>
              <w:jc w:val="center"/>
            </w:pPr>
          </w:p>
        </w:tc>
        <w:tc>
          <w:tcPr>
            <w:tcW w:w="471" w:type="pct"/>
            <w:tcMar>
              <w:left w:w="28" w:type="dxa"/>
              <w:right w:w="28" w:type="dxa"/>
            </w:tcMar>
            <w:vAlign w:val="center"/>
          </w:tcPr>
          <w:p w14:paraId="6B20B84C" w14:textId="13F601E7" w:rsidR="00DE78E2" w:rsidRPr="00B1011F" w:rsidRDefault="00DE78E2" w:rsidP="0097709A">
            <w:pPr>
              <w:pStyle w:val="TableFigureHeading"/>
              <w:jc w:val="center"/>
            </w:pPr>
            <w:r w:rsidRPr="00B1011F">
              <w:t>n/N (%)</w:t>
            </w:r>
          </w:p>
        </w:tc>
        <w:tc>
          <w:tcPr>
            <w:tcW w:w="708" w:type="pct"/>
            <w:tcMar>
              <w:left w:w="28" w:type="dxa"/>
              <w:right w:w="28" w:type="dxa"/>
            </w:tcMar>
            <w:vAlign w:val="center"/>
          </w:tcPr>
          <w:p w14:paraId="614B27BB" w14:textId="77777777" w:rsidR="00DE78E2" w:rsidRPr="00B1011F" w:rsidRDefault="00DE78E2" w:rsidP="0097709A">
            <w:pPr>
              <w:pStyle w:val="TableFigureHeading"/>
              <w:jc w:val="center"/>
            </w:pPr>
            <w:r>
              <w:t>M</w:t>
            </w:r>
            <w:r w:rsidRPr="00B1011F">
              <w:t>edian time to event (95% CI)</w:t>
            </w:r>
          </w:p>
        </w:tc>
        <w:tc>
          <w:tcPr>
            <w:tcW w:w="393" w:type="pct"/>
            <w:tcMar>
              <w:left w:w="28" w:type="dxa"/>
              <w:right w:w="28" w:type="dxa"/>
            </w:tcMar>
            <w:vAlign w:val="center"/>
          </w:tcPr>
          <w:p w14:paraId="1B400EF9" w14:textId="170F097A" w:rsidR="00DE78E2" w:rsidRPr="00B1011F" w:rsidRDefault="00DE78E2" w:rsidP="0097709A">
            <w:pPr>
              <w:pStyle w:val="TableFigureHeading"/>
              <w:jc w:val="center"/>
            </w:pPr>
            <w:r w:rsidRPr="00B1011F">
              <w:t>n</w:t>
            </w:r>
            <w:r>
              <w:t>/</w:t>
            </w:r>
            <w:r w:rsidRPr="00B1011F">
              <w:t>N (%)</w:t>
            </w:r>
          </w:p>
        </w:tc>
        <w:tc>
          <w:tcPr>
            <w:tcW w:w="698" w:type="pct"/>
            <w:tcMar>
              <w:left w:w="28" w:type="dxa"/>
              <w:right w:w="28" w:type="dxa"/>
            </w:tcMar>
            <w:vAlign w:val="center"/>
          </w:tcPr>
          <w:p w14:paraId="038B185D" w14:textId="77777777" w:rsidR="00DE78E2" w:rsidRPr="00B1011F" w:rsidRDefault="00DE78E2" w:rsidP="0097709A">
            <w:pPr>
              <w:pStyle w:val="TableFigureHeading"/>
              <w:jc w:val="center"/>
            </w:pPr>
            <w:r>
              <w:t>M</w:t>
            </w:r>
            <w:r w:rsidRPr="00B1011F">
              <w:t>edian time to event (95% CI)</w:t>
            </w:r>
          </w:p>
        </w:tc>
        <w:tc>
          <w:tcPr>
            <w:tcW w:w="481" w:type="pct"/>
            <w:vMerge/>
            <w:tcMar>
              <w:left w:w="28" w:type="dxa"/>
              <w:right w:w="28" w:type="dxa"/>
            </w:tcMar>
            <w:vAlign w:val="center"/>
          </w:tcPr>
          <w:p w14:paraId="0A325A37" w14:textId="77777777" w:rsidR="00DE78E2" w:rsidRPr="00B1011F" w:rsidRDefault="00DE78E2" w:rsidP="0043166B">
            <w:pPr>
              <w:pStyle w:val="TableText0"/>
              <w:jc w:val="center"/>
            </w:pPr>
          </w:p>
        </w:tc>
        <w:tc>
          <w:tcPr>
            <w:tcW w:w="490" w:type="pct"/>
            <w:vMerge/>
            <w:tcMar>
              <w:left w:w="28" w:type="dxa"/>
              <w:right w:w="28" w:type="dxa"/>
            </w:tcMar>
            <w:vAlign w:val="center"/>
          </w:tcPr>
          <w:p w14:paraId="48BBACD2" w14:textId="77777777" w:rsidR="00DE78E2" w:rsidRPr="00B1011F" w:rsidRDefault="00DE78E2" w:rsidP="0043166B">
            <w:pPr>
              <w:pStyle w:val="TableText0"/>
              <w:jc w:val="center"/>
            </w:pPr>
          </w:p>
        </w:tc>
        <w:tc>
          <w:tcPr>
            <w:tcW w:w="582" w:type="pct"/>
            <w:vMerge/>
            <w:tcMar>
              <w:left w:w="28" w:type="dxa"/>
              <w:right w:w="28" w:type="dxa"/>
            </w:tcMar>
            <w:vAlign w:val="center"/>
          </w:tcPr>
          <w:p w14:paraId="62E1E102" w14:textId="77777777" w:rsidR="00DE78E2" w:rsidRPr="00B1011F" w:rsidRDefault="00DE78E2" w:rsidP="0043166B">
            <w:pPr>
              <w:pStyle w:val="TableText0"/>
              <w:jc w:val="center"/>
            </w:pPr>
          </w:p>
        </w:tc>
      </w:tr>
      <w:tr w:rsidR="00DE78E2" w:rsidRPr="00B1011F" w14:paraId="507D1233" w14:textId="77777777" w:rsidTr="00032BAE">
        <w:tc>
          <w:tcPr>
            <w:tcW w:w="1177" w:type="pct"/>
            <w:tcMar>
              <w:left w:w="28" w:type="dxa"/>
              <w:right w:w="28" w:type="dxa"/>
            </w:tcMar>
          </w:tcPr>
          <w:p w14:paraId="7E20462F" w14:textId="6AD5D87A" w:rsidR="00DE78E2" w:rsidRPr="00A93684" w:rsidRDefault="00DE78E2" w:rsidP="00DE78E2">
            <w:pPr>
              <w:pStyle w:val="TableText0"/>
            </w:pPr>
            <w:r w:rsidRPr="003F1791">
              <w:rPr>
                <w:b/>
                <w:bCs w:val="0"/>
              </w:rPr>
              <w:t>Primary analysis (median follow-up 40.2 months</w:t>
            </w:r>
            <w:r>
              <w:rPr>
                <w:b/>
                <w:bCs w:val="0"/>
              </w:rPr>
              <w:t>)</w:t>
            </w:r>
          </w:p>
        </w:tc>
        <w:tc>
          <w:tcPr>
            <w:tcW w:w="471" w:type="pct"/>
            <w:tcMar>
              <w:left w:w="28" w:type="dxa"/>
              <w:right w:w="28" w:type="dxa"/>
            </w:tcMar>
            <w:vAlign w:val="center"/>
          </w:tcPr>
          <w:p w14:paraId="56ED2064" w14:textId="4A2B6721" w:rsidR="00DE78E2" w:rsidRPr="00821821" w:rsidRDefault="00DE78E2" w:rsidP="0097709A">
            <w:pPr>
              <w:pStyle w:val="TableText0"/>
              <w:jc w:val="center"/>
            </w:pPr>
            <w:r w:rsidRPr="00821821">
              <w:t>164/238 (69%)</w:t>
            </w:r>
          </w:p>
        </w:tc>
        <w:tc>
          <w:tcPr>
            <w:tcW w:w="708" w:type="pct"/>
            <w:tcMar>
              <w:left w:w="28" w:type="dxa"/>
              <w:right w:w="28" w:type="dxa"/>
            </w:tcMar>
            <w:vAlign w:val="center"/>
          </w:tcPr>
          <w:p w14:paraId="62007DCF" w14:textId="01982FF4" w:rsidR="00DE78E2" w:rsidRPr="00821821" w:rsidRDefault="00DE78E2" w:rsidP="0097709A">
            <w:pPr>
              <w:pStyle w:val="TableText0"/>
              <w:jc w:val="center"/>
            </w:pPr>
            <w:r w:rsidRPr="00821821">
              <w:t xml:space="preserve">10.2 </w:t>
            </w:r>
            <w:r w:rsidR="00032BAE" w:rsidRPr="00821821">
              <w:t>months</w:t>
            </w:r>
            <w:r w:rsidRPr="00821821">
              <w:br/>
              <w:t>(7.9, 12.9)</w:t>
            </w:r>
          </w:p>
        </w:tc>
        <w:tc>
          <w:tcPr>
            <w:tcW w:w="393" w:type="pct"/>
            <w:tcMar>
              <w:left w:w="28" w:type="dxa"/>
              <w:right w:w="28" w:type="dxa"/>
            </w:tcMar>
            <w:vAlign w:val="center"/>
          </w:tcPr>
          <w:p w14:paraId="47E7541A" w14:textId="77777777" w:rsidR="00DE78E2" w:rsidRPr="00821821" w:rsidRDefault="00DE78E2" w:rsidP="0097709A">
            <w:pPr>
              <w:pStyle w:val="TableText0"/>
              <w:jc w:val="center"/>
            </w:pPr>
            <w:r w:rsidRPr="00821821">
              <w:t>181/234 (77%)</w:t>
            </w:r>
          </w:p>
        </w:tc>
        <w:tc>
          <w:tcPr>
            <w:tcW w:w="698" w:type="pct"/>
            <w:tcMar>
              <w:left w:w="28" w:type="dxa"/>
              <w:right w:w="28" w:type="dxa"/>
            </w:tcMar>
            <w:vAlign w:val="center"/>
          </w:tcPr>
          <w:p w14:paraId="1092447D" w14:textId="40B6C295" w:rsidR="00DE78E2" w:rsidRPr="00821821" w:rsidRDefault="00DE78E2" w:rsidP="0097709A">
            <w:pPr>
              <w:pStyle w:val="TableText0"/>
              <w:jc w:val="center"/>
            </w:pPr>
            <w:r w:rsidRPr="00821821">
              <w:t>4.8 months</w:t>
            </w:r>
            <w:r w:rsidRPr="00821821">
              <w:br/>
              <w:t>(4.6, 6.4)</w:t>
            </w:r>
          </w:p>
        </w:tc>
        <w:tc>
          <w:tcPr>
            <w:tcW w:w="481" w:type="pct"/>
            <w:tcMar>
              <w:left w:w="28" w:type="dxa"/>
              <w:right w:w="28" w:type="dxa"/>
            </w:tcMar>
            <w:vAlign w:val="center"/>
          </w:tcPr>
          <w:p w14:paraId="565A171F" w14:textId="77777777" w:rsidR="00DE78E2" w:rsidRPr="00821821" w:rsidRDefault="00DE78E2" w:rsidP="0097709A">
            <w:pPr>
              <w:pStyle w:val="TableText0"/>
              <w:jc w:val="center"/>
            </w:pPr>
            <w:r w:rsidRPr="00821821">
              <w:t>5.3</w:t>
            </w:r>
          </w:p>
        </w:tc>
        <w:tc>
          <w:tcPr>
            <w:tcW w:w="490" w:type="pct"/>
            <w:tcMar>
              <w:left w:w="28" w:type="dxa"/>
              <w:right w:w="28" w:type="dxa"/>
            </w:tcMar>
            <w:vAlign w:val="center"/>
          </w:tcPr>
          <w:p w14:paraId="5935E471" w14:textId="77777777" w:rsidR="00DE78E2" w:rsidRPr="00821821" w:rsidRDefault="00DE78E2" w:rsidP="0097709A">
            <w:pPr>
              <w:pStyle w:val="TableText0"/>
              <w:jc w:val="center"/>
            </w:pPr>
            <w:r w:rsidRPr="00821821">
              <w:t>0.0001</w:t>
            </w:r>
          </w:p>
        </w:tc>
        <w:tc>
          <w:tcPr>
            <w:tcW w:w="582" w:type="pct"/>
            <w:tcMar>
              <w:left w:w="28" w:type="dxa"/>
              <w:right w:w="28" w:type="dxa"/>
            </w:tcMar>
            <w:vAlign w:val="center"/>
          </w:tcPr>
          <w:p w14:paraId="03899746" w14:textId="2A55B3AB" w:rsidR="00DE78E2" w:rsidRPr="00821821" w:rsidRDefault="00DE78E2" w:rsidP="0097709A">
            <w:pPr>
              <w:pStyle w:val="TableText0"/>
              <w:jc w:val="center"/>
              <w:rPr>
                <w:b/>
              </w:rPr>
            </w:pPr>
            <w:r w:rsidRPr="00821821">
              <w:rPr>
                <w:b/>
              </w:rPr>
              <w:t xml:space="preserve">0.65 </w:t>
            </w:r>
            <w:r w:rsidRPr="00821821">
              <w:rPr>
                <w:b/>
              </w:rPr>
              <w:br/>
              <w:t>(0.52, 0.81)</w:t>
            </w:r>
          </w:p>
        </w:tc>
      </w:tr>
      <w:tr w:rsidR="00DE78E2" w:rsidRPr="00B1011F" w14:paraId="292F7424" w14:textId="77777777" w:rsidTr="00032BAE">
        <w:tc>
          <w:tcPr>
            <w:tcW w:w="1177" w:type="pct"/>
            <w:tcMar>
              <w:left w:w="28" w:type="dxa"/>
              <w:right w:w="28" w:type="dxa"/>
            </w:tcMar>
            <w:vAlign w:val="center"/>
          </w:tcPr>
          <w:p w14:paraId="70433E4F" w14:textId="04F70192" w:rsidR="00DE78E2" w:rsidRPr="00A93684" w:rsidRDefault="00DE78E2" w:rsidP="00DE78E2">
            <w:pPr>
              <w:pStyle w:val="TableText0"/>
            </w:pPr>
            <w:r w:rsidRPr="003F1791">
              <w:rPr>
                <w:b/>
                <w:bCs w:val="0"/>
              </w:rPr>
              <w:t>Updated analysis (median follow-up 51.7 months</w:t>
            </w:r>
            <w:r>
              <w:rPr>
                <w:b/>
                <w:bCs w:val="0"/>
              </w:rPr>
              <w:t>)</w:t>
            </w:r>
          </w:p>
        </w:tc>
        <w:tc>
          <w:tcPr>
            <w:tcW w:w="471" w:type="pct"/>
            <w:tcMar>
              <w:left w:w="28" w:type="dxa"/>
              <w:right w:w="28" w:type="dxa"/>
            </w:tcMar>
            <w:vAlign w:val="center"/>
          </w:tcPr>
          <w:p w14:paraId="771C4EED" w14:textId="3C7F072E" w:rsidR="00DE78E2" w:rsidRPr="00821821" w:rsidRDefault="00DE78E2" w:rsidP="00DE78E2">
            <w:pPr>
              <w:pStyle w:val="TableText0"/>
              <w:jc w:val="center"/>
            </w:pPr>
            <w:r w:rsidRPr="00821821">
              <w:t>165/238 (69%)</w:t>
            </w:r>
          </w:p>
        </w:tc>
        <w:tc>
          <w:tcPr>
            <w:tcW w:w="708" w:type="pct"/>
            <w:tcMar>
              <w:left w:w="28" w:type="dxa"/>
              <w:right w:w="28" w:type="dxa"/>
            </w:tcMar>
            <w:vAlign w:val="center"/>
          </w:tcPr>
          <w:p w14:paraId="140CBEE1" w14:textId="4D7066D1" w:rsidR="00DE78E2" w:rsidRPr="00821821" w:rsidRDefault="00DE78E2" w:rsidP="00DE78E2">
            <w:pPr>
              <w:pStyle w:val="TableText0"/>
              <w:jc w:val="center"/>
            </w:pPr>
            <w:r w:rsidRPr="00821821">
              <w:t xml:space="preserve">10.2 </w:t>
            </w:r>
            <w:r w:rsidR="00032BAE" w:rsidRPr="00821821">
              <w:t>months</w:t>
            </w:r>
            <w:r w:rsidRPr="00821821">
              <w:br/>
              <w:t>(7.9, 12.9)</w:t>
            </w:r>
          </w:p>
        </w:tc>
        <w:tc>
          <w:tcPr>
            <w:tcW w:w="393" w:type="pct"/>
            <w:tcMar>
              <w:left w:w="28" w:type="dxa"/>
              <w:right w:w="28" w:type="dxa"/>
            </w:tcMar>
            <w:vAlign w:val="center"/>
          </w:tcPr>
          <w:p w14:paraId="48037D0D" w14:textId="77777777" w:rsidR="00DE78E2" w:rsidRPr="00821821" w:rsidRDefault="00DE78E2" w:rsidP="00DE78E2">
            <w:pPr>
              <w:pStyle w:val="TableText0"/>
              <w:jc w:val="center"/>
            </w:pPr>
            <w:r w:rsidRPr="00821821">
              <w:t>182/234 (78%)</w:t>
            </w:r>
          </w:p>
        </w:tc>
        <w:tc>
          <w:tcPr>
            <w:tcW w:w="698" w:type="pct"/>
            <w:tcMar>
              <w:left w:w="28" w:type="dxa"/>
              <w:right w:w="28" w:type="dxa"/>
            </w:tcMar>
            <w:vAlign w:val="center"/>
          </w:tcPr>
          <w:p w14:paraId="48E14838" w14:textId="753F6D90" w:rsidR="00DE78E2" w:rsidRPr="00821821" w:rsidRDefault="00DE78E2" w:rsidP="00DE78E2">
            <w:pPr>
              <w:pStyle w:val="TableText0"/>
              <w:jc w:val="center"/>
            </w:pPr>
            <w:r w:rsidRPr="00821821">
              <w:t>4.8 months</w:t>
            </w:r>
            <w:r w:rsidRPr="00821821">
              <w:br/>
              <w:t>(4.6, 6.4)</w:t>
            </w:r>
          </w:p>
        </w:tc>
        <w:tc>
          <w:tcPr>
            <w:tcW w:w="481" w:type="pct"/>
            <w:tcMar>
              <w:left w:w="28" w:type="dxa"/>
              <w:right w:w="28" w:type="dxa"/>
            </w:tcMar>
            <w:vAlign w:val="center"/>
          </w:tcPr>
          <w:p w14:paraId="059C66C9" w14:textId="77777777" w:rsidR="00DE78E2" w:rsidRPr="00821821" w:rsidRDefault="00DE78E2" w:rsidP="00DE78E2">
            <w:pPr>
              <w:pStyle w:val="TableText0"/>
              <w:jc w:val="center"/>
            </w:pPr>
            <w:r w:rsidRPr="00821821">
              <w:t>5.3</w:t>
            </w:r>
          </w:p>
        </w:tc>
        <w:tc>
          <w:tcPr>
            <w:tcW w:w="490" w:type="pct"/>
            <w:tcMar>
              <w:left w:w="28" w:type="dxa"/>
              <w:right w:w="28" w:type="dxa"/>
            </w:tcMar>
            <w:vAlign w:val="center"/>
          </w:tcPr>
          <w:p w14:paraId="5C1FE9B6" w14:textId="77777777" w:rsidR="00DE78E2" w:rsidRPr="00821821" w:rsidRDefault="00DE78E2" w:rsidP="00DE78E2">
            <w:pPr>
              <w:pStyle w:val="TableText0"/>
              <w:jc w:val="center"/>
            </w:pPr>
            <w:r w:rsidRPr="00821821">
              <w:t>&lt;0.01</w:t>
            </w:r>
          </w:p>
        </w:tc>
        <w:tc>
          <w:tcPr>
            <w:tcW w:w="582" w:type="pct"/>
            <w:tcMar>
              <w:left w:w="28" w:type="dxa"/>
              <w:right w:w="28" w:type="dxa"/>
            </w:tcMar>
            <w:vAlign w:val="center"/>
          </w:tcPr>
          <w:p w14:paraId="4F55C9E7" w14:textId="34DA83BC" w:rsidR="00DE78E2" w:rsidRPr="00821821" w:rsidRDefault="00DE78E2" w:rsidP="00DE78E2">
            <w:pPr>
              <w:pStyle w:val="TableText0"/>
              <w:jc w:val="center"/>
              <w:rPr>
                <w:b/>
              </w:rPr>
            </w:pPr>
            <w:r w:rsidRPr="00821821">
              <w:rPr>
                <w:b/>
              </w:rPr>
              <w:t xml:space="preserve">0.65 </w:t>
            </w:r>
            <w:r w:rsidRPr="00821821">
              <w:rPr>
                <w:b/>
              </w:rPr>
              <w:br/>
              <w:t>(0.52, 0.80)</w:t>
            </w:r>
          </w:p>
        </w:tc>
      </w:tr>
    </w:tbl>
    <w:p w14:paraId="0A4A77A6" w14:textId="3DFC8A41" w:rsidR="00202237" w:rsidRPr="00B1011F" w:rsidRDefault="00202237" w:rsidP="00F52451">
      <w:pPr>
        <w:pStyle w:val="TableFooter"/>
        <w:rPr>
          <w:sz w:val="20"/>
        </w:rPr>
      </w:pPr>
      <w:r>
        <w:t>Source: Table 45, p71</w:t>
      </w:r>
      <w:r w:rsidR="0097709A">
        <w:t xml:space="preserve"> </w:t>
      </w:r>
      <w:r w:rsidRPr="00D13A3E">
        <w:t xml:space="preserve">of the </w:t>
      </w:r>
      <w:r>
        <w:t xml:space="preserve">submission and </w:t>
      </w:r>
      <w:bookmarkStart w:id="31" w:name="_Hlk100250393"/>
      <w:r>
        <w:t>Figure 20, p28 of ‘QUAZAR September 2020 Datacut Survival Analysis Technical Appendix’ of the submission</w:t>
      </w:r>
    </w:p>
    <w:bookmarkEnd w:id="31"/>
    <w:p w14:paraId="65DCDE5D" w14:textId="743A2B54" w:rsidR="00202237" w:rsidRDefault="00202237" w:rsidP="001171E8">
      <w:pPr>
        <w:pStyle w:val="TableFooter"/>
        <w:rPr>
          <w:rFonts w:eastAsia="Calibri"/>
        </w:rPr>
      </w:pPr>
      <w:r>
        <w:rPr>
          <w:rFonts w:eastAsia="Calibri"/>
        </w:rPr>
        <w:t xml:space="preserve">Abbreviations: </w:t>
      </w:r>
      <w:r w:rsidR="009B5D5E">
        <w:t xml:space="preserve">BSC = best supportive care; </w:t>
      </w:r>
      <w:r w:rsidRPr="00B40358">
        <w:rPr>
          <w:rFonts w:eastAsia="Calibri"/>
        </w:rPr>
        <w:t xml:space="preserve">CI = confidence interval; </w:t>
      </w:r>
      <w:r>
        <w:rPr>
          <w:rFonts w:eastAsia="Calibri"/>
        </w:rPr>
        <w:t xml:space="preserve">ITT = intention to treat; </w:t>
      </w:r>
      <w:r w:rsidRPr="00B40358">
        <w:rPr>
          <w:rFonts w:eastAsia="Calibri"/>
        </w:rPr>
        <w:t>n = number of participants reporting data; N</w:t>
      </w:r>
      <w:r w:rsidR="00E5131A">
        <w:rPr>
          <w:rFonts w:eastAsia="Calibri"/>
        </w:rPr>
        <w:t> </w:t>
      </w:r>
      <w:r w:rsidRPr="00B40358">
        <w:rPr>
          <w:rFonts w:eastAsia="Calibri"/>
        </w:rPr>
        <w:t>=</w:t>
      </w:r>
      <w:r w:rsidR="00E5131A">
        <w:rPr>
          <w:rFonts w:eastAsia="Calibri"/>
        </w:rPr>
        <w:t> </w:t>
      </w:r>
      <w:r w:rsidRPr="00B40358">
        <w:rPr>
          <w:rFonts w:eastAsia="Calibri"/>
        </w:rPr>
        <w:t>total participants in group</w:t>
      </w:r>
    </w:p>
    <w:p w14:paraId="1A94305A" w14:textId="58B39680" w:rsidR="00202237" w:rsidRDefault="00EE3B7C">
      <w:pPr>
        <w:pStyle w:val="TableFigureFooter"/>
        <w:spacing w:after="0"/>
      </w:pPr>
      <w:r>
        <w:t xml:space="preserve">Bold indicate statistically significant. </w:t>
      </w:r>
    </w:p>
    <w:p w14:paraId="7CA19ADE" w14:textId="77777777" w:rsidR="00851B20" w:rsidRDefault="00851B20" w:rsidP="00851B20"/>
    <w:p w14:paraId="51E2AFAE" w14:textId="55160AC6" w:rsidR="00202237" w:rsidRDefault="00202237" w:rsidP="00202237">
      <w:pPr>
        <w:pStyle w:val="TableFigureHeading"/>
        <w:rPr>
          <w:noProof/>
        </w:rPr>
      </w:pPr>
      <w:bookmarkStart w:id="32" w:name="_Ref100758798"/>
      <w:r>
        <w:t xml:space="preserve">Figure </w:t>
      </w:r>
      <w:r w:rsidR="00396D16">
        <w:fldChar w:fldCharType="begin" w:fldLock="1"/>
      </w:r>
      <w:r w:rsidR="00396D16">
        <w:instrText xml:space="preserve"> SEQ Figure \* ARABIC </w:instrText>
      </w:r>
      <w:r w:rsidR="00396D16">
        <w:fldChar w:fldCharType="separate"/>
      </w:r>
      <w:r w:rsidR="00602E88">
        <w:rPr>
          <w:noProof/>
        </w:rPr>
        <w:t>3</w:t>
      </w:r>
      <w:r w:rsidR="00396D16">
        <w:rPr>
          <w:noProof/>
        </w:rPr>
        <w:fldChar w:fldCharType="end"/>
      </w:r>
      <w:bookmarkEnd w:id="32"/>
      <w:r>
        <w:rPr>
          <w:noProof/>
        </w:rPr>
        <w:t xml:space="preserve"> : </w:t>
      </w:r>
      <w:r w:rsidR="00E5131A">
        <w:rPr>
          <w:noProof/>
        </w:rPr>
        <w:t>Kaplan–Meier</w:t>
      </w:r>
      <w:r w:rsidRPr="00A75529">
        <w:rPr>
          <w:noProof/>
        </w:rPr>
        <w:t xml:space="preserve"> analysis of relapse-free survival in QUAZAR trial</w:t>
      </w:r>
      <w:r w:rsidR="009D15AF">
        <w:rPr>
          <w:noProof/>
        </w:rPr>
        <w:t xml:space="preserve"> at July 2019 data cut-off </w:t>
      </w:r>
      <w:r w:rsidRPr="00A75529">
        <w:rPr>
          <w:noProof/>
        </w:rPr>
        <w:t>(ITT population)</w:t>
      </w:r>
    </w:p>
    <w:p w14:paraId="62B60ADD" w14:textId="21EDBF04" w:rsidR="00202237" w:rsidRDefault="00202237" w:rsidP="00202237">
      <w:pPr>
        <w:pStyle w:val="In-tableHeading"/>
        <w:rPr>
          <w:lang w:val="en-AU"/>
        </w:rPr>
      </w:pPr>
      <w:r w:rsidRPr="00E76DE2">
        <w:rPr>
          <w:noProof/>
          <w:lang w:val="en-AU"/>
        </w:rPr>
        <w:drawing>
          <wp:inline distT="0" distB="0" distL="0" distR="0" wp14:anchorId="5C058834" wp14:editId="7603FF04">
            <wp:extent cx="5731510" cy="2428875"/>
            <wp:effectExtent l="0" t="0" r="2540" b="9525"/>
            <wp:docPr id="16" name="Picture 16" descr="Figure 3 : Kaplan–Meier analysis of relapse-free survival in QUAZAR trial at July 2019 data cut-off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igure 3 : Kaplan–Meier analysis of relapse-free survival in QUAZAR trial at July 2019 data cut-off (ITT population)"/>
                    <pic:cNvPicPr/>
                  </pic:nvPicPr>
                  <pic:blipFill>
                    <a:blip r:embed="rId10"/>
                    <a:stretch>
                      <a:fillRect/>
                    </a:stretch>
                  </pic:blipFill>
                  <pic:spPr>
                    <a:xfrm>
                      <a:off x="0" y="0"/>
                      <a:ext cx="5731510" cy="2428875"/>
                    </a:xfrm>
                    <a:prstGeom prst="rect">
                      <a:avLst/>
                    </a:prstGeom>
                  </pic:spPr>
                </pic:pic>
              </a:graphicData>
            </a:graphic>
          </wp:inline>
        </w:drawing>
      </w:r>
    </w:p>
    <w:p w14:paraId="687CBF13" w14:textId="77777777" w:rsidR="00202237" w:rsidRPr="00B1011F" w:rsidRDefault="00202237" w:rsidP="00202237">
      <w:pPr>
        <w:pStyle w:val="TableFooter"/>
        <w:rPr>
          <w:sz w:val="20"/>
        </w:rPr>
      </w:pPr>
      <w:r>
        <w:t xml:space="preserve">Source: Figure 14, p71 </w:t>
      </w:r>
      <w:r w:rsidRPr="00D13A3E">
        <w:t xml:space="preserve">of the </w:t>
      </w:r>
      <w:r>
        <w:t>submission</w:t>
      </w:r>
    </w:p>
    <w:p w14:paraId="14BB2C5F" w14:textId="3042AFC0" w:rsidR="00202237" w:rsidRDefault="00202237" w:rsidP="00202237">
      <w:pPr>
        <w:pStyle w:val="TableFooter"/>
        <w:rPr>
          <w:rFonts w:eastAsia="Calibri"/>
        </w:rPr>
      </w:pPr>
      <w:r>
        <w:rPr>
          <w:rFonts w:eastAsia="Calibri"/>
        </w:rPr>
        <w:t xml:space="preserve">Abbreviations:  CC-486 = oral azacitidine arm; </w:t>
      </w:r>
      <w:r w:rsidRPr="00B40358">
        <w:rPr>
          <w:rFonts w:eastAsia="Calibri"/>
        </w:rPr>
        <w:t xml:space="preserve">CI = confidence interval; </w:t>
      </w:r>
      <w:r>
        <w:rPr>
          <w:rFonts w:eastAsia="Calibri"/>
        </w:rPr>
        <w:t>ITT = intention to treat</w:t>
      </w:r>
    </w:p>
    <w:p w14:paraId="095D245B" w14:textId="5EBF25D7" w:rsidR="00F52451" w:rsidRDefault="00F52451" w:rsidP="00202237">
      <w:pPr>
        <w:pStyle w:val="TableFooter"/>
        <w:rPr>
          <w:rFonts w:eastAsia="Calibri"/>
        </w:rPr>
      </w:pPr>
      <w:r>
        <w:rPr>
          <w:rFonts w:eastAsia="Calibri"/>
        </w:rPr>
        <w:t>Note: Placebo = BSC</w:t>
      </w:r>
    </w:p>
    <w:p w14:paraId="4A73E78F" w14:textId="77777777" w:rsidR="00202237" w:rsidRPr="00202237" w:rsidRDefault="00202237" w:rsidP="00202237">
      <w:pPr>
        <w:pStyle w:val="In-tableHeading"/>
        <w:rPr>
          <w:lang w:val="en-AU"/>
        </w:rPr>
      </w:pPr>
    </w:p>
    <w:p w14:paraId="1C30876D" w14:textId="60D3489A" w:rsidR="00E5263F" w:rsidRPr="007F034A" w:rsidRDefault="004E6826" w:rsidP="00E5263F">
      <w:pPr>
        <w:pStyle w:val="3-BodyText"/>
      </w:pPr>
      <w:r w:rsidRPr="00F92F31">
        <w:t xml:space="preserve">The </w:t>
      </w:r>
      <w:r>
        <w:t>HRQoL</w:t>
      </w:r>
      <w:r w:rsidRPr="00F92F31">
        <w:t xml:space="preserve"> evaluable population comprised 225/238 (95%) patients in the </w:t>
      </w:r>
      <w:r>
        <w:t>oral azacitidine</w:t>
      </w:r>
      <w:r w:rsidRPr="00F92F31">
        <w:t xml:space="preserve"> arm and 219/234 (94%) in the </w:t>
      </w:r>
      <w:r w:rsidR="009B5D5E">
        <w:t>BSC</w:t>
      </w:r>
      <w:r w:rsidRPr="00F92F31">
        <w:t xml:space="preserve"> arm</w:t>
      </w:r>
      <w:r>
        <w:t xml:space="preserve">. </w:t>
      </w:r>
      <w:bookmarkStart w:id="33" w:name="_Hlk100738719"/>
      <w:r w:rsidR="00E5263F" w:rsidRPr="007F034A">
        <w:t>While questionnaire compliance rates were high, small</w:t>
      </w:r>
      <w:r w:rsidR="0020264F" w:rsidRPr="007F034A">
        <w:t>er</w:t>
      </w:r>
      <w:r w:rsidR="00E5263F" w:rsidRPr="007F034A">
        <w:t xml:space="preserve"> numbers of patients remained available to provide HRQoL assessments over time</w:t>
      </w:r>
      <w:bookmarkEnd w:id="33"/>
      <w:r w:rsidR="00E5263F" w:rsidRPr="007F034A">
        <w:t xml:space="preserve">; </w:t>
      </w:r>
      <w:r w:rsidR="009D15AF" w:rsidRPr="007F034A">
        <w:t>&lt;</w:t>
      </w:r>
      <w:r w:rsidR="004A3396" w:rsidRPr="007F034A">
        <w:t> </w:t>
      </w:r>
      <w:r w:rsidR="00E5263F" w:rsidRPr="007F034A">
        <w:t xml:space="preserve">25 and </w:t>
      </w:r>
      <w:r w:rsidR="009D15AF" w:rsidRPr="007F034A">
        <w:t>&lt;</w:t>
      </w:r>
      <w:r w:rsidR="004A3396" w:rsidRPr="007F034A">
        <w:t> </w:t>
      </w:r>
      <w:r w:rsidR="00E5263F" w:rsidRPr="007F034A">
        <w:t xml:space="preserve">10 </w:t>
      </w:r>
      <w:r w:rsidR="00851B20" w:rsidRPr="007F034A">
        <w:t xml:space="preserve">patients </w:t>
      </w:r>
      <w:r w:rsidR="00E5263F" w:rsidRPr="007F034A">
        <w:t xml:space="preserve">at </w:t>
      </w:r>
      <w:r w:rsidR="00851B20" w:rsidRPr="007F034A">
        <w:t>C</w:t>
      </w:r>
      <w:r w:rsidR="00E5263F" w:rsidRPr="007F034A">
        <w:t xml:space="preserve">ycle 50 for the oral azacitidine arm and </w:t>
      </w:r>
      <w:r w:rsidR="00BA35C5" w:rsidRPr="007F034A">
        <w:t xml:space="preserve">the </w:t>
      </w:r>
      <w:r w:rsidR="009B5D5E" w:rsidRPr="007F034A">
        <w:t>BSC</w:t>
      </w:r>
      <w:r w:rsidR="00E5263F" w:rsidRPr="007F034A">
        <w:t xml:space="preserve"> arm respectively. The decline in </w:t>
      </w:r>
      <w:r w:rsidR="00133B94" w:rsidRPr="007F034A">
        <w:t xml:space="preserve">the </w:t>
      </w:r>
      <w:r w:rsidR="00E5263F" w:rsidRPr="007F034A">
        <w:t>number of patients was a result of patients discontinuing treatment (all causes) at any given point in time.</w:t>
      </w:r>
      <w:r w:rsidR="00133B94" w:rsidRPr="007F034A">
        <w:t xml:space="preserve"> Accordingly, observed HRQoL values for those latter cycles will be more heavily influenced by </w:t>
      </w:r>
      <w:r w:rsidR="0097709A" w:rsidRPr="007F034A">
        <w:t>‘</w:t>
      </w:r>
      <w:r w:rsidR="00133B94" w:rsidRPr="007F034A">
        <w:t>better</w:t>
      </w:r>
      <w:r w:rsidR="0097709A" w:rsidRPr="007F034A">
        <w:t>’</w:t>
      </w:r>
      <w:r w:rsidR="00133B94" w:rsidRPr="007F034A">
        <w:t xml:space="preserve"> performing patients.</w:t>
      </w:r>
    </w:p>
    <w:p w14:paraId="3FC29AE6" w14:textId="1CBBB8D4" w:rsidR="00140E02" w:rsidRDefault="004E6826" w:rsidP="004E6826">
      <w:pPr>
        <w:pStyle w:val="3-BodyText"/>
      </w:pPr>
      <w:r>
        <w:t xml:space="preserve">The </w:t>
      </w:r>
      <w:r w:rsidRPr="00140E02">
        <w:t>plots of the mean change from baseline in FACIT-Fatigue Score and EQ-5D-3L health utility value are presented in</w:t>
      </w:r>
      <w:r>
        <w:t xml:space="preserve"> </w:t>
      </w:r>
      <w:r>
        <w:fldChar w:fldCharType="begin" w:fldLock="1"/>
      </w:r>
      <w:r>
        <w:instrText xml:space="preserve"> REF _Ref100764208 \h </w:instrText>
      </w:r>
      <w:r>
        <w:fldChar w:fldCharType="separate"/>
      </w:r>
      <w:r w:rsidR="00602E88">
        <w:t xml:space="preserve">Figure </w:t>
      </w:r>
      <w:r w:rsidR="00602E88">
        <w:rPr>
          <w:noProof/>
        </w:rPr>
        <w:t>4</w:t>
      </w:r>
      <w:r>
        <w:fldChar w:fldCharType="end"/>
      </w:r>
      <w:r w:rsidRPr="00140E02">
        <w:t xml:space="preserve">. </w:t>
      </w:r>
      <w:r w:rsidR="00140E02" w:rsidRPr="00140E02">
        <w:t xml:space="preserve">The submission noted data were reported up to </w:t>
      </w:r>
      <w:r w:rsidR="00851B20">
        <w:t>C</w:t>
      </w:r>
      <w:r w:rsidR="00140E02" w:rsidRPr="00140E02">
        <w:t xml:space="preserve">ycle 34, the last cycle with ≥ 25 patients in both treatment </w:t>
      </w:r>
      <w:r w:rsidR="00140E02" w:rsidRPr="00140E02">
        <w:lastRenderedPageBreak/>
        <w:t xml:space="preserve">arms, thus, considered appropriate to undertake a meaningful comparative assessment of HRQoL. </w:t>
      </w:r>
    </w:p>
    <w:p w14:paraId="50771AB2" w14:textId="5EA29D36" w:rsidR="00E5263F" w:rsidRDefault="00E5263F" w:rsidP="00E5263F">
      <w:pPr>
        <w:pStyle w:val="TableFigureHeading"/>
      </w:pPr>
      <w:bookmarkStart w:id="34" w:name="_Ref100764208"/>
      <w:r>
        <w:t xml:space="preserve">Figure </w:t>
      </w:r>
      <w:r w:rsidR="00396D16">
        <w:fldChar w:fldCharType="begin" w:fldLock="1"/>
      </w:r>
      <w:r w:rsidR="00396D16">
        <w:instrText xml:space="preserve"> SEQ Figure \* ARABIC </w:instrText>
      </w:r>
      <w:r w:rsidR="00396D16">
        <w:fldChar w:fldCharType="separate"/>
      </w:r>
      <w:r w:rsidR="00602E88">
        <w:rPr>
          <w:noProof/>
        </w:rPr>
        <w:t>4</w:t>
      </w:r>
      <w:r w:rsidR="00396D16">
        <w:rPr>
          <w:noProof/>
        </w:rPr>
        <w:fldChar w:fldCharType="end"/>
      </w:r>
      <w:bookmarkEnd w:id="34"/>
      <w:r>
        <w:t>: Mean change from baseline in patient reported outcome in QUAZAR</w:t>
      </w:r>
    </w:p>
    <w:p w14:paraId="0BF29835" w14:textId="200F6022" w:rsidR="00E5263F" w:rsidRDefault="00E5263F" w:rsidP="00E5263F">
      <w:pPr>
        <w:pStyle w:val="In-tableHeading"/>
        <w:rPr>
          <w:lang w:val="en-AU"/>
        </w:rPr>
      </w:pPr>
      <w:r w:rsidRPr="004333E1">
        <w:rPr>
          <w:noProof/>
          <w:lang w:val="en-AU"/>
        </w:rPr>
        <w:drawing>
          <wp:inline distT="0" distB="0" distL="0" distR="0" wp14:anchorId="678EEE23" wp14:editId="338B7703">
            <wp:extent cx="5731510" cy="3512185"/>
            <wp:effectExtent l="0" t="0" r="2540" b="0"/>
            <wp:docPr id="17" name="Picture 17" descr="Figure 4: Mean change from baseline in patient reported outcome in QUA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Figure 4: Mean change from baseline in patient reported outcome in QUAZAR"/>
                    <pic:cNvPicPr/>
                  </pic:nvPicPr>
                  <pic:blipFill>
                    <a:blip r:embed="rId11"/>
                    <a:stretch>
                      <a:fillRect/>
                    </a:stretch>
                  </pic:blipFill>
                  <pic:spPr>
                    <a:xfrm>
                      <a:off x="0" y="0"/>
                      <a:ext cx="5731510" cy="3512185"/>
                    </a:xfrm>
                    <a:prstGeom prst="rect">
                      <a:avLst/>
                    </a:prstGeom>
                  </pic:spPr>
                </pic:pic>
              </a:graphicData>
            </a:graphic>
          </wp:inline>
        </w:drawing>
      </w:r>
    </w:p>
    <w:p w14:paraId="784065E1" w14:textId="77777777" w:rsidR="004E6826" w:rsidRDefault="004E6826" w:rsidP="004E6826">
      <w:pPr>
        <w:pStyle w:val="TableFigureFooter"/>
      </w:pPr>
      <w:r>
        <w:t>Source: Figure 15, p75 of the submission</w:t>
      </w:r>
    </w:p>
    <w:p w14:paraId="599154A2" w14:textId="77777777" w:rsidR="004E6826" w:rsidRDefault="004E6826" w:rsidP="004E6826">
      <w:pPr>
        <w:pStyle w:val="TableFigureFooter"/>
      </w:pPr>
      <w:r w:rsidRPr="00F92F31">
        <w:t>Abbreviations: CC-486=oral azacitidine; CXD1=Cycle number, Day 1; MID=minimally important difference</w:t>
      </w:r>
    </w:p>
    <w:p w14:paraId="3768BA45" w14:textId="77777777" w:rsidR="004E6826" w:rsidRPr="00F92F31" w:rsidRDefault="004E6826" w:rsidP="004E6826">
      <w:pPr>
        <w:pStyle w:val="TableFigureFooter"/>
      </w:pPr>
      <w:r>
        <w:t xml:space="preserve">Note: </w:t>
      </w:r>
      <w:r w:rsidRPr="00F92F31">
        <w:t>A: FACIT-Fatigue Score; B: EQ-5D-</w:t>
      </w:r>
      <w:r>
        <w:t>3</w:t>
      </w:r>
      <w:r w:rsidRPr="00F92F31">
        <w:t>L health utility score</w:t>
      </w:r>
    </w:p>
    <w:p w14:paraId="08E7C05D" w14:textId="77777777" w:rsidR="004E6826" w:rsidRPr="00E5263F" w:rsidRDefault="004E6826" w:rsidP="00E5263F">
      <w:pPr>
        <w:pStyle w:val="In-tableHeading"/>
        <w:rPr>
          <w:lang w:val="en-AU"/>
        </w:rPr>
      </w:pPr>
    </w:p>
    <w:p w14:paraId="19FCC355" w14:textId="772572D4" w:rsidR="004E6826" w:rsidRDefault="0020264F" w:rsidP="004E6826">
      <w:pPr>
        <w:pStyle w:val="3-BodyText"/>
      </w:pPr>
      <w:r>
        <w:t>In terms of HRQoL, t</w:t>
      </w:r>
      <w:r w:rsidR="004E6826" w:rsidRPr="004E6826">
        <w:t xml:space="preserve">he submission claimed oral azacitidine </w:t>
      </w:r>
      <w:r>
        <w:t>wa</w:t>
      </w:r>
      <w:r w:rsidR="004E6826" w:rsidRPr="004E6826">
        <w:t xml:space="preserve">s noninferior to </w:t>
      </w:r>
      <w:r w:rsidR="009B5D5E">
        <w:t>BSC</w:t>
      </w:r>
      <w:r w:rsidR="004E6826" w:rsidRPr="004E6826">
        <w:t xml:space="preserve"> </w:t>
      </w:r>
      <w:r w:rsidR="00851B20">
        <w:t>based on</w:t>
      </w:r>
      <w:r w:rsidR="004E6826" w:rsidRPr="004E6826">
        <w:t xml:space="preserve"> the absence of a statistically significant </w:t>
      </w:r>
      <w:r w:rsidR="00851B20">
        <w:t>or</w:t>
      </w:r>
      <w:r w:rsidR="004E6826" w:rsidRPr="004E6826">
        <w:t xml:space="preserve"> clinically meaningful difference (as outlined in </w:t>
      </w:r>
      <w:r w:rsidR="004E6826">
        <w:t>p</w:t>
      </w:r>
      <w:r w:rsidR="00851B20">
        <w:t>aragraph</w:t>
      </w:r>
      <w:r w:rsidR="004E6826">
        <w:t xml:space="preserve"> 6.9 above</w:t>
      </w:r>
      <w:r w:rsidR="004E6826" w:rsidRPr="004E6826">
        <w:t xml:space="preserve">) between the two treatment arms for both </w:t>
      </w:r>
      <w:r w:rsidR="00851B20">
        <w:t xml:space="preserve">the </w:t>
      </w:r>
      <w:r w:rsidR="004E6826" w:rsidRPr="004E6826">
        <w:t xml:space="preserve">FACIT-Fatigue scale and the EQ-5D-3L instruments. </w:t>
      </w:r>
      <w:r w:rsidR="004E6826" w:rsidRPr="007F034A">
        <w:t xml:space="preserve">There were no clinically meaningful or statistically significant differences between oral azacitidine and </w:t>
      </w:r>
      <w:r w:rsidR="009B5D5E" w:rsidRPr="007F034A">
        <w:t>BSC</w:t>
      </w:r>
      <w:r w:rsidR="004E6826" w:rsidRPr="007F034A">
        <w:t xml:space="preserve"> in HRQoL </w:t>
      </w:r>
      <w:r w:rsidR="00851B20" w:rsidRPr="007F034A">
        <w:t>in</w:t>
      </w:r>
      <w:r w:rsidR="00307F5E" w:rsidRPr="007F034A">
        <w:t xml:space="preserve"> terms of </w:t>
      </w:r>
      <w:r w:rsidR="004E6826" w:rsidRPr="007F034A">
        <w:t>change from baseline at the end points (</w:t>
      </w:r>
      <w:r w:rsidR="00307F5E" w:rsidRPr="007F034A">
        <w:t>C</w:t>
      </w:r>
      <w:r w:rsidR="004E6826" w:rsidRPr="007F034A">
        <w:t xml:space="preserve">ycle 34). However, it </w:t>
      </w:r>
      <w:r w:rsidR="00307F5E" w:rsidRPr="007F034A">
        <w:t>wa</w:t>
      </w:r>
      <w:r w:rsidR="004E6826" w:rsidRPr="007F034A">
        <w:t xml:space="preserve">s difficult to conclude noninferiority given </w:t>
      </w:r>
      <w:r w:rsidR="00307F5E" w:rsidRPr="007F034A">
        <w:t xml:space="preserve">(i) </w:t>
      </w:r>
      <w:r w:rsidR="004E6826" w:rsidRPr="007F034A">
        <w:t xml:space="preserve">HRQoL change from baseline appeared to be superior in the </w:t>
      </w:r>
      <w:r w:rsidR="009B5D5E" w:rsidRPr="007F034A">
        <w:t>BSC</w:t>
      </w:r>
      <w:r w:rsidR="004E6826" w:rsidRPr="007F034A">
        <w:t xml:space="preserve"> arm compared to the oral azacitidine arm at various time points throughout the follow-up period (suggesting a difference in the area-under the curve), and </w:t>
      </w:r>
      <w:r w:rsidR="00307F5E" w:rsidRPr="007F034A">
        <w:t xml:space="preserve">(ii) </w:t>
      </w:r>
      <w:r w:rsidR="004E6826" w:rsidRPr="007F034A">
        <w:t>the number</w:t>
      </w:r>
      <w:r w:rsidRPr="007F034A">
        <w:t xml:space="preserve"> of patient</w:t>
      </w:r>
      <w:r w:rsidR="004E6826" w:rsidRPr="007F034A">
        <w:t>s remaining available to make HRQoL assessments over time</w:t>
      </w:r>
      <w:r w:rsidRPr="007F034A">
        <w:t xml:space="preserve"> decreased</w:t>
      </w:r>
      <w:r w:rsidR="004E6826" w:rsidRPr="007F034A">
        <w:t xml:space="preserve">. </w:t>
      </w:r>
    </w:p>
    <w:p w14:paraId="5F0CB45D" w14:textId="1E382FB2" w:rsidR="00F20166" w:rsidRPr="00F20166" w:rsidRDefault="00F20166" w:rsidP="0097709A">
      <w:pPr>
        <w:pStyle w:val="5-SubsectionSubheading"/>
      </w:pPr>
      <w:bookmarkStart w:id="35" w:name="_Toc103244678"/>
      <w:r w:rsidRPr="00F20166">
        <w:t>Subgroup analys</w:t>
      </w:r>
      <w:r w:rsidR="00C252DD">
        <w:t>e</w:t>
      </w:r>
      <w:r w:rsidRPr="00F20166">
        <w:t>s</w:t>
      </w:r>
      <w:bookmarkEnd w:id="35"/>
    </w:p>
    <w:p w14:paraId="42BAC145" w14:textId="016A7F7D" w:rsidR="00F20166" w:rsidRPr="00F20166" w:rsidRDefault="000F07BB" w:rsidP="004E6826">
      <w:pPr>
        <w:pStyle w:val="3-BodyText"/>
      </w:pPr>
      <w:r>
        <w:t xml:space="preserve">Although </w:t>
      </w:r>
      <w:r w:rsidR="00F20166" w:rsidRPr="00F20166">
        <w:t xml:space="preserve">not seeking the listing of oral azacitidine for a particular subgroup </w:t>
      </w:r>
      <w:r w:rsidR="00307F5E">
        <w:t>of patients from the</w:t>
      </w:r>
      <w:r w:rsidR="00F20166" w:rsidRPr="00F20166">
        <w:t xml:space="preserve"> QUAZAR</w:t>
      </w:r>
      <w:r w:rsidR="00307F5E">
        <w:t xml:space="preserve"> trial</w:t>
      </w:r>
      <w:r w:rsidR="00F20166" w:rsidRPr="00F20166">
        <w:t>, the submission presented subgroup analyses for OS to explore the treatment effect of oral azacitidine in some patient subgroups</w:t>
      </w:r>
      <w:r>
        <w:t xml:space="preserve">. The submission </w:t>
      </w:r>
      <w:r w:rsidR="00F20166" w:rsidRPr="00F20166">
        <w:t>not</w:t>
      </w:r>
      <w:r>
        <w:t>ed</w:t>
      </w:r>
      <w:r w:rsidR="00F20166" w:rsidRPr="00F20166">
        <w:t xml:space="preserve"> </w:t>
      </w:r>
      <w:r>
        <w:t xml:space="preserve">that the analyses </w:t>
      </w:r>
      <w:r w:rsidR="00F20166" w:rsidRPr="00F20166">
        <w:t xml:space="preserve">were exploratory in nature as QUAZAR was not powered to </w:t>
      </w:r>
      <w:r w:rsidR="00F20166" w:rsidRPr="00F20166">
        <w:lastRenderedPageBreak/>
        <w:t xml:space="preserve">test for statistical significance of any difference in OS reported in subgroups of the ITT population. </w:t>
      </w:r>
      <w:r w:rsidR="00F20166" w:rsidRPr="007F034A">
        <w:t>In addition, the subgroups were not prespecified.</w:t>
      </w:r>
      <w:r w:rsidR="00A4159D" w:rsidRPr="007F034A">
        <w:t xml:space="preserve"> The submission did not present subgroup analyses based on RFS. </w:t>
      </w:r>
    </w:p>
    <w:p w14:paraId="68970DC4" w14:textId="726B57A5" w:rsidR="00F20166" w:rsidRDefault="00F20166" w:rsidP="004E6826">
      <w:pPr>
        <w:pStyle w:val="3-BodyText"/>
      </w:pPr>
      <w:r>
        <w:t>The subgroup analyses explored by the submission were with respect to:</w:t>
      </w:r>
    </w:p>
    <w:p w14:paraId="53CF7198" w14:textId="77777777" w:rsidR="00F20166" w:rsidRPr="00F20166" w:rsidRDefault="00F20166" w:rsidP="00A7432C">
      <w:pPr>
        <w:pStyle w:val="3-BodyText"/>
        <w:numPr>
          <w:ilvl w:val="0"/>
          <w:numId w:val="9"/>
        </w:numPr>
      </w:pPr>
      <w:r w:rsidRPr="00F20166">
        <w:t>Age at time of induction therapy (55-64 years, ≥ 65 years)</w:t>
      </w:r>
    </w:p>
    <w:p w14:paraId="5845B374" w14:textId="24E9EB7F" w:rsidR="00F20166" w:rsidRPr="00F20166" w:rsidRDefault="00F20166" w:rsidP="00A7432C">
      <w:pPr>
        <w:pStyle w:val="3-BodyText"/>
        <w:numPr>
          <w:ilvl w:val="0"/>
          <w:numId w:val="9"/>
        </w:numPr>
      </w:pPr>
      <w:r w:rsidRPr="00F20166">
        <w:t>Prior history of MDS (yes/no)</w:t>
      </w:r>
    </w:p>
    <w:p w14:paraId="05023DD0" w14:textId="30843477" w:rsidR="00F20166" w:rsidRPr="00F20166" w:rsidRDefault="00F20166" w:rsidP="00A7432C">
      <w:pPr>
        <w:pStyle w:val="3-BodyText"/>
        <w:numPr>
          <w:ilvl w:val="0"/>
          <w:numId w:val="9"/>
        </w:numPr>
      </w:pPr>
      <w:r w:rsidRPr="00F20166">
        <w:t>Whether consolidation therapy was administered (yes/no)</w:t>
      </w:r>
    </w:p>
    <w:p w14:paraId="420A11C7" w14:textId="77777777" w:rsidR="00F20166" w:rsidRPr="00F20166" w:rsidRDefault="00F20166" w:rsidP="00A7432C">
      <w:pPr>
        <w:pStyle w:val="3-BodyText"/>
        <w:numPr>
          <w:ilvl w:val="0"/>
          <w:numId w:val="9"/>
        </w:numPr>
      </w:pPr>
      <w:r w:rsidRPr="00F20166">
        <w:t>Cytogenetic risk category at time of induction therapy (intermediate risk, poor risk)</w:t>
      </w:r>
    </w:p>
    <w:p w14:paraId="1758E87F" w14:textId="219BD482" w:rsidR="00F20166" w:rsidRPr="00F20166" w:rsidRDefault="00F20166" w:rsidP="00A7432C">
      <w:pPr>
        <w:pStyle w:val="3-BodyText"/>
        <w:numPr>
          <w:ilvl w:val="0"/>
          <w:numId w:val="9"/>
        </w:numPr>
      </w:pPr>
      <w:r w:rsidRPr="00F20166">
        <w:t>FLT3 mutation status (mutant/wild-type)</w:t>
      </w:r>
    </w:p>
    <w:p w14:paraId="48DC0483" w14:textId="5A52D4FD" w:rsidR="00F20166" w:rsidRPr="00F20166" w:rsidRDefault="00F20166" w:rsidP="00A7432C">
      <w:pPr>
        <w:pStyle w:val="3-BodyText"/>
        <w:numPr>
          <w:ilvl w:val="0"/>
          <w:numId w:val="9"/>
        </w:numPr>
      </w:pPr>
      <w:r w:rsidRPr="00F20166">
        <w:t>MRD status (positive/negative)</w:t>
      </w:r>
    </w:p>
    <w:p w14:paraId="1B0E5346" w14:textId="1A0F18BB" w:rsidR="00F20166" w:rsidRPr="0010205E" w:rsidRDefault="00F20166" w:rsidP="004E6826">
      <w:pPr>
        <w:pStyle w:val="3-BodyText"/>
      </w:pPr>
      <w:r w:rsidRPr="0010205E">
        <w:t>The results from these analyses</w:t>
      </w:r>
      <w:r w:rsidR="00A43F3E" w:rsidRPr="0010205E">
        <w:t xml:space="preserve"> </w:t>
      </w:r>
      <w:r w:rsidRPr="0010205E">
        <w:t xml:space="preserve">favoured oral azacitidine compared to </w:t>
      </w:r>
      <w:r w:rsidR="009B5D5E" w:rsidRPr="0010205E">
        <w:t>BSC</w:t>
      </w:r>
      <w:r w:rsidRPr="0010205E">
        <w:t xml:space="preserve"> </w:t>
      </w:r>
      <w:r w:rsidR="0096005D" w:rsidRPr="0010205E">
        <w:t>(</w:t>
      </w:r>
      <w:r w:rsidR="000F07BB" w:rsidRPr="0010205E">
        <w:t xml:space="preserve">i.e. </w:t>
      </w:r>
      <w:r w:rsidR="0096005D" w:rsidRPr="0010205E">
        <w:t xml:space="preserve">OS was greater in </w:t>
      </w:r>
      <w:r w:rsidR="000F07BB" w:rsidRPr="0010205E">
        <w:t xml:space="preserve">the </w:t>
      </w:r>
      <w:r w:rsidR="0096005D" w:rsidRPr="0010205E">
        <w:t>oral azacitidine</w:t>
      </w:r>
      <w:r w:rsidR="000F07BB" w:rsidRPr="0010205E">
        <w:t xml:space="preserve"> arm</w:t>
      </w:r>
      <w:r w:rsidR="0096005D" w:rsidRPr="0010205E">
        <w:t xml:space="preserve">) </w:t>
      </w:r>
      <w:r w:rsidRPr="0010205E">
        <w:t>in all patient subgroups except patients who received 3 cycles of consolidation after induction chemotherapy.</w:t>
      </w:r>
      <w:r w:rsidR="00A43F3E" w:rsidRPr="0010205E">
        <w:t xml:space="preserve"> According to the detailed subgroup analysis presented by the TGA </w:t>
      </w:r>
      <w:r w:rsidR="00A52E4D" w:rsidRPr="0010205E">
        <w:t>Delegate</w:t>
      </w:r>
      <w:r w:rsidR="00865F2A" w:rsidRPr="0010205E">
        <w:t xml:space="preserve"> (see </w:t>
      </w:r>
      <w:r w:rsidR="00764888" w:rsidRPr="0010205E">
        <w:fldChar w:fldCharType="begin" w:fldLock="1"/>
      </w:r>
      <w:r w:rsidR="00764888" w:rsidRPr="0010205E">
        <w:instrText xml:space="preserve"> REF _Ref106289853 \h </w:instrText>
      </w:r>
      <w:r w:rsidR="0010205E" w:rsidRPr="0010205E">
        <w:instrText xml:space="preserve"> \* MERGEFORMAT </w:instrText>
      </w:r>
      <w:r w:rsidR="00764888" w:rsidRPr="0010205E">
        <w:fldChar w:fldCharType="separate"/>
      </w:r>
      <w:r w:rsidR="00602E88" w:rsidRPr="0010205E">
        <w:t xml:space="preserve">Table </w:t>
      </w:r>
      <w:r w:rsidR="00602E88">
        <w:rPr>
          <w:noProof/>
        </w:rPr>
        <w:t>6</w:t>
      </w:r>
      <w:r w:rsidR="00764888" w:rsidRPr="0010205E">
        <w:fldChar w:fldCharType="end"/>
      </w:r>
      <w:r w:rsidR="009862B4" w:rsidRPr="0010205E">
        <w:t xml:space="preserve"> </w:t>
      </w:r>
      <w:r w:rsidR="00865F2A" w:rsidRPr="0010205E">
        <w:t>below)</w:t>
      </w:r>
      <w:r w:rsidR="00A43F3E" w:rsidRPr="0010205E">
        <w:t xml:space="preserve">, there was a trend towards less treatment effect in patients who had undergone more cycles of consolidation prior to treatment. The </w:t>
      </w:r>
      <w:r w:rsidR="00307F5E" w:rsidRPr="0010205E">
        <w:t>hazard ratio (</w:t>
      </w:r>
      <w:r w:rsidR="00A43F3E" w:rsidRPr="0010205E">
        <w:t>HR</w:t>
      </w:r>
      <w:r w:rsidR="00307F5E" w:rsidRPr="0010205E">
        <w:t>)</w:t>
      </w:r>
      <w:r w:rsidR="00A43F3E" w:rsidRPr="0010205E">
        <w:t xml:space="preserve"> for OS ranged between 0.54 </w:t>
      </w:r>
      <w:r w:rsidR="00B4284F" w:rsidRPr="0010205E">
        <w:t>(95% CI</w:t>
      </w:r>
      <w:r w:rsidR="00865F2A" w:rsidRPr="0010205E">
        <w:t>:</w:t>
      </w:r>
      <w:r w:rsidR="00B4284F" w:rsidRPr="0010205E">
        <w:t xml:space="preserve"> 0.33, 0.87) </w:t>
      </w:r>
      <w:r w:rsidR="00A43F3E" w:rsidRPr="0010205E">
        <w:t>for patients who had not undergone prior consolidation</w:t>
      </w:r>
      <w:r w:rsidR="00B4284F" w:rsidRPr="0010205E">
        <w:t xml:space="preserve"> (n=94)</w:t>
      </w:r>
      <w:r w:rsidR="00A43F3E" w:rsidRPr="0010205E">
        <w:t xml:space="preserve"> to 0.99</w:t>
      </w:r>
      <w:r w:rsidR="00B4284F" w:rsidRPr="0010205E">
        <w:t xml:space="preserve"> (95% CI</w:t>
      </w:r>
      <w:r w:rsidR="00865F2A" w:rsidRPr="0010205E">
        <w:t>:</w:t>
      </w:r>
      <w:r w:rsidR="00B4284F" w:rsidRPr="0010205E">
        <w:t xml:space="preserve"> 0.23,</w:t>
      </w:r>
      <w:r w:rsidR="007B6148" w:rsidRPr="0010205E">
        <w:t xml:space="preserve"> </w:t>
      </w:r>
      <w:r w:rsidR="00B4284F" w:rsidRPr="0010205E">
        <w:t>4.25)</w:t>
      </w:r>
      <w:r w:rsidR="00A43F3E" w:rsidRPr="0010205E">
        <w:t xml:space="preserve"> for those who had received three cycles of consolidation</w:t>
      </w:r>
      <w:r w:rsidR="00B4284F" w:rsidRPr="0010205E">
        <w:t xml:space="preserve"> (n=19)</w:t>
      </w:r>
      <w:r w:rsidR="002E6229" w:rsidRPr="0010205E">
        <w:t>.</w:t>
      </w:r>
      <w:r w:rsidR="00865F2A" w:rsidRPr="0010205E">
        <w:t xml:space="preserve"> The ESC noted the small patient numbers in the 3 cycles of consolidation group. The ESC considered that standard practice in Australia is 2</w:t>
      </w:r>
      <w:r w:rsidR="00764888" w:rsidRPr="0010205E">
        <w:t> </w:t>
      </w:r>
      <w:r w:rsidR="00865F2A" w:rsidRPr="0010205E">
        <w:t>cycles of consolidation.</w:t>
      </w:r>
    </w:p>
    <w:p w14:paraId="211FFA8C" w14:textId="2785413E" w:rsidR="00865F2A" w:rsidRPr="0010205E" w:rsidRDefault="00764888" w:rsidP="00764888">
      <w:pPr>
        <w:pStyle w:val="TableFigureHeading"/>
      </w:pPr>
      <w:bookmarkStart w:id="36" w:name="_Ref106289853"/>
      <w:r w:rsidRPr="0010205E">
        <w:t xml:space="preserve">Table </w:t>
      </w:r>
      <w:r w:rsidR="00396D16">
        <w:fldChar w:fldCharType="begin" w:fldLock="1"/>
      </w:r>
      <w:r w:rsidR="00396D16">
        <w:instrText xml:space="preserve"> SEQ Table \* ARABIC </w:instrText>
      </w:r>
      <w:r w:rsidR="00396D16">
        <w:fldChar w:fldCharType="separate"/>
      </w:r>
      <w:r w:rsidR="00602E88">
        <w:rPr>
          <w:noProof/>
        </w:rPr>
        <w:t>6</w:t>
      </w:r>
      <w:r w:rsidR="00396D16">
        <w:rPr>
          <w:noProof/>
        </w:rPr>
        <w:fldChar w:fldCharType="end"/>
      </w:r>
      <w:bookmarkEnd w:id="36"/>
      <w:r w:rsidRPr="0010205E">
        <w:t>:</w:t>
      </w:r>
      <w:r w:rsidR="00865F2A" w:rsidRPr="0010205E">
        <w:t xml:space="preserve"> Subgroup analysis of overall survival by number of consolidation cycles</w:t>
      </w:r>
    </w:p>
    <w:tbl>
      <w:tblPr>
        <w:tblStyle w:val="TableGrid"/>
        <w:tblW w:w="0" w:type="auto"/>
        <w:tblLook w:val="04A0" w:firstRow="1" w:lastRow="0" w:firstColumn="1" w:lastColumn="0" w:noHBand="0" w:noVBand="1"/>
      </w:tblPr>
      <w:tblGrid>
        <w:gridCol w:w="2122"/>
        <w:gridCol w:w="992"/>
        <w:gridCol w:w="850"/>
        <w:gridCol w:w="851"/>
        <w:gridCol w:w="850"/>
        <w:gridCol w:w="851"/>
        <w:gridCol w:w="850"/>
        <w:gridCol w:w="851"/>
        <w:gridCol w:w="800"/>
      </w:tblGrid>
      <w:tr w:rsidR="00AD2AB9" w:rsidRPr="0010205E" w14:paraId="4B5E4053" w14:textId="77777777" w:rsidTr="00AD2AB9">
        <w:tc>
          <w:tcPr>
            <w:tcW w:w="2122" w:type="dxa"/>
            <w:vMerge w:val="restart"/>
            <w:tcMar>
              <w:left w:w="28" w:type="dxa"/>
              <w:right w:w="28" w:type="dxa"/>
            </w:tcMar>
          </w:tcPr>
          <w:p w14:paraId="4E248064" w14:textId="77777777" w:rsidR="00AD2AB9" w:rsidRPr="0010205E" w:rsidRDefault="00AD2AB9" w:rsidP="00A93684">
            <w:pPr>
              <w:pStyle w:val="3-BodyText"/>
              <w:numPr>
                <w:ilvl w:val="0"/>
                <w:numId w:val="0"/>
              </w:numPr>
              <w:spacing w:after="0"/>
              <w:rPr>
                <w:rFonts w:ascii="Arial Narrow" w:hAnsi="Arial Narrow"/>
                <w:sz w:val="20"/>
                <w:szCs w:val="20"/>
              </w:rPr>
            </w:pPr>
          </w:p>
        </w:tc>
        <w:tc>
          <w:tcPr>
            <w:tcW w:w="1842" w:type="dxa"/>
            <w:gridSpan w:val="2"/>
            <w:tcMar>
              <w:left w:w="28" w:type="dxa"/>
              <w:right w:w="28" w:type="dxa"/>
            </w:tcMar>
          </w:tcPr>
          <w:p w14:paraId="66471CD2" w14:textId="33C11D18" w:rsidR="00AD2AB9" w:rsidRPr="0010205E" w:rsidRDefault="00AD2AB9" w:rsidP="00AD2AB9">
            <w:pPr>
              <w:pStyle w:val="3-BodyText"/>
              <w:numPr>
                <w:ilvl w:val="0"/>
                <w:numId w:val="0"/>
              </w:numPr>
              <w:spacing w:after="0"/>
              <w:jc w:val="center"/>
              <w:rPr>
                <w:rFonts w:ascii="Arial Narrow" w:hAnsi="Arial Narrow"/>
                <w:b/>
                <w:bCs/>
                <w:sz w:val="20"/>
                <w:szCs w:val="20"/>
              </w:rPr>
            </w:pPr>
            <w:r w:rsidRPr="0010205E">
              <w:rPr>
                <w:rFonts w:ascii="Arial Narrow" w:hAnsi="Arial Narrow"/>
                <w:b/>
                <w:bCs/>
                <w:sz w:val="20"/>
                <w:szCs w:val="20"/>
              </w:rPr>
              <w:t xml:space="preserve">No </w:t>
            </w:r>
            <w:r w:rsidRPr="0010205E">
              <w:rPr>
                <w:rFonts w:ascii="Arial Narrow" w:hAnsi="Arial Narrow"/>
                <w:b/>
                <w:bCs/>
                <w:sz w:val="20"/>
                <w:szCs w:val="20"/>
              </w:rPr>
              <w:br/>
              <w:t>consolidation</w:t>
            </w:r>
          </w:p>
        </w:tc>
        <w:tc>
          <w:tcPr>
            <w:tcW w:w="1701" w:type="dxa"/>
            <w:gridSpan w:val="2"/>
            <w:tcMar>
              <w:left w:w="28" w:type="dxa"/>
              <w:right w:w="28" w:type="dxa"/>
            </w:tcMar>
          </w:tcPr>
          <w:p w14:paraId="43D7DB9F" w14:textId="55979878" w:rsidR="00AD2AB9" w:rsidRPr="0010205E" w:rsidRDefault="00AD2AB9" w:rsidP="00AD2AB9">
            <w:pPr>
              <w:pStyle w:val="3-BodyText"/>
              <w:numPr>
                <w:ilvl w:val="0"/>
                <w:numId w:val="0"/>
              </w:numPr>
              <w:spacing w:after="0"/>
              <w:jc w:val="center"/>
              <w:rPr>
                <w:rFonts w:ascii="Arial Narrow" w:hAnsi="Arial Narrow"/>
                <w:b/>
                <w:bCs/>
                <w:sz w:val="20"/>
                <w:szCs w:val="20"/>
              </w:rPr>
            </w:pPr>
            <w:r w:rsidRPr="0010205E">
              <w:rPr>
                <w:rFonts w:ascii="Arial Narrow" w:hAnsi="Arial Narrow"/>
                <w:b/>
                <w:bCs/>
                <w:sz w:val="20"/>
                <w:szCs w:val="20"/>
              </w:rPr>
              <w:t xml:space="preserve">1 cycle of </w:t>
            </w:r>
            <w:r w:rsidRPr="0010205E">
              <w:rPr>
                <w:rFonts w:ascii="Arial Narrow" w:hAnsi="Arial Narrow"/>
                <w:b/>
                <w:bCs/>
                <w:sz w:val="20"/>
                <w:szCs w:val="20"/>
              </w:rPr>
              <w:br/>
              <w:t>consolidation</w:t>
            </w:r>
          </w:p>
        </w:tc>
        <w:tc>
          <w:tcPr>
            <w:tcW w:w="1701" w:type="dxa"/>
            <w:gridSpan w:val="2"/>
            <w:tcMar>
              <w:left w:w="28" w:type="dxa"/>
              <w:right w:w="28" w:type="dxa"/>
            </w:tcMar>
          </w:tcPr>
          <w:p w14:paraId="6DD9026D" w14:textId="34DDBEF6" w:rsidR="00AD2AB9" w:rsidRPr="0010205E" w:rsidRDefault="00AD2AB9" w:rsidP="00AD2AB9">
            <w:pPr>
              <w:pStyle w:val="3-BodyText"/>
              <w:numPr>
                <w:ilvl w:val="0"/>
                <w:numId w:val="0"/>
              </w:numPr>
              <w:spacing w:after="0"/>
              <w:jc w:val="center"/>
              <w:rPr>
                <w:rFonts w:ascii="Arial Narrow" w:hAnsi="Arial Narrow"/>
                <w:b/>
                <w:bCs/>
                <w:sz w:val="20"/>
                <w:szCs w:val="20"/>
              </w:rPr>
            </w:pPr>
            <w:r w:rsidRPr="0010205E">
              <w:rPr>
                <w:rFonts w:ascii="Arial Narrow" w:hAnsi="Arial Narrow"/>
                <w:b/>
                <w:bCs/>
                <w:sz w:val="20"/>
                <w:szCs w:val="20"/>
              </w:rPr>
              <w:t>2 cycles of consolidation</w:t>
            </w:r>
          </w:p>
        </w:tc>
        <w:tc>
          <w:tcPr>
            <w:tcW w:w="1651" w:type="dxa"/>
            <w:gridSpan w:val="2"/>
            <w:tcMar>
              <w:left w:w="28" w:type="dxa"/>
              <w:right w:w="28" w:type="dxa"/>
            </w:tcMar>
          </w:tcPr>
          <w:p w14:paraId="43090053" w14:textId="39F3B5F0" w:rsidR="00AD2AB9" w:rsidRPr="0010205E" w:rsidRDefault="00AD2AB9" w:rsidP="00AD2AB9">
            <w:pPr>
              <w:pStyle w:val="3-BodyText"/>
              <w:numPr>
                <w:ilvl w:val="0"/>
                <w:numId w:val="0"/>
              </w:numPr>
              <w:spacing w:after="0"/>
              <w:jc w:val="center"/>
              <w:rPr>
                <w:rFonts w:ascii="Arial Narrow" w:hAnsi="Arial Narrow"/>
                <w:b/>
                <w:bCs/>
                <w:sz w:val="20"/>
                <w:szCs w:val="20"/>
              </w:rPr>
            </w:pPr>
            <w:r w:rsidRPr="0010205E">
              <w:rPr>
                <w:rFonts w:ascii="Arial Narrow" w:hAnsi="Arial Narrow"/>
                <w:b/>
                <w:bCs/>
                <w:sz w:val="20"/>
                <w:szCs w:val="20"/>
              </w:rPr>
              <w:t>3 cycles of consolidation</w:t>
            </w:r>
          </w:p>
        </w:tc>
      </w:tr>
      <w:tr w:rsidR="00AD2AB9" w:rsidRPr="0010205E" w14:paraId="74C52DFB" w14:textId="77777777" w:rsidTr="00AD2AB9">
        <w:tc>
          <w:tcPr>
            <w:tcW w:w="2122" w:type="dxa"/>
            <w:vMerge/>
            <w:tcMar>
              <w:left w:w="28" w:type="dxa"/>
              <w:right w:w="28" w:type="dxa"/>
            </w:tcMar>
          </w:tcPr>
          <w:p w14:paraId="79D697A0" w14:textId="77777777" w:rsidR="00AD2AB9" w:rsidRPr="0010205E" w:rsidRDefault="00AD2AB9" w:rsidP="00AD2AB9">
            <w:pPr>
              <w:pStyle w:val="3-BodyText"/>
              <w:numPr>
                <w:ilvl w:val="0"/>
                <w:numId w:val="0"/>
              </w:numPr>
              <w:spacing w:after="0"/>
              <w:rPr>
                <w:rFonts w:ascii="Arial Narrow" w:hAnsi="Arial Narrow"/>
                <w:sz w:val="20"/>
                <w:szCs w:val="20"/>
              </w:rPr>
            </w:pPr>
          </w:p>
        </w:tc>
        <w:tc>
          <w:tcPr>
            <w:tcW w:w="992" w:type="dxa"/>
            <w:tcMar>
              <w:left w:w="28" w:type="dxa"/>
              <w:right w:w="28" w:type="dxa"/>
            </w:tcMar>
          </w:tcPr>
          <w:p w14:paraId="2E5BCE21" w14:textId="77777777" w:rsidR="00AD2AB9" w:rsidRPr="009F7D35" w:rsidRDefault="00AD2AB9" w:rsidP="00AD2AB9">
            <w:pPr>
              <w:pStyle w:val="3-BodyText"/>
              <w:numPr>
                <w:ilvl w:val="0"/>
                <w:numId w:val="0"/>
              </w:numPr>
              <w:spacing w:after="0"/>
              <w:jc w:val="center"/>
              <w:rPr>
                <w:rFonts w:ascii="Arial Narrow" w:hAnsi="Arial Narrow"/>
                <w:b/>
                <w:bCs/>
                <w:sz w:val="20"/>
                <w:szCs w:val="20"/>
              </w:rPr>
            </w:pPr>
            <w:r w:rsidRPr="009F7D35">
              <w:rPr>
                <w:rFonts w:ascii="Arial Narrow" w:hAnsi="Arial Narrow"/>
                <w:b/>
                <w:bCs/>
                <w:sz w:val="20"/>
                <w:szCs w:val="20"/>
              </w:rPr>
              <w:t>PBO</w:t>
            </w:r>
          </w:p>
          <w:p w14:paraId="3883CF69" w14:textId="4185603F" w:rsidR="00AD2AB9" w:rsidRPr="009F7D35" w:rsidRDefault="00AD2AB9" w:rsidP="00AD2AB9">
            <w:pPr>
              <w:pStyle w:val="3-BodyText"/>
              <w:numPr>
                <w:ilvl w:val="0"/>
                <w:numId w:val="0"/>
              </w:numPr>
              <w:spacing w:after="0"/>
              <w:jc w:val="center"/>
              <w:rPr>
                <w:rFonts w:ascii="Arial Narrow" w:hAnsi="Arial Narrow"/>
                <w:sz w:val="20"/>
                <w:szCs w:val="20"/>
              </w:rPr>
            </w:pPr>
            <w:r w:rsidRPr="009F7D35">
              <w:rPr>
                <w:rFonts w:ascii="Arial Narrow" w:hAnsi="Arial Narrow"/>
                <w:b/>
                <w:bCs/>
                <w:sz w:val="20"/>
                <w:szCs w:val="20"/>
              </w:rPr>
              <w:t>N = 42</w:t>
            </w:r>
          </w:p>
        </w:tc>
        <w:tc>
          <w:tcPr>
            <w:tcW w:w="850" w:type="dxa"/>
            <w:tcMar>
              <w:left w:w="28" w:type="dxa"/>
              <w:right w:w="28" w:type="dxa"/>
            </w:tcMar>
          </w:tcPr>
          <w:p w14:paraId="47EA94DE" w14:textId="77777777" w:rsidR="00AD2AB9" w:rsidRPr="009F7D35" w:rsidRDefault="00AD2AB9" w:rsidP="00AD2AB9">
            <w:pPr>
              <w:pStyle w:val="3-BodyText"/>
              <w:numPr>
                <w:ilvl w:val="0"/>
                <w:numId w:val="0"/>
              </w:numPr>
              <w:spacing w:after="0"/>
              <w:jc w:val="center"/>
              <w:rPr>
                <w:rFonts w:ascii="Arial Narrow" w:hAnsi="Arial Narrow"/>
                <w:b/>
                <w:bCs/>
                <w:sz w:val="20"/>
                <w:szCs w:val="20"/>
              </w:rPr>
            </w:pPr>
            <w:r w:rsidRPr="009F7D35">
              <w:rPr>
                <w:rFonts w:ascii="Arial Narrow" w:hAnsi="Arial Narrow"/>
                <w:b/>
                <w:bCs/>
                <w:sz w:val="20"/>
                <w:szCs w:val="20"/>
              </w:rPr>
              <w:t>Oral AZA</w:t>
            </w:r>
          </w:p>
          <w:p w14:paraId="33B8B368" w14:textId="5357E021" w:rsidR="00AD2AB9" w:rsidRPr="009F7D35" w:rsidRDefault="00AD2AB9" w:rsidP="00AD2AB9">
            <w:pPr>
              <w:pStyle w:val="3-BodyText"/>
              <w:numPr>
                <w:ilvl w:val="0"/>
                <w:numId w:val="0"/>
              </w:numPr>
              <w:spacing w:after="0"/>
              <w:jc w:val="center"/>
              <w:rPr>
                <w:rFonts w:ascii="Arial Narrow" w:hAnsi="Arial Narrow"/>
                <w:b/>
                <w:bCs/>
                <w:sz w:val="20"/>
                <w:szCs w:val="20"/>
              </w:rPr>
            </w:pPr>
            <w:r w:rsidRPr="009F7D35">
              <w:rPr>
                <w:rFonts w:ascii="Arial Narrow" w:hAnsi="Arial Narrow"/>
                <w:b/>
                <w:bCs/>
                <w:sz w:val="20"/>
                <w:szCs w:val="20"/>
              </w:rPr>
              <w:t>N = 52</w:t>
            </w:r>
          </w:p>
        </w:tc>
        <w:tc>
          <w:tcPr>
            <w:tcW w:w="851" w:type="dxa"/>
            <w:tcMar>
              <w:left w:w="28" w:type="dxa"/>
              <w:right w:w="28" w:type="dxa"/>
            </w:tcMar>
          </w:tcPr>
          <w:p w14:paraId="087FAF06" w14:textId="77777777" w:rsidR="00AD2AB9" w:rsidRPr="009F7D35" w:rsidRDefault="00AD2AB9" w:rsidP="00AD2AB9">
            <w:pPr>
              <w:pStyle w:val="3-BodyText"/>
              <w:numPr>
                <w:ilvl w:val="0"/>
                <w:numId w:val="0"/>
              </w:numPr>
              <w:spacing w:after="0"/>
              <w:jc w:val="center"/>
              <w:rPr>
                <w:rFonts w:ascii="Arial Narrow" w:hAnsi="Arial Narrow"/>
                <w:b/>
                <w:bCs/>
                <w:sz w:val="20"/>
                <w:szCs w:val="20"/>
              </w:rPr>
            </w:pPr>
            <w:r w:rsidRPr="009F7D35">
              <w:rPr>
                <w:rFonts w:ascii="Arial Narrow" w:hAnsi="Arial Narrow"/>
                <w:b/>
                <w:bCs/>
                <w:sz w:val="20"/>
                <w:szCs w:val="20"/>
              </w:rPr>
              <w:t>PBO</w:t>
            </w:r>
          </w:p>
          <w:p w14:paraId="4FC76277" w14:textId="6A599E67" w:rsidR="00AD2AB9" w:rsidRPr="009F7D35" w:rsidRDefault="00AD2AB9" w:rsidP="00AD2AB9">
            <w:pPr>
              <w:pStyle w:val="3-BodyText"/>
              <w:numPr>
                <w:ilvl w:val="0"/>
                <w:numId w:val="0"/>
              </w:numPr>
              <w:spacing w:after="0"/>
              <w:jc w:val="center"/>
              <w:rPr>
                <w:rFonts w:ascii="Arial Narrow" w:hAnsi="Arial Narrow"/>
                <w:b/>
                <w:bCs/>
                <w:sz w:val="20"/>
                <w:szCs w:val="20"/>
              </w:rPr>
            </w:pPr>
            <w:r w:rsidRPr="009F7D35">
              <w:rPr>
                <w:rFonts w:ascii="Arial Narrow" w:hAnsi="Arial Narrow"/>
                <w:b/>
                <w:bCs/>
                <w:sz w:val="20"/>
                <w:szCs w:val="20"/>
              </w:rPr>
              <w:t>N = 102</w:t>
            </w:r>
          </w:p>
        </w:tc>
        <w:tc>
          <w:tcPr>
            <w:tcW w:w="850" w:type="dxa"/>
            <w:tcMar>
              <w:left w:w="28" w:type="dxa"/>
              <w:right w:w="28" w:type="dxa"/>
            </w:tcMar>
          </w:tcPr>
          <w:p w14:paraId="376C3827" w14:textId="77777777" w:rsidR="00AD2AB9" w:rsidRPr="009F7D35" w:rsidRDefault="00AD2AB9" w:rsidP="00AD2AB9">
            <w:pPr>
              <w:pStyle w:val="3-BodyText"/>
              <w:numPr>
                <w:ilvl w:val="0"/>
                <w:numId w:val="0"/>
              </w:numPr>
              <w:spacing w:after="0"/>
              <w:jc w:val="center"/>
              <w:rPr>
                <w:rFonts w:ascii="Arial Narrow" w:hAnsi="Arial Narrow"/>
                <w:b/>
                <w:bCs/>
                <w:sz w:val="20"/>
                <w:szCs w:val="20"/>
              </w:rPr>
            </w:pPr>
            <w:r w:rsidRPr="009F7D35">
              <w:rPr>
                <w:rFonts w:ascii="Arial Narrow" w:hAnsi="Arial Narrow"/>
                <w:b/>
                <w:bCs/>
                <w:sz w:val="20"/>
                <w:szCs w:val="20"/>
              </w:rPr>
              <w:t>Oral AZA</w:t>
            </w:r>
          </w:p>
          <w:p w14:paraId="2F194639" w14:textId="3C9D0B94" w:rsidR="00AD2AB9" w:rsidRPr="009F7D35" w:rsidRDefault="00AD2AB9" w:rsidP="00AD2AB9">
            <w:pPr>
              <w:pStyle w:val="3-BodyText"/>
              <w:numPr>
                <w:ilvl w:val="0"/>
                <w:numId w:val="0"/>
              </w:numPr>
              <w:spacing w:after="0"/>
              <w:jc w:val="center"/>
              <w:rPr>
                <w:rFonts w:ascii="Arial Narrow" w:hAnsi="Arial Narrow"/>
                <w:b/>
                <w:bCs/>
                <w:sz w:val="20"/>
                <w:szCs w:val="20"/>
              </w:rPr>
            </w:pPr>
            <w:r w:rsidRPr="009F7D35">
              <w:rPr>
                <w:rFonts w:ascii="Arial Narrow" w:hAnsi="Arial Narrow"/>
                <w:b/>
                <w:bCs/>
                <w:sz w:val="20"/>
                <w:szCs w:val="20"/>
              </w:rPr>
              <w:t>N = 110</w:t>
            </w:r>
          </w:p>
        </w:tc>
        <w:tc>
          <w:tcPr>
            <w:tcW w:w="851" w:type="dxa"/>
            <w:tcMar>
              <w:left w:w="28" w:type="dxa"/>
              <w:right w:w="28" w:type="dxa"/>
            </w:tcMar>
          </w:tcPr>
          <w:p w14:paraId="688D8BE2" w14:textId="77777777" w:rsidR="00AD2AB9" w:rsidRPr="009F7D35" w:rsidRDefault="00AD2AB9" w:rsidP="00AD2AB9">
            <w:pPr>
              <w:pStyle w:val="3-BodyText"/>
              <w:numPr>
                <w:ilvl w:val="0"/>
                <w:numId w:val="0"/>
              </w:numPr>
              <w:spacing w:after="0"/>
              <w:jc w:val="center"/>
              <w:rPr>
                <w:rFonts w:ascii="Arial Narrow" w:hAnsi="Arial Narrow"/>
                <w:b/>
                <w:bCs/>
                <w:sz w:val="20"/>
                <w:szCs w:val="20"/>
              </w:rPr>
            </w:pPr>
            <w:r w:rsidRPr="009F7D35">
              <w:rPr>
                <w:rFonts w:ascii="Arial Narrow" w:hAnsi="Arial Narrow"/>
                <w:b/>
                <w:bCs/>
                <w:sz w:val="20"/>
                <w:szCs w:val="20"/>
              </w:rPr>
              <w:t>PBO</w:t>
            </w:r>
          </w:p>
          <w:p w14:paraId="77A7CE1F" w14:textId="34C770A5" w:rsidR="00AD2AB9" w:rsidRPr="009F7D35" w:rsidRDefault="00AD2AB9" w:rsidP="00AD2AB9">
            <w:pPr>
              <w:pStyle w:val="3-BodyText"/>
              <w:numPr>
                <w:ilvl w:val="0"/>
                <w:numId w:val="0"/>
              </w:numPr>
              <w:spacing w:after="0"/>
              <w:jc w:val="center"/>
              <w:rPr>
                <w:rFonts w:ascii="Arial Narrow" w:hAnsi="Arial Narrow"/>
                <w:b/>
                <w:bCs/>
                <w:sz w:val="20"/>
                <w:szCs w:val="20"/>
              </w:rPr>
            </w:pPr>
            <w:r w:rsidRPr="009F7D35">
              <w:rPr>
                <w:rFonts w:ascii="Arial Narrow" w:hAnsi="Arial Narrow"/>
                <w:b/>
                <w:bCs/>
                <w:sz w:val="20"/>
                <w:szCs w:val="20"/>
              </w:rPr>
              <w:t>N = 77</w:t>
            </w:r>
          </w:p>
        </w:tc>
        <w:tc>
          <w:tcPr>
            <w:tcW w:w="850" w:type="dxa"/>
            <w:tcMar>
              <w:left w:w="28" w:type="dxa"/>
              <w:right w:w="28" w:type="dxa"/>
            </w:tcMar>
          </w:tcPr>
          <w:p w14:paraId="4B26531A" w14:textId="77777777" w:rsidR="00AD2AB9" w:rsidRPr="009F7D35" w:rsidRDefault="00AD2AB9" w:rsidP="00AD2AB9">
            <w:pPr>
              <w:pStyle w:val="3-BodyText"/>
              <w:numPr>
                <w:ilvl w:val="0"/>
                <w:numId w:val="0"/>
              </w:numPr>
              <w:spacing w:after="0"/>
              <w:jc w:val="center"/>
              <w:rPr>
                <w:rFonts w:ascii="Arial Narrow" w:hAnsi="Arial Narrow"/>
                <w:b/>
                <w:bCs/>
                <w:sz w:val="20"/>
                <w:szCs w:val="20"/>
              </w:rPr>
            </w:pPr>
            <w:r w:rsidRPr="009F7D35">
              <w:rPr>
                <w:rFonts w:ascii="Arial Narrow" w:hAnsi="Arial Narrow"/>
                <w:b/>
                <w:bCs/>
                <w:sz w:val="20"/>
                <w:szCs w:val="20"/>
              </w:rPr>
              <w:t>Oral AZA</w:t>
            </w:r>
          </w:p>
          <w:p w14:paraId="7B9B7E28" w14:textId="4149C25B" w:rsidR="00AD2AB9" w:rsidRPr="009F7D35" w:rsidRDefault="00AD2AB9" w:rsidP="00AD2AB9">
            <w:pPr>
              <w:pStyle w:val="3-BodyText"/>
              <w:numPr>
                <w:ilvl w:val="0"/>
                <w:numId w:val="0"/>
              </w:numPr>
              <w:spacing w:after="0"/>
              <w:jc w:val="center"/>
              <w:rPr>
                <w:rFonts w:ascii="Arial Narrow" w:hAnsi="Arial Narrow"/>
                <w:b/>
                <w:bCs/>
                <w:sz w:val="20"/>
                <w:szCs w:val="20"/>
              </w:rPr>
            </w:pPr>
            <w:r w:rsidRPr="009F7D35">
              <w:rPr>
                <w:rFonts w:ascii="Arial Narrow" w:hAnsi="Arial Narrow"/>
                <w:b/>
                <w:bCs/>
                <w:sz w:val="20"/>
                <w:szCs w:val="20"/>
              </w:rPr>
              <w:t>N = 70</w:t>
            </w:r>
          </w:p>
        </w:tc>
        <w:tc>
          <w:tcPr>
            <w:tcW w:w="851" w:type="dxa"/>
            <w:tcMar>
              <w:left w:w="28" w:type="dxa"/>
              <w:right w:w="28" w:type="dxa"/>
            </w:tcMar>
          </w:tcPr>
          <w:p w14:paraId="545D09A0" w14:textId="77777777" w:rsidR="00AD2AB9" w:rsidRPr="009F7D35" w:rsidRDefault="00AD2AB9" w:rsidP="00AD2AB9">
            <w:pPr>
              <w:pStyle w:val="3-BodyText"/>
              <w:numPr>
                <w:ilvl w:val="0"/>
                <w:numId w:val="0"/>
              </w:numPr>
              <w:spacing w:after="0"/>
              <w:jc w:val="center"/>
              <w:rPr>
                <w:rFonts w:ascii="Arial Narrow" w:hAnsi="Arial Narrow"/>
                <w:b/>
                <w:bCs/>
                <w:sz w:val="20"/>
                <w:szCs w:val="20"/>
              </w:rPr>
            </w:pPr>
            <w:r w:rsidRPr="009F7D35">
              <w:rPr>
                <w:rFonts w:ascii="Arial Narrow" w:hAnsi="Arial Narrow"/>
                <w:b/>
                <w:bCs/>
                <w:sz w:val="20"/>
                <w:szCs w:val="20"/>
              </w:rPr>
              <w:t>PBO</w:t>
            </w:r>
          </w:p>
          <w:p w14:paraId="1743D153" w14:textId="4770BABA" w:rsidR="00AD2AB9" w:rsidRPr="009F7D35" w:rsidRDefault="00AD2AB9" w:rsidP="00AD2AB9">
            <w:pPr>
              <w:pStyle w:val="3-BodyText"/>
              <w:numPr>
                <w:ilvl w:val="0"/>
                <w:numId w:val="0"/>
              </w:numPr>
              <w:spacing w:after="0"/>
              <w:jc w:val="center"/>
              <w:rPr>
                <w:rFonts w:ascii="Arial Narrow" w:hAnsi="Arial Narrow"/>
                <w:b/>
                <w:bCs/>
                <w:sz w:val="20"/>
                <w:szCs w:val="20"/>
              </w:rPr>
            </w:pPr>
            <w:r w:rsidRPr="009F7D35">
              <w:rPr>
                <w:rFonts w:ascii="Arial Narrow" w:hAnsi="Arial Narrow"/>
                <w:b/>
                <w:bCs/>
                <w:sz w:val="20"/>
                <w:szCs w:val="20"/>
              </w:rPr>
              <w:t>N = 13</w:t>
            </w:r>
          </w:p>
        </w:tc>
        <w:tc>
          <w:tcPr>
            <w:tcW w:w="800" w:type="dxa"/>
            <w:tcMar>
              <w:left w:w="28" w:type="dxa"/>
              <w:right w:w="28" w:type="dxa"/>
            </w:tcMar>
          </w:tcPr>
          <w:p w14:paraId="1C9BFC86" w14:textId="77777777" w:rsidR="00AD2AB9" w:rsidRPr="009F7D35" w:rsidRDefault="00AD2AB9" w:rsidP="00AD2AB9">
            <w:pPr>
              <w:pStyle w:val="3-BodyText"/>
              <w:numPr>
                <w:ilvl w:val="0"/>
                <w:numId w:val="0"/>
              </w:numPr>
              <w:spacing w:after="0"/>
              <w:jc w:val="center"/>
              <w:rPr>
                <w:rFonts w:ascii="Arial Narrow" w:hAnsi="Arial Narrow"/>
                <w:b/>
                <w:bCs/>
                <w:sz w:val="20"/>
                <w:szCs w:val="20"/>
              </w:rPr>
            </w:pPr>
            <w:r w:rsidRPr="009F7D35">
              <w:rPr>
                <w:rFonts w:ascii="Arial Narrow" w:hAnsi="Arial Narrow"/>
                <w:b/>
                <w:bCs/>
                <w:sz w:val="20"/>
                <w:szCs w:val="20"/>
              </w:rPr>
              <w:t>Oral AZA</w:t>
            </w:r>
          </w:p>
          <w:p w14:paraId="1FC21C52" w14:textId="22DE28D5" w:rsidR="00AD2AB9" w:rsidRPr="009F7D35" w:rsidRDefault="00AD2AB9" w:rsidP="00AD2AB9">
            <w:pPr>
              <w:pStyle w:val="3-BodyText"/>
              <w:numPr>
                <w:ilvl w:val="0"/>
                <w:numId w:val="0"/>
              </w:numPr>
              <w:spacing w:after="0"/>
              <w:jc w:val="center"/>
              <w:rPr>
                <w:rFonts w:ascii="Arial Narrow" w:hAnsi="Arial Narrow"/>
                <w:b/>
                <w:bCs/>
                <w:sz w:val="20"/>
                <w:szCs w:val="20"/>
              </w:rPr>
            </w:pPr>
            <w:r w:rsidRPr="009F7D35">
              <w:rPr>
                <w:rFonts w:ascii="Arial Narrow" w:hAnsi="Arial Narrow"/>
                <w:b/>
                <w:bCs/>
                <w:sz w:val="20"/>
                <w:szCs w:val="20"/>
              </w:rPr>
              <w:t>N = 6</w:t>
            </w:r>
          </w:p>
        </w:tc>
      </w:tr>
      <w:tr w:rsidR="00A93684" w:rsidRPr="0010205E" w14:paraId="3690BF29" w14:textId="77777777" w:rsidTr="00AD2AB9">
        <w:tc>
          <w:tcPr>
            <w:tcW w:w="2122" w:type="dxa"/>
            <w:tcMar>
              <w:left w:w="28" w:type="dxa"/>
              <w:right w:w="28" w:type="dxa"/>
            </w:tcMar>
          </w:tcPr>
          <w:p w14:paraId="4B81FF3A" w14:textId="2019EE85" w:rsidR="00A93684" w:rsidRPr="0010205E" w:rsidRDefault="00AD2AB9" w:rsidP="00A93684">
            <w:pPr>
              <w:pStyle w:val="3-BodyText"/>
              <w:numPr>
                <w:ilvl w:val="0"/>
                <w:numId w:val="0"/>
              </w:numPr>
              <w:spacing w:after="0"/>
              <w:rPr>
                <w:rFonts w:ascii="Arial Narrow" w:hAnsi="Arial Narrow"/>
                <w:sz w:val="20"/>
                <w:szCs w:val="20"/>
              </w:rPr>
            </w:pPr>
            <w:r w:rsidRPr="0010205E">
              <w:rPr>
                <w:rFonts w:ascii="Arial Narrow" w:hAnsi="Arial Narrow"/>
                <w:sz w:val="20"/>
                <w:szCs w:val="20"/>
              </w:rPr>
              <w:t>Patients with event, n (%)</w:t>
            </w:r>
          </w:p>
        </w:tc>
        <w:tc>
          <w:tcPr>
            <w:tcW w:w="992" w:type="dxa"/>
            <w:tcMar>
              <w:left w:w="28" w:type="dxa"/>
              <w:right w:w="28" w:type="dxa"/>
            </w:tcMar>
          </w:tcPr>
          <w:p w14:paraId="55293673" w14:textId="7192CD72" w:rsidR="00A93684" w:rsidRPr="009F7D35" w:rsidRDefault="00AD2AB9" w:rsidP="00AD2AB9">
            <w:pPr>
              <w:pStyle w:val="3-BodyText"/>
              <w:numPr>
                <w:ilvl w:val="0"/>
                <w:numId w:val="0"/>
              </w:numPr>
              <w:spacing w:after="0"/>
              <w:jc w:val="center"/>
              <w:rPr>
                <w:rFonts w:ascii="Arial Narrow" w:hAnsi="Arial Narrow"/>
                <w:sz w:val="20"/>
                <w:szCs w:val="20"/>
              </w:rPr>
            </w:pPr>
            <w:r w:rsidRPr="009F7D35">
              <w:rPr>
                <w:rFonts w:ascii="Arial Narrow" w:hAnsi="Arial Narrow"/>
                <w:sz w:val="20"/>
                <w:szCs w:val="20"/>
              </w:rPr>
              <w:t>33 (79%)</w:t>
            </w:r>
          </w:p>
        </w:tc>
        <w:tc>
          <w:tcPr>
            <w:tcW w:w="850" w:type="dxa"/>
            <w:tcMar>
              <w:left w:w="28" w:type="dxa"/>
              <w:right w:w="28" w:type="dxa"/>
            </w:tcMar>
          </w:tcPr>
          <w:p w14:paraId="291AC693" w14:textId="31D9CECD" w:rsidR="00A93684" w:rsidRPr="009F7D35" w:rsidRDefault="00AD2AB9" w:rsidP="00AD2AB9">
            <w:pPr>
              <w:pStyle w:val="3-BodyText"/>
              <w:numPr>
                <w:ilvl w:val="0"/>
                <w:numId w:val="0"/>
              </w:numPr>
              <w:spacing w:after="0"/>
              <w:jc w:val="center"/>
              <w:rPr>
                <w:rFonts w:ascii="Arial Narrow" w:hAnsi="Arial Narrow"/>
                <w:sz w:val="20"/>
                <w:szCs w:val="20"/>
              </w:rPr>
            </w:pPr>
            <w:r w:rsidRPr="009F7D35">
              <w:rPr>
                <w:rFonts w:ascii="Arial Narrow" w:hAnsi="Arial Narrow"/>
                <w:sz w:val="20"/>
                <w:szCs w:val="20"/>
              </w:rPr>
              <w:t>36 (69%)</w:t>
            </w:r>
          </w:p>
        </w:tc>
        <w:tc>
          <w:tcPr>
            <w:tcW w:w="851" w:type="dxa"/>
            <w:tcMar>
              <w:left w:w="28" w:type="dxa"/>
              <w:right w:w="28" w:type="dxa"/>
            </w:tcMar>
          </w:tcPr>
          <w:p w14:paraId="0340C55B" w14:textId="6E4A63F6" w:rsidR="00A93684" w:rsidRPr="009F7D35" w:rsidRDefault="00AD2AB9" w:rsidP="00AD2AB9">
            <w:pPr>
              <w:pStyle w:val="3-BodyText"/>
              <w:numPr>
                <w:ilvl w:val="0"/>
                <w:numId w:val="0"/>
              </w:numPr>
              <w:spacing w:after="0"/>
              <w:jc w:val="center"/>
              <w:rPr>
                <w:rFonts w:ascii="Arial Narrow" w:hAnsi="Arial Narrow"/>
                <w:sz w:val="20"/>
                <w:szCs w:val="20"/>
              </w:rPr>
            </w:pPr>
            <w:r w:rsidRPr="009F7D35">
              <w:rPr>
                <w:rFonts w:ascii="Arial Narrow" w:hAnsi="Arial Narrow"/>
                <w:sz w:val="20"/>
                <w:szCs w:val="20"/>
              </w:rPr>
              <w:t>80 (78%)</w:t>
            </w:r>
          </w:p>
        </w:tc>
        <w:tc>
          <w:tcPr>
            <w:tcW w:w="850" w:type="dxa"/>
            <w:tcMar>
              <w:left w:w="28" w:type="dxa"/>
              <w:right w:w="28" w:type="dxa"/>
            </w:tcMar>
          </w:tcPr>
          <w:p w14:paraId="66DFE044" w14:textId="4DD2E9B9" w:rsidR="00A93684" w:rsidRPr="009F7D35" w:rsidRDefault="00AD2AB9" w:rsidP="00AD2AB9">
            <w:pPr>
              <w:pStyle w:val="3-BodyText"/>
              <w:numPr>
                <w:ilvl w:val="0"/>
                <w:numId w:val="0"/>
              </w:numPr>
              <w:spacing w:after="0"/>
              <w:jc w:val="center"/>
              <w:rPr>
                <w:rFonts w:ascii="Arial Narrow" w:hAnsi="Arial Narrow"/>
                <w:sz w:val="20"/>
                <w:szCs w:val="20"/>
              </w:rPr>
            </w:pPr>
            <w:r w:rsidRPr="009F7D35">
              <w:rPr>
                <w:rFonts w:ascii="Arial Narrow" w:hAnsi="Arial Narrow"/>
                <w:sz w:val="20"/>
                <w:szCs w:val="20"/>
              </w:rPr>
              <w:t>79 (72%)</w:t>
            </w:r>
          </w:p>
        </w:tc>
        <w:tc>
          <w:tcPr>
            <w:tcW w:w="851" w:type="dxa"/>
            <w:tcMar>
              <w:left w:w="28" w:type="dxa"/>
              <w:right w:w="28" w:type="dxa"/>
            </w:tcMar>
          </w:tcPr>
          <w:p w14:paraId="35AB70FD" w14:textId="4A984B01" w:rsidR="00A93684" w:rsidRPr="009F7D35" w:rsidRDefault="00AD2AB9" w:rsidP="00AD2AB9">
            <w:pPr>
              <w:pStyle w:val="3-BodyText"/>
              <w:numPr>
                <w:ilvl w:val="0"/>
                <w:numId w:val="0"/>
              </w:numPr>
              <w:spacing w:after="0"/>
              <w:jc w:val="center"/>
              <w:rPr>
                <w:rFonts w:ascii="Arial Narrow" w:hAnsi="Arial Narrow"/>
                <w:sz w:val="20"/>
                <w:szCs w:val="20"/>
              </w:rPr>
            </w:pPr>
            <w:r w:rsidRPr="009F7D35">
              <w:rPr>
                <w:rFonts w:ascii="Arial Narrow" w:hAnsi="Arial Narrow"/>
                <w:sz w:val="20"/>
                <w:szCs w:val="20"/>
              </w:rPr>
              <w:t>52 (68%)</w:t>
            </w:r>
          </w:p>
        </w:tc>
        <w:tc>
          <w:tcPr>
            <w:tcW w:w="850" w:type="dxa"/>
            <w:tcMar>
              <w:left w:w="28" w:type="dxa"/>
              <w:right w:w="28" w:type="dxa"/>
            </w:tcMar>
          </w:tcPr>
          <w:p w14:paraId="0D1A740D" w14:textId="1920B45F" w:rsidR="00A93684" w:rsidRPr="009F7D35" w:rsidRDefault="00AD2AB9" w:rsidP="00AD2AB9">
            <w:pPr>
              <w:pStyle w:val="3-BodyText"/>
              <w:numPr>
                <w:ilvl w:val="0"/>
                <w:numId w:val="0"/>
              </w:numPr>
              <w:spacing w:after="0"/>
              <w:jc w:val="center"/>
              <w:rPr>
                <w:rFonts w:ascii="Arial Narrow" w:hAnsi="Arial Narrow"/>
                <w:sz w:val="20"/>
                <w:szCs w:val="20"/>
              </w:rPr>
            </w:pPr>
            <w:r w:rsidRPr="009F7D35">
              <w:rPr>
                <w:rFonts w:ascii="Arial Narrow" w:hAnsi="Arial Narrow"/>
                <w:sz w:val="20"/>
                <w:szCs w:val="20"/>
              </w:rPr>
              <w:t>39 (56%)</w:t>
            </w:r>
          </w:p>
        </w:tc>
        <w:tc>
          <w:tcPr>
            <w:tcW w:w="851" w:type="dxa"/>
            <w:tcMar>
              <w:left w:w="28" w:type="dxa"/>
              <w:right w:w="28" w:type="dxa"/>
            </w:tcMar>
          </w:tcPr>
          <w:p w14:paraId="4AE2DDE7" w14:textId="03E620AF" w:rsidR="00A93684" w:rsidRPr="009F7D35" w:rsidRDefault="00AD2AB9" w:rsidP="00AD2AB9">
            <w:pPr>
              <w:pStyle w:val="3-BodyText"/>
              <w:numPr>
                <w:ilvl w:val="0"/>
                <w:numId w:val="0"/>
              </w:numPr>
              <w:spacing w:after="0"/>
              <w:jc w:val="center"/>
              <w:rPr>
                <w:rFonts w:ascii="Arial Narrow" w:hAnsi="Arial Narrow"/>
                <w:sz w:val="20"/>
                <w:szCs w:val="20"/>
              </w:rPr>
            </w:pPr>
            <w:r w:rsidRPr="009F7D35">
              <w:rPr>
                <w:rFonts w:ascii="Arial Narrow" w:hAnsi="Arial Narrow"/>
                <w:sz w:val="20"/>
                <w:szCs w:val="20"/>
              </w:rPr>
              <w:t>6 (46%)</w:t>
            </w:r>
          </w:p>
        </w:tc>
        <w:tc>
          <w:tcPr>
            <w:tcW w:w="800" w:type="dxa"/>
            <w:tcMar>
              <w:left w:w="28" w:type="dxa"/>
              <w:right w:w="28" w:type="dxa"/>
            </w:tcMar>
          </w:tcPr>
          <w:p w14:paraId="7C67D62F" w14:textId="6F0F996A" w:rsidR="00A93684" w:rsidRPr="009F7D35" w:rsidRDefault="00AD2AB9" w:rsidP="00AD2AB9">
            <w:pPr>
              <w:pStyle w:val="3-BodyText"/>
              <w:numPr>
                <w:ilvl w:val="0"/>
                <w:numId w:val="0"/>
              </w:numPr>
              <w:spacing w:after="0"/>
              <w:jc w:val="center"/>
              <w:rPr>
                <w:rFonts w:ascii="Arial Narrow" w:hAnsi="Arial Narrow"/>
                <w:sz w:val="20"/>
                <w:szCs w:val="20"/>
              </w:rPr>
            </w:pPr>
            <w:r w:rsidRPr="009F7D35">
              <w:rPr>
                <w:rFonts w:ascii="Arial Narrow" w:hAnsi="Arial Narrow"/>
                <w:sz w:val="20"/>
                <w:szCs w:val="20"/>
              </w:rPr>
              <w:t>4 (67%)</w:t>
            </w:r>
          </w:p>
        </w:tc>
      </w:tr>
      <w:tr w:rsidR="00A93684" w:rsidRPr="0010205E" w14:paraId="3563857B" w14:textId="77777777" w:rsidTr="00AD2AB9">
        <w:tc>
          <w:tcPr>
            <w:tcW w:w="2122" w:type="dxa"/>
            <w:tcMar>
              <w:left w:w="28" w:type="dxa"/>
              <w:right w:w="28" w:type="dxa"/>
            </w:tcMar>
          </w:tcPr>
          <w:p w14:paraId="6A026BEC" w14:textId="4B1BE13D" w:rsidR="00A93684" w:rsidRPr="0010205E" w:rsidRDefault="00AD2AB9" w:rsidP="00A93684">
            <w:pPr>
              <w:pStyle w:val="3-BodyText"/>
              <w:numPr>
                <w:ilvl w:val="0"/>
                <w:numId w:val="0"/>
              </w:numPr>
              <w:spacing w:after="0"/>
              <w:rPr>
                <w:rFonts w:ascii="Arial Narrow" w:hAnsi="Arial Narrow"/>
                <w:sz w:val="20"/>
                <w:szCs w:val="20"/>
              </w:rPr>
            </w:pPr>
            <w:r w:rsidRPr="0010205E">
              <w:rPr>
                <w:rFonts w:ascii="Arial Narrow" w:hAnsi="Arial Narrow"/>
                <w:sz w:val="20"/>
                <w:szCs w:val="20"/>
              </w:rPr>
              <w:t>Patients censored, n (%)</w:t>
            </w:r>
          </w:p>
        </w:tc>
        <w:tc>
          <w:tcPr>
            <w:tcW w:w="992" w:type="dxa"/>
            <w:tcMar>
              <w:left w:w="28" w:type="dxa"/>
              <w:right w:w="28" w:type="dxa"/>
            </w:tcMar>
          </w:tcPr>
          <w:p w14:paraId="79F32961" w14:textId="6EA1A32F" w:rsidR="00A93684" w:rsidRPr="009F7D35" w:rsidRDefault="00AD2AB9" w:rsidP="00AD2AB9">
            <w:pPr>
              <w:pStyle w:val="3-BodyText"/>
              <w:numPr>
                <w:ilvl w:val="0"/>
                <w:numId w:val="0"/>
              </w:numPr>
              <w:spacing w:after="0"/>
              <w:jc w:val="center"/>
              <w:rPr>
                <w:rFonts w:ascii="Arial Narrow" w:hAnsi="Arial Narrow"/>
                <w:sz w:val="20"/>
                <w:szCs w:val="20"/>
              </w:rPr>
            </w:pPr>
            <w:r w:rsidRPr="009F7D35">
              <w:rPr>
                <w:rFonts w:ascii="Arial Narrow" w:hAnsi="Arial Narrow"/>
                <w:sz w:val="20"/>
                <w:szCs w:val="20"/>
              </w:rPr>
              <w:t>9 (21%)</w:t>
            </w:r>
          </w:p>
        </w:tc>
        <w:tc>
          <w:tcPr>
            <w:tcW w:w="850" w:type="dxa"/>
            <w:tcMar>
              <w:left w:w="28" w:type="dxa"/>
              <w:right w:w="28" w:type="dxa"/>
            </w:tcMar>
          </w:tcPr>
          <w:p w14:paraId="0087569E" w14:textId="1895BB8E" w:rsidR="00A93684" w:rsidRPr="009F7D35" w:rsidRDefault="00AD2AB9" w:rsidP="00AD2AB9">
            <w:pPr>
              <w:pStyle w:val="3-BodyText"/>
              <w:numPr>
                <w:ilvl w:val="0"/>
                <w:numId w:val="0"/>
              </w:numPr>
              <w:spacing w:after="0"/>
              <w:jc w:val="center"/>
              <w:rPr>
                <w:rFonts w:ascii="Arial Narrow" w:hAnsi="Arial Narrow"/>
                <w:sz w:val="20"/>
                <w:szCs w:val="20"/>
              </w:rPr>
            </w:pPr>
            <w:r w:rsidRPr="009F7D35">
              <w:rPr>
                <w:rFonts w:ascii="Arial Narrow" w:hAnsi="Arial Narrow"/>
                <w:sz w:val="20"/>
                <w:szCs w:val="20"/>
              </w:rPr>
              <w:t>16 (31%)</w:t>
            </w:r>
          </w:p>
        </w:tc>
        <w:tc>
          <w:tcPr>
            <w:tcW w:w="851" w:type="dxa"/>
            <w:tcMar>
              <w:left w:w="28" w:type="dxa"/>
              <w:right w:w="28" w:type="dxa"/>
            </w:tcMar>
          </w:tcPr>
          <w:p w14:paraId="63129FEC" w14:textId="055AA1F4" w:rsidR="00A93684" w:rsidRPr="009F7D35" w:rsidRDefault="00AD2AB9" w:rsidP="00AD2AB9">
            <w:pPr>
              <w:pStyle w:val="3-BodyText"/>
              <w:numPr>
                <w:ilvl w:val="0"/>
                <w:numId w:val="0"/>
              </w:numPr>
              <w:spacing w:after="0"/>
              <w:jc w:val="center"/>
              <w:rPr>
                <w:rFonts w:ascii="Arial Narrow" w:hAnsi="Arial Narrow"/>
                <w:sz w:val="20"/>
                <w:szCs w:val="20"/>
              </w:rPr>
            </w:pPr>
            <w:r w:rsidRPr="009F7D35">
              <w:rPr>
                <w:rFonts w:ascii="Arial Narrow" w:hAnsi="Arial Narrow"/>
                <w:sz w:val="20"/>
                <w:szCs w:val="20"/>
              </w:rPr>
              <w:t>22 (22%)</w:t>
            </w:r>
          </w:p>
        </w:tc>
        <w:tc>
          <w:tcPr>
            <w:tcW w:w="850" w:type="dxa"/>
            <w:tcMar>
              <w:left w:w="28" w:type="dxa"/>
              <w:right w:w="28" w:type="dxa"/>
            </w:tcMar>
          </w:tcPr>
          <w:p w14:paraId="5C8E073C" w14:textId="29635710" w:rsidR="00A93684" w:rsidRPr="009F7D35" w:rsidRDefault="00AD2AB9" w:rsidP="00AD2AB9">
            <w:pPr>
              <w:pStyle w:val="3-BodyText"/>
              <w:numPr>
                <w:ilvl w:val="0"/>
                <w:numId w:val="0"/>
              </w:numPr>
              <w:spacing w:after="0"/>
              <w:jc w:val="center"/>
              <w:rPr>
                <w:rFonts w:ascii="Arial Narrow" w:hAnsi="Arial Narrow"/>
                <w:sz w:val="20"/>
                <w:szCs w:val="20"/>
              </w:rPr>
            </w:pPr>
            <w:r w:rsidRPr="009F7D35">
              <w:rPr>
                <w:rFonts w:ascii="Arial Narrow" w:hAnsi="Arial Narrow"/>
                <w:sz w:val="20"/>
                <w:szCs w:val="20"/>
              </w:rPr>
              <w:t>31 (28%)</w:t>
            </w:r>
          </w:p>
        </w:tc>
        <w:tc>
          <w:tcPr>
            <w:tcW w:w="851" w:type="dxa"/>
            <w:tcMar>
              <w:left w:w="28" w:type="dxa"/>
              <w:right w:w="28" w:type="dxa"/>
            </w:tcMar>
          </w:tcPr>
          <w:p w14:paraId="4FB880AE" w14:textId="69A32C64" w:rsidR="00A93684" w:rsidRPr="009F7D35" w:rsidRDefault="00AD2AB9" w:rsidP="00AD2AB9">
            <w:pPr>
              <w:pStyle w:val="3-BodyText"/>
              <w:numPr>
                <w:ilvl w:val="0"/>
                <w:numId w:val="0"/>
              </w:numPr>
              <w:spacing w:after="0"/>
              <w:jc w:val="center"/>
              <w:rPr>
                <w:rFonts w:ascii="Arial Narrow" w:hAnsi="Arial Narrow"/>
                <w:sz w:val="20"/>
                <w:szCs w:val="20"/>
              </w:rPr>
            </w:pPr>
            <w:r w:rsidRPr="009F7D35">
              <w:rPr>
                <w:rFonts w:ascii="Arial Narrow" w:hAnsi="Arial Narrow"/>
                <w:sz w:val="20"/>
                <w:szCs w:val="20"/>
              </w:rPr>
              <w:t>25 (32%)</w:t>
            </w:r>
          </w:p>
        </w:tc>
        <w:tc>
          <w:tcPr>
            <w:tcW w:w="850" w:type="dxa"/>
            <w:tcMar>
              <w:left w:w="28" w:type="dxa"/>
              <w:right w:w="28" w:type="dxa"/>
            </w:tcMar>
          </w:tcPr>
          <w:p w14:paraId="742D8506" w14:textId="10FCCF54" w:rsidR="00A93684" w:rsidRPr="009F7D35" w:rsidRDefault="00AD2AB9" w:rsidP="00AD2AB9">
            <w:pPr>
              <w:pStyle w:val="3-BodyText"/>
              <w:numPr>
                <w:ilvl w:val="0"/>
                <w:numId w:val="0"/>
              </w:numPr>
              <w:spacing w:after="0"/>
              <w:jc w:val="center"/>
              <w:rPr>
                <w:rFonts w:ascii="Arial Narrow" w:hAnsi="Arial Narrow"/>
                <w:sz w:val="20"/>
                <w:szCs w:val="20"/>
              </w:rPr>
            </w:pPr>
            <w:r w:rsidRPr="009F7D35">
              <w:rPr>
                <w:rFonts w:ascii="Arial Narrow" w:hAnsi="Arial Narrow"/>
                <w:sz w:val="20"/>
                <w:szCs w:val="20"/>
              </w:rPr>
              <w:t>31 (44%)</w:t>
            </w:r>
          </w:p>
        </w:tc>
        <w:tc>
          <w:tcPr>
            <w:tcW w:w="851" w:type="dxa"/>
            <w:tcMar>
              <w:left w:w="28" w:type="dxa"/>
              <w:right w:w="28" w:type="dxa"/>
            </w:tcMar>
          </w:tcPr>
          <w:p w14:paraId="11553403" w14:textId="6ADD1EAC" w:rsidR="00A93684" w:rsidRPr="009F7D35" w:rsidRDefault="00AD2AB9" w:rsidP="00AD2AB9">
            <w:pPr>
              <w:pStyle w:val="3-BodyText"/>
              <w:numPr>
                <w:ilvl w:val="0"/>
                <w:numId w:val="0"/>
              </w:numPr>
              <w:spacing w:after="0"/>
              <w:jc w:val="center"/>
              <w:rPr>
                <w:rFonts w:ascii="Arial Narrow" w:hAnsi="Arial Narrow"/>
                <w:sz w:val="20"/>
                <w:szCs w:val="20"/>
              </w:rPr>
            </w:pPr>
            <w:r w:rsidRPr="009F7D35">
              <w:rPr>
                <w:rFonts w:ascii="Arial Narrow" w:hAnsi="Arial Narrow"/>
                <w:sz w:val="20"/>
                <w:szCs w:val="20"/>
              </w:rPr>
              <w:t>7 (54%)</w:t>
            </w:r>
          </w:p>
        </w:tc>
        <w:tc>
          <w:tcPr>
            <w:tcW w:w="800" w:type="dxa"/>
            <w:tcMar>
              <w:left w:w="28" w:type="dxa"/>
              <w:right w:w="28" w:type="dxa"/>
            </w:tcMar>
          </w:tcPr>
          <w:p w14:paraId="0CB9223F" w14:textId="42DDEBBC" w:rsidR="00A93684" w:rsidRPr="009F7D35" w:rsidRDefault="00AD2AB9" w:rsidP="00AD2AB9">
            <w:pPr>
              <w:pStyle w:val="3-BodyText"/>
              <w:numPr>
                <w:ilvl w:val="0"/>
                <w:numId w:val="0"/>
              </w:numPr>
              <w:spacing w:after="0"/>
              <w:jc w:val="center"/>
              <w:rPr>
                <w:rFonts w:ascii="Arial Narrow" w:hAnsi="Arial Narrow"/>
                <w:sz w:val="20"/>
                <w:szCs w:val="20"/>
              </w:rPr>
            </w:pPr>
            <w:r w:rsidRPr="009F7D35">
              <w:rPr>
                <w:rFonts w:ascii="Arial Narrow" w:hAnsi="Arial Narrow"/>
                <w:sz w:val="20"/>
                <w:szCs w:val="20"/>
              </w:rPr>
              <w:t>2 (33%)</w:t>
            </w:r>
          </w:p>
        </w:tc>
      </w:tr>
      <w:tr w:rsidR="00AD2AB9" w:rsidRPr="0010205E" w14:paraId="41AA6D91" w14:textId="77777777" w:rsidTr="00AD2AB9">
        <w:tc>
          <w:tcPr>
            <w:tcW w:w="2122" w:type="dxa"/>
            <w:tcMar>
              <w:left w:w="28" w:type="dxa"/>
              <w:right w:w="28" w:type="dxa"/>
            </w:tcMar>
          </w:tcPr>
          <w:p w14:paraId="46049B2C" w14:textId="6B882D3D" w:rsidR="00AD2AB9" w:rsidRPr="0010205E" w:rsidRDefault="00AD2AB9" w:rsidP="00A93684">
            <w:pPr>
              <w:pStyle w:val="3-BodyText"/>
              <w:numPr>
                <w:ilvl w:val="0"/>
                <w:numId w:val="0"/>
              </w:numPr>
              <w:spacing w:after="0"/>
              <w:rPr>
                <w:rFonts w:ascii="Arial Narrow" w:hAnsi="Arial Narrow"/>
                <w:sz w:val="20"/>
                <w:szCs w:val="20"/>
              </w:rPr>
            </w:pPr>
            <w:r w:rsidRPr="0010205E">
              <w:rPr>
                <w:rFonts w:ascii="Arial Narrow" w:hAnsi="Arial Narrow"/>
                <w:sz w:val="20"/>
                <w:szCs w:val="20"/>
              </w:rPr>
              <w:t>HR (95% CI)</w:t>
            </w:r>
            <w:r w:rsidRPr="0010205E">
              <w:rPr>
                <w:rFonts w:ascii="Arial Narrow" w:hAnsi="Arial Narrow"/>
                <w:sz w:val="20"/>
                <w:szCs w:val="20"/>
                <w:vertAlign w:val="superscript"/>
              </w:rPr>
              <w:t>a</w:t>
            </w:r>
          </w:p>
        </w:tc>
        <w:tc>
          <w:tcPr>
            <w:tcW w:w="1842" w:type="dxa"/>
            <w:gridSpan w:val="2"/>
            <w:tcMar>
              <w:left w:w="28" w:type="dxa"/>
              <w:right w:w="28" w:type="dxa"/>
            </w:tcMar>
          </w:tcPr>
          <w:p w14:paraId="57D01EAE" w14:textId="7E98F863" w:rsidR="00AD2AB9" w:rsidRPr="009F7D35" w:rsidRDefault="00AD2AB9" w:rsidP="00AD2AB9">
            <w:pPr>
              <w:pStyle w:val="3-BodyText"/>
              <w:numPr>
                <w:ilvl w:val="0"/>
                <w:numId w:val="0"/>
              </w:numPr>
              <w:spacing w:after="0"/>
              <w:jc w:val="center"/>
              <w:rPr>
                <w:rFonts w:ascii="Arial Narrow" w:hAnsi="Arial Narrow"/>
                <w:sz w:val="20"/>
                <w:szCs w:val="20"/>
              </w:rPr>
            </w:pPr>
            <w:r w:rsidRPr="009F7D35">
              <w:rPr>
                <w:rFonts w:ascii="Arial Narrow" w:hAnsi="Arial Narrow"/>
                <w:sz w:val="20"/>
                <w:szCs w:val="20"/>
              </w:rPr>
              <w:t>0.54 (0.33, 0.87)</w:t>
            </w:r>
          </w:p>
        </w:tc>
        <w:tc>
          <w:tcPr>
            <w:tcW w:w="1701" w:type="dxa"/>
            <w:gridSpan w:val="2"/>
            <w:tcMar>
              <w:left w:w="28" w:type="dxa"/>
              <w:right w:w="28" w:type="dxa"/>
            </w:tcMar>
          </w:tcPr>
          <w:p w14:paraId="396D1137" w14:textId="305B6081" w:rsidR="00AD2AB9" w:rsidRPr="009F7D35" w:rsidRDefault="00AD2AB9" w:rsidP="00AD2AB9">
            <w:pPr>
              <w:pStyle w:val="3-BodyText"/>
              <w:numPr>
                <w:ilvl w:val="0"/>
                <w:numId w:val="0"/>
              </w:numPr>
              <w:spacing w:after="0"/>
              <w:jc w:val="center"/>
              <w:rPr>
                <w:rFonts w:ascii="Arial Narrow" w:hAnsi="Arial Narrow"/>
                <w:sz w:val="20"/>
                <w:szCs w:val="20"/>
              </w:rPr>
            </w:pPr>
            <w:r w:rsidRPr="009F7D35">
              <w:rPr>
                <w:rFonts w:ascii="Arial Narrow" w:hAnsi="Arial Narrow"/>
                <w:sz w:val="20"/>
                <w:szCs w:val="20"/>
              </w:rPr>
              <w:t>0.73 (0.53, 1.00)</w:t>
            </w:r>
          </w:p>
        </w:tc>
        <w:tc>
          <w:tcPr>
            <w:tcW w:w="1701" w:type="dxa"/>
            <w:gridSpan w:val="2"/>
            <w:tcMar>
              <w:left w:w="28" w:type="dxa"/>
              <w:right w:w="28" w:type="dxa"/>
            </w:tcMar>
          </w:tcPr>
          <w:p w14:paraId="5D6969BA" w14:textId="669DF3FC" w:rsidR="00AD2AB9" w:rsidRPr="009F7D35" w:rsidRDefault="00AD2AB9" w:rsidP="00AD2AB9">
            <w:pPr>
              <w:pStyle w:val="3-BodyText"/>
              <w:numPr>
                <w:ilvl w:val="0"/>
                <w:numId w:val="0"/>
              </w:numPr>
              <w:spacing w:after="0"/>
              <w:jc w:val="center"/>
              <w:rPr>
                <w:rFonts w:ascii="Arial Narrow" w:hAnsi="Arial Narrow"/>
                <w:sz w:val="20"/>
                <w:szCs w:val="20"/>
              </w:rPr>
            </w:pPr>
            <w:r w:rsidRPr="009F7D35">
              <w:rPr>
                <w:rFonts w:ascii="Arial Narrow" w:hAnsi="Arial Narrow"/>
                <w:sz w:val="20"/>
                <w:szCs w:val="20"/>
              </w:rPr>
              <w:t>0.68 (0.44, 1.04)</w:t>
            </w:r>
          </w:p>
        </w:tc>
        <w:tc>
          <w:tcPr>
            <w:tcW w:w="1651" w:type="dxa"/>
            <w:gridSpan w:val="2"/>
            <w:tcMar>
              <w:left w:w="28" w:type="dxa"/>
              <w:right w:w="28" w:type="dxa"/>
            </w:tcMar>
          </w:tcPr>
          <w:p w14:paraId="0A0A2141" w14:textId="569A3808" w:rsidR="00AD2AB9" w:rsidRPr="009F7D35" w:rsidRDefault="00AD2AB9" w:rsidP="00AD2AB9">
            <w:pPr>
              <w:pStyle w:val="3-BodyText"/>
              <w:numPr>
                <w:ilvl w:val="0"/>
                <w:numId w:val="0"/>
              </w:numPr>
              <w:spacing w:after="0"/>
              <w:jc w:val="center"/>
              <w:rPr>
                <w:rFonts w:ascii="Arial Narrow" w:hAnsi="Arial Narrow"/>
                <w:sz w:val="20"/>
                <w:szCs w:val="20"/>
              </w:rPr>
            </w:pPr>
            <w:r w:rsidRPr="009F7D35">
              <w:rPr>
                <w:rFonts w:ascii="Arial Narrow" w:hAnsi="Arial Narrow"/>
                <w:sz w:val="20"/>
                <w:szCs w:val="20"/>
              </w:rPr>
              <w:t>0.99 (0.23, 4.25)</w:t>
            </w:r>
          </w:p>
        </w:tc>
      </w:tr>
      <w:tr w:rsidR="00AD2AB9" w:rsidRPr="0010205E" w14:paraId="36603894" w14:textId="77777777" w:rsidTr="00AD2AB9">
        <w:tc>
          <w:tcPr>
            <w:tcW w:w="2122" w:type="dxa"/>
            <w:tcMar>
              <w:left w:w="28" w:type="dxa"/>
              <w:right w:w="28" w:type="dxa"/>
            </w:tcMar>
          </w:tcPr>
          <w:p w14:paraId="423A1AEF" w14:textId="623C79EA" w:rsidR="00AD2AB9" w:rsidRPr="0010205E" w:rsidRDefault="00AD2AB9" w:rsidP="00A93684">
            <w:pPr>
              <w:pStyle w:val="3-BodyText"/>
              <w:numPr>
                <w:ilvl w:val="0"/>
                <w:numId w:val="0"/>
              </w:numPr>
              <w:spacing w:after="0"/>
              <w:rPr>
                <w:rFonts w:ascii="Arial Narrow" w:hAnsi="Arial Narrow"/>
                <w:sz w:val="20"/>
                <w:szCs w:val="20"/>
              </w:rPr>
            </w:pPr>
            <w:r w:rsidRPr="0010205E">
              <w:rPr>
                <w:rFonts w:ascii="Arial Narrow" w:hAnsi="Arial Narrow"/>
                <w:sz w:val="20"/>
                <w:szCs w:val="20"/>
              </w:rPr>
              <w:t>HR (95% CI)</w:t>
            </w:r>
            <w:r w:rsidRPr="0010205E">
              <w:rPr>
                <w:rFonts w:ascii="Arial Narrow" w:hAnsi="Arial Narrow"/>
                <w:sz w:val="20"/>
                <w:szCs w:val="20"/>
                <w:vertAlign w:val="superscript"/>
              </w:rPr>
              <w:t>b</w:t>
            </w:r>
          </w:p>
        </w:tc>
        <w:tc>
          <w:tcPr>
            <w:tcW w:w="1842" w:type="dxa"/>
            <w:gridSpan w:val="2"/>
            <w:tcMar>
              <w:left w:w="28" w:type="dxa"/>
              <w:right w:w="28" w:type="dxa"/>
            </w:tcMar>
          </w:tcPr>
          <w:p w14:paraId="7E6228A0" w14:textId="3B6A69A9" w:rsidR="00AD2AB9" w:rsidRPr="009F7D35" w:rsidRDefault="00AD2AB9" w:rsidP="00AD2AB9">
            <w:pPr>
              <w:pStyle w:val="3-BodyText"/>
              <w:numPr>
                <w:ilvl w:val="0"/>
                <w:numId w:val="0"/>
              </w:numPr>
              <w:spacing w:after="0"/>
              <w:jc w:val="center"/>
              <w:rPr>
                <w:rFonts w:ascii="Arial Narrow" w:hAnsi="Arial Narrow"/>
                <w:sz w:val="20"/>
                <w:szCs w:val="20"/>
              </w:rPr>
            </w:pPr>
            <w:r w:rsidRPr="009F7D35">
              <w:rPr>
                <w:rFonts w:ascii="Arial Narrow" w:hAnsi="Arial Narrow"/>
                <w:sz w:val="20"/>
                <w:szCs w:val="20"/>
              </w:rPr>
              <w:t>0.55 (0.34, 0.89)</w:t>
            </w:r>
          </w:p>
        </w:tc>
        <w:tc>
          <w:tcPr>
            <w:tcW w:w="1701" w:type="dxa"/>
            <w:gridSpan w:val="2"/>
            <w:tcMar>
              <w:left w:w="28" w:type="dxa"/>
              <w:right w:w="28" w:type="dxa"/>
            </w:tcMar>
          </w:tcPr>
          <w:p w14:paraId="00D2EFF5" w14:textId="59B56FD6" w:rsidR="00AD2AB9" w:rsidRPr="009F7D35" w:rsidRDefault="00AD2AB9" w:rsidP="00AD2AB9">
            <w:pPr>
              <w:pStyle w:val="3-BodyText"/>
              <w:numPr>
                <w:ilvl w:val="0"/>
                <w:numId w:val="0"/>
              </w:numPr>
              <w:spacing w:after="0"/>
              <w:jc w:val="center"/>
              <w:rPr>
                <w:rFonts w:ascii="Arial Narrow" w:hAnsi="Arial Narrow"/>
                <w:sz w:val="20"/>
                <w:szCs w:val="20"/>
              </w:rPr>
            </w:pPr>
            <w:r w:rsidRPr="009F7D35">
              <w:rPr>
                <w:rFonts w:ascii="Arial Narrow" w:hAnsi="Arial Narrow"/>
                <w:sz w:val="20"/>
                <w:szCs w:val="20"/>
              </w:rPr>
              <w:t>0.75 (0.55, 1.02)</w:t>
            </w:r>
          </w:p>
        </w:tc>
        <w:tc>
          <w:tcPr>
            <w:tcW w:w="1701" w:type="dxa"/>
            <w:gridSpan w:val="2"/>
            <w:tcMar>
              <w:left w:w="28" w:type="dxa"/>
              <w:right w:w="28" w:type="dxa"/>
            </w:tcMar>
          </w:tcPr>
          <w:p w14:paraId="01F693D6" w14:textId="34F3949B" w:rsidR="00AD2AB9" w:rsidRPr="009F7D35" w:rsidRDefault="00AD2AB9" w:rsidP="00AD2AB9">
            <w:pPr>
              <w:pStyle w:val="3-BodyText"/>
              <w:numPr>
                <w:ilvl w:val="0"/>
                <w:numId w:val="0"/>
              </w:numPr>
              <w:spacing w:after="0"/>
              <w:jc w:val="center"/>
              <w:rPr>
                <w:rFonts w:ascii="Arial Narrow" w:hAnsi="Arial Narrow"/>
                <w:sz w:val="20"/>
                <w:szCs w:val="20"/>
              </w:rPr>
            </w:pPr>
            <w:r w:rsidRPr="009F7D35">
              <w:rPr>
                <w:rFonts w:ascii="Arial Narrow" w:hAnsi="Arial Narrow"/>
                <w:sz w:val="20"/>
                <w:szCs w:val="20"/>
              </w:rPr>
              <w:t>0.69 (0.45, 1.04)</w:t>
            </w:r>
          </w:p>
        </w:tc>
        <w:tc>
          <w:tcPr>
            <w:tcW w:w="1651" w:type="dxa"/>
            <w:gridSpan w:val="2"/>
            <w:tcMar>
              <w:left w:w="28" w:type="dxa"/>
              <w:right w:w="28" w:type="dxa"/>
            </w:tcMar>
          </w:tcPr>
          <w:p w14:paraId="61A5F2CB" w14:textId="186457D4" w:rsidR="00AD2AB9" w:rsidRPr="009F7D35" w:rsidRDefault="00AD2AB9" w:rsidP="00AD2AB9">
            <w:pPr>
              <w:pStyle w:val="3-BodyText"/>
              <w:numPr>
                <w:ilvl w:val="0"/>
                <w:numId w:val="0"/>
              </w:numPr>
              <w:spacing w:after="0"/>
              <w:jc w:val="center"/>
              <w:rPr>
                <w:rFonts w:ascii="Arial Narrow" w:hAnsi="Arial Narrow"/>
                <w:sz w:val="20"/>
                <w:szCs w:val="20"/>
              </w:rPr>
            </w:pPr>
            <w:r w:rsidRPr="009F7D35">
              <w:rPr>
                <w:rFonts w:ascii="Arial Narrow" w:hAnsi="Arial Narrow"/>
                <w:sz w:val="20"/>
                <w:szCs w:val="20"/>
              </w:rPr>
              <w:t>1.37 (0.37, 5.02)</w:t>
            </w:r>
          </w:p>
        </w:tc>
      </w:tr>
    </w:tbl>
    <w:p w14:paraId="173C062A" w14:textId="5FDC66F9" w:rsidR="00A93684" w:rsidRPr="0010205E" w:rsidRDefault="00AD2AB9" w:rsidP="00AD2AB9">
      <w:pPr>
        <w:pStyle w:val="3-BodyText"/>
        <w:numPr>
          <w:ilvl w:val="0"/>
          <w:numId w:val="0"/>
        </w:numPr>
        <w:spacing w:after="0"/>
        <w:rPr>
          <w:rFonts w:ascii="Arial Narrow" w:hAnsi="Arial Narrow"/>
          <w:sz w:val="18"/>
          <w:szCs w:val="18"/>
        </w:rPr>
      </w:pPr>
      <w:r w:rsidRPr="0010205E">
        <w:rPr>
          <w:rFonts w:ascii="Arial Narrow" w:hAnsi="Arial Narrow"/>
          <w:sz w:val="18"/>
          <w:szCs w:val="18"/>
        </w:rPr>
        <w:t xml:space="preserve">Source: </w:t>
      </w:r>
      <w:r w:rsidR="00764888" w:rsidRPr="0010205E">
        <w:rPr>
          <w:rFonts w:ascii="Arial Narrow" w:hAnsi="Arial Narrow"/>
          <w:sz w:val="18"/>
          <w:szCs w:val="18"/>
        </w:rPr>
        <w:t xml:space="preserve">Table 36, p100 of the USA FDA Multi-discipline review, cited in the </w:t>
      </w:r>
      <w:r w:rsidRPr="0010205E">
        <w:rPr>
          <w:rFonts w:ascii="Arial Narrow" w:hAnsi="Arial Narrow"/>
          <w:sz w:val="18"/>
          <w:szCs w:val="18"/>
        </w:rPr>
        <w:t>TGA Delegate’s Overview, Table 6</w:t>
      </w:r>
      <w:r w:rsidR="00764888" w:rsidRPr="0010205E">
        <w:rPr>
          <w:rFonts w:ascii="Arial Narrow" w:hAnsi="Arial Narrow"/>
          <w:sz w:val="18"/>
          <w:szCs w:val="18"/>
        </w:rPr>
        <w:t>, p10</w:t>
      </w:r>
    </w:p>
    <w:p w14:paraId="2F41BB93" w14:textId="3B6B4CFA" w:rsidR="00AD2AB9" w:rsidRPr="0010205E" w:rsidRDefault="002F1494" w:rsidP="00AD2AB9">
      <w:pPr>
        <w:pStyle w:val="3-BodyText"/>
        <w:numPr>
          <w:ilvl w:val="0"/>
          <w:numId w:val="0"/>
        </w:numPr>
        <w:spacing w:after="0"/>
        <w:rPr>
          <w:rFonts w:ascii="Arial Narrow" w:hAnsi="Arial Narrow"/>
          <w:sz w:val="18"/>
          <w:szCs w:val="18"/>
        </w:rPr>
      </w:pPr>
      <w:r w:rsidRPr="0010205E">
        <w:rPr>
          <w:rFonts w:ascii="Arial Narrow" w:hAnsi="Arial Narrow"/>
          <w:sz w:val="18"/>
          <w:szCs w:val="18"/>
        </w:rPr>
        <w:t xml:space="preserve">Abbreviations: </w:t>
      </w:r>
      <w:r w:rsidR="00AD2AB9" w:rsidRPr="0010205E">
        <w:rPr>
          <w:rFonts w:ascii="Arial Narrow" w:hAnsi="Arial Narrow"/>
          <w:sz w:val="18"/>
          <w:szCs w:val="18"/>
        </w:rPr>
        <w:t>AZA = azacitidine; HR = hazard ratio; PBO = placebo</w:t>
      </w:r>
    </w:p>
    <w:p w14:paraId="289F7CCC" w14:textId="1E8A6A93" w:rsidR="00AD2AB9" w:rsidRPr="0010205E" w:rsidRDefault="00AD2AB9" w:rsidP="00AD2AB9">
      <w:pPr>
        <w:pStyle w:val="3-BodyText"/>
        <w:numPr>
          <w:ilvl w:val="0"/>
          <w:numId w:val="0"/>
        </w:numPr>
        <w:spacing w:after="0"/>
        <w:rPr>
          <w:rFonts w:ascii="Arial Narrow" w:hAnsi="Arial Narrow"/>
          <w:sz w:val="18"/>
          <w:szCs w:val="18"/>
        </w:rPr>
      </w:pPr>
      <w:r w:rsidRPr="0010205E">
        <w:rPr>
          <w:rFonts w:ascii="Arial Narrow" w:hAnsi="Arial Narrow"/>
          <w:sz w:val="18"/>
          <w:szCs w:val="18"/>
        </w:rPr>
        <w:t xml:space="preserve">a Estimated with Cox proportional hazard model and log-rank test stratified by age at time of induction therapy (55-64 versus </w:t>
      </w:r>
      <w:r w:rsidRPr="0010205E">
        <w:rPr>
          <w:rFonts w:ascii="Arial Narrow" w:hAnsi="Arial Narrow" w:cstheme="minorHAnsi"/>
          <w:sz w:val="18"/>
          <w:szCs w:val="18"/>
        </w:rPr>
        <w:t>≥</w:t>
      </w:r>
      <w:r w:rsidRPr="0010205E">
        <w:rPr>
          <w:rFonts w:ascii="Arial Narrow" w:hAnsi="Arial Narrow"/>
          <w:sz w:val="18"/>
          <w:szCs w:val="18"/>
        </w:rPr>
        <w:t xml:space="preserve"> 65 years), cytogenetic risk category at time of induction therapy (intermediate versus poor risk) and received consolidation therapy following induction therapy (yes versus no)</w:t>
      </w:r>
    </w:p>
    <w:p w14:paraId="3F273D54" w14:textId="0EEC77D6" w:rsidR="00AD2AB9" w:rsidRPr="0010205E" w:rsidRDefault="00AD2AB9" w:rsidP="00AD2AB9">
      <w:pPr>
        <w:pStyle w:val="3-BodyText"/>
        <w:numPr>
          <w:ilvl w:val="0"/>
          <w:numId w:val="0"/>
        </w:numPr>
        <w:rPr>
          <w:rFonts w:ascii="Arial Narrow" w:hAnsi="Arial Narrow"/>
          <w:sz w:val="18"/>
          <w:szCs w:val="18"/>
        </w:rPr>
      </w:pPr>
      <w:r w:rsidRPr="0010205E">
        <w:rPr>
          <w:rFonts w:ascii="Arial Narrow" w:hAnsi="Arial Narrow"/>
          <w:sz w:val="18"/>
          <w:szCs w:val="18"/>
        </w:rPr>
        <w:t>b Estimated with unstratified Cox proportional hazard model and log-rank test</w:t>
      </w:r>
    </w:p>
    <w:p w14:paraId="1B1C1395" w14:textId="79B5D5D6" w:rsidR="00A43F3E" w:rsidRDefault="00A43F3E" w:rsidP="004E6826">
      <w:pPr>
        <w:pStyle w:val="3-BodyText"/>
      </w:pPr>
      <w:r>
        <w:t xml:space="preserve">The submission argued </w:t>
      </w:r>
      <w:r w:rsidRPr="00A43F3E">
        <w:t>the results</w:t>
      </w:r>
      <w:r w:rsidR="007B6148">
        <w:t xml:space="preserve"> from</w:t>
      </w:r>
      <w:r w:rsidRPr="00A43F3E">
        <w:t xml:space="preserve"> the subgroup analyses of OS do not support restricting the use of oral azacitidine in any specific subgroup(s) of patients enrolled in the QUAZAR trial. </w:t>
      </w:r>
    </w:p>
    <w:p w14:paraId="1452C351" w14:textId="62F918F7" w:rsidR="00B60939" w:rsidRDefault="00B60939" w:rsidP="00D86231">
      <w:pPr>
        <w:pStyle w:val="4-SubsectionHeading"/>
      </w:pPr>
      <w:bookmarkStart w:id="37" w:name="_Toc22897642"/>
      <w:bookmarkStart w:id="38" w:name="_Toc103244679"/>
      <w:r w:rsidRPr="00C9624D">
        <w:lastRenderedPageBreak/>
        <w:t>Comparative harms</w:t>
      </w:r>
      <w:bookmarkEnd w:id="37"/>
      <w:bookmarkEnd w:id="38"/>
    </w:p>
    <w:p w14:paraId="093FA801" w14:textId="07780811" w:rsidR="001C7F75" w:rsidRPr="001C7F75" w:rsidRDefault="0080242D" w:rsidP="0097709A">
      <w:pPr>
        <w:pStyle w:val="5-SubsectionSubheading"/>
      </w:pPr>
      <w:bookmarkStart w:id="39" w:name="_Toc103244680"/>
      <w:r>
        <w:t>T</w:t>
      </w:r>
      <w:r w:rsidR="001C7F75" w:rsidRPr="001C7F75">
        <w:t xml:space="preserve">reatment emergent adverse events </w:t>
      </w:r>
      <w:bookmarkEnd w:id="39"/>
    </w:p>
    <w:p w14:paraId="52DF68F1" w14:textId="1FC05080" w:rsidR="00F2492C" w:rsidRDefault="001C7F75" w:rsidP="00D86231">
      <w:pPr>
        <w:pStyle w:val="3-BodyText"/>
      </w:pPr>
      <w:r w:rsidRPr="001C7F75">
        <w:t xml:space="preserve">The submission presented a summary of </w:t>
      </w:r>
      <w:r w:rsidR="00307F5E">
        <w:t>treatment emergent adverse events (</w:t>
      </w:r>
      <w:r w:rsidRPr="001C7F75">
        <w:t>TEAEs</w:t>
      </w:r>
      <w:r w:rsidR="00307F5E">
        <w:t>)</w:t>
      </w:r>
      <w:r w:rsidRPr="001C7F75">
        <w:t xml:space="preserve"> in the safety population</w:t>
      </w:r>
      <w:r w:rsidR="00F2492C">
        <w:t xml:space="preserve"> (</w:t>
      </w:r>
      <w:r w:rsidR="00F2492C" w:rsidRPr="00843543">
        <w:t xml:space="preserve">defined as all randomised patients who received at least </w:t>
      </w:r>
      <w:r w:rsidR="00307F5E">
        <w:t>1</w:t>
      </w:r>
      <w:r w:rsidR="00F2492C" w:rsidRPr="00843543">
        <w:t xml:space="preserve"> dose of study treatment</w:t>
      </w:r>
      <w:r w:rsidR="00F2492C">
        <w:t>)</w:t>
      </w:r>
      <w:r w:rsidRPr="001C7F75">
        <w:t xml:space="preserve"> based on the primary analysis (July 2019 data</w:t>
      </w:r>
      <w:r>
        <w:t xml:space="preserve"> </w:t>
      </w:r>
      <w:r w:rsidRPr="001C7F75">
        <w:t>cut</w:t>
      </w:r>
      <w:r>
        <w:t>-</w:t>
      </w:r>
      <w:r w:rsidRPr="001C7F75">
        <w:t>off)</w:t>
      </w:r>
      <w:r w:rsidR="00F2492C">
        <w:t xml:space="preserve">, </w:t>
      </w:r>
      <w:r w:rsidR="00F2492C">
        <w:fldChar w:fldCharType="begin" w:fldLock="1"/>
      </w:r>
      <w:r w:rsidR="00F2492C">
        <w:instrText xml:space="preserve"> REF _Ref100765716 \h </w:instrText>
      </w:r>
      <w:r w:rsidR="00F2492C">
        <w:fldChar w:fldCharType="separate"/>
      </w:r>
      <w:r w:rsidR="00602E88">
        <w:t xml:space="preserve">Table </w:t>
      </w:r>
      <w:r w:rsidR="00602E88">
        <w:rPr>
          <w:noProof/>
        </w:rPr>
        <w:t>7</w:t>
      </w:r>
      <w:r w:rsidR="00F2492C">
        <w:fldChar w:fldCharType="end"/>
      </w:r>
      <w:r w:rsidR="00F2492C">
        <w:t xml:space="preserve">. </w:t>
      </w:r>
    </w:p>
    <w:p w14:paraId="2DAF16D1" w14:textId="61CE60E6" w:rsidR="00B60939" w:rsidRPr="00F20166" w:rsidRDefault="00F2492C" w:rsidP="00F20166">
      <w:pPr>
        <w:pStyle w:val="3-BodyText"/>
      </w:pPr>
      <w:r>
        <w:t xml:space="preserve">The submission argued that the proportions of patients who experienced </w:t>
      </w:r>
      <w:r w:rsidRPr="00436AD4">
        <w:t>TEAEs ≥</w:t>
      </w:r>
      <w:r w:rsidR="007F6B8F">
        <w:t> </w:t>
      </w:r>
      <w:r w:rsidRPr="00436AD4">
        <w:t>Grade 3 in both treatment arms</w:t>
      </w:r>
      <w:r w:rsidR="009D15AF">
        <w:t xml:space="preserve"> suggest</w:t>
      </w:r>
      <w:r w:rsidR="00307F5E">
        <w:t>ed</w:t>
      </w:r>
      <w:r w:rsidR="009D15AF">
        <w:t xml:space="preserve"> that </w:t>
      </w:r>
      <w:r>
        <w:t xml:space="preserve">concomitant </w:t>
      </w:r>
      <w:r w:rsidR="00307F5E">
        <w:t>BSC</w:t>
      </w:r>
      <w:r>
        <w:t xml:space="preserve"> treatments may have contributed to the rate reported in the oral azacitidine arm. </w:t>
      </w:r>
      <w:r w:rsidRPr="007F034A">
        <w:t xml:space="preserve">While the rate of TEAEs ≥ Grade 3 was high in both the oral azacitidine and </w:t>
      </w:r>
      <w:r w:rsidR="009B5D5E" w:rsidRPr="007F034A">
        <w:t>BSC</w:t>
      </w:r>
      <w:r w:rsidRPr="007F034A">
        <w:t xml:space="preserve"> arm, a higher rate was observed in the oral azacitidine arm. A higher rate of TEAEs resulting in treatment discontinuation was also observed in the oral azacitidine arm compared to the </w:t>
      </w:r>
      <w:r w:rsidR="009B5D5E" w:rsidRPr="007F034A">
        <w:t>BSC</w:t>
      </w:r>
      <w:r w:rsidRPr="007F034A">
        <w:t xml:space="preserve"> arm</w:t>
      </w:r>
      <w:r w:rsidR="00F20166">
        <w:t>.</w:t>
      </w:r>
    </w:p>
    <w:p w14:paraId="7CB68CE1" w14:textId="41FA877B" w:rsidR="00F2492C" w:rsidRDefault="00F2492C" w:rsidP="00F52451">
      <w:pPr>
        <w:pStyle w:val="TableFigureHeading"/>
      </w:pPr>
      <w:bookmarkStart w:id="40" w:name="_Ref100765716"/>
      <w:r>
        <w:t xml:space="preserve">Table </w:t>
      </w:r>
      <w:r w:rsidR="00396D16">
        <w:fldChar w:fldCharType="begin" w:fldLock="1"/>
      </w:r>
      <w:r w:rsidR="00396D16">
        <w:instrText xml:space="preserve"> SEQ Table \* ARABIC </w:instrText>
      </w:r>
      <w:r w:rsidR="00396D16">
        <w:fldChar w:fldCharType="separate"/>
      </w:r>
      <w:r w:rsidR="00602E88">
        <w:rPr>
          <w:noProof/>
        </w:rPr>
        <w:t>7</w:t>
      </w:r>
      <w:r w:rsidR="00396D16">
        <w:rPr>
          <w:noProof/>
        </w:rPr>
        <w:fldChar w:fldCharType="end"/>
      </w:r>
      <w:bookmarkEnd w:id="40"/>
      <w:r>
        <w:t xml:space="preserve">: </w:t>
      </w:r>
      <w:r w:rsidRPr="00883872">
        <w:t>Summary of TEAEs in QUAZAR (safety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Summary of TEAEs in QUAZAR (safety population)"/>
      </w:tblPr>
      <w:tblGrid>
        <w:gridCol w:w="4390"/>
        <w:gridCol w:w="2268"/>
        <w:gridCol w:w="2359"/>
      </w:tblGrid>
      <w:tr w:rsidR="00F2492C" w14:paraId="4A7BFBA5" w14:textId="77777777" w:rsidTr="007F6B8F">
        <w:tc>
          <w:tcPr>
            <w:tcW w:w="4390" w:type="dxa"/>
            <w:vAlign w:val="center"/>
          </w:tcPr>
          <w:p w14:paraId="06AA2034" w14:textId="3D66B17F" w:rsidR="00F2492C" w:rsidRDefault="00F2492C" w:rsidP="001171E8">
            <w:pPr>
              <w:pStyle w:val="In-tableHeading"/>
            </w:pPr>
          </w:p>
        </w:tc>
        <w:tc>
          <w:tcPr>
            <w:tcW w:w="2268" w:type="dxa"/>
            <w:vAlign w:val="center"/>
          </w:tcPr>
          <w:p w14:paraId="47A21D64" w14:textId="48268B89" w:rsidR="00F2492C" w:rsidRDefault="00F2492C" w:rsidP="001171E8">
            <w:pPr>
              <w:pStyle w:val="In-tableHeading"/>
              <w:jc w:val="center"/>
            </w:pPr>
            <w:r>
              <w:t>Oral azacitidine</w:t>
            </w:r>
            <w:r w:rsidR="00DD6BCA">
              <w:t>.</w:t>
            </w:r>
          </w:p>
          <w:p w14:paraId="314E6F81" w14:textId="0076FDD0" w:rsidR="00F2492C" w:rsidRDefault="00F2492C" w:rsidP="001171E8">
            <w:pPr>
              <w:pStyle w:val="In-tableHeading"/>
              <w:jc w:val="center"/>
            </w:pPr>
            <w:r>
              <w:t>n/N (%)</w:t>
            </w:r>
          </w:p>
        </w:tc>
        <w:tc>
          <w:tcPr>
            <w:tcW w:w="2359" w:type="dxa"/>
            <w:vAlign w:val="center"/>
          </w:tcPr>
          <w:p w14:paraId="29186A1A" w14:textId="09C3F3A5" w:rsidR="00F2492C" w:rsidRDefault="009B5D5E" w:rsidP="001171E8">
            <w:pPr>
              <w:pStyle w:val="In-tableHeading"/>
              <w:jc w:val="center"/>
            </w:pPr>
            <w:r>
              <w:t>BSC</w:t>
            </w:r>
            <w:r w:rsidR="00DD6BCA">
              <w:t>.</w:t>
            </w:r>
          </w:p>
          <w:p w14:paraId="28AB30CD" w14:textId="74BE6B47" w:rsidR="00F2492C" w:rsidRDefault="00F2492C" w:rsidP="001171E8">
            <w:pPr>
              <w:pStyle w:val="In-tableHeading"/>
              <w:jc w:val="center"/>
            </w:pPr>
            <w:r>
              <w:t>n/N (%)</w:t>
            </w:r>
          </w:p>
        </w:tc>
      </w:tr>
      <w:tr w:rsidR="00F2492C" w14:paraId="7895822B" w14:textId="77777777" w:rsidTr="007F6B8F">
        <w:tc>
          <w:tcPr>
            <w:tcW w:w="4390" w:type="dxa"/>
          </w:tcPr>
          <w:p w14:paraId="1171B43F" w14:textId="77777777" w:rsidR="00F2492C" w:rsidRDefault="00F2492C" w:rsidP="00307F5E">
            <w:pPr>
              <w:pStyle w:val="Tabletext"/>
              <w:keepNext/>
            </w:pPr>
            <w:r>
              <w:t>TEAE (all-causality)</w:t>
            </w:r>
          </w:p>
        </w:tc>
        <w:tc>
          <w:tcPr>
            <w:tcW w:w="2268" w:type="dxa"/>
            <w:vAlign w:val="center"/>
          </w:tcPr>
          <w:p w14:paraId="521C9D6B" w14:textId="1490DA08" w:rsidR="00F2492C" w:rsidRDefault="00F2492C" w:rsidP="00307F5E">
            <w:pPr>
              <w:pStyle w:val="Tabletext"/>
              <w:keepNext/>
              <w:jc w:val="center"/>
            </w:pPr>
            <w:r>
              <w:t>231/236 (98%)</w:t>
            </w:r>
          </w:p>
        </w:tc>
        <w:tc>
          <w:tcPr>
            <w:tcW w:w="2359" w:type="dxa"/>
            <w:vAlign w:val="center"/>
          </w:tcPr>
          <w:p w14:paraId="2ECFE51E" w14:textId="7FD0B214" w:rsidR="00F2492C" w:rsidRPr="00865F2A" w:rsidRDefault="00F2492C" w:rsidP="00307F5E">
            <w:pPr>
              <w:pStyle w:val="Tabletext"/>
              <w:keepNext/>
              <w:jc w:val="center"/>
              <w:rPr>
                <w:iCs/>
              </w:rPr>
            </w:pPr>
            <w:r w:rsidRPr="00865F2A">
              <w:rPr>
                <w:iCs/>
              </w:rPr>
              <w:t>225</w:t>
            </w:r>
            <w:r w:rsidR="00FE28C7" w:rsidRPr="00865F2A">
              <w:rPr>
                <w:iCs/>
                <w:vertAlign w:val="superscript"/>
              </w:rPr>
              <w:t>a</w:t>
            </w:r>
            <w:r w:rsidRPr="00865F2A">
              <w:rPr>
                <w:iCs/>
              </w:rPr>
              <w:t>/233 (97%)</w:t>
            </w:r>
          </w:p>
        </w:tc>
      </w:tr>
      <w:tr w:rsidR="00F2492C" w14:paraId="5BC63E9F" w14:textId="77777777" w:rsidTr="007F6B8F">
        <w:tc>
          <w:tcPr>
            <w:tcW w:w="4390" w:type="dxa"/>
          </w:tcPr>
          <w:p w14:paraId="1AAF9666" w14:textId="77777777" w:rsidR="00F2492C" w:rsidRDefault="00F2492C" w:rsidP="00307F5E">
            <w:pPr>
              <w:pStyle w:val="Tabletext"/>
              <w:keepNext/>
            </w:pPr>
            <w:r>
              <w:t xml:space="preserve">TEAE </w:t>
            </w:r>
            <w:r w:rsidRPr="00A8485D">
              <w:t>≥ Grade 3</w:t>
            </w:r>
            <w:r>
              <w:t xml:space="preserve"> (all-causality)</w:t>
            </w:r>
          </w:p>
        </w:tc>
        <w:tc>
          <w:tcPr>
            <w:tcW w:w="2268" w:type="dxa"/>
            <w:vAlign w:val="center"/>
          </w:tcPr>
          <w:p w14:paraId="5D297463" w14:textId="7E9DFBDF" w:rsidR="00F2492C" w:rsidRDefault="00F2492C" w:rsidP="00307F5E">
            <w:pPr>
              <w:pStyle w:val="Tabletext"/>
              <w:keepNext/>
              <w:jc w:val="center"/>
            </w:pPr>
            <w:r>
              <w:t>169/236</w:t>
            </w:r>
            <w:r w:rsidRPr="00A8485D">
              <w:t xml:space="preserve"> (</w:t>
            </w:r>
            <w:r>
              <w:t>72</w:t>
            </w:r>
            <w:r w:rsidRPr="00A8485D">
              <w:t>%)</w:t>
            </w:r>
          </w:p>
        </w:tc>
        <w:tc>
          <w:tcPr>
            <w:tcW w:w="2359" w:type="dxa"/>
            <w:vAlign w:val="center"/>
          </w:tcPr>
          <w:p w14:paraId="1A62CFAF" w14:textId="2EF0C1DB" w:rsidR="00F2492C" w:rsidRPr="00865F2A" w:rsidRDefault="00F2492C" w:rsidP="00307F5E">
            <w:pPr>
              <w:pStyle w:val="Tabletext"/>
              <w:keepNext/>
              <w:jc w:val="center"/>
              <w:rPr>
                <w:iCs/>
              </w:rPr>
            </w:pPr>
            <w:r w:rsidRPr="00865F2A">
              <w:rPr>
                <w:iCs/>
              </w:rPr>
              <w:t>147/233 (63%)</w:t>
            </w:r>
          </w:p>
        </w:tc>
      </w:tr>
      <w:tr w:rsidR="00F2492C" w14:paraId="1470F2DD" w14:textId="77777777" w:rsidTr="007F6B8F">
        <w:tc>
          <w:tcPr>
            <w:tcW w:w="4390" w:type="dxa"/>
          </w:tcPr>
          <w:p w14:paraId="5F5D2FA1" w14:textId="77777777" w:rsidR="00F2492C" w:rsidRDefault="00F2492C" w:rsidP="00307F5E">
            <w:pPr>
              <w:pStyle w:val="Tabletext"/>
              <w:keepNext/>
            </w:pPr>
            <w:r>
              <w:t xml:space="preserve">TEAE </w:t>
            </w:r>
            <w:r w:rsidRPr="00A8485D">
              <w:t>resulting in treatment discontinuation (all-causality)</w:t>
            </w:r>
          </w:p>
        </w:tc>
        <w:tc>
          <w:tcPr>
            <w:tcW w:w="2268" w:type="dxa"/>
            <w:vAlign w:val="center"/>
          </w:tcPr>
          <w:p w14:paraId="14F91379" w14:textId="0C251241" w:rsidR="00F2492C" w:rsidRDefault="00F2492C" w:rsidP="00307F5E">
            <w:pPr>
              <w:pStyle w:val="Tabletext"/>
              <w:keepNext/>
              <w:jc w:val="center"/>
            </w:pPr>
            <w:r>
              <w:t>31/236</w:t>
            </w:r>
            <w:r w:rsidRPr="00A8485D">
              <w:t xml:space="preserve"> (</w:t>
            </w:r>
            <w:r>
              <w:t>13</w:t>
            </w:r>
            <w:r w:rsidRPr="00A8485D">
              <w:t>%)</w:t>
            </w:r>
          </w:p>
        </w:tc>
        <w:tc>
          <w:tcPr>
            <w:tcW w:w="2359" w:type="dxa"/>
            <w:vAlign w:val="center"/>
          </w:tcPr>
          <w:p w14:paraId="326CD695" w14:textId="141FE83B" w:rsidR="00F2492C" w:rsidRPr="00865F2A" w:rsidRDefault="00F2492C" w:rsidP="00307F5E">
            <w:pPr>
              <w:pStyle w:val="Tabletext"/>
              <w:keepNext/>
              <w:jc w:val="center"/>
              <w:rPr>
                <w:iCs/>
              </w:rPr>
            </w:pPr>
            <w:r w:rsidRPr="00865F2A">
              <w:rPr>
                <w:iCs/>
              </w:rPr>
              <w:t>10/233 (4%)</w:t>
            </w:r>
          </w:p>
        </w:tc>
      </w:tr>
      <w:tr w:rsidR="00F2492C" w14:paraId="5C43221D" w14:textId="77777777" w:rsidTr="007F6B8F">
        <w:tc>
          <w:tcPr>
            <w:tcW w:w="4390" w:type="dxa"/>
          </w:tcPr>
          <w:p w14:paraId="4C21CEDE" w14:textId="77777777" w:rsidR="00F2492C" w:rsidRDefault="00F2492C" w:rsidP="00307F5E">
            <w:pPr>
              <w:pStyle w:val="Tabletext"/>
              <w:keepNext/>
            </w:pPr>
            <w:r>
              <w:t>TEAE leading to death</w:t>
            </w:r>
          </w:p>
        </w:tc>
        <w:tc>
          <w:tcPr>
            <w:tcW w:w="2268" w:type="dxa"/>
            <w:vAlign w:val="center"/>
          </w:tcPr>
          <w:p w14:paraId="4809F889" w14:textId="712ED568" w:rsidR="00F2492C" w:rsidRDefault="00F2492C" w:rsidP="00307F5E">
            <w:pPr>
              <w:pStyle w:val="Tabletext"/>
              <w:keepNext/>
              <w:jc w:val="center"/>
            </w:pPr>
            <w:r>
              <w:t>9/236 (4%)</w:t>
            </w:r>
          </w:p>
        </w:tc>
        <w:tc>
          <w:tcPr>
            <w:tcW w:w="2359" w:type="dxa"/>
            <w:vAlign w:val="center"/>
          </w:tcPr>
          <w:p w14:paraId="41906A19" w14:textId="49ED2FFA" w:rsidR="00F2492C" w:rsidRPr="00865F2A" w:rsidRDefault="00F2492C" w:rsidP="00307F5E">
            <w:pPr>
              <w:pStyle w:val="Tabletext"/>
              <w:keepNext/>
              <w:jc w:val="center"/>
              <w:rPr>
                <w:iCs/>
              </w:rPr>
            </w:pPr>
            <w:r w:rsidRPr="00865F2A">
              <w:rPr>
                <w:iCs/>
              </w:rPr>
              <w:t>4/233 (2%)</w:t>
            </w:r>
          </w:p>
        </w:tc>
      </w:tr>
    </w:tbl>
    <w:p w14:paraId="08A10F76" w14:textId="77777777" w:rsidR="00F2492C" w:rsidRPr="00B1011F" w:rsidRDefault="00F2492C" w:rsidP="00307F5E">
      <w:pPr>
        <w:pStyle w:val="TableFigureFooter"/>
        <w:keepNext/>
        <w:rPr>
          <w:sz w:val="20"/>
        </w:rPr>
      </w:pPr>
      <w:r>
        <w:t xml:space="preserve">Source: Table 50, p76 </w:t>
      </w:r>
      <w:r w:rsidRPr="00D13A3E">
        <w:t xml:space="preserve">of the </w:t>
      </w:r>
      <w:r>
        <w:t>submission.</w:t>
      </w:r>
    </w:p>
    <w:p w14:paraId="25DADF4F" w14:textId="4F8EC2A1" w:rsidR="00F2492C" w:rsidRDefault="00F2492C" w:rsidP="00307F5E">
      <w:pPr>
        <w:pStyle w:val="TableFigureFooter"/>
        <w:keepNext/>
        <w:spacing w:after="0"/>
        <w:rPr>
          <w:rFonts w:eastAsia="Calibri"/>
        </w:rPr>
      </w:pPr>
      <w:r>
        <w:rPr>
          <w:rFonts w:eastAsia="Calibri"/>
        </w:rPr>
        <w:t xml:space="preserve">Abbreviations: </w:t>
      </w:r>
      <w:r w:rsidR="009B5D5E">
        <w:t xml:space="preserve">BSC = best supportive care; </w:t>
      </w:r>
      <w:r w:rsidRPr="00B40358">
        <w:rPr>
          <w:rFonts w:eastAsia="Calibri"/>
        </w:rPr>
        <w:t>n = number of participants reporting data; N = total participants in group</w:t>
      </w:r>
      <w:r>
        <w:rPr>
          <w:rFonts w:eastAsia="Calibri"/>
        </w:rPr>
        <w:t>; TEAEs = treatment emergent adverse events.</w:t>
      </w:r>
    </w:p>
    <w:p w14:paraId="71DA8A3C" w14:textId="77777777" w:rsidR="00E5131A" w:rsidRDefault="00FE28C7" w:rsidP="00307F5E">
      <w:pPr>
        <w:pStyle w:val="TableFooter"/>
        <w:keepNext/>
        <w:rPr>
          <w:rFonts w:eastAsia="Calibri"/>
        </w:rPr>
      </w:pPr>
      <w:r>
        <w:rPr>
          <w:rFonts w:eastAsia="Calibri"/>
          <w:vertAlign w:val="superscript"/>
        </w:rPr>
        <w:t xml:space="preserve">a </w:t>
      </w:r>
      <w:r>
        <w:rPr>
          <w:rFonts w:eastAsia="Calibri"/>
        </w:rPr>
        <w:t xml:space="preserve">Incorrectly reported as 255 in the submission. </w:t>
      </w:r>
    </w:p>
    <w:p w14:paraId="090B7FD6" w14:textId="5A6EA3F0" w:rsidR="00F2492C" w:rsidRDefault="00F2492C" w:rsidP="00E5131A">
      <w:pPr>
        <w:pStyle w:val="5-SubsectionSubheading"/>
      </w:pPr>
      <w:r>
        <w:t xml:space="preserve">Individual frequently reported </w:t>
      </w:r>
      <w:r w:rsidRPr="001C7F75">
        <w:t>TEAEs</w:t>
      </w:r>
    </w:p>
    <w:p w14:paraId="2E66AE1F" w14:textId="06D7FE58" w:rsidR="00471E64" w:rsidRPr="00471E64" w:rsidRDefault="00F2492C" w:rsidP="00F2492C">
      <w:pPr>
        <w:pStyle w:val="3-BodyText"/>
      </w:pPr>
      <w:r>
        <w:rPr>
          <w:rFonts w:eastAsia="Calibri"/>
        </w:rPr>
        <w:t xml:space="preserve">Frequently reported </w:t>
      </w:r>
      <w:r w:rsidRPr="00285076">
        <w:rPr>
          <w:rFonts w:eastAsia="Calibri"/>
        </w:rPr>
        <w:t xml:space="preserve">TEAEs experienced by ≥ 10% of </w:t>
      </w:r>
      <w:r w:rsidR="00307F5E">
        <w:rPr>
          <w:rFonts w:eastAsia="Calibri"/>
        </w:rPr>
        <w:t xml:space="preserve">QUAZAR </w:t>
      </w:r>
      <w:r w:rsidRPr="00285076">
        <w:rPr>
          <w:rFonts w:eastAsia="Calibri"/>
        </w:rPr>
        <w:t xml:space="preserve">patients are </w:t>
      </w:r>
      <w:r w:rsidR="00307F5E">
        <w:rPr>
          <w:rFonts w:eastAsia="Calibri"/>
        </w:rPr>
        <w:t>presented</w:t>
      </w:r>
      <w:r>
        <w:rPr>
          <w:rFonts w:eastAsia="Calibri"/>
        </w:rPr>
        <w:t xml:space="preserve"> in </w:t>
      </w:r>
      <w:r w:rsidR="0043166B">
        <w:rPr>
          <w:rFonts w:eastAsia="Calibri"/>
        </w:rPr>
        <w:fldChar w:fldCharType="begin" w:fldLock="1"/>
      </w:r>
      <w:r w:rsidR="0043166B">
        <w:rPr>
          <w:rFonts w:eastAsia="Calibri"/>
        </w:rPr>
        <w:instrText xml:space="preserve"> REF _Ref100766743 \h </w:instrText>
      </w:r>
      <w:r w:rsidR="0043166B">
        <w:rPr>
          <w:rFonts w:eastAsia="Calibri"/>
        </w:rPr>
      </w:r>
      <w:r w:rsidR="0043166B">
        <w:rPr>
          <w:rFonts w:eastAsia="Calibri"/>
        </w:rPr>
        <w:fldChar w:fldCharType="separate"/>
      </w:r>
      <w:r w:rsidR="00602E88">
        <w:t xml:space="preserve">Table </w:t>
      </w:r>
      <w:r w:rsidR="00602E88">
        <w:rPr>
          <w:noProof/>
        </w:rPr>
        <w:t>8</w:t>
      </w:r>
      <w:r w:rsidR="0043166B">
        <w:rPr>
          <w:rFonts w:eastAsia="Calibri"/>
        </w:rPr>
        <w:fldChar w:fldCharType="end"/>
      </w:r>
      <w:r>
        <w:rPr>
          <w:rFonts w:eastAsia="Calibri"/>
        </w:rPr>
        <w:t xml:space="preserve">. </w:t>
      </w:r>
      <w:r w:rsidR="000F07BB">
        <w:rPr>
          <w:rFonts w:eastAsia="Calibri"/>
        </w:rPr>
        <w:t>In the oral azacitidine arm, t</w:t>
      </w:r>
      <w:r w:rsidRPr="00376FF1">
        <w:rPr>
          <w:rFonts w:eastAsia="Calibri"/>
        </w:rPr>
        <w:t xml:space="preserve">he five most frequently reported </w:t>
      </w:r>
      <w:r>
        <w:rPr>
          <w:rFonts w:eastAsia="Calibri"/>
        </w:rPr>
        <w:t>TEAEs</w:t>
      </w:r>
      <w:r w:rsidRPr="00376FF1">
        <w:rPr>
          <w:rFonts w:eastAsia="Calibri"/>
        </w:rPr>
        <w:t xml:space="preserve"> (any grade) </w:t>
      </w:r>
      <w:r>
        <w:rPr>
          <w:rFonts w:eastAsia="Calibri"/>
        </w:rPr>
        <w:t xml:space="preserve">were </w:t>
      </w:r>
      <w:r w:rsidRPr="00376FF1">
        <w:rPr>
          <w:rFonts w:eastAsia="Calibri"/>
        </w:rPr>
        <w:t>nausea (65%)</w:t>
      </w:r>
      <w:r w:rsidR="007F6B8F">
        <w:rPr>
          <w:rFonts w:eastAsia="Calibri"/>
        </w:rPr>
        <w:t>,</w:t>
      </w:r>
      <w:r w:rsidRPr="00376FF1">
        <w:rPr>
          <w:rFonts w:eastAsia="Calibri"/>
        </w:rPr>
        <w:t xml:space="preserve"> vomiting (60%)</w:t>
      </w:r>
      <w:r w:rsidR="007F6B8F">
        <w:rPr>
          <w:rFonts w:eastAsia="Calibri"/>
        </w:rPr>
        <w:t>,</w:t>
      </w:r>
      <w:r w:rsidRPr="00376FF1">
        <w:rPr>
          <w:rFonts w:eastAsia="Calibri"/>
        </w:rPr>
        <w:t xml:space="preserve"> diarrhoea (50%)</w:t>
      </w:r>
      <w:r w:rsidR="007F6B8F">
        <w:rPr>
          <w:rFonts w:eastAsia="Calibri"/>
        </w:rPr>
        <w:t>,</w:t>
      </w:r>
      <w:r w:rsidRPr="00376FF1">
        <w:rPr>
          <w:rFonts w:eastAsia="Calibri"/>
        </w:rPr>
        <w:t xml:space="preserve"> neutropenia (44%) and constipation (39%)</w:t>
      </w:r>
      <w:r w:rsidR="007F6B8F">
        <w:rPr>
          <w:rFonts w:eastAsia="Calibri"/>
        </w:rPr>
        <w:t xml:space="preserve">. </w:t>
      </w:r>
      <w:r w:rsidR="000F07BB">
        <w:rPr>
          <w:rFonts w:eastAsia="Calibri"/>
        </w:rPr>
        <w:t>In</w:t>
      </w:r>
      <w:r w:rsidR="007F6B8F">
        <w:rPr>
          <w:rFonts w:eastAsia="Calibri"/>
        </w:rPr>
        <w:t xml:space="preserve"> the </w:t>
      </w:r>
      <w:r w:rsidR="009B5D5E">
        <w:rPr>
          <w:rFonts w:eastAsia="Calibri"/>
        </w:rPr>
        <w:t>BSC</w:t>
      </w:r>
      <w:r w:rsidR="007F6B8F">
        <w:rPr>
          <w:rFonts w:eastAsia="Calibri"/>
        </w:rPr>
        <w:t xml:space="preserve"> arm, they were </w:t>
      </w:r>
      <w:r w:rsidRPr="00376FF1">
        <w:rPr>
          <w:rFonts w:eastAsia="Calibri"/>
        </w:rPr>
        <w:t>thrombocytopenia (27%)</w:t>
      </w:r>
      <w:r w:rsidR="007F6B8F">
        <w:rPr>
          <w:rFonts w:eastAsia="Calibri"/>
        </w:rPr>
        <w:t>,</w:t>
      </w:r>
      <w:r w:rsidRPr="00376FF1">
        <w:rPr>
          <w:rFonts w:eastAsia="Calibri"/>
        </w:rPr>
        <w:t xml:space="preserve"> neutropenia (26%)</w:t>
      </w:r>
      <w:r w:rsidR="007F6B8F">
        <w:rPr>
          <w:rFonts w:eastAsia="Calibri"/>
        </w:rPr>
        <w:t>,</w:t>
      </w:r>
      <w:r w:rsidRPr="00376FF1">
        <w:rPr>
          <w:rFonts w:eastAsia="Calibri"/>
        </w:rPr>
        <w:t xml:space="preserve"> nausea (24%)</w:t>
      </w:r>
      <w:r w:rsidR="007F6B8F">
        <w:rPr>
          <w:rFonts w:eastAsia="Calibri"/>
        </w:rPr>
        <w:t>,</w:t>
      </w:r>
      <w:r w:rsidRPr="00376FF1">
        <w:rPr>
          <w:rFonts w:eastAsia="Calibri"/>
        </w:rPr>
        <w:t xml:space="preserve"> constipation (24%) and diarrhoea (21%)</w:t>
      </w:r>
      <w:r w:rsidR="007F6B8F">
        <w:rPr>
          <w:rFonts w:eastAsia="Calibri"/>
        </w:rPr>
        <w:t>.</w:t>
      </w:r>
    </w:p>
    <w:p w14:paraId="65BEE9CE" w14:textId="0162BCBB" w:rsidR="00471E64" w:rsidRPr="007F034A" w:rsidRDefault="00471E64" w:rsidP="00471E64">
      <w:pPr>
        <w:pStyle w:val="3-BodyText"/>
        <w:rPr>
          <w:iCs/>
        </w:rPr>
      </w:pPr>
      <w:r w:rsidRPr="007F034A">
        <w:rPr>
          <w:iCs/>
        </w:rPr>
        <w:t xml:space="preserve">While the above mentioned TEAEs </w:t>
      </w:r>
      <w:r w:rsidR="009D15AF" w:rsidRPr="007F034A">
        <w:rPr>
          <w:iCs/>
        </w:rPr>
        <w:t xml:space="preserve">were </w:t>
      </w:r>
      <w:r w:rsidRPr="007F034A">
        <w:rPr>
          <w:iCs/>
        </w:rPr>
        <w:t xml:space="preserve">frequently reported in both the oral azacitidine and </w:t>
      </w:r>
      <w:r w:rsidR="009B5D5E" w:rsidRPr="007F034A">
        <w:rPr>
          <w:iCs/>
        </w:rPr>
        <w:t>BSC</w:t>
      </w:r>
      <w:r w:rsidRPr="007F034A">
        <w:rPr>
          <w:iCs/>
        </w:rPr>
        <w:t xml:space="preserve"> arms, a higher rate was observed in the oral azacitidine arm. A higher rate of fatigue, asthenia, abdominal pain, decreased appetite and pain in extremity was also observed for the oral azacitidine arm.</w:t>
      </w:r>
    </w:p>
    <w:p w14:paraId="1CB9EAB7" w14:textId="7DAC5BBB" w:rsidR="00471E64" w:rsidRDefault="0043166B" w:rsidP="0043166B">
      <w:pPr>
        <w:pStyle w:val="In-tableHeading"/>
      </w:pPr>
      <w:bookmarkStart w:id="41" w:name="_Ref100766743"/>
      <w:r>
        <w:lastRenderedPageBreak/>
        <w:t xml:space="preserve">Table </w:t>
      </w:r>
      <w:r>
        <w:fldChar w:fldCharType="begin" w:fldLock="1"/>
      </w:r>
      <w:r>
        <w:instrText xml:space="preserve"> SEQ Table \* ARABIC </w:instrText>
      </w:r>
      <w:r>
        <w:fldChar w:fldCharType="separate"/>
      </w:r>
      <w:r w:rsidR="00602E88">
        <w:rPr>
          <w:noProof/>
        </w:rPr>
        <w:t>8</w:t>
      </w:r>
      <w:r>
        <w:fldChar w:fldCharType="end"/>
      </w:r>
      <w:bookmarkEnd w:id="41"/>
      <w:r>
        <w:t xml:space="preserve">: </w:t>
      </w:r>
      <w:r w:rsidRPr="008109B8">
        <w:t>Frequently reported adverse events in the QUAZAR trial (safety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Frequently reported adverse events in the QUAZAR trial (safety population)"/>
      </w:tblPr>
      <w:tblGrid>
        <w:gridCol w:w="2830"/>
        <w:gridCol w:w="1560"/>
        <w:gridCol w:w="1559"/>
        <w:gridCol w:w="1559"/>
        <w:gridCol w:w="1509"/>
      </w:tblGrid>
      <w:tr w:rsidR="00307F5E" w14:paraId="70F99E12" w14:textId="77777777" w:rsidTr="009A2CD1">
        <w:trPr>
          <w:tblHeader/>
        </w:trPr>
        <w:tc>
          <w:tcPr>
            <w:tcW w:w="2830" w:type="dxa"/>
            <w:vMerge w:val="restart"/>
          </w:tcPr>
          <w:p w14:paraId="66EACF35" w14:textId="77777777" w:rsidR="00307F5E" w:rsidRDefault="00307F5E" w:rsidP="0043166B">
            <w:pPr>
              <w:pStyle w:val="Tabletext"/>
              <w:keepNext/>
            </w:pPr>
          </w:p>
        </w:tc>
        <w:tc>
          <w:tcPr>
            <w:tcW w:w="3119" w:type="dxa"/>
            <w:gridSpan w:val="2"/>
          </w:tcPr>
          <w:p w14:paraId="591C1685" w14:textId="77777777" w:rsidR="00307F5E" w:rsidRDefault="00307F5E" w:rsidP="0043166B">
            <w:pPr>
              <w:pStyle w:val="In-tableHeading"/>
              <w:jc w:val="center"/>
              <w:rPr>
                <w:lang w:val="en-AU"/>
              </w:rPr>
            </w:pPr>
            <w:r>
              <w:t>Any Grade</w:t>
            </w:r>
          </w:p>
        </w:tc>
        <w:tc>
          <w:tcPr>
            <w:tcW w:w="3068" w:type="dxa"/>
            <w:gridSpan w:val="2"/>
          </w:tcPr>
          <w:p w14:paraId="2598C63B" w14:textId="77777777" w:rsidR="00307F5E" w:rsidRDefault="00307F5E" w:rsidP="0043166B">
            <w:pPr>
              <w:pStyle w:val="In-tableHeading"/>
              <w:jc w:val="center"/>
              <w:rPr>
                <w:lang w:val="en-AU"/>
              </w:rPr>
            </w:pPr>
            <w:r>
              <w:t>Grade 3-4</w:t>
            </w:r>
          </w:p>
        </w:tc>
      </w:tr>
      <w:tr w:rsidR="00307F5E" w14:paraId="49773C18" w14:textId="77777777" w:rsidTr="007F6B8F">
        <w:trPr>
          <w:tblHeader/>
        </w:trPr>
        <w:tc>
          <w:tcPr>
            <w:tcW w:w="2830" w:type="dxa"/>
            <w:vMerge/>
          </w:tcPr>
          <w:p w14:paraId="3332142C" w14:textId="77777777" w:rsidR="00307F5E" w:rsidRDefault="00307F5E" w:rsidP="0043166B">
            <w:pPr>
              <w:pStyle w:val="Tabletext"/>
              <w:keepNext/>
            </w:pPr>
          </w:p>
        </w:tc>
        <w:tc>
          <w:tcPr>
            <w:tcW w:w="1560" w:type="dxa"/>
            <w:vAlign w:val="center"/>
          </w:tcPr>
          <w:p w14:paraId="233CAABC" w14:textId="44C61226" w:rsidR="00307F5E" w:rsidRDefault="00307F5E" w:rsidP="007F6B8F">
            <w:pPr>
              <w:pStyle w:val="In-tableHeading"/>
              <w:jc w:val="center"/>
              <w:rPr>
                <w:lang w:val="en-AU"/>
              </w:rPr>
            </w:pPr>
            <w:r>
              <w:t>Oral azacitidine</w:t>
            </w:r>
            <w:r w:rsidR="002652BF">
              <w:t>,</w:t>
            </w:r>
            <w:r>
              <w:t xml:space="preserve"> n (%)</w:t>
            </w:r>
          </w:p>
        </w:tc>
        <w:tc>
          <w:tcPr>
            <w:tcW w:w="1559" w:type="dxa"/>
            <w:vAlign w:val="center"/>
          </w:tcPr>
          <w:p w14:paraId="696EC476" w14:textId="224C765E" w:rsidR="00307F5E" w:rsidRDefault="00307F5E" w:rsidP="007F6B8F">
            <w:pPr>
              <w:pStyle w:val="In-tableHeading"/>
              <w:jc w:val="center"/>
            </w:pPr>
            <w:r>
              <w:t>BSC</w:t>
            </w:r>
            <w:r w:rsidR="002652BF">
              <w:t>,</w:t>
            </w:r>
          </w:p>
          <w:p w14:paraId="5973DEB9" w14:textId="5C23D7A9" w:rsidR="00307F5E" w:rsidRDefault="00307F5E" w:rsidP="007F6B8F">
            <w:pPr>
              <w:pStyle w:val="In-tableHeading"/>
              <w:jc w:val="center"/>
              <w:rPr>
                <w:lang w:val="en-AU"/>
              </w:rPr>
            </w:pPr>
            <w:r>
              <w:t>n (%)</w:t>
            </w:r>
          </w:p>
        </w:tc>
        <w:tc>
          <w:tcPr>
            <w:tcW w:w="1559" w:type="dxa"/>
            <w:vAlign w:val="center"/>
          </w:tcPr>
          <w:p w14:paraId="4D3442B6" w14:textId="6A65C5BE" w:rsidR="00307F5E" w:rsidRDefault="00307F5E" w:rsidP="007F6B8F">
            <w:pPr>
              <w:pStyle w:val="In-tableHeading"/>
              <w:jc w:val="center"/>
            </w:pPr>
            <w:r>
              <w:t>Oral azacitidine</w:t>
            </w:r>
            <w:r w:rsidR="002652BF">
              <w:t>,</w:t>
            </w:r>
          </w:p>
          <w:p w14:paraId="68F02259" w14:textId="5CDF50AB" w:rsidR="00307F5E" w:rsidRDefault="00307F5E" w:rsidP="007F6B8F">
            <w:pPr>
              <w:pStyle w:val="In-tableHeading"/>
              <w:jc w:val="center"/>
              <w:rPr>
                <w:lang w:val="en-AU"/>
              </w:rPr>
            </w:pPr>
            <w:r>
              <w:t>n (%)</w:t>
            </w:r>
          </w:p>
        </w:tc>
        <w:tc>
          <w:tcPr>
            <w:tcW w:w="1509" w:type="dxa"/>
            <w:vAlign w:val="center"/>
          </w:tcPr>
          <w:p w14:paraId="5F628F31" w14:textId="1055BAAA" w:rsidR="00307F5E" w:rsidRDefault="00307F5E" w:rsidP="007F6B8F">
            <w:pPr>
              <w:pStyle w:val="In-tableHeading"/>
              <w:jc w:val="center"/>
            </w:pPr>
            <w:r>
              <w:t>BSC</w:t>
            </w:r>
            <w:r w:rsidR="002652BF">
              <w:t>,</w:t>
            </w:r>
          </w:p>
          <w:p w14:paraId="631C22FD" w14:textId="2BE8819A" w:rsidR="00307F5E" w:rsidRDefault="00307F5E" w:rsidP="007F6B8F">
            <w:pPr>
              <w:pStyle w:val="In-tableHeading"/>
              <w:jc w:val="center"/>
              <w:rPr>
                <w:lang w:val="en-AU"/>
              </w:rPr>
            </w:pPr>
            <w:r>
              <w:t>n (%)</w:t>
            </w:r>
          </w:p>
        </w:tc>
      </w:tr>
      <w:tr w:rsidR="002652BF" w:rsidRPr="002652BF" w14:paraId="0FA7C95D" w14:textId="77777777" w:rsidTr="007F6B8F">
        <w:tc>
          <w:tcPr>
            <w:tcW w:w="2830" w:type="dxa"/>
          </w:tcPr>
          <w:p w14:paraId="63B2C5F3" w14:textId="32E4B17A" w:rsidR="002652BF" w:rsidRPr="002652BF" w:rsidRDefault="002652BF" w:rsidP="0043166B">
            <w:pPr>
              <w:pStyle w:val="Tabletext"/>
              <w:keepNext/>
              <w:rPr>
                <w:b/>
                <w:bCs/>
              </w:rPr>
            </w:pPr>
            <w:r w:rsidRPr="002652BF">
              <w:rPr>
                <w:b/>
                <w:bCs/>
              </w:rPr>
              <w:t>N</w:t>
            </w:r>
          </w:p>
        </w:tc>
        <w:tc>
          <w:tcPr>
            <w:tcW w:w="1560" w:type="dxa"/>
            <w:vAlign w:val="center"/>
          </w:tcPr>
          <w:p w14:paraId="5C60F230" w14:textId="60FC65D9" w:rsidR="002652BF" w:rsidRPr="002652BF" w:rsidRDefault="002652BF" w:rsidP="007F6B8F">
            <w:pPr>
              <w:pStyle w:val="Tabletext"/>
              <w:keepNext/>
              <w:jc w:val="center"/>
              <w:rPr>
                <w:b/>
                <w:bCs/>
              </w:rPr>
            </w:pPr>
            <w:r w:rsidRPr="002652BF">
              <w:rPr>
                <w:b/>
                <w:bCs/>
              </w:rPr>
              <w:t>236</w:t>
            </w:r>
          </w:p>
        </w:tc>
        <w:tc>
          <w:tcPr>
            <w:tcW w:w="1559" w:type="dxa"/>
            <w:vAlign w:val="center"/>
          </w:tcPr>
          <w:p w14:paraId="0E37FF65" w14:textId="4CEBA3AD" w:rsidR="002652BF" w:rsidRPr="002652BF" w:rsidRDefault="002652BF" w:rsidP="007F6B8F">
            <w:pPr>
              <w:pStyle w:val="Tabletext"/>
              <w:keepNext/>
              <w:jc w:val="center"/>
              <w:rPr>
                <w:b/>
                <w:bCs/>
              </w:rPr>
            </w:pPr>
            <w:r w:rsidRPr="002652BF">
              <w:rPr>
                <w:b/>
                <w:bCs/>
              </w:rPr>
              <w:t>233</w:t>
            </w:r>
          </w:p>
        </w:tc>
        <w:tc>
          <w:tcPr>
            <w:tcW w:w="1559" w:type="dxa"/>
            <w:vAlign w:val="center"/>
          </w:tcPr>
          <w:p w14:paraId="154D8502" w14:textId="26CEC6C6" w:rsidR="002652BF" w:rsidRPr="002652BF" w:rsidRDefault="002652BF" w:rsidP="007F6B8F">
            <w:pPr>
              <w:pStyle w:val="Tabletext"/>
              <w:keepNext/>
              <w:jc w:val="center"/>
              <w:rPr>
                <w:b/>
                <w:bCs/>
              </w:rPr>
            </w:pPr>
            <w:r w:rsidRPr="002652BF">
              <w:rPr>
                <w:b/>
                <w:bCs/>
              </w:rPr>
              <w:t>236</w:t>
            </w:r>
          </w:p>
        </w:tc>
        <w:tc>
          <w:tcPr>
            <w:tcW w:w="1509" w:type="dxa"/>
            <w:vAlign w:val="center"/>
          </w:tcPr>
          <w:p w14:paraId="59F463DC" w14:textId="1953BC04" w:rsidR="002652BF" w:rsidRPr="002652BF" w:rsidRDefault="002652BF" w:rsidP="007F6B8F">
            <w:pPr>
              <w:pStyle w:val="Tabletext"/>
              <w:keepNext/>
              <w:jc w:val="center"/>
              <w:rPr>
                <w:b/>
                <w:bCs/>
              </w:rPr>
            </w:pPr>
            <w:r w:rsidRPr="002652BF">
              <w:rPr>
                <w:b/>
                <w:bCs/>
              </w:rPr>
              <w:t>233</w:t>
            </w:r>
          </w:p>
        </w:tc>
      </w:tr>
      <w:tr w:rsidR="00471E64" w14:paraId="53CD8EF5" w14:textId="77777777" w:rsidTr="007F6B8F">
        <w:tc>
          <w:tcPr>
            <w:tcW w:w="2830" w:type="dxa"/>
          </w:tcPr>
          <w:p w14:paraId="7E494C0B" w14:textId="77777777" w:rsidR="00471E64" w:rsidRDefault="00471E64" w:rsidP="0043166B">
            <w:pPr>
              <w:pStyle w:val="Tabletext"/>
              <w:keepNext/>
            </w:pPr>
            <w:r w:rsidRPr="00C52655">
              <w:t>Any adverse event</w:t>
            </w:r>
          </w:p>
        </w:tc>
        <w:tc>
          <w:tcPr>
            <w:tcW w:w="1560" w:type="dxa"/>
            <w:vAlign w:val="center"/>
          </w:tcPr>
          <w:p w14:paraId="5CF72E57" w14:textId="77777777" w:rsidR="00471E64" w:rsidRDefault="00471E64" w:rsidP="007F6B8F">
            <w:pPr>
              <w:pStyle w:val="Tabletext"/>
              <w:keepNext/>
              <w:jc w:val="center"/>
            </w:pPr>
            <w:r w:rsidRPr="00C52655">
              <w:t>231 (98%)</w:t>
            </w:r>
          </w:p>
        </w:tc>
        <w:tc>
          <w:tcPr>
            <w:tcW w:w="1559" w:type="dxa"/>
            <w:vAlign w:val="center"/>
          </w:tcPr>
          <w:p w14:paraId="11B9B2A0" w14:textId="77777777" w:rsidR="00471E64" w:rsidRPr="00E17184" w:rsidRDefault="00471E64" w:rsidP="007F6B8F">
            <w:pPr>
              <w:pStyle w:val="Tabletext"/>
              <w:keepNext/>
              <w:jc w:val="center"/>
            </w:pPr>
            <w:r w:rsidRPr="00E17184">
              <w:rPr>
                <w:i/>
              </w:rPr>
              <w:t>225</w:t>
            </w:r>
            <w:r w:rsidRPr="00E17184">
              <w:t xml:space="preserve"> (88%)</w:t>
            </w:r>
          </w:p>
        </w:tc>
        <w:tc>
          <w:tcPr>
            <w:tcW w:w="1559" w:type="dxa"/>
            <w:vAlign w:val="center"/>
          </w:tcPr>
          <w:p w14:paraId="1C0650A3" w14:textId="77777777" w:rsidR="00471E64" w:rsidRPr="00E17184" w:rsidRDefault="00471E64" w:rsidP="007F6B8F">
            <w:pPr>
              <w:pStyle w:val="Tabletext"/>
              <w:keepNext/>
              <w:jc w:val="center"/>
            </w:pPr>
            <w:r w:rsidRPr="00E17184">
              <w:rPr>
                <w:i/>
              </w:rPr>
              <w:t>169</w:t>
            </w:r>
            <w:r w:rsidRPr="00E17184">
              <w:t xml:space="preserve"> (47%)</w:t>
            </w:r>
          </w:p>
        </w:tc>
        <w:tc>
          <w:tcPr>
            <w:tcW w:w="1509" w:type="dxa"/>
            <w:vAlign w:val="center"/>
          </w:tcPr>
          <w:p w14:paraId="39502CA5" w14:textId="77777777" w:rsidR="00471E64" w:rsidRDefault="00471E64" w:rsidP="007F6B8F">
            <w:pPr>
              <w:pStyle w:val="Tabletext"/>
              <w:keepNext/>
              <w:jc w:val="center"/>
            </w:pPr>
            <w:r w:rsidRPr="00B307FB">
              <w:rPr>
                <w:i/>
              </w:rPr>
              <w:t>147</w:t>
            </w:r>
            <w:r w:rsidRPr="00A334DB">
              <w:rPr>
                <w:i/>
                <w:color w:val="C00000"/>
              </w:rPr>
              <w:t xml:space="preserve"> </w:t>
            </w:r>
            <w:r w:rsidRPr="00C52655">
              <w:t>(38%)</w:t>
            </w:r>
          </w:p>
        </w:tc>
      </w:tr>
      <w:tr w:rsidR="00471E64" w14:paraId="28BC5114" w14:textId="77777777" w:rsidTr="007F6B8F">
        <w:tc>
          <w:tcPr>
            <w:tcW w:w="2830" w:type="dxa"/>
          </w:tcPr>
          <w:p w14:paraId="0FF21EC1" w14:textId="77777777" w:rsidR="00471E64" w:rsidRDefault="00471E64" w:rsidP="0043166B">
            <w:pPr>
              <w:pStyle w:val="Tabletext"/>
              <w:keepNext/>
            </w:pPr>
            <w:r w:rsidRPr="00C52655">
              <w:t>Nausea</w:t>
            </w:r>
          </w:p>
        </w:tc>
        <w:tc>
          <w:tcPr>
            <w:tcW w:w="1560" w:type="dxa"/>
            <w:vAlign w:val="center"/>
          </w:tcPr>
          <w:p w14:paraId="56928C1B" w14:textId="77777777" w:rsidR="00471E64" w:rsidRDefault="00471E64" w:rsidP="007F6B8F">
            <w:pPr>
              <w:pStyle w:val="Tabletext"/>
              <w:keepNext/>
              <w:jc w:val="center"/>
            </w:pPr>
            <w:r w:rsidRPr="00C52655">
              <w:t>153 (65</w:t>
            </w:r>
            <w:r>
              <w:t>%)</w:t>
            </w:r>
          </w:p>
        </w:tc>
        <w:tc>
          <w:tcPr>
            <w:tcW w:w="1559" w:type="dxa"/>
            <w:vAlign w:val="center"/>
          </w:tcPr>
          <w:p w14:paraId="4F15D846" w14:textId="77777777" w:rsidR="00471E64" w:rsidRDefault="00471E64" w:rsidP="007F6B8F">
            <w:pPr>
              <w:pStyle w:val="Tabletext"/>
              <w:keepNext/>
              <w:jc w:val="center"/>
            </w:pPr>
            <w:r w:rsidRPr="00C52655">
              <w:t>55 (24</w:t>
            </w:r>
            <w:r>
              <w:t>%)</w:t>
            </w:r>
          </w:p>
        </w:tc>
        <w:tc>
          <w:tcPr>
            <w:tcW w:w="1559" w:type="dxa"/>
            <w:vAlign w:val="center"/>
          </w:tcPr>
          <w:p w14:paraId="1416E7EC" w14:textId="77777777" w:rsidR="00471E64" w:rsidRDefault="00471E64" w:rsidP="007F6B8F">
            <w:pPr>
              <w:pStyle w:val="Tabletext"/>
              <w:keepNext/>
              <w:jc w:val="center"/>
            </w:pPr>
            <w:r w:rsidRPr="00C52655">
              <w:t>6 (3</w:t>
            </w:r>
            <w:r>
              <w:t>%)</w:t>
            </w:r>
          </w:p>
        </w:tc>
        <w:tc>
          <w:tcPr>
            <w:tcW w:w="1509" w:type="dxa"/>
            <w:vAlign w:val="center"/>
          </w:tcPr>
          <w:p w14:paraId="4DCC1131" w14:textId="77777777" w:rsidR="00471E64" w:rsidRDefault="00471E64" w:rsidP="007F6B8F">
            <w:pPr>
              <w:pStyle w:val="Tabletext"/>
              <w:keepNext/>
              <w:jc w:val="center"/>
            </w:pPr>
            <w:r w:rsidRPr="00C52655">
              <w:t>1 (&lt;1</w:t>
            </w:r>
            <w:r>
              <w:t>%)</w:t>
            </w:r>
          </w:p>
        </w:tc>
      </w:tr>
      <w:tr w:rsidR="00471E64" w14:paraId="08A5AA4F" w14:textId="77777777" w:rsidTr="007F6B8F">
        <w:tc>
          <w:tcPr>
            <w:tcW w:w="2830" w:type="dxa"/>
          </w:tcPr>
          <w:p w14:paraId="5B7F42A8" w14:textId="77777777" w:rsidR="00471E64" w:rsidRDefault="00471E64" w:rsidP="0043166B">
            <w:pPr>
              <w:pStyle w:val="Tabletext"/>
              <w:keepNext/>
            </w:pPr>
            <w:r w:rsidRPr="00C52655">
              <w:t>Vomiting</w:t>
            </w:r>
          </w:p>
        </w:tc>
        <w:tc>
          <w:tcPr>
            <w:tcW w:w="1560" w:type="dxa"/>
            <w:vAlign w:val="center"/>
          </w:tcPr>
          <w:p w14:paraId="3C2D116E" w14:textId="77777777" w:rsidR="00471E64" w:rsidRDefault="00471E64" w:rsidP="007F6B8F">
            <w:pPr>
              <w:pStyle w:val="Tabletext"/>
              <w:keepNext/>
              <w:jc w:val="center"/>
            </w:pPr>
            <w:r w:rsidRPr="00C52655">
              <w:t>141 (60</w:t>
            </w:r>
            <w:r>
              <w:t>%)</w:t>
            </w:r>
          </w:p>
        </w:tc>
        <w:tc>
          <w:tcPr>
            <w:tcW w:w="1559" w:type="dxa"/>
            <w:vAlign w:val="center"/>
          </w:tcPr>
          <w:p w14:paraId="2802801B" w14:textId="77777777" w:rsidR="00471E64" w:rsidRDefault="00471E64" w:rsidP="007F6B8F">
            <w:pPr>
              <w:pStyle w:val="Tabletext"/>
              <w:keepNext/>
              <w:jc w:val="center"/>
            </w:pPr>
            <w:r w:rsidRPr="00C52655">
              <w:t>23 (10</w:t>
            </w:r>
            <w:r>
              <w:t>%)</w:t>
            </w:r>
          </w:p>
        </w:tc>
        <w:tc>
          <w:tcPr>
            <w:tcW w:w="1559" w:type="dxa"/>
            <w:vAlign w:val="center"/>
          </w:tcPr>
          <w:p w14:paraId="02F948CE" w14:textId="77777777" w:rsidR="00471E64" w:rsidRDefault="00471E64" w:rsidP="007F6B8F">
            <w:pPr>
              <w:pStyle w:val="Tabletext"/>
              <w:keepNext/>
              <w:jc w:val="center"/>
            </w:pPr>
            <w:r w:rsidRPr="00C52655">
              <w:t>7 (3</w:t>
            </w:r>
            <w:r>
              <w:t>%)</w:t>
            </w:r>
          </w:p>
        </w:tc>
        <w:tc>
          <w:tcPr>
            <w:tcW w:w="1509" w:type="dxa"/>
            <w:vAlign w:val="center"/>
          </w:tcPr>
          <w:p w14:paraId="306AB4C5" w14:textId="77777777" w:rsidR="00471E64" w:rsidRDefault="00471E64" w:rsidP="007F6B8F">
            <w:pPr>
              <w:pStyle w:val="Tabletext"/>
              <w:keepNext/>
              <w:jc w:val="center"/>
            </w:pPr>
            <w:r w:rsidRPr="00C52655">
              <w:t>0</w:t>
            </w:r>
          </w:p>
        </w:tc>
      </w:tr>
      <w:tr w:rsidR="00471E64" w14:paraId="5A4A65EF" w14:textId="77777777" w:rsidTr="007F6B8F">
        <w:tc>
          <w:tcPr>
            <w:tcW w:w="2830" w:type="dxa"/>
          </w:tcPr>
          <w:p w14:paraId="568360C7" w14:textId="77777777" w:rsidR="00471E64" w:rsidRDefault="00471E64" w:rsidP="0043166B">
            <w:pPr>
              <w:pStyle w:val="Tabletext"/>
              <w:keepNext/>
            </w:pPr>
            <w:r w:rsidRPr="00C52655">
              <w:t>Diarrh</w:t>
            </w:r>
            <w:r>
              <w:t>oea</w:t>
            </w:r>
          </w:p>
        </w:tc>
        <w:tc>
          <w:tcPr>
            <w:tcW w:w="1560" w:type="dxa"/>
            <w:vAlign w:val="center"/>
          </w:tcPr>
          <w:p w14:paraId="0924A875" w14:textId="77777777" w:rsidR="00471E64" w:rsidRDefault="00471E64" w:rsidP="007F6B8F">
            <w:pPr>
              <w:pStyle w:val="Tabletext"/>
              <w:keepNext/>
              <w:jc w:val="center"/>
            </w:pPr>
            <w:r w:rsidRPr="00C52655">
              <w:t>119 (50</w:t>
            </w:r>
            <w:r>
              <w:t>%)</w:t>
            </w:r>
          </w:p>
        </w:tc>
        <w:tc>
          <w:tcPr>
            <w:tcW w:w="1559" w:type="dxa"/>
            <w:vAlign w:val="center"/>
          </w:tcPr>
          <w:p w14:paraId="5E5F5523" w14:textId="77777777" w:rsidR="00471E64" w:rsidRDefault="00471E64" w:rsidP="007F6B8F">
            <w:pPr>
              <w:pStyle w:val="Tabletext"/>
              <w:keepNext/>
              <w:jc w:val="center"/>
            </w:pPr>
            <w:r w:rsidRPr="00C52655">
              <w:t>50 (21</w:t>
            </w:r>
            <w:r>
              <w:t>%)</w:t>
            </w:r>
          </w:p>
        </w:tc>
        <w:tc>
          <w:tcPr>
            <w:tcW w:w="1559" w:type="dxa"/>
            <w:vAlign w:val="center"/>
          </w:tcPr>
          <w:p w14:paraId="0A52083E" w14:textId="77777777" w:rsidR="00471E64" w:rsidRDefault="00471E64" w:rsidP="007F6B8F">
            <w:pPr>
              <w:pStyle w:val="Tabletext"/>
              <w:keepNext/>
              <w:jc w:val="center"/>
            </w:pPr>
            <w:r w:rsidRPr="00C52655">
              <w:t>12 (5</w:t>
            </w:r>
            <w:r>
              <w:t>%)</w:t>
            </w:r>
          </w:p>
        </w:tc>
        <w:tc>
          <w:tcPr>
            <w:tcW w:w="1509" w:type="dxa"/>
            <w:vAlign w:val="center"/>
          </w:tcPr>
          <w:p w14:paraId="0812F4EA" w14:textId="77777777" w:rsidR="00471E64" w:rsidRDefault="00471E64" w:rsidP="007F6B8F">
            <w:pPr>
              <w:pStyle w:val="Tabletext"/>
              <w:keepNext/>
              <w:jc w:val="center"/>
            </w:pPr>
            <w:r w:rsidRPr="00C52655">
              <w:t>3 (1</w:t>
            </w:r>
            <w:r>
              <w:t>%)</w:t>
            </w:r>
          </w:p>
        </w:tc>
      </w:tr>
      <w:tr w:rsidR="00471E64" w14:paraId="34F2C74F" w14:textId="77777777" w:rsidTr="007F6B8F">
        <w:tc>
          <w:tcPr>
            <w:tcW w:w="2830" w:type="dxa"/>
          </w:tcPr>
          <w:p w14:paraId="7335731D" w14:textId="77777777" w:rsidR="00471E64" w:rsidRDefault="00471E64" w:rsidP="0043166B">
            <w:pPr>
              <w:pStyle w:val="Tabletext"/>
              <w:keepNext/>
            </w:pPr>
            <w:r w:rsidRPr="00C52655">
              <w:t>Neutropenia</w:t>
            </w:r>
          </w:p>
        </w:tc>
        <w:tc>
          <w:tcPr>
            <w:tcW w:w="1560" w:type="dxa"/>
            <w:vAlign w:val="center"/>
          </w:tcPr>
          <w:p w14:paraId="648E11F3" w14:textId="77777777" w:rsidR="00471E64" w:rsidRDefault="00471E64" w:rsidP="007F6B8F">
            <w:pPr>
              <w:pStyle w:val="Tabletext"/>
              <w:keepNext/>
              <w:jc w:val="center"/>
            </w:pPr>
            <w:r w:rsidRPr="00C52655">
              <w:t>105 (44</w:t>
            </w:r>
            <w:r>
              <w:t>%)</w:t>
            </w:r>
          </w:p>
        </w:tc>
        <w:tc>
          <w:tcPr>
            <w:tcW w:w="1559" w:type="dxa"/>
            <w:vAlign w:val="center"/>
          </w:tcPr>
          <w:p w14:paraId="39537F34" w14:textId="77777777" w:rsidR="00471E64" w:rsidRDefault="00471E64" w:rsidP="007F6B8F">
            <w:pPr>
              <w:pStyle w:val="Tabletext"/>
              <w:keepNext/>
              <w:jc w:val="center"/>
            </w:pPr>
            <w:r w:rsidRPr="00C52655">
              <w:t>61 (26</w:t>
            </w:r>
            <w:r>
              <w:t>%)</w:t>
            </w:r>
          </w:p>
        </w:tc>
        <w:tc>
          <w:tcPr>
            <w:tcW w:w="1559" w:type="dxa"/>
            <w:vAlign w:val="center"/>
          </w:tcPr>
          <w:p w14:paraId="5343C542" w14:textId="77777777" w:rsidR="00471E64" w:rsidRDefault="00471E64" w:rsidP="007F6B8F">
            <w:pPr>
              <w:pStyle w:val="Tabletext"/>
              <w:keepNext/>
              <w:jc w:val="center"/>
            </w:pPr>
            <w:r w:rsidRPr="00C52655">
              <w:t>97 (41</w:t>
            </w:r>
            <w:r>
              <w:t>%)</w:t>
            </w:r>
          </w:p>
        </w:tc>
        <w:tc>
          <w:tcPr>
            <w:tcW w:w="1509" w:type="dxa"/>
            <w:vAlign w:val="center"/>
          </w:tcPr>
          <w:p w14:paraId="69F346DF" w14:textId="77777777" w:rsidR="00471E64" w:rsidRDefault="00471E64" w:rsidP="007F6B8F">
            <w:pPr>
              <w:pStyle w:val="Tabletext"/>
              <w:keepNext/>
              <w:jc w:val="center"/>
            </w:pPr>
            <w:r w:rsidRPr="00C52655">
              <w:t>55 (24</w:t>
            </w:r>
            <w:r>
              <w:t>%)</w:t>
            </w:r>
          </w:p>
        </w:tc>
      </w:tr>
      <w:tr w:rsidR="00471E64" w14:paraId="6D3A89B3" w14:textId="77777777" w:rsidTr="007F6B8F">
        <w:tc>
          <w:tcPr>
            <w:tcW w:w="2830" w:type="dxa"/>
          </w:tcPr>
          <w:p w14:paraId="60D4E38F" w14:textId="77777777" w:rsidR="00471E64" w:rsidRDefault="00471E64" w:rsidP="0043166B">
            <w:pPr>
              <w:pStyle w:val="Tabletext"/>
              <w:keepNext/>
            </w:pPr>
            <w:r w:rsidRPr="00C52655">
              <w:t>Constipation</w:t>
            </w:r>
          </w:p>
        </w:tc>
        <w:tc>
          <w:tcPr>
            <w:tcW w:w="1560" w:type="dxa"/>
            <w:vAlign w:val="center"/>
          </w:tcPr>
          <w:p w14:paraId="622AD830" w14:textId="77777777" w:rsidR="00471E64" w:rsidRDefault="00471E64" w:rsidP="007F6B8F">
            <w:pPr>
              <w:pStyle w:val="Tabletext"/>
              <w:keepNext/>
              <w:jc w:val="center"/>
            </w:pPr>
            <w:r w:rsidRPr="00C52655">
              <w:t>91 (39</w:t>
            </w:r>
            <w:r>
              <w:t>%)</w:t>
            </w:r>
          </w:p>
        </w:tc>
        <w:tc>
          <w:tcPr>
            <w:tcW w:w="1559" w:type="dxa"/>
            <w:vAlign w:val="center"/>
          </w:tcPr>
          <w:p w14:paraId="20B49137" w14:textId="77777777" w:rsidR="00471E64" w:rsidRDefault="00471E64" w:rsidP="007F6B8F">
            <w:pPr>
              <w:pStyle w:val="Tabletext"/>
              <w:keepNext/>
              <w:jc w:val="center"/>
            </w:pPr>
            <w:r w:rsidRPr="00C52655">
              <w:t>56 (24</w:t>
            </w:r>
            <w:r>
              <w:t>%)</w:t>
            </w:r>
          </w:p>
        </w:tc>
        <w:tc>
          <w:tcPr>
            <w:tcW w:w="1559" w:type="dxa"/>
            <w:vAlign w:val="center"/>
          </w:tcPr>
          <w:p w14:paraId="4A33B469" w14:textId="77777777" w:rsidR="00471E64" w:rsidRDefault="00471E64" w:rsidP="007F6B8F">
            <w:pPr>
              <w:pStyle w:val="Tabletext"/>
              <w:keepNext/>
              <w:jc w:val="center"/>
            </w:pPr>
            <w:r w:rsidRPr="00C52655">
              <w:t>3 (1</w:t>
            </w:r>
            <w:r>
              <w:t>%)</w:t>
            </w:r>
          </w:p>
        </w:tc>
        <w:tc>
          <w:tcPr>
            <w:tcW w:w="1509" w:type="dxa"/>
            <w:vAlign w:val="center"/>
          </w:tcPr>
          <w:p w14:paraId="3C9CFA49" w14:textId="77777777" w:rsidR="00471E64" w:rsidRDefault="00471E64" w:rsidP="007F6B8F">
            <w:pPr>
              <w:pStyle w:val="Tabletext"/>
              <w:keepNext/>
              <w:jc w:val="center"/>
            </w:pPr>
            <w:r w:rsidRPr="00C52655">
              <w:t>0</w:t>
            </w:r>
          </w:p>
        </w:tc>
      </w:tr>
      <w:tr w:rsidR="00471E64" w14:paraId="54214E57" w14:textId="77777777" w:rsidTr="007F6B8F">
        <w:tc>
          <w:tcPr>
            <w:tcW w:w="2830" w:type="dxa"/>
          </w:tcPr>
          <w:p w14:paraId="79C1874B" w14:textId="77777777" w:rsidR="00471E64" w:rsidRDefault="00471E64" w:rsidP="0043166B">
            <w:pPr>
              <w:pStyle w:val="Tabletext"/>
              <w:keepNext/>
            </w:pPr>
            <w:r w:rsidRPr="00C52655">
              <w:t>Thrombocytopenia</w:t>
            </w:r>
          </w:p>
        </w:tc>
        <w:tc>
          <w:tcPr>
            <w:tcW w:w="1560" w:type="dxa"/>
            <w:vAlign w:val="center"/>
          </w:tcPr>
          <w:p w14:paraId="10703E69" w14:textId="77777777" w:rsidR="00471E64" w:rsidRDefault="00471E64" w:rsidP="007F6B8F">
            <w:pPr>
              <w:pStyle w:val="Tabletext"/>
              <w:keepNext/>
              <w:jc w:val="center"/>
            </w:pPr>
            <w:r w:rsidRPr="00C52655">
              <w:t>79 (33</w:t>
            </w:r>
            <w:r>
              <w:t>%)</w:t>
            </w:r>
          </w:p>
        </w:tc>
        <w:tc>
          <w:tcPr>
            <w:tcW w:w="1559" w:type="dxa"/>
            <w:vAlign w:val="center"/>
          </w:tcPr>
          <w:p w14:paraId="3D1706DB" w14:textId="77777777" w:rsidR="00471E64" w:rsidRDefault="00471E64" w:rsidP="007F6B8F">
            <w:pPr>
              <w:pStyle w:val="Tabletext"/>
              <w:keepNext/>
              <w:jc w:val="center"/>
            </w:pPr>
            <w:r w:rsidRPr="00C52655">
              <w:t>63 (27</w:t>
            </w:r>
            <w:r>
              <w:t>%)</w:t>
            </w:r>
          </w:p>
        </w:tc>
        <w:tc>
          <w:tcPr>
            <w:tcW w:w="1559" w:type="dxa"/>
            <w:vAlign w:val="center"/>
          </w:tcPr>
          <w:p w14:paraId="376EC8B1" w14:textId="77777777" w:rsidR="00471E64" w:rsidRDefault="00471E64" w:rsidP="007F6B8F">
            <w:pPr>
              <w:pStyle w:val="Tabletext"/>
              <w:keepNext/>
              <w:jc w:val="center"/>
            </w:pPr>
            <w:r w:rsidRPr="00C52655">
              <w:t>53 (22</w:t>
            </w:r>
            <w:r>
              <w:t>%)</w:t>
            </w:r>
          </w:p>
        </w:tc>
        <w:tc>
          <w:tcPr>
            <w:tcW w:w="1509" w:type="dxa"/>
            <w:vAlign w:val="center"/>
          </w:tcPr>
          <w:p w14:paraId="3015EC91" w14:textId="77777777" w:rsidR="00471E64" w:rsidRDefault="00471E64" w:rsidP="007F6B8F">
            <w:pPr>
              <w:pStyle w:val="Tabletext"/>
              <w:keepNext/>
              <w:jc w:val="center"/>
            </w:pPr>
            <w:r w:rsidRPr="00C52655">
              <w:t>50 (21</w:t>
            </w:r>
            <w:r>
              <w:t>%)</w:t>
            </w:r>
          </w:p>
        </w:tc>
      </w:tr>
      <w:tr w:rsidR="00471E64" w14:paraId="07B960A9" w14:textId="77777777" w:rsidTr="007F6B8F">
        <w:tc>
          <w:tcPr>
            <w:tcW w:w="2830" w:type="dxa"/>
          </w:tcPr>
          <w:p w14:paraId="1CC74D61" w14:textId="77777777" w:rsidR="00471E64" w:rsidRDefault="00471E64" w:rsidP="0043166B">
            <w:pPr>
              <w:pStyle w:val="Tabletext"/>
              <w:keepNext/>
            </w:pPr>
            <w:r w:rsidRPr="00C52655">
              <w:t>Fatigue</w:t>
            </w:r>
          </w:p>
        </w:tc>
        <w:tc>
          <w:tcPr>
            <w:tcW w:w="1560" w:type="dxa"/>
            <w:vAlign w:val="center"/>
          </w:tcPr>
          <w:p w14:paraId="24F039B0" w14:textId="77777777" w:rsidR="00471E64" w:rsidRDefault="00471E64" w:rsidP="007F6B8F">
            <w:pPr>
              <w:pStyle w:val="Tabletext"/>
              <w:keepNext/>
              <w:jc w:val="center"/>
            </w:pPr>
            <w:r w:rsidRPr="00C52655">
              <w:t>70 (30</w:t>
            </w:r>
            <w:r>
              <w:t>%)</w:t>
            </w:r>
          </w:p>
        </w:tc>
        <w:tc>
          <w:tcPr>
            <w:tcW w:w="1559" w:type="dxa"/>
            <w:vAlign w:val="center"/>
          </w:tcPr>
          <w:p w14:paraId="2EE1D84D" w14:textId="77777777" w:rsidR="00471E64" w:rsidRDefault="00471E64" w:rsidP="007F6B8F">
            <w:pPr>
              <w:pStyle w:val="Tabletext"/>
              <w:keepNext/>
              <w:jc w:val="center"/>
            </w:pPr>
            <w:r w:rsidRPr="00C52655">
              <w:t>45 (19</w:t>
            </w:r>
            <w:r>
              <w:t>%)</w:t>
            </w:r>
          </w:p>
        </w:tc>
        <w:tc>
          <w:tcPr>
            <w:tcW w:w="1559" w:type="dxa"/>
            <w:vAlign w:val="center"/>
          </w:tcPr>
          <w:p w14:paraId="2933C0C4" w14:textId="77777777" w:rsidR="00471E64" w:rsidRDefault="00471E64" w:rsidP="007F6B8F">
            <w:pPr>
              <w:pStyle w:val="Tabletext"/>
              <w:keepNext/>
              <w:jc w:val="center"/>
            </w:pPr>
            <w:r w:rsidRPr="00C52655">
              <w:t>7 (3</w:t>
            </w:r>
            <w:r>
              <w:t>%)</w:t>
            </w:r>
          </w:p>
        </w:tc>
        <w:tc>
          <w:tcPr>
            <w:tcW w:w="1509" w:type="dxa"/>
            <w:vAlign w:val="center"/>
          </w:tcPr>
          <w:p w14:paraId="4176DAEC" w14:textId="77777777" w:rsidR="00471E64" w:rsidRDefault="00471E64" w:rsidP="007F6B8F">
            <w:pPr>
              <w:pStyle w:val="Tabletext"/>
              <w:keepNext/>
              <w:jc w:val="center"/>
            </w:pPr>
            <w:r w:rsidRPr="00C52655">
              <w:t>2 (1</w:t>
            </w:r>
            <w:r>
              <w:t>%)</w:t>
            </w:r>
          </w:p>
        </w:tc>
      </w:tr>
      <w:tr w:rsidR="00471E64" w14:paraId="600815A0" w14:textId="77777777" w:rsidTr="007F6B8F">
        <w:tc>
          <w:tcPr>
            <w:tcW w:w="2830" w:type="dxa"/>
          </w:tcPr>
          <w:p w14:paraId="6DBDED76" w14:textId="77777777" w:rsidR="00471E64" w:rsidRDefault="00471E64" w:rsidP="0043166B">
            <w:pPr>
              <w:pStyle w:val="Tabletext"/>
              <w:keepNext/>
            </w:pPr>
            <w:r w:rsidRPr="00C52655">
              <w:t>Anaemia</w:t>
            </w:r>
          </w:p>
        </w:tc>
        <w:tc>
          <w:tcPr>
            <w:tcW w:w="1560" w:type="dxa"/>
            <w:vAlign w:val="center"/>
          </w:tcPr>
          <w:p w14:paraId="2A4BBF4E" w14:textId="77777777" w:rsidR="00471E64" w:rsidRDefault="00471E64" w:rsidP="007F6B8F">
            <w:pPr>
              <w:pStyle w:val="Tabletext"/>
              <w:keepNext/>
              <w:jc w:val="center"/>
            </w:pPr>
            <w:r w:rsidRPr="00C52655">
              <w:t>48 (20</w:t>
            </w:r>
            <w:r>
              <w:t>%)</w:t>
            </w:r>
          </w:p>
        </w:tc>
        <w:tc>
          <w:tcPr>
            <w:tcW w:w="1559" w:type="dxa"/>
            <w:vAlign w:val="center"/>
          </w:tcPr>
          <w:p w14:paraId="36F6DB7E" w14:textId="77777777" w:rsidR="00471E64" w:rsidRDefault="00471E64" w:rsidP="007F6B8F">
            <w:pPr>
              <w:pStyle w:val="Tabletext"/>
              <w:keepNext/>
              <w:jc w:val="center"/>
            </w:pPr>
            <w:r w:rsidRPr="00C52655">
              <w:t>42 (18</w:t>
            </w:r>
            <w:r>
              <w:t>%)</w:t>
            </w:r>
          </w:p>
        </w:tc>
        <w:tc>
          <w:tcPr>
            <w:tcW w:w="1559" w:type="dxa"/>
            <w:vAlign w:val="center"/>
          </w:tcPr>
          <w:p w14:paraId="374F478B" w14:textId="77777777" w:rsidR="00471E64" w:rsidRDefault="00471E64" w:rsidP="007F6B8F">
            <w:pPr>
              <w:pStyle w:val="Tabletext"/>
              <w:keepNext/>
              <w:jc w:val="center"/>
            </w:pPr>
            <w:r w:rsidRPr="00C52655">
              <w:t>33 (14</w:t>
            </w:r>
            <w:r>
              <w:t>%)</w:t>
            </w:r>
          </w:p>
        </w:tc>
        <w:tc>
          <w:tcPr>
            <w:tcW w:w="1509" w:type="dxa"/>
            <w:vAlign w:val="center"/>
          </w:tcPr>
          <w:p w14:paraId="77786002" w14:textId="77777777" w:rsidR="00471E64" w:rsidRDefault="00471E64" w:rsidP="007F6B8F">
            <w:pPr>
              <w:pStyle w:val="Tabletext"/>
              <w:keepNext/>
              <w:jc w:val="center"/>
            </w:pPr>
            <w:r w:rsidRPr="00C52655">
              <w:t>30 (13</w:t>
            </w:r>
            <w:r>
              <w:t>%)</w:t>
            </w:r>
          </w:p>
        </w:tc>
      </w:tr>
      <w:tr w:rsidR="00471E64" w14:paraId="18D7C558" w14:textId="77777777" w:rsidTr="007F6B8F">
        <w:tc>
          <w:tcPr>
            <w:tcW w:w="2830" w:type="dxa"/>
          </w:tcPr>
          <w:p w14:paraId="3132805B" w14:textId="77777777" w:rsidR="00471E64" w:rsidRDefault="00471E64" w:rsidP="0043166B">
            <w:pPr>
              <w:pStyle w:val="Tabletext"/>
              <w:keepNext/>
            </w:pPr>
            <w:r w:rsidRPr="00C52655">
              <w:t>Asthenia</w:t>
            </w:r>
          </w:p>
        </w:tc>
        <w:tc>
          <w:tcPr>
            <w:tcW w:w="1560" w:type="dxa"/>
            <w:vAlign w:val="center"/>
          </w:tcPr>
          <w:p w14:paraId="7972E5BE" w14:textId="77777777" w:rsidR="00471E64" w:rsidRDefault="00471E64" w:rsidP="007F6B8F">
            <w:pPr>
              <w:pStyle w:val="Tabletext"/>
              <w:keepNext/>
              <w:jc w:val="center"/>
            </w:pPr>
            <w:r w:rsidRPr="00C52655">
              <w:t>44 (19</w:t>
            </w:r>
            <w:r>
              <w:t>%)</w:t>
            </w:r>
          </w:p>
        </w:tc>
        <w:tc>
          <w:tcPr>
            <w:tcW w:w="1559" w:type="dxa"/>
            <w:vAlign w:val="center"/>
          </w:tcPr>
          <w:p w14:paraId="47E49D30" w14:textId="77777777" w:rsidR="00471E64" w:rsidRDefault="00471E64" w:rsidP="007F6B8F">
            <w:pPr>
              <w:pStyle w:val="Tabletext"/>
              <w:keepNext/>
              <w:jc w:val="center"/>
            </w:pPr>
            <w:r w:rsidRPr="00C52655">
              <w:t>13 (6</w:t>
            </w:r>
            <w:r>
              <w:t>%)</w:t>
            </w:r>
          </w:p>
        </w:tc>
        <w:tc>
          <w:tcPr>
            <w:tcW w:w="1559" w:type="dxa"/>
            <w:vAlign w:val="center"/>
          </w:tcPr>
          <w:p w14:paraId="286F1B52" w14:textId="77777777" w:rsidR="00471E64" w:rsidRDefault="00471E64" w:rsidP="007F6B8F">
            <w:pPr>
              <w:pStyle w:val="Tabletext"/>
              <w:keepNext/>
              <w:jc w:val="center"/>
            </w:pPr>
            <w:r w:rsidRPr="00C52655">
              <w:t>2 (1</w:t>
            </w:r>
            <w:r>
              <w:t>%)</w:t>
            </w:r>
          </w:p>
        </w:tc>
        <w:tc>
          <w:tcPr>
            <w:tcW w:w="1509" w:type="dxa"/>
            <w:vAlign w:val="center"/>
          </w:tcPr>
          <w:p w14:paraId="4977ED4F" w14:textId="77777777" w:rsidR="00471E64" w:rsidRDefault="00471E64" w:rsidP="007F6B8F">
            <w:pPr>
              <w:pStyle w:val="Tabletext"/>
              <w:keepNext/>
              <w:jc w:val="center"/>
            </w:pPr>
            <w:r w:rsidRPr="00C52655">
              <w:t>1 (&lt;1</w:t>
            </w:r>
            <w:r>
              <w:t>%)</w:t>
            </w:r>
          </w:p>
        </w:tc>
      </w:tr>
      <w:tr w:rsidR="00471E64" w14:paraId="2CCDCE13" w14:textId="77777777" w:rsidTr="007F6B8F">
        <w:tc>
          <w:tcPr>
            <w:tcW w:w="2830" w:type="dxa"/>
          </w:tcPr>
          <w:p w14:paraId="28BA8C0C" w14:textId="77777777" w:rsidR="00471E64" w:rsidRDefault="00471E64" w:rsidP="0043166B">
            <w:pPr>
              <w:pStyle w:val="Tabletext"/>
              <w:keepNext/>
            </w:pPr>
            <w:r w:rsidRPr="00C52655">
              <w:t>Pyrexia</w:t>
            </w:r>
          </w:p>
        </w:tc>
        <w:tc>
          <w:tcPr>
            <w:tcW w:w="1560" w:type="dxa"/>
            <w:vAlign w:val="center"/>
          </w:tcPr>
          <w:p w14:paraId="179B825A" w14:textId="77777777" w:rsidR="00471E64" w:rsidRDefault="00471E64" w:rsidP="007F6B8F">
            <w:pPr>
              <w:pStyle w:val="Tabletext"/>
              <w:keepNext/>
              <w:jc w:val="center"/>
            </w:pPr>
            <w:r w:rsidRPr="00C52655">
              <w:t>36 (15</w:t>
            </w:r>
            <w:r>
              <w:t>%)</w:t>
            </w:r>
          </w:p>
        </w:tc>
        <w:tc>
          <w:tcPr>
            <w:tcW w:w="1559" w:type="dxa"/>
            <w:vAlign w:val="center"/>
          </w:tcPr>
          <w:p w14:paraId="43E46FF1" w14:textId="77777777" w:rsidR="00471E64" w:rsidRDefault="00471E64" w:rsidP="007F6B8F">
            <w:pPr>
              <w:pStyle w:val="Tabletext"/>
              <w:keepNext/>
              <w:jc w:val="center"/>
            </w:pPr>
            <w:r w:rsidRPr="00C52655">
              <w:t>44 (19</w:t>
            </w:r>
            <w:r>
              <w:t>%)</w:t>
            </w:r>
          </w:p>
        </w:tc>
        <w:tc>
          <w:tcPr>
            <w:tcW w:w="1559" w:type="dxa"/>
            <w:vAlign w:val="center"/>
          </w:tcPr>
          <w:p w14:paraId="2DA741B3" w14:textId="77777777" w:rsidR="00471E64" w:rsidRDefault="00471E64" w:rsidP="007F6B8F">
            <w:pPr>
              <w:pStyle w:val="Tabletext"/>
              <w:keepNext/>
              <w:jc w:val="center"/>
            </w:pPr>
            <w:r w:rsidRPr="00C52655">
              <w:t>4 (2</w:t>
            </w:r>
            <w:r>
              <w:t>%)</w:t>
            </w:r>
          </w:p>
        </w:tc>
        <w:tc>
          <w:tcPr>
            <w:tcW w:w="1509" w:type="dxa"/>
            <w:vAlign w:val="center"/>
          </w:tcPr>
          <w:p w14:paraId="04903F01" w14:textId="77777777" w:rsidR="00471E64" w:rsidRDefault="00471E64" w:rsidP="007F6B8F">
            <w:pPr>
              <w:pStyle w:val="Tabletext"/>
              <w:keepNext/>
              <w:jc w:val="center"/>
            </w:pPr>
            <w:r w:rsidRPr="00C52655">
              <w:t>1 (&lt;1</w:t>
            </w:r>
            <w:r>
              <w:t>%)</w:t>
            </w:r>
          </w:p>
        </w:tc>
      </w:tr>
      <w:tr w:rsidR="00471E64" w14:paraId="3CFD1CF8" w14:textId="77777777" w:rsidTr="007F6B8F">
        <w:tc>
          <w:tcPr>
            <w:tcW w:w="2830" w:type="dxa"/>
          </w:tcPr>
          <w:p w14:paraId="6E677808" w14:textId="77777777" w:rsidR="00471E64" w:rsidRDefault="00471E64" w:rsidP="0043166B">
            <w:pPr>
              <w:pStyle w:val="Tabletext"/>
              <w:keepNext/>
            </w:pPr>
            <w:r w:rsidRPr="00C52655">
              <w:t>Arthralgia</w:t>
            </w:r>
          </w:p>
        </w:tc>
        <w:tc>
          <w:tcPr>
            <w:tcW w:w="1560" w:type="dxa"/>
            <w:vAlign w:val="center"/>
          </w:tcPr>
          <w:p w14:paraId="1274AF8A" w14:textId="77777777" w:rsidR="00471E64" w:rsidRDefault="00471E64" w:rsidP="007F6B8F">
            <w:pPr>
              <w:pStyle w:val="Tabletext"/>
              <w:keepNext/>
              <w:jc w:val="center"/>
            </w:pPr>
            <w:r w:rsidRPr="00C52655">
              <w:t>32 (14</w:t>
            </w:r>
            <w:r>
              <w:t>%)</w:t>
            </w:r>
          </w:p>
        </w:tc>
        <w:tc>
          <w:tcPr>
            <w:tcW w:w="1559" w:type="dxa"/>
            <w:vAlign w:val="center"/>
          </w:tcPr>
          <w:p w14:paraId="217EF283" w14:textId="77777777" w:rsidR="00471E64" w:rsidRDefault="00471E64" w:rsidP="007F6B8F">
            <w:pPr>
              <w:pStyle w:val="Tabletext"/>
              <w:keepNext/>
              <w:jc w:val="center"/>
            </w:pPr>
            <w:r w:rsidRPr="00C52655">
              <w:t>24 (10</w:t>
            </w:r>
            <w:r>
              <w:t>%)</w:t>
            </w:r>
          </w:p>
        </w:tc>
        <w:tc>
          <w:tcPr>
            <w:tcW w:w="1559" w:type="dxa"/>
            <w:vAlign w:val="center"/>
          </w:tcPr>
          <w:p w14:paraId="1E2A59F8" w14:textId="77777777" w:rsidR="00471E64" w:rsidRDefault="00471E64" w:rsidP="007F6B8F">
            <w:pPr>
              <w:pStyle w:val="Tabletext"/>
              <w:keepNext/>
              <w:jc w:val="center"/>
            </w:pPr>
            <w:r w:rsidRPr="00C52655">
              <w:t>2 (1</w:t>
            </w:r>
            <w:r>
              <w:t>%)</w:t>
            </w:r>
          </w:p>
        </w:tc>
        <w:tc>
          <w:tcPr>
            <w:tcW w:w="1509" w:type="dxa"/>
            <w:vAlign w:val="center"/>
          </w:tcPr>
          <w:p w14:paraId="59CA326B" w14:textId="77777777" w:rsidR="00471E64" w:rsidRDefault="00471E64" w:rsidP="007F6B8F">
            <w:pPr>
              <w:pStyle w:val="Tabletext"/>
              <w:keepNext/>
              <w:jc w:val="center"/>
            </w:pPr>
            <w:r w:rsidRPr="00C52655">
              <w:t>1 (&lt;1</w:t>
            </w:r>
            <w:r>
              <w:t>%)</w:t>
            </w:r>
          </w:p>
        </w:tc>
      </w:tr>
      <w:tr w:rsidR="00471E64" w14:paraId="3202078A" w14:textId="77777777" w:rsidTr="007F6B8F">
        <w:tc>
          <w:tcPr>
            <w:tcW w:w="2830" w:type="dxa"/>
          </w:tcPr>
          <w:p w14:paraId="554D37B9" w14:textId="77777777" w:rsidR="00471E64" w:rsidRDefault="00471E64" w:rsidP="0043166B">
            <w:pPr>
              <w:pStyle w:val="Tabletext"/>
              <w:keepNext/>
            </w:pPr>
            <w:r w:rsidRPr="00C52655">
              <w:t>Abdominal pain</w:t>
            </w:r>
          </w:p>
        </w:tc>
        <w:tc>
          <w:tcPr>
            <w:tcW w:w="1560" w:type="dxa"/>
            <w:vAlign w:val="center"/>
          </w:tcPr>
          <w:p w14:paraId="0E5FA80D" w14:textId="77777777" w:rsidR="00471E64" w:rsidRDefault="00471E64" w:rsidP="007F6B8F">
            <w:pPr>
              <w:pStyle w:val="Tabletext"/>
              <w:keepNext/>
              <w:jc w:val="center"/>
            </w:pPr>
            <w:r w:rsidRPr="00C52655">
              <w:t>31 (13</w:t>
            </w:r>
            <w:r>
              <w:t>%)</w:t>
            </w:r>
          </w:p>
        </w:tc>
        <w:tc>
          <w:tcPr>
            <w:tcW w:w="1559" w:type="dxa"/>
            <w:vAlign w:val="center"/>
          </w:tcPr>
          <w:p w14:paraId="06BEA729" w14:textId="77777777" w:rsidR="00471E64" w:rsidRDefault="00471E64" w:rsidP="007F6B8F">
            <w:pPr>
              <w:pStyle w:val="Tabletext"/>
              <w:keepNext/>
              <w:jc w:val="center"/>
            </w:pPr>
            <w:r w:rsidRPr="00C52655">
              <w:t>16 (7</w:t>
            </w:r>
            <w:r>
              <w:t>%)</w:t>
            </w:r>
          </w:p>
        </w:tc>
        <w:tc>
          <w:tcPr>
            <w:tcW w:w="1559" w:type="dxa"/>
            <w:vAlign w:val="center"/>
          </w:tcPr>
          <w:p w14:paraId="5B1F785B" w14:textId="77777777" w:rsidR="00471E64" w:rsidRDefault="00471E64" w:rsidP="007F6B8F">
            <w:pPr>
              <w:pStyle w:val="Tabletext"/>
              <w:keepNext/>
              <w:jc w:val="center"/>
            </w:pPr>
            <w:r w:rsidRPr="00C52655">
              <w:t>2 (1</w:t>
            </w:r>
            <w:r>
              <w:t>%)</w:t>
            </w:r>
          </w:p>
        </w:tc>
        <w:tc>
          <w:tcPr>
            <w:tcW w:w="1509" w:type="dxa"/>
            <w:vAlign w:val="center"/>
          </w:tcPr>
          <w:p w14:paraId="61591831" w14:textId="77777777" w:rsidR="00471E64" w:rsidRDefault="00471E64" w:rsidP="007F6B8F">
            <w:pPr>
              <w:pStyle w:val="Tabletext"/>
              <w:keepNext/>
              <w:jc w:val="center"/>
            </w:pPr>
            <w:r w:rsidRPr="00C52655">
              <w:t>0</w:t>
            </w:r>
          </w:p>
        </w:tc>
      </w:tr>
      <w:tr w:rsidR="00471E64" w14:paraId="036396F8" w14:textId="77777777" w:rsidTr="007F6B8F">
        <w:tc>
          <w:tcPr>
            <w:tcW w:w="2830" w:type="dxa"/>
          </w:tcPr>
          <w:p w14:paraId="12E7F6A7" w14:textId="77777777" w:rsidR="00471E64" w:rsidRDefault="00471E64" w:rsidP="0043166B">
            <w:pPr>
              <w:pStyle w:val="Tabletext"/>
              <w:keepNext/>
            </w:pPr>
            <w:r w:rsidRPr="00C52655">
              <w:t>Upper respiratory tract infection</w:t>
            </w:r>
          </w:p>
        </w:tc>
        <w:tc>
          <w:tcPr>
            <w:tcW w:w="1560" w:type="dxa"/>
            <w:vAlign w:val="center"/>
          </w:tcPr>
          <w:p w14:paraId="67EE1D03" w14:textId="77777777" w:rsidR="00471E64" w:rsidRDefault="00471E64" w:rsidP="007F6B8F">
            <w:pPr>
              <w:pStyle w:val="Tabletext"/>
              <w:keepNext/>
              <w:jc w:val="center"/>
            </w:pPr>
            <w:r w:rsidRPr="00C52655">
              <w:t>31 (13</w:t>
            </w:r>
            <w:r>
              <w:t>%)</w:t>
            </w:r>
          </w:p>
        </w:tc>
        <w:tc>
          <w:tcPr>
            <w:tcW w:w="1559" w:type="dxa"/>
            <w:vAlign w:val="center"/>
          </w:tcPr>
          <w:p w14:paraId="34DBECB5" w14:textId="77777777" w:rsidR="00471E64" w:rsidRDefault="00471E64" w:rsidP="007F6B8F">
            <w:pPr>
              <w:pStyle w:val="Tabletext"/>
              <w:keepNext/>
              <w:jc w:val="center"/>
            </w:pPr>
            <w:r w:rsidRPr="00C52655">
              <w:t>32 (14</w:t>
            </w:r>
            <w:r>
              <w:t>%)</w:t>
            </w:r>
          </w:p>
        </w:tc>
        <w:tc>
          <w:tcPr>
            <w:tcW w:w="1559" w:type="dxa"/>
            <w:vAlign w:val="center"/>
          </w:tcPr>
          <w:p w14:paraId="7414B5D1" w14:textId="77777777" w:rsidR="00471E64" w:rsidRDefault="00471E64" w:rsidP="007F6B8F">
            <w:pPr>
              <w:pStyle w:val="Tabletext"/>
              <w:keepNext/>
              <w:jc w:val="center"/>
            </w:pPr>
            <w:r w:rsidRPr="00C52655">
              <w:t>1 (&lt;1</w:t>
            </w:r>
            <w:r>
              <w:t>%)</w:t>
            </w:r>
          </w:p>
        </w:tc>
        <w:tc>
          <w:tcPr>
            <w:tcW w:w="1509" w:type="dxa"/>
            <w:vAlign w:val="center"/>
          </w:tcPr>
          <w:p w14:paraId="598FF980" w14:textId="77777777" w:rsidR="00471E64" w:rsidRDefault="00471E64" w:rsidP="007F6B8F">
            <w:pPr>
              <w:pStyle w:val="Tabletext"/>
              <w:keepNext/>
              <w:jc w:val="center"/>
            </w:pPr>
            <w:r w:rsidRPr="00C52655">
              <w:t>0</w:t>
            </w:r>
          </w:p>
        </w:tc>
      </w:tr>
      <w:tr w:rsidR="00471E64" w14:paraId="12DC5E39" w14:textId="77777777" w:rsidTr="007F6B8F">
        <w:tc>
          <w:tcPr>
            <w:tcW w:w="2830" w:type="dxa"/>
          </w:tcPr>
          <w:p w14:paraId="1EA3580D" w14:textId="77777777" w:rsidR="00471E64" w:rsidRDefault="00471E64" w:rsidP="0043166B">
            <w:pPr>
              <w:pStyle w:val="Tabletext"/>
              <w:keepNext/>
            </w:pPr>
            <w:r w:rsidRPr="00C52655">
              <w:t>Decreased appetite</w:t>
            </w:r>
          </w:p>
        </w:tc>
        <w:tc>
          <w:tcPr>
            <w:tcW w:w="1560" w:type="dxa"/>
            <w:vAlign w:val="center"/>
          </w:tcPr>
          <w:p w14:paraId="7B75A7C9" w14:textId="77777777" w:rsidR="00471E64" w:rsidRDefault="00471E64" w:rsidP="007F6B8F">
            <w:pPr>
              <w:pStyle w:val="Tabletext"/>
              <w:keepNext/>
              <w:jc w:val="center"/>
            </w:pPr>
            <w:r w:rsidRPr="00C52655">
              <w:t>30 (13</w:t>
            </w:r>
            <w:r>
              <w:t>%)</w:t>
            </w:r>
          </w:p>
        </w:tc>
        <w:tc>
          <w:tcPr>
            <w:tcW w:w="1559" w:type="dxa"/>
            <w:vAlign w:val="center"/>
          </w:tcPr>
          <w:p w14:paraId="6BB2CBA5" w14:textId="77777777" w:rsidR="00471E64" w:rsidRDefault="00471E64" w:rsidP="007F6B8F">
            <w:pPr>
              <w:pStyle w:val="Tabletext"/>
              <w:keepNext/>
              <w:jc w:val="center"/>
            </w:pPr>
            <w:r w:rsidRPr="00C52655">
              <w:t>15 (6</w:t>
            </w:r>
            <w:r>
              <w:t>%)</w:t>
            </w:r>
          </w:p>
        </w:tc>
        <w:tc>
          <w:tcPr>
            <w:tcW w:w="1559" w:type="dxa"/>
            <w:vAlign w:val="center"/>
          </w:tcPr>
          <w:p w14:paraId="453B5C12" w14:textId="77777777" w:rsidR="00471E64" w:rsidRDefault="00471E64" w:rsidP="007F6B8F">
            <w:pPr>
              <w:pStyle w:val="Tabletext"/>
              <w:keepNext/>
              <w:jc w:val="center"/>
            </w:pPr>
            <w:r w:rsidRPr="00C52655">
              <w:t>2 (1</w:t>
            </w:r>
            <w:r>
              <w:t>%)</w:t>
            </w:r>
          </w:p>
        </w:tc>
        <w:tc>
          <w:tcPr>
            <w:tcW w:w="1509" w:type="dxa"/>
            <w:vAlign w:val="center"/>
          </w:tcPr>
          <w:p w14:paraId="1148045F" w14:textId="77777777" w:rsidR="00471E64" w:rsidRDefault="00471E64" w:rsidP="007F6B8F">
            <w:pPr>
              <w:pStyle w:val="Tabletext"/>
              <w:keepNext/>
              <w:jc w:val="center"/>
            </w:pPr>
            <w:r w:rsidRPr="00C52655">
              <w:t>2 (1</w:t>
            </w:r>
            <w:r>
              <w:t>%)</w:t>
            </w:r>
          </w:p>
        </w:tc>
      </w:tr>
      <w:tr w:rsidR="00471E64" w14:paraId="1DC99010" w14:textId="77777777" w:rsidTr="007F6B8F">
        <w:tc>
          <w:tcPr>
            <w:tcW w:w="2830" w:type="dxa"/>
          </w:tcPr>
          <w:p w14:paraId="2B175C8B" w14:textId="77777777" w:rsidR="00471E64" w:rsidRDefault="00471E64" w:rsidP="0043166B">
            <w:pPr>
              <w:pStyle w:val="Tabletext"/>
              <w:keepNext/>
            </w:pPr>
            <w:r w:rsidRPr="00C52655">
              <w:t>Cough</w:t>
            </w:r>
          </w:p>
        </w:tc>
        <w:tc>
          <w:tcPr>
            <w:tcW w:w="1560" w:type="dxa"/>
            <w:vAlign w:val="center"/>
          </w:tcPr>
          <w:p w14:paraId="3A45FDF0" w14:textId="77777777" w:rsidR="00471E64" w:rsidRDefault="00471E64" w:rsidP="007F6B8F">
            <w:pPr>
              <w:pStyle w:val="Tabletext"/>
              <w:keepNext/>
              <w:jc w:val="center"/>
            </w:pPr>
            <w:r w:rsidRPr="00C52655">
              <w:t>29 (12</w:t>
            </w:r>
            <w:r>
              <w:t>%)</w:t>
            </w:r>
          </w:p>
        </w:tc>
        <w:tc>
          <w:tcPr>
            <w:tcW w:w="1559" w:type="dxa"/>
            <w:vAlign w:val="center"/>
          </w:tcPr>
          <w:p w14:paraId="2A2BB7EE" w14:textId="77777777" w:rsidR="00471E64" w:rsidRDefault="00471E64" w:rsidP="007F6B8F">
            <w:pPr>
              <w:pStyle w:val="Tabletext"/>
              <w:keepNext/>
              <w:jc w:val="center"/>
            </w:pPr>
            <w:r w:rsidRPr="00C52655">
              <w:t>39 (17</w:t>
            </w:r>
            <w:r>
              <w:t>%)</w:t>
            </w:r>
          </w:p>
        </w:tc>
        <w:tc>
          <w:tcPr>
            <w:tcW w:w="1559" w:type="dxa"/>
            <w:vAlign w:val="center"/>
          </w:tcPr>
          <w:p w14:paraId="6A3BF3D5" w14:textId="77777777" w:rsidR="00471E64" w:rsidRDefault="00471E64" w:rsidP="007F6B8F">
            <w:pPr>
              <w:pStyle w:val="Tabletext"/>
              <w:keepNext/>
              <w:jc w:val="center"/>
            </w:pPr>
            <w:r w:rsidRPr="00C52655">
              <w:t>0</w:t>
            </w:r>
          </w:p>
        </w:tc>
        <w:tc>
          <w:tcPr>
            <w:tcW w:w="1509" w:type="dxa"/>
            <w:vAlign w:val="center"/>
          </w:tcPr>
          <w:p w14:paraId="1906326F" w14:textId="77777777" w:rsidR="00471E64" w:rsidRDefault="00471E64" w:rsidP="007F6B8F">
            <w:pPr>
              <w:pStyle w:val="Tabletext"/>
              <w:keepNext/>
              <w:jc w:val="center"/>
            </w:pPr>
            <w:r w:rsidRPr="00C52655">
              <w:t>0</w:t>
            </w:r>
          </w:p>
        </w:tc>
      </w:tr>
      <w:tr w:rsidR="00471E64" w14:paraId="626EF4C8" w14:textId="77777777" w:rsidTr="007F6B8F">
        <w:tc>
          <w:tcPr>
            <w:tcW w:w="2830" w:type="dxa"/>
          </w:tcPr>
          <w:p w14:paraId="58A87114" w14:textId="77777777" w:rsidR="00471E64" w:rsidRDefault="00471E64" w:rsidP="0043166B">
            <w:pPr>
              <w:pStyle w:val="Tabletext"/>
              <w:keepNext/>
            </w:pPr>
            <w:r w:rsidRPr="00C52655">
              <w:t>Febrile neutropenia</w:t>
            </w:r>
          </w:p>
        </w:tc>
        <w:tc>
          <w:tcPr>
            <w:tcW w:w="1560" w:type="dxa"/>
            <w:vAlign w:val="center"/>
          </w:tcPr>
          <w:p w14:paraId="5107001B" w14:textId="77777777" w:rsidR="00471E64" w:rsidRDefault="00471E64" w:rsidP="007F6B8F">
            <w:pPr>
              <w:pStyle w:val="Tabletext"/>
              <w:keepNext/>
              <w:jc w:val="center"/>
            </w:pPr>
            <w:r w:rsidRPr="00C52655">
              <w:t>28 (12</w:t>
            </w:r>
            <w:r>
              <w:t>%)</w:t>
            </w:r>
          </w:p>
        </w:tc>
        <w:tc>
          <w:tcPr>
            <w:tcW w:w="1559" w:type="dxa"/>
            <w:vAlign w:val="center"/>
          </w:tcPr>
          <w:p w14:paraId="149BDE9B" w14:textId="77777777" w:rsidR="00471E64" w:rsidRDefault="00471E64" w:rsidP="007F6B8F">
            <w:pPr>
              <w:pStyle w:val="Tabletext"/>
              <w:keepNext/>
              <w:jc w:val="center"/>
            </w:pPr>
            <w:r w:rsidRPr="00C52655">
              <w:t>18 (8</w:t>
            </w:r>
            <w:r>
              <w:t>%)</w:t>
            </w:r>
          </w:p>
        </w:tc>
        <w:tc>
          <w:tcPr>
            <w:tcW w:w="1559" w:type="dxa"/>
            <w:vAlign w:val="center"/>
          </w:tcPr>
          <w:p w14:paraId="3AB7AF22" w14:textId="77777777" w:rsidR="00471E64" w:rsidRDefault="00471E64" w:rsidP="007F6B8F">
            <w:pPr>
              <w:pStyle w:val="Tabletext"/>
              <w:keepNext/>
              <w:jc w:val="center"/>
            </w:pPr>
            <w:r w:rsidRPr="00C52655">
              <w:t>27 (11</w:t>
            </w:r>
            <w:r>
              <w:t>%)</w:t>
            </w:r>
          </w:p>
        </w:tc>
        <w:tc>
          <w:tcPr>
            <w:tcW w:w="1509" w:type="dxa"/>
            <w:vAlign w:val="center"/>
          </w:tcPr>
          <w:p w14:paraId="33C6887D" w14:textId="77777777" w:rsidR="00471E64" w:rsidRDefault="00471E64" w:rsidP="007F6B8F">
            <w:pPr>
              <w:pStyle w:val="Tabletext"/>
              <w:keepNext/>
              <w:jc w:val="center"/>
            </w:pPr>
            <w:r w:rsidRPr="00C52655">
              <w:t>18 (8</w:t>
            </w:r>
            <w:r>
              <w:t>%)</w:t>
            </w:r>
          </w:p>
        </w:tc>
      </w:tr>
      <w:tr w:rsidR="00471E64" w14:paraId="3484F21E" w14:textId="77777777" w:rsidTr="007F6B8F">
        <w:tc>
          <w:tcPr>
            <w:tcW w:w="2830" w:type="dxa"/>
          </w:tcPr>
          <w:p w14:paraId="55B18089" w14:textId="77777777" w:rsidR="00471E64" w:rsidRDefault="00471E64" w:rsidP="0043166B">
            <w:pPr>
              <w:pStyle w:val="Tabletext"/>
              <w:keepNext/>
            </w:pPr>
            <w:r w:rsidRPr="00C52655">
              <w:t>Back pain</w:t>
            </w:r>
          </w:p>
        </w:tc>
        <w:tc>
          <w:tcPr>
            <w:tcW w:w="1560" w:type="dxa"/>
            <w:vAlign w:val="center"/>
          </w:tcPr>
          <w:p w14:paraId="159CE67B" w14:textId="77777777" w:rsidR="00471E64" w:rsidRDefault="00471E64" w:rsidP="007F6B8F">
            <w:pPr>
              <w:pStyle w:val="Tabletext"/>
              <w:keepNext/>
              <w:jc w:val="center"/>
            </w:pPr>
            <w:r w:rsidRPr="00C52655">
              <w:t>28 (12</w:t>
            </w:r>
            <w:r>
              <w:t>%)</w:t>
            </w:r>
          </w:p>
        </w:tc>
        <w:tc>
          <w:tcPr>
            <w:tcW w:w="1559" w:type="dxa"/>
            <w:vAlign w:val="center"/>
          </w:tcPr>
          <w:p w14:paraId="3F42C6F0" w14:textId="77777777" w:rsidR="00471E64" w:rsidRDefault="00471E64" w:rsidP="007F6B8F">
            <w:pPr>
              <w:pStyle w:val="Tabletext"/>
              <w:keepNext/>
              <w:jc w:val="center"/>
            </w:pPr>
            <w:r w:rsidRPr="00C52655">
              <w:t>23 (10</w:t>
            </w:r>
            <w:r>
              <w:t>%)</w:t>
            </w:r>
          </w:p>
        </w:tc>
        <w:tc>
          <w:tcPr>
            <w:tcW w:w="1559" w:type="dxa"/>
            <w:vAlign w:val="center"/>
          </w:tcPr>
          <w:p w14:paraId="7FD6BF3F" w14:textId="77777777" w:rsidR="00471E64" w:rsidRDefault="00471E64" w:rsidP="007F6B8F">
            <w:pPr>
              <w:pStyle w:val="Tabletext"/>
              <w:keepNext/>
              <w:jc w:val="center"/>
            </w:pPr>
            <w:r w:rsidRPr="00C52655">
              <w:t>3 (1</w:t>
            </w:r>
            <w:r>
              <w:t>%)</w:t>
            </w:r>
          </w:p>
        </w:tc>
        <w:tc>
          <w:tcPr>
            <w:tcW w:w="1509" w:type="dxa"/>
            <w:vAlign w:val="center"/>
          </w:tcPr>
          <w:p w14:paraId="6C73E0D3" w14:textId="77777777" w:rsidR="00471E64" w:rsidRDefault="00471E64" w:rsidP="007F6B8F">
            <w:pPr>
              <w:pStyle w:val="Tabletext"/>
              <w:keepNext/>
              <w:jc w:val="center"/>
            </w:pPr>
            <w:r w:rsidRPr="00C52655">
              <w:t>2 (1</w:t>
            </w:r>
            <w:r>
              <w:t>%)</w:t>
            </w:r>
          </w:p>
        </w:tc>
      </w:tr>
      <w:tr w:rsidR="00471E64" w14:paraId="428DEE52" w14:textId="77777777" w:rsidTr="007F6B8F">
        <w:tc>
          <w:tcPr>
            <w:tcW w:w="2830" w:type="dxa"/>
          </w:tcPr>
          <w:p w14:paraId="6B493F4A" w14:textId="77777777" w:rsidR="00471E64" w:rsidRDefault="00471E64" w:rsidP="0043166B">
            <w:pPr>
              <w:pStyle w:val="Tabletext"/>
              <w:keepNext/>
            </w:pPr>
            <w:r w:rsidRPr="00C52655">
              <w:t>Leukopenia</w:t>
            </w:r>
          </w:p>
        </w:tc>
        <w:tc>
          <w:tcPr>
            <w:tcW w:w="1560" w:type="dxa"/>
            <w:vAlign w:val="center"/>
          </w:tcPr>
          <w:p w14:paraId="740DE447" w14:textId="77777777" w:rsidR="00471E64" w:rsidRDefault="00471E64" w:rsidP="007F6B8F">
            <w:pPr>
              <w:pStyle w:val="Tabletext"/>
              <w:keepNext/>
              <w:jc w:val="center"/>
            </w:pPr>
            <w:r w:rsidRPr="00C52655">
              <w:t>25 (11</w:t>
            </w:r>
            <w:r>
              <w:t>%)</w:t>
            </w:r>
          </w:p>
        </w:tc>
        <w:tc>
          <w:tcPr>
            <w:tcW w:w="1559" w:type="dxa"/>
            <w:vAlign w:val="center"/>
          </w:tcPr>
          <w:p w14:paraId="53FB754C" w14:textId="77777777" w:rsidR="00471E64" w:rsidRDefault="00471E64" w:rsidP="007F6B8F">
            <w:pPr>
              <w:pStyle w:val="Tabletext"/>
              <w:keepNext/>
              <w:jc w:val="center"/>
            </w:pPr>
            <w:r w:rsidRPr="00C52655">
              <w:t>19 (8</w:t>
            </w:r>
            <w:r>
              <w:t>%)</w:t>
            </w:r>
          </w:p>
        </w:tc>
        <w:tc>
          <w:tcPr>
            <w:tcW w:w="1559" w:type="dxa"/>
            <w:vAlign w:val="center"/>
          </w:tcPr>
          <w:p w14:paraId="70CFC809" w14:textId="77777777" w:rsidR="00471E64" w:rsidRDefault="00471E64" w:rsidP="007F6B8F">
            <w:pPr>
              <w:pStyle w:val="Tabletext"/>
              <w:keepNext/>
              <w:jc w:val="center"/>
            </w:pPr>
            <w:r w:rsidRPr="00C52655">
              <w:t>18 (8</w:t>
            </w:r>
            <w:r>
              <w:t>%)</w:t>
            </w:r>
          </w:p>
        </w:tc>
        <w:tc>
          <w:tcPr>
            <w:tcW w:w="1509" w:type="dxa"/>
            <w:vAlign w:val="center"/>
          </w:tcPr>
          <w:p w14:paraId="6E3A02E5" w14:textId="77777777" w:rsidR="00471E64" w:rsidRDefault="00471E64" w:rsidP="007F6B8F">
            <w:pPr>
              <w:pStyle w:val="Tabletext"/>
              <w:keepNext/>
              <w:jc w:val="center"/>
            </w:pPr>
            <w:r w:rsidRPr="00C52655">
              <w:t>14 (6</w:t>
            </w:r>
            <w:r>
              <w:t>%)</w:t>
            </w:r>
          </w:p>
        </w:tc>
      </w:tr>
      <w:tr w:rsidR="00471E64" w14:paraId="39603C16" w14:textId="77777777" w:rsidTr="007F6B8F">
        <w:tc>
          <w:tcPr>
            <w:tcW w:w="2830" w:type="dxa"/>
          </w:tcPr>
          <w:p w14:paraId="59FCA59E" w14:textId="77777777" w:rsidR="00471E64" w:rsidRDefault="00471E64" w:rsidP="0043166B">
            <w:pPr>
              <w:pStyle w:val="Tabletext"/>
              <w:keepNext/>
            </w:pPr>
            <w:r w:rsidRPr="00C52655">
              <w:t>Pain in extremity</w:t>
            </w:r>
          </w:p>
        </w:tc>
        <w:tc>
          <w:tcPr>
            <w:tcW w:w="1560" w:type="dxa"/>
            <w:vAlign w:val="center"/>
          </w:tcPr>
          <w:p w14:paraId="4C6A7278" w14:textId="77777777" w:rsidR="00471E64" w:rsidRDefault="00471E64" w:rsidP="007F6B8F">
            <w:pPr>
              <w:pStyle w:val="Tabletext"/>
              <w:keepNext/>
              <w:jc w:val="center"/>
            </w:pPr>
            <w:r w:rsidRPr="00C52655">
              <w:t>25 (11</w:t>
            </w:r>
            <w:r>
              <w:t>%)</w:t>
            </w:r>
          </w:p>
        </w:tc>
        <w:tc>
          <w:tcPr>
            <w:tcW w:w="1559" w:type="dxa"/>
            <w:vAlign w:val="center"/>
          </w:tcPr>
          <w:p w14:paraId="2AB637CB" w14:textId="77777777" w:rsidR="00471E64" w:rsidRDefault="00471E64" w:rsidP="007F6B8F">
            <w:pPr>
              <w:pStyle w:val="Tabletext"/>
              <w:keepNext/>
              <w:jc w:val="center"/>
            </w:pPr>
            <w:r w:rsidRPr="00C52655">
              <w:t>12 (5</w:t>
            </w:r>
            <w:r>
              <w:t>%)</w:t>
            </w:r>
          </w:p>
        </w:tc>
        <w:tc>
          <w:tcPr>
            <w:tcW w:w="1559" w:type="dxa"/>
            <w:vAlign w:val="center"/>
          </w:tcPr>
          <w:p w14:paraId="2B872430" w14:textId="77777777" w:rsidR="00471E64" w:rsidRDefault="00471E64" w:rsidP="007F6B8F">
            <w:pPr>
              <w:pStyle w:val="Tabletext"/>
              <w:keepNext/>
              <w:jc w:val="center"/>
            </w:pPr>
            <w:r w:rsidRPr="00C52655">
              <w:t>1 (&lt;1</w:t>
            </w:r>
            <w:r>
              <w:t>%)</w:t>
            </w:r>
          </w:p>
        </w:tc>
        <w:tc>
          <w:tcPr>
            <w:tcW w:w="1509" w:type="dxa"/>
            <w:vAlign w:val="center"/>
          </w:tcPr>
          <w:p w14:paraId="7A841D2D" w14:textId="77777777" w:rsidR="00471E64" w:rsidRDefault="00471E64" w:rsidP="007F6B8F">
            <w:pPr>
              <w:pStyle w:val="Tabletext"/>
              <w:keepNext/>
              <w:jc w:val="center"/>
            </w:pPr>
            <w:r w:rsidRPr="00C52655">
              <w:t>0</w:t>
            </w:r>
          </w:p>
        </w:tc>
      </w:tr>
      <w:tr w:rsidR="00471E64" w14:paraId="0A034333" w14:textId="77777777" w:rsidTr="007F6B8F">
        <w:tc>
          <w:tcPr>
            <w:tcW w:w="2830" w:type="dxa"/>
          </w:tcPr>
          <w:p w14:paraId="3BEDF1D5" w14:textId="77777777" w:rsidR="00471E64" w:rsidRDefault="00471E64" w:rsidP="0043166B">
            <w:pPr>
              <w:pStyle w:val="Tabletext"/>
              <w:keepNext/>
            </w:pPr>
            <w:r w:rsidRPr="00C52655">
              <w:t>Dizziness</w:t>
            </w:r>
          </w:p>
        </w:tc>
        <w:tc>
          <w:tcPr>
            <w:tcW w:w="1560" w:type="dxa"/>
            <w:vAlign w:val="center"/>
          </w:tcPr>
          <w:p w14:paraId="32634A0D" w14:textId="77777777" w:rsidR="00471E64" w:rsidRDefault="00471E64" w:rsidP="007F6B8F">
            <w:pPr>
              <w:pStyle w:val="Tabletext"/>
              <w:keepNext/>
              <w:jc w:val="center"/>
            </w:pPr>
            <w:r w:rsidRPr="00C52655">
              <w:t>25 (11</w:t>
            </w:r>
            <w:r>
              <w:t>%)</w:t>
            </w:r>
          </w:p>
        </w:tc>
        <w:tc>
          <w:tcPr>
            <w:tcW w:w="1559" w:type="dxa"/>
            <w:vAlign w:val="center"/>
          </w:tcPr>
          <w:p w14:paraId="261CAE1D" w14:textId="77777777" w:rsidR="00471E64" w:rsidRDefault="00471E64" w:rsidP="007F6B8F">
            <w:pPr>
              <w:pStyle w:val="Tabletext"/>
              <w:keepNext/>
              <w:jc w:val="center"/>
            </w:pPr>
            <w:r w:rsidRPr="00C52655">
              <w:t>21 (9</w:t>
            </w:r>
            <w:r>
              <w:t>%)</w:t>
            </w:r>
          </w:p>
        </w:tc>
        <w:tc>
          <w:tcPr>
            <w:tcW w:w="1559" w:type="dxa"/>
            <w:vAlign w:val="center"/>
          </w:tcPr>
          <w:p w14:paraId="35505CC3" w14:textId="77777777" w:rsidR="00471E64" w:rsidRDefault="00471E64" w:rsidP="007F6B8F">
            <w:pPr>
              <w:pStyle w:val="Tabletext"/>
              <w:keepNext/>
              <w:jc w:val="center"/>
            </w:pPr>
            <w:r w:rsidRPr="00C52655">
              <w:t>0</w:t>
            </w:r>
          </w:p>
        </w:tc>
        <w:tc>
          <w:tcPr>
            <w:tcW w:w="1509" w:type="dxa"/>
            <w:vAlign w:val="center"/>
          </w:tcPr>
          <w:p w14:paraId="67037097" w14:textId="77777777" w:rsidR="00471E64" w:rsidRDefault="00471E64" w:rsidP="007F6B8F">
            <w:pPr>
              <w:pStyle w:val="Tabletext"/>
              <w:keepNext/>
              <w:jc w:val="center"/>
            </w:pPr>
            <w:r w:rsidRPr="00C52655">
              <w:t>0</w:t>
            </w:r>
          </w:p>
        </w:tc>
      </w:tr>
      <w:tr w:rsidR="00471E64" w14:paraId="76CE4622" w14:textId="77777777" w:rsidTr="007F6B8F">
        <w:tc>
          <w:tcPr>
            <w:tcW w:w="2830" w:type="dxa"/>
          </w:tcPr>
          <w:p w14:paraId="3A35B60C" w14:textId="77777777" w:rsidR="00471E64" w:rsidRPr="00C52655" w:rsidRDefault="00471E64" w:rsidP="0043166B">
            <w:pPr>
              <w:pStyle w:val="Tabletext"/>
              <w:keepNext/>
            </w:pPr>
            <w:r w:rsidRPr="00C52655">
              <w:t>Headache</w:t>
            </w:r>
          </w:p>
        </w:tc>
        <w:tc>
          <w:tcPr>
            <w:tcW w:w="1560" w:type="dxa"/>
            <w:vAlign w:val="center"/>
          </w:tcPr>
          <w:p w14:paraId="3995BEE1" w14:textId="77777777" w:rsidR="00471E64" w:rsidRDefault="00471E64" w:rsidP="007F6B8F">
            <w:pPr>
              <w:pStyle w:val="Tabletext"/>
              <w:keepNext/>
              <w:jc w:val="center"/>
            </w:pPr>
            <w:r w:rsidRPr="00C52655">
              <w:t>23 (10</w:t>
            </w:r>
            <w:r>
              <w:t>%)</w:t>
            </w:r>
          </w:p>
        </w:tc>
        <w:tc>
          <w:tcPr>
            <w:tcW w:w="1559" w:type="dxa"/>
            <w:vAlign w:val="center"/>
          </w:tcPr>
          <w:p w14:paraId="40C89362" w14:textId="77777777" w:rsidR="00471E64" w:rsidRDefault="00471E64" w:rsidP="007F6B8F">
            <w:pPr>
              <w:pStyle w:val="Tabletext"/>
              <w:keepNext/>
              <w:jc w:val="center"/>
            </w:pPr>
            <w:r w:rsidRPr="00C52655">
              <w:t>26 (11</w:t>
            </w:r>
            <w:r>
              <w:t>%)</w:t>
            </w:r>
          </w:p>
        </w:tc>
        <w:tc>
          <w:tcPr>
            <w:tcW w:w="1559" w:type="dxa"/>
            <w:vAlign w:val="center"/>
          </w:tcPr>
          <w:p w14:paraId="69CAE1AD" w14:textId="77777777" w:rsidR="00471E64" w:rsidRDefault="00471E64" w:rsidP="007F6B8F">
            <w:pPr>
              <w:pStyle w:val="Tabletext"/>
              <w:keepNext/>
              <w:jc w:val="center"/>
            </w:pPr>
            <w:r w:rsidRPr="00C52655">
              <w:t>0</w:t>
            </w:r>
          </w:p>
        </w:tc>
        <w:tc>
          <w:tcPr>
            <w:tcW w:w="1509" w:type="dxa"/>
            <w:vAlign w:val="center"/>
          </w:tcPr>
          <w:p w14:paraId="2740AA34" w14:textId="77777777" w:rsidR="00471E64" w:rsidRDefault="00471E64" w:rsidP="007F6B8F">
            <w:pPr>
              <w:pStyle w:val="Tabletext"/>
              <w:keepNext/>
              <w:jc w:val="center"/>
            </w:pPr>
            <w:r w:rsidRPr="00C52655">
              <w:t>1 (&lt;1</w:t>
            </w:r>
            <w:r>
              <w:t>%)</w:t>
            </w:r>
          </w:p>
        </w:tc>
      </w:tr>
      <w:tr w:rsidR="00471E64" w14:paraId="3EF854B0" w14:textId="77777777" w:rsidTr="007F6B8F">
        <w:tc>
          <w:tcPr>
            <w:tcW w:w="2830" w:type="dxa"/>
          </w:tcPr>
          <w:p w14:paraId="62657DDC" w14:textId="77777777" w:rsidR="00471E64" w:rsidRPr="00C52655" w:rsidRDefault="00471E64" w:rsidP="0043166B">
            <w:pPr>
              <w:pStyle w:val="Tabletext"/>
              <w:keepNext/>
            </w:pPr>
            <w:r w:rsidRPr="00C52655">
              <w:t>Peripheral oedema</w:t>
            </w:r>
          </w:p>
        </w:tc>
        <w:tc>
          <w:tcPr>
            <w:tcW w:w="1560" w:type="dxa"/>
            <w:vAlign w:val="center"/>
          </w:tcPr>
          <w:p w14:paraId="6A9A5655" w14:textId="77777777" w:rsidR="00471E64" w:rsidRDefault="00471E64" w:rsidP="007F6B8F">
            <w:pPr>
              <w:pStyle w:val="Tabletext"/>
              <w:keepNext/>
              <w:jc w:val="center"/>
            </w:pPr>
            <w:r w:rsidRPr="00C52655">
              <w:t>21 (9</w:t>
            </w:r>
            <w:r>
              <w:t>%)</w:t>
            </w:r>
          </w:p>
        </w:tc>
        <w:tc>
          <w:tcPr>
            <w:tcW w:w="1559" w:type="dxa"/>
            <w:vAlign w:val="center"/>
          </w:tcPr>
          <w:p w14:paraId="3DEEECEC" w14:textId="77777777" w:rsidR="00471E64" w:rsidRDefault="00471E64" w:rsidP="007F6B8F">
            <w:pPr>
              <w:pStyle w:val="Tabletext"/>
              <w:keepNext/>
              <w:jc w:val="center"/>
            </w:pPr>
            <w:r w:rsidRPr="00C52655">
              <w:t>24 (10</w:t>
            </w:r>
            <w:r>
              <w:t>%)</w:t>
            </w:r>
          </w:p>
        </w:tc>
        <w:tc>
          <w:tcPr>
            <w:tcW w:w="1559" w:type="dxa"/>
            <w:vAlign w:val="center"/>
          </w:tcPr>
          <w:p w14:paraId="1203DEBF" w14:textId="77777777" w:rsidR="00471E64" w:rsidRDefault="00471E64" w:rsidP="007F6B8F">
            <w:pPr>
              <w:pStyle w:val="Tabletext"/>
              <w:keepNext/>
              <w:jc w:val="center"/>
            </w:pPr>
            <w:r w:rsidRPr="00C52655">
              <w:t>0</w:t>
            </w:r>
          </w:p>
        </w:tc>
        <w:tc>
          <w:tcPr>
            <w:tcW w:w="1509" w:type="dxa"/>
            <w:vAlign w:val="center"/>
          </w:tcPr>
          <w:p w14:paraId="39850407" w14:textId="77777777" w:rsidR="00471E64" w:rsidRDefault="00471E64" w:rsidP="007F6B8F">
            <w:pPr>
              <w:pStyle w:val="Tabletext"/>
              <w:keepNext/>
              <w:jc w:val="center"/>
            </w:pPr>
            <w:r w:rsidRPr="00C52655">
              <w:t>1 (&lt;1</w:t>
            </w:r>
            <w:r>
              <w:t>%)</w:t>
            </w:r>
          </w:p>
        </w:tc>
      </w:tr>
    </w:tbl>
    <w:p w14:paraId="3D5B6C34" w14:textId="77777777" w:rsidR="0043166B" w:rsidRPr="00B1011F" w:rsidRDefault="0043166B" w:rsidP="0043166B">
      <w:pPr>
        <w:pStyle w:val="TableFigureFooter"/>
        <w:keepNext/>
        <w:rPr>
          <w:sz w:val="20"/>
        </w:rPr>
      </w:pPr>
      <w:bookmarkStart w:id="42" w:name="_Hlk100766347"/>
      <w:r>
        <w:t xml:space="preserve">Source: Table 51, p78 </w:t>
      </w:r>
      <w:r w:rsidRPr="00D13A3E">
        <w:t xml:space="preserve">of the </w:t>
      </w:r>
      <w:r>
        <w:t>submission.</w:t>
      </w:r>
    </w:p>
    <w:p w14:paraId="7752DB1B" w14:textId="32CD674A" w:rsidR="0043166B" w:rsidRDefault="0043166B" w:rsidP="0043166B">
      <w:pPr>
        <w:pStyle w:val="TableFigureFooter"/>
        <w:keepNext/>
        <w:rPr>
          <w:rFonts w:eastAsia="Calibri"/>
        </w:rPr>
      </w:pPr>
      <w:r>
        <w:rPr>
          <w:rFonts w:eastAsia="Calibri"/>
        </w:rPr>
        <w:t xml:space="preserve">Abbreviations: </w:t>
      </w:r>
      <w:r w:rsidR="009B5D5E">
        <w:t xml:space="preserve">BSC = best supportive care; </w:t>
      </w:r>
      <w:r w:rsidRPr="00B40358">
        <w:rPr>
          <w:rFonts w:eastAsia="Calibri"/>
        </w:rPr>
        <w:t>n = number of participants reporting data; N = total participants in group</w:t>
      </w:r>
    </w:p>
    <w:p w14:paraId="40ACA14E" w14:textId="76FD24B7" w:rsidR="0043166B" w:rsidRDefault="0043166B" w:rsidP="0043166B">
      <w:pPr>
        <w:pStyle w:val="TableFigureFooter"/>
        <w:keepNext/>
        <w:rPr>
          <w:rFonts w:eastAsia="Calibri"/>
          <w:i/>
        </w:rPr>
      </w:pPr>
      <w:r w:rsidRPr="00AE1D1F">
        <w:rPr>
          <w:rFonts w:eastAsia="Calibri"/>
          <w:i/>
        </w:rPr>
        <w:t xml:space="preserve">Note: Italicised was </w:t>
      </w:r>
      <w:r w:rsidRPr="000E1698">
        <w:rPr>
          <w:rFonts w:eastAsia="Calibri"/>
          <w:i/>
        </w:rPr>
        <w:t>corrected during the evaluation</w:t>
      </w:r>
      <w:r w:rsidR="0081203C">
        <w:rPr>
          <w:rFonts w:eastAsia="Calibri"/>
          <w:i/>
        </w:rPr>
        <w:t xml:space="preserve">; </w:t>
      </w:r>
      <w:r w:rsidR="0081203C">
        <w:rPr>
          <w:i/>
        </w:rPr>
        <w:t>incorrectly reported by the submission.</w:t>
      </w:r>
    </w:p>
    <w:p w14:paraId="3F804B17" w14:textId="5D705595" w:rsidR="00471E64" w:rsidRPr="0043166B" w:rsidRDefault="0043166B" w:rsidP="007F6B8F">
      <w:pPr>
        <w:pStyle w:val="5-SubsectionSubheading"/>
      </w:pPr>
      <w:bookmarkStart w:id="43" w:name="_Toc103244681"/>
      <w:bookmarkEnd w:id="42"/>
      <w:r w:rsidRPr="00107057">
        <w:t>Haematological TEAEs</w:t>
      </w:r>
      <w:bookmarkEnd w:id="43"/>
    </w:p>
    <w:p w14:paraId="72FB660C" w14:textId="05E90AC8" w:rsidR="0043166B" w:rsidRPr="009D15AF" w:rsidRDefault="0043166B" w:rsidP="0043166B">
      <w:pPr>
        <w:pStyle w:val="3-BodyText"/>
      </w:pPr>
      <w:r w:rsidRPr="009D15AF">
        <w:t xml:space="preserve">A </w:t>
      </w:r>
      <w:r w:rsidR="009D15AF" w:rsidRPr="009D15AF">
        <w:t xml:space="preserve">higher </w:t>
      </w:r>
      <w:r w:rsidRPr="009D15AF">
        <w:t xml:space="preserve">rate of haematological adverse events was observed in the oral azacitidine arm compared to the </w:t>
      </w:r>
      <w:r w:rsidR="009B5D5E">
        <w:t>BSC</w:t>
      </w:r>
      <w:r w:rsidRPr="009D15AF">
        <w:t xml:space="preserve"> arm</w:t>
      </w:r>
      <w:r w:rsidR="009D15AF" w:rsidRPr="009D15AF">
        <w:t>.</w:t>
      </w:r>
    </w:p>
    <w:p w14:paraId="69D0A97F" w14:textId="12E7F641" w:rsidR="0043166B" w:rsidRDefault="0043166B" w:rsidP="0043166B">
      <w:pPr>
        <w:pStyle w:val="TableFigureHeading"/>
      </w:pPr>
      <w:r>
        <w:t xml:space="preserve">Table </w:t>
      </w:r>
      <w:r w:rsidR="00396D16">
        <w:fldChar w:fldCharType="begin" w:fldLock="1"/>
      </w:r>
      <w:r w:rsidR="00396D16">
        <w:instrText xml:space="preserve"> SEQ Table \* ARABIC </w:instrText>
      </w:r>
      <w:r w:rsidR="00396D16">
        <w:fldChar w:fldCharType="separate"/>
      </w:r>
      <w:r w:rsidR="00602E88">
        <w:rPr>
          <w:noProof/>
        </w:rPr>
        <w:t>9</w:t>
      </w:r>
      <w:r w:rsidR="00396D16">
        <w:rPr>
          <w:noProof/>
        </w:rPr>
        <w:fldChar w:fldCharType="end"/>
      </w:r>
      <w:r>
        <w:t xml:space="preserve">: </w:t>
      </w:r>
      <w:r w:rsidRPr="006312EC">
        <w:t>Haematological adverse events reported in the QUAZAR trial (safety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Haematological adverse events reported in the QUAZAR trial (safety population)"/>
      </w:tblPr>
      <w:tblGrid>
        <w:gridCol w:w="3005"/>
        <w:gridCol w:w="3006"/>
        <w:gridCol w:w="3006"/>
      </w:tblGrid>
      <w:tr w:rsidR="0043166B" w14:paraId="11126D25" w14:textId="77777777" w:rsidTr="0030522F">
        <w:trPr>
          <w:tblHeader/>
        </w:trPr>
        <w:tc>
          <w:tcPr>
            <w:tcW w:w="3005" w:type="dxa"/>
          </w:tcPr>
          <w:p w14:paraId="306CC044" w14:textId="7413AFED" w:rsidR="0043166B" w:rsidRDefault="0043166B" w:rsidP="0043166B">
            <w:pPr>
              <w:pStyle w:val="In-tableHeading"/>
              <w:rPr>
                <w:lang w:val="en-AU"/>
              </w:rPr>
            </w:pPr>
          </w:p>
        </w:tc>
        <w:tc>
          <w:tcPr>
            <w:tcW w:w="3006" w:type="dxa"/>
            <w:vAlign w:val="center"/>
          </w:tcPr>
          <w:p w14:paraId="5718AE4B" w14:textId="77810BCF" w:rsidR="0043166B" w:rsidRDefault="0043166B" w:rsidP="007F6B8F">
            <w:pPr>
              <w:pStyle w:val="In-tableHeading"/>
              <w:jc w:val="center"/>
            </w:pPr>
            <w:r>
              <w:t>Oral azacitidine</w:t>
            </w:r>
            <w:r w:rsidR="002652BF">
              <w:t>,</w:t>
            </w:r>
          </w:p>
          <w:p w14:paraId="68E358EC" w14:textId="6D1FC979" w:rsidR="0043166B" w:rsidRDefault="0043166B" w:rsidP="007F6B8F">
            <w:pPr>
              <w:pStyle w:val="In-tableHeading"/>
              <w:jc w:val="center"/>
              <w:rPr>
                <w:lang w:val="en-AU"/>
              </w:rPr>
            </w:pPr>
            <w:r>
              <w:t>n/N (%)</w:t>
            </w:r>
          </w:p>
        </w:tc>
        <w:tc>
          <w:tcPr>
            <w:tcW w:w="3006" w:type="dxa"/>
            <w:vAlign w:val="center"/>
          </w:tcPr>
          <w:p w14:paraId="74D7423A" w14:textId="2CAEF0EC" w:rsidR="0043166B" w:rsidRDefault="009B5D5E" w:rsidP="0030522F">
            <w:pPr>
              <w:pStyle w:val="In-tableHeading"/>
              <w:jc w:val="center"/>
            </w:pPr>
            <w:r>
              <w:t>BSC</w:t>
            </w:r>
            <w:r w:rsidR="002652BF">
              <w:t>,</w:t>
            </w:r>
          </w:p>
          <w:p w14:paraId="0114ABE0" w14:textId="6DD7610A" w:rsidR="0043166B" w:rsidRDefault="0043166B" w:rsidP="0030522F">
            <w:pPr>
              <w:pStyle w:val="In-tableHeading"/>
              <w:jc w:val="center"/>
              <w:rPr>
                <w:lang w:val="en-AU"/>
              </w:rPr>
            </w:pPr>
            <w:r>
              <w:t>n/N (%)</w:t>
            </w:r>
          </w:p>
        </w:tc>
      </w:tr>
      <w:tr w:rsidR="0043166B" w14:paraId="23E559B0" w14:textId="77777777" w:rsidTr="007F6B8F">
        <w:tc>
          <w:tcPr>
            <w:tcW w:w="3005" w:type="dxa"/>
          </w:tcPr>
          <w:p w14:paraId="0AF1E3D6" w14:textId="77777777" w:rsidR="0043166B" w:rsidRDefault="0043166B" w:rsidP="0043166B">
            <w:pPr>
              <w:pStyle w:val="Tabletext"/>
            </w:pPr>
            <w:r>
              <w:t>Any haematologic adverse event</w:t>
            </w:r>
          </w:p>
        </w:tc>
        <w:tc>
          <w:tcPr>
            <w:tcW w:w="3006" w:type="dxa"/>
            <w:vAlign w:val="center"/>
          </w:tcPr>
          <w:p w14:paraId="7CBE3AFA" w14:textId="7D7A99D3" w:rsidR="0043166B" w:rsidRPr="00865F2A" w:rsidRDefault="0043166B" w:rsidP="007F6B8F">
            <w:pPr>
              <w:pStyle w:val="Tabletext"/>
              <w:jc w:val="center"/>
            </w:pPr>
            <w:r w:rsidRPr="00865F2A">
              <w:t>155/236 (66%)</w:t>
            </w:r>
          </w:p>
        </w:tc>
        <w:tc>
          <w:tcPr>
            <w:tcW w:w="3006" w:type="dxa"/>
            <w:vAlign w:val="center"/>
          </w:tcPr>
          <w:p w14:paraId="28E99427" w14:textId="1323C92C" w:rsidR="0043166B" w:rsidRPr="00865F2A" w:rsidRDefault="0043166B" w:rsidP="007F6B8F">
            <w:pPr>
              <w:pStyle w:val="Tabletext"/>
              <w:jc w:val="center"/>
            </w:pPr>
            <w:r w:rsidRPr="00865F2A">
              <w:t>110/233 (47%)</w:t>
            </w:r>
          </w:p>
        </w:tc>
      </w:tr>
      <w:tr w:rsidR="0043166B" w14:paraId="68E672D9" w14:textId="77777777" w:rsidTr="007F6B8F">
        <w:tc>
          <w:tcPr>
            <w:tcW w:w="3005" w:type="dxa"/>
          </w:tcPr>
          <w:p w14:paraId="30AE6D49" w14:textId="77777777" w:rsidR="0043166B" w:rsidRDefault="0043166B" w:rsidP="0043166B">
            <w:pPr>
              <w:pStyle w:val="Tabletext"/>
            </w:pPr>
            <w:r>
              <w:t>Neutropenia</w:t>
            </w:r>
          </w:p>
        </w:tc>
        <w:tc>
          <w:tcPr>
            <w:tcW w:w="3006" w:type="dxa"/>
            <w:vAlign w:val="center"/>
          </w:tcPr>
          <w:p w14:paraId="2EA353C6" w14:textId="71ADABB7" w:rsidR="0043166B" w:rsidRPr="00865F2A" w:rsidRDefault="0043166B" w:rsidP="007F6B8F">
            <w:pPr>
              <w:pStyle w:val="Tabletext"/>
              <w:jc w:val="center"/>
            </w:pPr>
            <w:r w:rsidRPr="00865F2A">
              <w:t>105/236 (44%)</w:t>
            </w:r>
          </w:p>
        </w:tc>
        <w:tc>
          <w:tcPr>
            <w:tcW w:w="3006" w:type="dxa"/>
            <w:vAlign w:val="center"/>
          </w:tcPr>
          <w:p w14:paraId="4AD1ACFE" w14:textId="6F54404C" w:rsidR="0043166B" w:rsidRPr="00865F2A" w:rsidRDefault="0043166B" w:rsidP="007F6B8F">
            <w:pPr>
              <w:pStyle w:val="Tabletext"/>
              <w:jc w:val="center"/>
            </w:pPr>
            <w:r w:rsidRPr="00865F2A">
              <w:t>61/233 (26%)</w:t>
            </w:r>
          </w:p>
        </w:tc>
      </w:tr>
      <w:tr w:rsidR="0043166B" w14:paraId="68753BF9" w14:textId="77777777" w:rsidTr="007F6B8F">
        <w:tc>
          <w:tcPr>
            <w:tcW w:w="3005" w:type="dxa"/>
          </w:tcPr>
          <w:p w14:paraId="6BD0E238" w14:textId="77777777" w:rsidR="0043166B" w:rsidRDefault="0043166B" w:rsidP="0043166B">
            <w:pPr>
              <w:pStyle w:val="Tabletext"/>
            </w:pPr>
            <w:r>
              <w:t>Thrombocytopenia</w:t>
            </w:r>
          </w:p>
        </w:tc>
        <w:tc>
          <w:tcPr>
            <w:tcW w:w="3006" w:type="dxa"/>
            <w:vAlign w:val="center"/>
          </w:tcPr>
          <w:p w14:paraId="4783740E" w14:textId="636BA3B2" w:rsidR="0043166B" w:rsidRPr="00865F2A" w:rsidRDefault="0043166B" w:rsidP="007F6B8F">
            <w:pPr>
              <w:pStyle w:val="Tabletext"/>
              <w:jc w:val="center"/>
            </w:pPr>
            <w:r w:rsidRPr="00865F2A">
              <w:t>79/236 (33%)</w:t>
            </w:r>
          </w:p>
        </w:tc>
        <w:tc>
          <w:tcPr>
            <w:tcW w:w="3006" w:type="dxa"/>
            <w:vAlign w:val="center"/>
          </w:tcPr>
          <w:p w14:paraId="190824B7" w14:textId="633DFC34" w:rsidR="0043166B" w:rsidRPr="00865F2A" w:rsidRDefault="0043166B" w:rsidP="007F6B8F">
            <w:pPr>
              <w:pStyle w:val="Tabletext"/>
              <w:jc w:val="center"/>
            </w:pPr>
            <w:r w:rsidRPr="00865F2A">
              <w:t>63/233 (27%)</w:t>
            </w:r>
          </w:p>
        </w:tc>
      </w:tr>
      <w:tr w:rsidR="0043166B" w14:paraId="46455133" w14:textId="77777777" w:rsidTr="007F6B8F">
        <w:tc>
          <w:tcPr>
            <w:tcW w:w="3005" w:type="dxa"/>
          </w:tcPr>
          <w:p w14:paraId="748AA1D6" w14:textId="77777777" w:rsidR="0043166B" w:rsidRDefault="0043166B" w:rsidP="0043166B">
            <w:pPr>
              <w:pStyle w:val="Tabletext"/>
            </w:pPr>
            <w:r>
              <w:t>Anaemia</w:t>
            </w:r>
          </w:p>
        </w:tc>
        <w:tc>
          <w:tcPr>
            <w:tcW w:w="3006" w:type="dxa"/>
            <w:vAlign w:val="center"/>
          </w:tcPr>
          <w:p w14:paraId="056F7B8B" w14:textId="04580F3A" w:rsidR="0043166B" w:rsidRPr="00865F2A" w:rsidRDefault="0043166B" w:rsidP="007F6B8F">
            <w:pPr>
              <w:pStyle w:val="Tabletext"/>
              <w:jc w:val="center"/>
            </w:pPr>
            <w:r w:rsidRPr="00865F2A">
              <w:t>48/236 (20%)</w:t>
            </w:r>
          </w:p>
        </w:tc>
        <w:tc>
          <w:tcPr>
            <w:tcW w:w="3006" w:type="dxa"/>
            <w:vAlign w:val="center"/>
          </w:tcPr>
          <w:p w14:paraId="20E32D15" w14:textId="6DE8B63C" w:rsidR="0043166B" w:rsidRPr="00865F2A" w:rsidRDefault="0043166B" w:rsidP="007F6B8F">
            <w:pPr>
              <w:pStyle w:val="Tabletext"/>
              <w:jc w:val="center"/>
            </w:pPr>
            <w:r w:rsidRPr="00865F2A">
              <w:t>42/233 (18%)</w:t>
            </w:r>
          </w:p>
        </w:tc>
      </w:tr>
    </w:tbl>
    <w:p w14:paraId="23359165" w14:textId="77777777" w:rsidR="0043166B" w:rsidRPr="00B1011F" w:rsidRDefault="0043166B" w:rsidP="0043166B">
      <w:pPr>
        <w:pStyle w:val="TableFigureFooter"/>
        <w:rPr>
          <w:sz w:val="20"/>
        </w:rPr>
      </w:pPr>
      <w:r>
        <w:t xml:space="preserve">Source: Table 52, p79 </w:t>
      </w:r>
      <w:r w:rsidRPr="00D13A3E">
        <w:t xml:space="preserve">of the </w:t>
      </w:r>
      <w:r>
        <w:t>submission.</w:t>
      </w:r>
    </w:p>
    <w:p w14:paraId="5917990C" w14:textId="0D0062B2" w:rsidR="0043166B" w:rsidRDefault="0043166B" w:rsidP="0043166B">
      <w:pPr>
        <w:pStyle w:val="TableFigureFooter"/>
        <w:rPr>
          <w:rFonts w:eastAsia="Calibri"/>
        </w:rPr>
      </w:pPr>
      <w:r>
        <w:rPr>
          <w:rFonts w:eastAsia="Calibri"/>
        </w:rPr>
        <w:t>Abbreviations:</w:t>
      </w:r>
      <w:r w:rsidRPr="00B40358">
        <w:rPr>
          <w:rFonts w:eastAsia="Calibri"/>
        </w:rPr>
        <w:t xml:space="preserve"> </w:t>
      </w:r>
      <w:r w:rsidR="009B5D5E">
        <w:t xml:space="preserve">BSC = best supportive care; </w:t>
      </w:r>
      <w:r w:rsidRPr="00B40358">
        <w:rPr>
          <w:rFonts w:eastAsia="Calibri"/>
        </w:rPr>
        <w:t>n = number of participants reporting data; N = total participants in group</w:t>
      </w:r>
      <w:r>
        <w:rPr>
          <w:rFonts w:eastAsia="Calibri"/>
        </w:rPr>
        <w:t>.</w:t>
      </w:r>
    </w:p>
    <w:p w14:paraId="04908C7F" w14:textId="415B9B7D" w:rsidR="007F1017" w:rsidRPr="00C9624D" w:rsidRDefault="007F1017" w:rsidP="00D86231">
      <w:pPr>
        <w:pStyle w:val="4-SubsectionHeading"/>
      </w:pPr>
      <w:bookmarkStart w:id="44" w:name="_Toc22897643"/>
      <w:bookmarkStart w:id="45" w:name="_Toc103244682"/>
      <w:r w:rsidRPr="00C9624D">
        <w:t>Benefits/harms</w:t>
      </w:r>
      <w:bookmarkEnd w:id="44"/>
      <w:bookmarkEnd w:id="45"/>
    </w:p>
    <w:p w14:paraId="60E8087B" w14:textId="6A6C56C6" w:rsidR="00206B2F" w:rsidRPr="00206B2F" w:rsidRDefault="009D15AF" w:rsidP="00D2155B">
      <w:pPr>
        <w:pStyle w:val="3-BodyText"/>
      </w:pPr>
      <w:r>
        <w:rPr>
          <w:snapToGrid/>
          <w:lang w:val="en-US"/>
        </w:rPr>
        <w:t>A</w:t>
      </w:r>
      <w:r w:rsidR="00206B2F">
        <w:rPr>
          <w:snapToGrid/>
          <w:lang w:val="en-US"/>
        </w:rPr>
        <w:t xml:space="preserve"> summary of comparative benefits and harms for oral azacitidine compared to </w:t>
      </w:r>
      <w:r w:rsidR="009B5D5E">
        <w:rPr>
          <w:snapToGrid/>
          <w:lang w:val="en-US"/>
        </w:rPr>
        <w:t>BSC</w:t>
      </w:r>
      <w:r w:rsidR="00206B2F">
        <w:rPr>
          <w:snapToGrid/>
          <w:lang w:val="en-US"/>
        </w:rPr>
        <w:t xml:space="preserve"> </w:t>
      </w:r>
      <w:proofErr w:type="gramStart"/>
      <w:r w:rsidR="00206B2F">
        <w:rPr>
          <w:snapToGrid/>
          <w:lang w:val="en-US"/>
        </w:rPr>
        <w:t>is presented</w:t>
      </w:r>
      <w:proofErr w:type="gramEnd"/>
      <w:r w:rsidR="00206B2F">
        <w:rPr>
          <w:snapToGrid/>
          <w:lang w:val="en-US"/>
        </w:rPr>
        <w:t xml:space="preserve"> in </w:t>
      </w:r>
      <w:r w:rsidR="001D1F6A">
        <w:rPr>
          <w:snapToGrid/>
          <w:lang w:val="en-US"/>
        </w:rPr>
        <w:fldChar w:fldCharType="begin" w:fldLock="1"/>
      </w:r>
      <w:r w:rsidR="001D1F6A">
        <w:rPr>
          <w:snapToGrid/>
          <w:lang w:val="en-US"/>
        </w:rPr>
        <w:instrText xml:space="preserve"> REF _Ref100774623 \h </w:instrText>
      </w:r>
      <w:r w:rsidR="001D1F6A">
        <w:rPr>
          <w:snapToGrid/>
          <w:lang w:val="en-US"/>
        </w:rPr>
      </w:r>
      <w:r w:rsidR="001D1F6A">
        <w:rPr>
          <w:snapToGrid/>
          <w:lang w:val="en-US"/>
        </w:rPr>
        <w:fldChar w:fldCharType="separate"/>
      </w:r>
      <w:r w:rsidR="00602E88">
        <w:t xml:space="preserve">Table </w:t>
      </w:r>
      <w:r w:rsidR="00602E88">
        <w:rPr>
          <w:noProof/>
        </w:rPr>
        <w:t>10</w:t>
      </w:r>
      <w:r w:rsidR="001D1F6A">
        <w:rPr>
          <w:snapToGrid/>
          <w:lang w:val="en-US"/>
        </w:rPr>
        <w:fldChar w:fldCharType="end"/>
      </w:r>
      <w:r w:rsidR="001D1F6A">
        <w:rPr>
          <w:snapToGrid/>
          <w:lang w:val="en-US"/>
        </w:rPr>
        <w:t>.</w:t>
      </w:r>
    </w:p>
    <w:p w14:paraId="04AC1B54" w14:textId="2689FDA2" w:rsidR="00B62715" w:rsidRPr="00D2155B" w:rsidRDefault="003B4E43" w:rsidP="003B4E43">
      <w:pPr>
        <w:pStyle w:val="TableFigureHeading"/>
        <w:rPr>
          <w:rStyle w:val="CommentReference"/>
          <w:b/>
          <w:szCs w:val="24"/>
        </w:rPr>
      </w:pPr>
      <w:bookmarkStart w:id="46" w:name="_Ref100774623"/>
      <w:r>
        <w:lastRenderedPageBreak/>
        <w:t xml:space="preserve">Table </w:t>
      </w:r>
      <w:r w:rsidR="00396D16">
        <w:fldChar w:fldCharType="begin" w:fldLock="1"/>
      </w:r>
      <w:r w:rsidR="00396D16">
        <w:instrText xml:space="preserve"> SEQ Table \* ARABIC </w:instrText>
      </w:r>
      <w:r w:rsidR="00396D16">
        <w:fldChar w:fldCharType="separate"/>
      </w:r>
      <w:r w:rsidR="00602E88">
        <w:rPr>
          <w:noProof/>
        </w:rPr>
        <w:t>10</w:t>
      </w:r>
      <w:r w:rsidR="00396D16">
        <w:rPr>
          <w:noProof/>
        </w:rPr>
        <w:fldChar w:fldCharType="end"/>
      </w:r>
      <w:bookmarkEnd w:id="46"/>
      <w:r>
        <w:t xml:space="preserve">: </w:t>
      </w:r>
      <w:r w:rsidRPr="006D0253">
        <w:t xml:space="preserve">Summary of comparative benefits and harms for </w:t>
      </w:r>
      <w:r>
        <w:t xml:space="preserve">oral azacitidine compared with </w:t>
      </w:r>
      <w:r w:rsidR="009B5D5E">
        <w:t>BSC</w:t>
      </w:r>
      <w:r>
        <w:t xml:space="preserve"> (ITT population, Primary analysis (July 2019 data cut-off))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Summary of comparative benefits and harms for oral azacitidine compared with BSC (ITT population, Primary analysis (July 2019 data cut-off))"/>
      </w:tblPr>
      <w:tblGrid>
        <w:gridCol w:w="2545"/>
        <w:gridCol w:w="144"/>
        <w:gridCol w:w="1275"/>
        <w:gridCol w:w="281"/>
        <w:gridCol w:w="853"/>
        <w:gridCol w:w="707"/>
        <w:gridCol w:w="1279"/>
        <w:gridCol w:w="348"/>
        <w:gridCol w:w="788"/>
        <w:gridCol w:w="797"/>
      </w:tblGrid>
      <w:tr w:rsidR="00330DAA" w:rsidRPr="00712C73" w14:paraId="4E7107CF" w14:textId="77777777" w:rsidTr="00EE3B7C">
        <w:trPr>
          <w:trHeight w:val="20"/>
        </w:trPr>
        <w:tc>
          <w:tcPr>
            <w:tcW w:w="5000" w:type="pct"/>
            <w:gridSpan w:val="10"/>
            <w:shd w:val="clear" w:color="auto" w:fill="auto"/>
          </w:tcPr>
          <w:p w14:paraId="20C2061B" w14:textId="6C2FA3AE" w:rsidR="00330DAA" w:rsidRPr="00330DAA" w:rsidRDefault="005A0D4F" w:rsidP="00D2155B">
            <w:pPr>
              <w:pStyle w:val="In-tableHeading"/>
            </w:pPr>
            <w:r>
              <w:t>Benefits</w:t>
            </w:r>
          </w:p>
        </w:tc>
      </w:tr>
      <w:tr w:rsidR="00330DAA" w:rsidRPr="00511320" w14:paraId="3B443B0E" w14:textId="77777777" w:rsidTr="00BC2A7F">
        <w:trPr>
          <w:trHeight w:val="20"/>
        </w:trPr>
        <w:tc>
          <w:tcPr>
            <w:tcW w:w="1491" w:type="pct"/>
            <w:gridSpan w:val="2"/>
            <w:shd w:val="clear" w:color="auto" w:fill="auto"/>
          </w:tcPr>
          <w:p w14:paraId="61456D69" w14:textId="3BA5ED46" w:rsidR="00330DAA" w:rsidRPr="002F1494" w:rsidRDefault="00330DAA" w:rsidP="00D2155B">
            <w:pPr>
              <w:pStyle w:val="In-tableHeading"/>
            </w:pPr>
          </w:p>
        </w:tc>
        <w:tc>
          <w:tcPr>
            <w:tcW w:w="863" w:type="pct"/>
            <w:gridSpan w:val="2"/>
            <w:shd w:val="clear" w:color="auto" w:fill="auto"/>
          </w:tcPr>
          <w:p w14:paraId="3F832D7C" w14:textId="12FF5274" w:rsidR="00330DAA" w:rsidRPr="002F1494" w:rsidRDefault="005A0D4F" w:rsidP="005A0D4F">
            <w:pPr>
              <w:pStyle w:val="In-tableHeading"/>
              <w:jc w:val="center"/>
            </w:pPr>
            <w:r w:rsidRPr="002F1494">
              <w:t>Oral azacitidine</w:t>
            </w:r>
          </w:p>
        </w:tc>
        <w:tc>
          <w:tcPr>
            <w:tcW w:w="865" w:type="pct"/>
            <w:gridSpan w:val="2"/>
            <w:shd w:val="clear" w:color="auto" w:fill="auto"/>
          </w:tcPr>
          <w:p w14:paraId="2674CDCF" w14:textId="1FA0EB27" w:rsidR="00330DAA" w:rsidRPr="002F1494" w:rsidRDefault="009B5D5E" w:rsidP="00D2155B">
            <w:pPr>
              <w:pStyle w:val="In-tableHeading"/>
              <w:jc w:val="center"/>
            </w:pPr>
            <w:r w:rsidRPr="002F1494">
              <w:t>BSC</w:t>
            </w:r>
            <w:r w:rsidR="005A0D4F" w:rsidRPr="002F1494">
              <w:t xml:space="preserve"> </w:t>
            </w:r>
          </w:p>
        </w:tc>
        <w:tc>
          <w:tcPr>
            <w:tcW w:w="902" w:type="pct"/>
            <w:gridSpan w:val="2"/>
            <w:shd w:val="clear" w:color="auto" w:fill="auto"/>
          </w:tcPr>
          <w:p w14:paraId="6A0836EB" w14:textId="31A5CCEF" w:rsidR="00330DAA" w:rsidRPr="002F1494" w:rsidRDefault="00330DAA" w:rsidP="00D2155B">
            <w:pPr>
              <w:pStyle w:val="In-tableHeading"/>
              <w:jc w:val="center"/>
              <w:rPr>
                <w:rFonts w:asciiTheme="minorHAnsi" w:hAnsiTheme="minorHAnsi"/>
              </w:rPr>
            </w:pPr>
            <w:r w:rsidRPr="002F1494">
              <w:t xml:space="preserve">Absolute </w:t>
            </w:r>
            <w:r w:rsidR="002F1494">
              <w:t>d</w:t>
            </w:r>
            <w:r w:rsidRPr="002F1494">
              <w:t>ifference</w:t>
            </w:r>
          </w:p>
        </w:tc>
        <w:tc>
          <w:tcPr>
            <w:tcW w:w="879" w:type="pct"/>
            <w:gridSpan w:val="2"/>
            <w:shd w:val="clear" w:color="auto" w:fill="auto"/>
          </w:tcPr>
          <w:p w14:paraId="20DD59D4" w14:textId="77777777" w:rsidR="00330DAA" w:rsidRPr="002F1494" w:rsidRDefault="00330DAA" w:rsidP="00D2155B">
            <w:pPr>
              <w:pStyle w:val="In-tableHeading"/>
              <w:jc w:val="center"/>
            </w:pPr>
            <w:r w:rsidRPr="002F1494">
              <w:t>HR (95% CI)</w:t>
            </w:r>
          </w:p>
          <w:p w14:paraId="582FC277" w14:textId="0CEE16E4" w:rsidR="001E6B7A" w:rsidRPr="002F1494" w:rsidRDefault="001E6B7A" w:rsidP="00D2155B">
            <w:pPr>
              <w:pStyle w:val="In-tableHeading"/>
              <w:jc w:val="center"/>
            </w:pPr>
            <w:r w:rsidRPr="002F1494">
              <w:t>(p value)</w:t>
            </w:r>
          </w:p>
        </w:tc>
      </w:tr>
      <w:tr w:rsidR="005A0D4F" w:rsidRPr="00C67006" w14:paraId="5C06AB4B" w14:textId="77777777" w:rsidTr="00EE3B7C">
        <w:trPr>
          <w:trHeight w:val="20"/>
        </w:trPr>
        <w:tc>
          <w:tcPr>
            <w:tcW w:w="5000" w:type="pct"/>
            <w:gridSpan w:val="10"/>
            <w:shd w:val="clear" w:color="auto" w:fill="auto"/>
          </w:tcPr>
          <w:p w14:paraId="7C94301C" w14:textId="2D15E2AE" w:rsidR="005A0D4F" w:rsidRPr="002F1494" w:rsidRDefault="005A0D4F" w:rsidP="005A0D4F">
            <w:pPr>
              <w:pStyle w:val="In-tableHeading"/>
            </w:pPr>
            <w:r w:rsidRPr="002F1494">
              <w:t>Relapse</w:t>
            </w:r>
            <w:r w:rsidR="00B5657E" w:rsidRPr="002F1494">
              <w:t>-</w:t>
            </w:r>
            <w:r w:rsidRPr="002F1494">
              <w:t>free survival (median duration of follow up 40.2 months)</w:t>
            </w:r>
          </w:p>
        </w:tc>
      </w:tr>
      <w:tr w:rsidR="002652BF" w:rsidRPr="00C67006" w14:paraId="08E642EF" w14:textId="77777777" w:rsidTr="002652BF">
        <w:trPr>
          <w:trHeight w:val="85"/>
        </w:trPr>
        <w:tc>
          <w:tcPr>
            <w:tcW w:w="1491" w:type="pct"/>
            <w:gridSpan w:val="2"/>
            <w:shd w:val="clear" w:color="auto" w:fill="auto"/>
          </w:tcPr>
          <w:p w14:paraId="439A4A2C" w14:textId="76273DB1" w:rsidR="002652BF" w:rsidRPr="002F1494" w:rsidRDefault="002652BF" w:rsidP="00816361">
            <w:pPr>
              <w:pStyle w:val="TableText0"/>
              <w:keepLines/>
              <w:widowControl w:val="0"/>
            </w:pPr>
            <w:r w:rsidRPr="002F1494">
              <w:t>Relapsed, n/N (%)</w:t>
            </w:r>
          </w:p>
        </w:tc>
        <w:tc>
          <w:tcPr>
            <w:tcW w:w="863" w:type="pct"/>
            <w:gridSpan w:val="2"/>
            <w:shd w:val="clear" w:color="auto" w:fill="auto"/>
          </w:tcPr>
          <w:p w14:paraId="111C5BC5" w14:textId="7ACE7DBB" w:rsidR="002652BF" w:rsidRPr="006541F8" w:rsidRDefault="002652BF" w:rsidP="000F07BB">
            <w:pPr>
              <w:pStyle w:val="TableText0"/>
              <w:keepLines/>
              <w:widowControl w:val="0"/>
              <w:jc w:val="center"/>
            </w:pPr>
            <w:r w:rsidRPr="006541F8">
              <w:t>164/238 (69%)</w:t>
            </w:r>
          </w:p>
        </w:tc>
        <w:tc>
          <w:tcPr>
            <w:tcW w:w="865" w:type="pct"/>
            <w:gridSpan w:val="2"/>
            <w:shd w:val="clear" w:color="auto" w:fill="auto"/>
          </w:tcPr>
          <w:p w14:paraId="07F9499F" w14:textId="6470B712" w:rsidR="002652BF" w:rsidRPr="006541F8" w:rsidRDefault="002652BF" w:rsidP="000F07BB">
            <w:pPr>
              <w:pStyle w:val="TableText0"/>
              <w:keepLines/>
              <w:widowControl w:val="0"/>
              <w:jc w:val="center"/>
            </w:pPr>
            <w:r w:rsidRPr="006541F8">
              <w:t>181/234 (77%)</w:t>
            </w:r>
          </w:p>
        </w:tc>
        <w:tc>
          <w:tcPr>
            <w:tcW w:w="902" w:type="pct"/>
            <w:gridSpan w:val="2"/>
            <w:shd w:val="clear" w:color="auto" w:fill="auto"/>
          </w:tcPr>
          <w:p w14:paraId="0189FCF5" w14:textId="678C7BE1" w:rsidR="002652BF" w:rsidRPr="006541F8" w:rsidRDefault="002652BF" w:rsidP="002652BF">
            <w:pPr>
              <w:pStyle w:val="TableText0"/>
              <w:keepLines/>
              <w:widowControl w:val="0"/>
              <w:jc w:val="center"/>
            </w:pPr>
            <w:r w:rsidRPr="006541F8">
              <w:t>-</w:t>
            </w:r>
          </w:p>
        </w:tc>
        <w:tc>
          <w:tcPr>
            <w:tcW w:w="879" w:type="pct"/>
            <w:gridSpan w:val="2"/>
            <w:vMerge w:val="restart"/>
            <w:shd w:val="clear" w:color="auto" w:fill="auto"/>
            <w:vAlign w:val="center"/>
          </w:tcPr>
          <w:p w14:paraId="25B9EC37" w14:textId="3A25EC0E" w:rsidR="002652BF" w:rsidRPr="006541F8" w:rsidRDefault="002652BF" w:rsidP="002652BF">
            <w:pPr>
              <w:pStyle w:val="TableText0"/>
              <w:keepLines/>
              <w:widowControl w:val="0"/>
              <w:jc w:val="center"/>
              <w:rPr>
                <w:b/>
                <w:szCs w:val="20"/>
              </w:rPr>
            </w:pPr>
            <w:r w:rsidRPr="006541F8">
              <w:rPr>
                <w:b/>
              </w:rPr>
              <w:t>0.65 (0.52, 0.81)</w:t>
            </w:r>
          </w:p>
          <w:p w14:paraId="68A7D012" w14:textId="3FEC459D" w:rsidR="002652BF" w:rsidRPr="006541F8" w:rsidRDefault="001E6B7A" w:rsidP="002652BF">
            <w:pPr>
              <w:pStyle w:val="TableText0"/>
              <w:keepLines/>
              <w:widowControl w:val="0"/>
              <w:jc w:val="center"/>
            </w:pPr>
            <w:r w:rsidRPr="006541F8">
              <w:rPr>
                <w:szCs w:val="20"/>
              </w:rPr>
              <w:t xml:space="preserve">p </w:t>
            </w:r>
            <w:r w:rsidR="002652BF" w:rsidRPr="006541F8">
              <w:rPr>
                <w:szCs w:val="20"/>
              </w:rPr>
              <w:t xml:space="preserve">= </w:t>
            </w:r>
            <w:r w:rsidR="002652BF" w:rsidRPr="006541F8">
              <w:t>0.0001</w:t>
            </w:r>
          </w:p>
        </w:tc>
      </w:tr>
      <w:tr w:rsidR="002652BF" w:rsidRPr="00C67006" w14:paraId="44C0ABBC" w14:textId="77777777" w:rsidTr="00BE2C91">
        <w:trPr>
          <w:trHeight w:val="20"/>
        </w:trPr>
        <w:tc>
          <w:tcPr>
            <w:tcW w:w="1491" w:type="pct"/>
            <w:gridSpan w:val="2"/>
            <w:shd w:val="clear" w:color="auto" w:fill="auto"/>
          </w:tcPr>
          <w:p w14:paraId="04A27457" w14:textId="6DFDA34F" w:rsidR="002652BF" w:rsidRPr="002F1494" w:rsidRDefault="002652BF" w:rsidP="00816361">
            <w:pPr>
              <w:pStyle w:val="TableText0"/>
              <w:keepLines/>
              <w:widowControl w:val="0"/>
            </w:pPr>
            <w:r w:rsidRPr="002F1494">
              <w:t>Median RFS, months (95% CI)</w:t>
            </w:r>
          </w:p>
        </w:tc>
        <w:tc>
          <w:tcPr>
            <w:tcW w:w="863" w:type="pct"/>
            <w:gridSpan w:val="2"/>
            <w:shd w:val="clear" w:color="auto" w:fill="auto"/>
          </w:tcPr>
          <w:p w14:paraId="6755D2D8" w14:textId="07819476" w:rsidR="002652BF" w:rsidRPr="006541F8" w:rsidRDefault="002652BF" w:rsidP="00816361">
            <w:pPr>
              <w:pStyle w:val="TableText0"/>
              <w:keepLines/>
              <w:widowControl w:val="0"/>
              <w:jc w:val="center"/>
              <w:rPr>
                <w:rFonts w:cs="Times New Roman"/>
                <w:szCs w:val="20"/>
              </w:rPr>
            </w:pPr>
            <w:r w:rsidRPr="006541F8">
              <w:rPr>
                <w:rFonts w:cs="Times New Roman"/>
                <w:szCs w:val="20"/>
              </w:rPr>
              <w:t>10.2 (7.9, 12.9)</w:t>
            </w:r>
          </w:p>
        </w:tc>
        <w:tc>
          <w:tcPr>
            <w:tcW w:w="865" w:type="pct"/>
            <w:gridSpan w:val="2"/>
            <w:shd w:val="clear" w:color="auto" w:fill="auto"/>
          </w:tcPr>
          <w:p w14:paraId="62868CDF" w14:textId="1EBD8EDF" w:rsidR="002652BF" w:rsidRPr="006541F8" w:rsidRDefault="002652BF" w:rsidP="00816361">
            <w:pPr>
              <w:pStyle w:val="TableText0"/>
              <w:keepLines/>
              <w:widowControl w:val="0"/>
              <w:jc w:val="center"/>
              <w:rPr>
                <w:rFonts w:cs="Times New Roman"/>
                <w:szCs w:val="20"/>
              </w:rPr>
            </w:pPr>
            <w:r w:rsidRPr="006541F8">
              <w:rPr>
                <w:rFonts w:cs="Times New Roman"/>
                <w:szCs w:val="20"/>
              </w:rPr>
              <w:t>4.8 (4.6, 6.4)</w:t>
            </w:r>
          </w:p>
        </w:tc>
        <w:tc>
          <w:tcPr>
            <w:tcW w:w="902" w:type="pct"/>
            <w:gridSpan w:val="2"/>
            <w:shd w:val="clear" w:color="auto" w:fill="auto"/>
          </w:tcPr>
          <w:p w14:paraId="5ED73022" w14:textId="48DE5CA5" w:rsidR="002652BF" w:rsidRPr="006541F8" w:rsidRDefault="002652BF" w:rsidP="00816361">
            <w:pPr>
              <w:pStyle w:val="TableText0"/>
              <w:keepLines/>
              <w:widowControl w:val="0"/>
              <w:jc w:val="center"/>
            </w:pPr>
            <w:r w:rsidRPr="006541F8">
              <w:t>5.3 months</w:t>
            </w:r>
          </w:p>
        </w:tc>
        <w:tc>
          <w:tcPr>
            <w:tcW w:w="879" w:type="pct"/>
            <w:gridSpan w:val="2"/>
            <w:vMerge/>
            <w:shd w:val="clear" w:color="auto" w:fill="auto"/>
          </w:tcPr>
          <w:p w14:paraId="005E827D" w14:textId="77777777" w:rsidR="002652BF" w:rsidRPr="006541F8" w:rsidRDefault="002652BF" w:rsidP="00816361">
            <w:pPr>
              <w:pStyle w:val="TableText0"/>
              <w:keepLines/>
              <w:widowControl w:val="0"/>
              <w:jc w:val="center"/>
              <w:rPr>
                <w:szCs w:val="20"/>
              </w:rPr>
            </w:pPr>
          </w:p>
        </w:tc>
      </w:tr>
      <w:tr w:rsidR="002652BF" w:rsidRPr="00C67006" w14:paraId="4B810321" w14:textId="77777777" w:rsidTr="00BE2C91">
        <w:trPr>
          <w:trHeight w:val="20"/>
        </w:trPr>
        <w:tc>
          <w:tcPr>
            <w:tcW w:w="1491" w:type="pct"/>
            <w:gridSpan w:val="2"/>
            <w:shd w:val="clear" w:color="auto" w:fill="auto"/>
          </w:tcPr>
          <w:p w14:paraId="2E89193A" w14:textId="022BA543" w:rsidR="002652BF" w:rsidRPr="002F1494" w:rsidRDefault="002652BF" w:rsidP="00816361">
            <w:pPr>
              <w:pStyle w:val="TableText0"/>
              <w:keepLines/>
              <w:widowControl w:val="0"/>
            </w:pPr>
            <w:r w:rsidRPr="002F1494">
              <w:t>% not relapsed at 1 year (95% CI)</w:t>
            </w:r>
          </w:p>
        </w:tc>
        <w:tc>
          <w:tcPr>
            <w:tcW w:w="863" w:type="pct"/>
            <w:gridSpan w:val="2"/>
            <w:shd w:val="clear" w:color="auto" w:fill="auto"/>
          </w:tcPr>
          <w:p w14:paraId="5C998456" w14:textId="7FCA7D37" w:rsidR="002652BF" w:rsidRPr="006541F8" w:rsidRDefault="002652BF" w:rsidP="00816361">
            <w:pPr>
              <w:pStyle w:val="TableText0"/>
              <w:keepLines/>
              <w:widowControl w:val="0"/>
              <w:jc w:val="center"/>
            </w:pPr>
            <w:r w:rsidRPr="006541F8">
              <w:rPr>
                <w:szCs w:val="20"/>
              </w:rPr>
              <w:t>45% (38%, 51%)</w:t>
            </w:r>
          </w:p>
        </w:tc>
        <w:tc>
          <w:tcPr>
            <w:tcW w:w="865" w:type="pct"/>
            <w:gridSpan w:val="2"/>
            <w:shd w:val="clear" w:color="auto" w:fill="auto"/>
          </w:tcPr>
          <w:p w14:paraId="0876AEE9" w14:textId="7EB27D75" w:rsidR="002652BF" w:rsidRPr="006541F8" w:rsidRDefault="002652BF" w:rsidP="00816361">
            <w:pPr>
              <w:pStyle w:val="TableText0"/>
              <w:keepLines/>
              <w:widowControl w:val="0"/>
              <w:jc w:val="center"/>
              <w:rPr>
                <w:szCs w:val="20"/>
              </w:rPr>
            </w:pPr>
            <w:r w:rsidRPr="006541F8">
              <w:rPr>
                <w:szCs w:val="20"/>
              </w:rPr>
              <w:t>27% (22%, 34%)</w:t>
            </w:r>
          </w:p>
        </w:tc>
        <w:tc>
          <w:tcPr>
            <w:tcW w:w="902" w:type="pct"/>
            <w:gridSpan w:val="2"/>
            <w:shd w:val="clear" w:color="auto" w:fill="auto"/>
          </w:tcPr>
          <w:p w14:paraId="4C20E80D" w14:textId="722D42BE" w:rsidR="002652BF" w:rsidRPr="006541F8" w:rsidRDefault="002652BF" w:rsidP="00816361">
            <w:pPr>
              <w:pStyle w:val="TableText0"/>
              <w:keepLines/>
              <w:widowControl w:val="0"/>
              <w:jc w:val="center"/>
            </w:pPr>
            <w:r w:rsidRPr="006541F8">
              <w:t xml:space="preserve">18% </w:t>
            </w:r>
          </w:p>
        </w:tc>
        <w:tc>
          <w:tcPr>
            <w:tcW w:w="879" w:type="pct"/>
            <w:gridSpan w:val="2"/>
            <w:vMerge/>
            <w:shd w:val="clear" w:color="auto" w:fill="auto"/>
          </w:tcPr>
          <w:p w14:paraId="25731889" w14:textId="77777777" w:rsidR="002652BF" w:rsidRPr="006541F8" w:rsidRDefault="002652BF" w:rsidP="00816361">
            <w:pPr>
              <w:pStyle w:val="TableText0"/>
              <w:keepLines/>
              <w:widowControl w:val="0"/>
              <w:jc w:val="center"/>
            </w:pPr>
          </w:p>
        </w:tc>
      </w:tr>
      <w:tr w:rsidR="002652BF" w:rsidRPr="00511320" w14:paraId="51F81A24" w14:textId="77777777" w:rsidTr="00BE2C91">
        <w:trPr>
          <w:trHeight w:val="20"/>
        </w:trPr>
        <w:tc>
          <w:tcPr>
            <w:tcW w:w="1491" w:type="pct"/>
            <w:gridSpan w:val="2"/>
            <w:shd w:val="clear" w:color="auto" w:fill="auto"/>
          </w:tcPr>
          <w:p w14:paraId="2F61EE25" w14:textId="5D803E93" w:rsidR="002652BF" w:rsidRPr="002F1494" w:rsidRDefault="002652BF" w:rsidP="00816361">
            <w:pPr>
              <w:pStyle w:val="TableText0"/>
              <w:keepLines/>
              <w:widowControl w:val="0"/>
            </w:pPr>
            <w:r w:rsidRPr="002F1494">
              <w:t>% not relapsed at 2 years (95% CI)</w:t>
            </w:r>
          </w:p>
        </w:tc>
        <w:tc>
          <w:tcPr>
            <w:tcW w:w="863" w:type="pct"/>
            <w:gridSpan w:val="2"/>
            <w:shd w:val="clear" w:color="auto" w:fill="auto"/>
          </w:tcPr>
          <w:p w14:paraId="5AF9BD28" w14:textId="54AAB57B" w:rsidR="002652BF" w:rsidRPr="006541F8" w:rsidRDefault="002652BF" w:rsidP="00816361">
            <w:pPr>
              <w:pStyle w:val="TableText0"/>
              <w:keepLines/>
              <w:widowControl w:val="0"/>
              <w:jc w:val="center"/>
              <w:rPr>
                <w:szCs w:val="20"/>
              </w:rPr>
            </w:pPr>
            <w:r w:rsidRPr="006541F8">
              <w:rPr>
                <w:szCs w:val="20"/>
              </w:rPr>
              <w:t>27% (21%, 33%)</w:t>
            </w:r>
          </w:p>
        </w:tc>
        <w:tc>
          <w:tcPr>
            <w:tcW w:w="865" w:type="pct"/>
            <w:gridSpan w:val="2"/>
            <w:shd w:val="clear" w:color="auto" w:fill="auto"/>
          </w:tcPr>
          <w:p w14:paraId="39DA9ED1" w14:textId="766911CD" w:rsidR="002652BF" w:rsidRPr="006541F8" w:rsidRDefault="002652BF" w:rsidP="00816361">
            <w:pPr>
              <w:pStyle w:val="TableText0"/>
              <w:keepLines/>
              <w:widowControl w:val="0"/>
              <w:jc w:val="center"/>
              <w:rPr>
                <w:szCs w:val="20"/>
              </w:rPr>
            </w:pPr>
            <w:r w:rsidRPr="006541F8">
              <w:rPr>
                <w:szCs w:val="20"/>
              </w:rPr>
              <w:t>17% (13%, 23%)</w:t>
            </w:r>
          </w:p>
        </w:tc>
        <w:tc>
          <w:tcPr>
            <w:tcW w:w="902" w:type="pct"/>
            <w:gridSpan w:val="2"/>
            <w:shd w:val="clear" w:color="auto" w:fill="auto"/>
          </w:tcPr>
          <w:p w14:paraId="130B985D" w14:textId="5016A69A" w:rsidR="002652BF" w:rsidRPr="006541F8" w:rsidRDefault="002652BF" w:rsidP="00816361">
            <w:pPr>
              <w:pStyle w:val="TableText0"/>
              <w:keepLines/>
              <w:widowControl w:val="0"/>
              <w:jc w:val="center"/>
              <w:rPr>
                <w:rFonts w:cs="Times New Roman"/>
                <w:szCs w:val="20"/>
              </w:rPr>
            </w:pPr>
            <w:r w:rsidRPr="006541F8">
              <w:rPr>
                <w:rFonts w:cs="Times New Roman"/>
                <w:szCs w:val="20"/>
              </w:rPr>
              <w:t xml:space="preserve">10% </w:t>
            </w:r>
          </w:p>
        </w:tc>
        <w:tc>
          <w:tcPr>
            <w:tcW w:w="879" w:type="pct"/>
            <w:gridSpan w:val="2"/>
            <w:vMerge/>
            <w:shd w:val="clear" w:color="auto" w:fill="auto"/>
          </w:tcPr>
          <w:p w14:paraId="3EE0D27F" w14:textId="77777777" w:rsidR="002652BF" w:rsidRPr="006541F8" w:rsidRDefault="002652BF" w:rsidP="00816361">
            <w:pPr>
              <w:pStyle w:val="TableText0"/>
              <w:keepLines/>
              <w:widowControl w:val="0"/>
              <w:jc w:val="center"/>
            </w:pPr>
          </w:p>
        </w:tc>
      </w:tr>
      <w:tr w:rsidR="00330DAA" w:rsidRPr="00511320" w14:paraId="16363430" w14:textId="77777777" w:rsidTr="00EE3B7C">
        <w:trPr>
          <w:trHeight w:val="20"/>
        </w:trPr>
        <w:tc>
          <w:tcPr>
            <w:tcW w:w="5000" w:type="pct"/>
            <w:gridSpan w:val="10"/>
            <w:shd w:val="clear" w:color="auto" w:fill="auto"/>
          </w:tcPr>
          <w:p w14:paraId="360FC646" w14:textId="772DFE6C" w:rsidR="00330DAA" w:rsidRPr="006541F8" w:rsidRDefault="00330DAA" w:rsidP="00D2155B">
            <w:pPr>
              <w:pStyle w:val="In-tableHeading"/>
            </w:pPr>
            <w:r w:rsidRPr="006541F8">
              <w:t xml:space="preserve">Overall survival (median duration of follow up </w:t>
            </w:r>
            <w:r w:rsidR="003B4E43" w:rsidRPr="006541F8">
              <w:t>40.2</w:t>
            </w:r>
            <w:r w:rsidRPr="006541F8">
              <w:t xml:space="preserve"> months)</w:t>
            </w:r>
          </w:p>
        </w:tc>
      </w:tr>
      <w:tr w:rsidR="002652BF" w:rsidRPr="00511320" w14:paraId="4153E457" w14:textId="77777777" w:rsidTr="002652BF">
        <w:trPr>
          <w:trHeight w:val="20"/>
        </w:trPr>
        <w:tc>
          <w:tcPr>
            <w:tcW w:w="1491" w:type="pct"/>
            <w:gridSpan w:val="2"/>
            <w:shd w:val="clear" w:color="auto" w:fill="auto"/>
          </w:tcPr>
          <w:p w14:paraId="387CD73A" w14:textId="77777777" w:rsidR="002652BF" w:rsidRPr="002F1494" w:rsidRDefault="002652BF" w:rsidP="00816361">
            <w:pPr>
              <w:pStyle w:val="TableText0"/>
              <w:keepLines/>
              <w:widowControl w:val="0"/>
            </w:pPr>
            <w:r w:rsidRPr="002F1494">
              <w:t xml:space="preserve">Deaths, n/N (%) </w:t>
            </w:r>
          </w:p>
        </w:tc>
        <w:tc>
          <w:tcPr>
            <w:tcW w:w="863" w:type="pct"/>
            <w:gridSpan w:val="2"/>
            <w:shd w:val="clear" w:color="auto" w:fill="auto"/>
          </w:tcPr>
          <w:p w14:paraId="285991FB" w14:textId="2CAFCD35" w:rsidR="002652BF" w:rsidRPr="006541F8" w:rsidRDefault="002652BF" w:rsidP="00816361">
            <w:pPr>
              <w:pStyle w:val="TableText0"/>
              <w:keepLines/>
              <w:widowControl w:val="0"/>
              <w:jc w:val="center"/>
            </w:pPr>
            <w:r w:rsidRPr="006541F8">
              <w:rPr>
                <w:rFonts w:cs="Times New Roman"/>
                <w:szCs w:val="20"/>
              </w:rPr>
              <w:t>158/238 (66%)</w:t>
            </w:r>
          </w:p>
        </w:tc>
        <w:tc>
          <w:tcPr>
            <w:tcW w:w="865" w:type="pct"/>
            <w:gridSpan w:val="2"/>
            <w:shd w:val="clear" w:color="auto" w:fill="auto"/>
          </w:tcPr>
          <w:p w14:paraId="0F420FB8" w14:textId="4CFB641C" w:rsidR="002652BF" w:rsidRPr="006541F8" w:rsidRDefault="002652BF" w:rsidP="00816361">
            <w:pPr>
              <w:pStyle w:val="TableText0"/>
              <w:keepLines/>
              <w:widowControl w:val="0"/>
              <w:jc w:val="center"/>
            </w:pPr>
            <w:r w:rsidRPr="006541F8">
              <w:rPr>
                <w:rFonts w:cs="Times New Roman"/>
                <w:szCs w:val="20"/>
              </w:rPr>
              <w:t>171/234 (73%)</w:t>
            </w:r>
          </w:p>
        </w:tc>
        <w:tc>
          <w:tcPr>
            <w:tcW w:w="902" w:type="pct"/>
            <w:gridSpan w:val="2"/>
            <w:shd w:val="clear" w:color="auto" w:fill="auto"/>
          </w:tcPr>
          <w:p w14:paraId="7461CEE5" w14:textId="61ED6B1E" w:rsidR="002652BF" w:rsidRPr="006541F8" w:rsidRDefault="002652BF" w:rsidP="00816361">
            <w:pPr>
              <w:pStyle w:val="TableText0"/>
              <w:keepLines/>
              <w:widowControl w:val="0"/>
              <w:jc w:val="center"/>
            </w:pPr>
          </w:p>
        </w:tc>
        <w:tc>
          <w:tcPr>
            <w:tcW w:w="879" w:type="pct"/>
            <w:gridSpan w:val="2"/>
            <w:vMerge w:val="restart"/>
            <w:shd w:val="clear" w:color="auto" w:fill="auto"/>
            <w:vAlign w:val="center"/>
          </w:tcPr>
          <w:p w14:paraId="0FBBA159" w14:textId="77777777" w:rsidR="002652BF" w:rsidRPr="006541F8" w:rsidRDefault="002652BF" w:rsidP="002652BF">
            <w:pPr>
              <w:pStyle w:val="TableText0"/>
              <w:keepLines/>
              <w:widowControl w:val="0"/>
              <w:jc w:val="center"/>
              <w:rPr>
                <w:b/>
              </w:rPr>
            </w:pPr>
            <w:r w:rsidRPr="006541F8">
              <w:rPr>
                <w:b/>
              </w:rPr>
              <w:t>0.69 (0.55, 0.86)</w:t>
            </w:r>
          </w:p>
          <w:p w14:paraId="49C5B8EB" w14:textId="630B4DCE" w:rsidR="002652BF" w:rsidRPr="006541F8" w:rsidRDefault="001E6B7A" w:rsidP="002652BF">
            <w:pPr>
              <w:pStyle w:val="TableText0"/>
              <w:keepLines/>
              <w:widowControl w:val="0"/>
              <w:jc w:val="center"/>
            </w:pPr>
            <w:r w:rsidRPr="006541F8">
              <w:rPr>
                <w:szCs w:val="20"/>
              </w:rPr>
              <w:t xml:space="preserve"> p </w:t>
            </w:r>
            <w:r w:rsidR="002652BF" w:rsidRPr="006541F8">
              <w:rPr>
                <w:szCs w:val="20"/>
              </w:rPr>
              <w:t xml:space="preserve">= </w:t>
            </w:r>
            <w:r w:rsidR="002652BF" w:rsidRPr="006541F8">
              <w:t>&lt;</w:t>
            </w:r>
            <w:r w:rsidR="00AE0EA4" w:rsidRPr="006541F8">
              <w:t> </w:t>
            </w:r>
            <w:r w:rsidR="002652BF" w:rsidRPr="006541F8">
              <w:t>0.001</w:t>
            </w:r>
          </w:p>
        </w:tc>
      </w:tr>
      <w:tr w:rsidR="002652BF" w:rsidRPr="00C67006" w14:paraId="2B49E47B" w14:textId="77777777" w:rsidTr="00BE2C91">
        <w:trPr>
          <w:trHeight w:val="20"/>
        </w:trPr>
        <w:tc>
          <w:tcPr>
            <w:tcW w:w="1491" w:type="pct"/>
            <w:gridSpan w:val="2"/>
            <w:shd w:val="clear" w:color="auto" w:fill="auto"/>
          </w:tcPr>
          <w:p w14:paraId="4A6BB6B2" w14:textId="79CB4D34" w:rsidR="002652BF" w:rsidRPr="002F1494" w:rsidRDefault="002652BF" w:rsidP="00816361">
            <w:pPr>
              <w:pStyle w:val="TableText0"/>
              <w:keepLines/>
              <w:widowControl w:val="0"/>
            </w:pPr>
            <w:r w:rsidRPr="002F1494">
              <w:t>Median OS, months (95% CI)</w:t>
            </w:r>
          </w:p>
        </w:tc>
        <w:tc>
          <w:tcPr>
            <w:tcW w:w="863" w:type="pct"/>
            <w:gridSpan w:val="2"/>
            <w:shd w:val="clear" w:color="auto" w:fill="auto"/>
          </w:tcPr>
          <w:p w14:paraId="214CA362" w14:textId="0B294708" w:rsidR="002652BF" w:rsidRPr="006541F8" w:rsidRDefault="002652BF" w:rsidP="00816361">
            <w:pPr>
              <w:pStyle w:val="TableText0"/>
              <w:keepLines/>
              <w:widowControl w:val="0"/>
              <w:jc w:val="center"/>
              <w:rPr>
                <w:rFonts w:cs="Times New Roman"/>
                <w:szCs w:val="20"/>
              </w:rPr>
            </w:pPr>
            <w:r w:rsidRPr="006541F8">
              <w:rPr>
                <w:rFonts w:cs="Times New Roman"/>
                <w:szCs w:val="20"/>
              </w:rPr>
              <w:t>24.7 (18.7, 30.5)</w:t>
            </w:r>
          </w:p>
        </w:tc>
        <w:tc>
          <w:tcPr>
            <w:tcW w:w="865" w:type="pct"/>
            <w:gridSpan w:val="2"/>
            <w:shd w:val="clear" w:color="auto" w:fill="auto"/>
          </w:tcPr>
          <w:p w14:paraId="14249C7A" w14:textId="075C33CE" w:rsidR="002652BF" w:rsidRPr="006541F8" w:rsidRDefault="002652BF" w:rsidP="00816361">
            <w:pPr>
              <w:pStyle w:val="TableText0"/>
              <w:keepLines/>
              <w:widowControl w:val="0"/>
              <w:jc w:val="center"/>
              <w:rPr>
                <w:rFonts w:cs="Times New Roman"/>
                <w:szCs w:val="20"/>
              </w:rPr>
            </w:pPr>
            <w:r w:rsidRPr="006541F8">
              <w:rPr>
                <w:rFonts w:cs="Times New Roman"/>
                <w:szCs w:val="20"/>
              </w:rPr>
              <w:t>14.8 (11.7, 17.6)</w:t>
            </w:r>
          </w:p>
        </w:tc>
        <w:tc>
          <w:tcPr>
            <w:tcW w:w="902" w:type="pct"/>
            <w:gridSpan w:val="2"/>
            <w:shd w:val="clear" w:color="auto" w:fill="auto"/>
          </w:tcPr>
          <w:p w14:paraId="5B93BECC" w14:textId="63095ACC" w:rsidR="002652BF" w:rsidRPr="006541F8" w:rsidRDefault="002652BF" w:rsidP="00816361">
            <w:pPr>
              <w:pStyle w:val="TableText0"/>
              <w:keepLines/>
              <w:widowControl w:val="0"/>
              <w:jc w:val="center"/>
            </w:pPr>
            <w:r w:rsidRPr="006541F8">
              <w:t>9.9 months</w:t>
            </w:r>
          </w:p>
        </w:tc>
        <w:tc>
          <w:tcPr>
            <w:tcW w:w="879" w:type="pct"/>
            <w:gridSpan w:val="2"/>
            <w:vMerge/>
            <w:shd w:val="clear" w:color="auto" w:fill="auto"/>
          </w:tcPr>
          <w:p w14:paraId="4E0B8714" w14:textId="77777777" w:rsidR="002652BF" w:rsidRPr="006541F8" w:rsidRDefault="002652BF" w:rsidP="00816361">
            <w:pPr>
              <w:pStyle w:val="TableText0"/>
              <w:keepLines/>
              <w:widowControl w:val="0"/>
              <w:jc w:val="center"/>
              <w:rPr>
                <w:szCs w:val="20"/>
              </w:rPr>
            </w:pPr>
          </w:p>
        </w:tc>
      </w:tr>
      <w:tr w:rsidR="002652BF" w:rsidRPr="00511320" w14:paraId="5CCEFFBA" w14:textId="77777777" w:rsidTr="00BE2C91">
        <w:trPr>
          <w:trHeight w:val="20"/>
        </w:trPr>
        <w:tc>
          <w:tcPr>
            <w:tcW w:w="1491" w:type="pct"/>
            <w:gridSpan w:val="2"/>
            <w:shd w:val="clear" w:color="auto" w:fill="auto"/>
          </w:tcPr>
          <w:p w14:paraId="4CCF10D5" w14:textId="6438D880" w:rsidR="002652BF" w:rsidRPr="002F1494" w:rsidRDefault="002652BF" w:rsidP="00816361">
            <w:pPr>
              <w:pStyle w:val="TableText0"/>
              <w:keepLines/>
              <w:widowControl w:val="0"/>
            </w:pPr>
            <w:r w:rsidRPr="002F1494">
              <w:t xml:space="preserve">% alive at 1 year (95% CI) </w:t>
            </w:r>
          </w:p>
        </w:tc>
        <w:tc>
          <w:tcPr>
            <w:tcW w:w="863" w:type="pct"/>
            <w:gridSpan w:val="2"/>
            <w:shd w:val="clear" w:color="auto" w:fill="auto"/>
          </w:tcPr>
          <w:p w14:paraId="3EC5A687" w14:textId="66D3E7B8" w:rsidR="002652BF" w:rsidRPr="006541F8" w:rsidRDefault="002652BF" w:rsidP="00816361">
            <w:pPr>
              <w:pStyle w:val="TableText0"/>
              <w:keepLines/>
              <w:widowControl w:val="0"/>
              <w:jc w:val="center"/>
            </w:pPr>
            <w:r w:rsidRPr="006541F8">
              <w:rPr>
                <w:szCs w:val="20"/>
              </w:rPr>
              <w:t>73% (67%, 78%)</w:t>
            </w:r>
          </w:p>
        </w:tc>
        <w:tc>
          <w:tcPr>
            <w:tcW w:w="865" w:type="pct"/>
            <w:gridSpan w:val="2"/>
            <w:shd w:val="clear" w:color="auto" w:fill="auto"/>
          </w:tcPr>
          <w:p w14:paraId="3F925924" w14:textId="49D532C2" w:rsidR="002652BF" w:rsidRPr="006541F8" w:rsidRDefault="002652BF" w:rsidP="00816361">
            <w:pPr>
              <w:pStyle w:val="TableText0"/>
              <w:keepLines/>
              <w:widowControl w:val="0"/>
              <w:jc w:val="center"/>
              <w:rPr>
                <w:szCs w:val="20"/>
              </w:rPr>
            </w:pPr>
            <w:r w:rsidRPr="006541F8">
              <w:rPr>
                <w:szCs w:val="20"/>
              </w:rPr>
              <w:t>56% (49%, 62%)</w:t>
            </w:r>
          </w:p>
        </w:tc>
        <w:tc>
          <w:tcPr>
            <w:tcW w:w="902" w:type="pct"/>
            <w:gridSpan w:val="2"/>
            <w:shd w:val="clear" w:color="auto" w:fill="auto"/>
          </w:tcPr>
          <w:p w14:paraId="6C729A95" w14:textId="40188710" w:rsidR="002652BF" w:rsidRPr="006541F8" w:rsidRDefault="002652BF" w:rsidP="00816361">
            <w:pPr>
              <w:pStyle w:val="TableText0"/>
              <w:keepLines/>
              <w:widowControl w:val="0"/>
              <w:jc w:val="center"/>
            </w:pPr>
            <w:r w:rsidRPr="006541F8">
              <w:t>17%</w:t>
            </w:r>
          </w:p>
        </w:tc>
        <w:tc>
          <w:tcPr>
            <w:tcW w:w="879" w:type="pct"/>
            <w:gridSpan w:val="2"/>
            <w:vMerge/>
            <w:shd w:val="clear" w:color="auto" w:fill="auto"/>
          </w:tcPr>
          <w:p w14:paraId="03A14489" w14:textId="77777777" w:rsidR="002652BF" w:rsidRPr="006541F8" w:rsidRDefault="002652BF" w:rsidP="00816361">
            <w:pPr>
              <w:pStyle w:val="TableText0"/>
              <w:keepLines/>
              <w:widowControl w:val="0"/>
              <w:jc w:val="center"/>
            </w:pPr>
          </w:p>
        </w:tc>
      </w:tr>
      <w:tr w:rsidR="002652BF" w:rsidRPr="00511320" w14:paraId="23FBB761" w14:textId="77777777" w:rsidTr="00BE2C91">
        <w:trPr>
          <w:trHeight w:val="20"/>
        </w:trPr>
        <w:tc>
          <w:tcPr>
            <w:tcW w:w="1491" w:type="pct"/>
            <w:gridSpan w:val="2"/>
            <w:shd w:val="clear" w:color="auto" w:fill="auto"/>
          </w:tcPr>
          <w:p w14:paraId="0C35791C" w14:textId="06EC7C72" w:rsidR="002652BF" w:rsidRPr="002F1494" w:rsidRDefault="002652BF" w:rsidP="00816361">
            <w:pPr>
              <w:pStyle w:val="TableText0"/>
              <w:keepLines/>
              <w:widowControl w:val="0"/>
            </w:pPr>
            <w:r w:rsidRPr="002F1494">
              <w:t>% alive at 2 years (95% CI)</w:t>
            </w:r>
          </w:p>
        </w:tc>
        <w:tc>
          <w:tcPr>
            <w:tcW w:w="863" w:type="pct"/>
            <w:gridSpan w:val="2"/>
            <w:shd w:val="clear" w:color="auto" w:fill="auto"/>
          </w:tcPr>
          <w:p w14:paraId="7A73E848" w14:textId="26B84790" w:rsidR="002652BF" w:rsidRPr="006541F8" w:rsidRDefault="002652BF" w:rsidP="00816361">
            <w:pPr>
              <w:pStyle w:val="TableText0"/>
              <w:keepLines/>
              <w:widowControl w:val="0"/>
              <w:jc w:val="center"/>
              <w:rPr>
                <w:szCs w:val="20"/>
              </w:rPr>
            </w:pPr>
            <w:r w:rsidRPr="006541F8">
              <w:rPr>
                <w:szCs w:val="20"/>
              </w:rPr>
              <w:t>51% (44%, 57%)</w:t>
            </w:r>
          </w:p>
        </w:tc>
        <w:tc>
          <w:tcPr>
            <w:tcW w:w="865" w:type="pct"/>
            <w:gridSpan w:val="2"/>
            <w:shd w:val="clear" w:color="auto" w:fill="auto"/>
          </w:tcPr>
          <w:p w14:paraId="4BA30C70" w14:textId="40EA67EE" w:rsidR="002652BF" w:rsidRPr="006541F8" w:rsidRDefault="002652BF" w:rsidP="00816361">
            <w:pPr>
              <w:pStyle w:val="TableText0"/>
              <w:keepLines/>
              <w:widowControl w:val="0"/>
              <w:jc w:val="center"/>
              <w:rPr>
                <w:szCs w:val="20"/>
              </w:rPr>
            </w:pPr>
            <w:r w:rsidRPr="006541F8">
              <w:rPr>
                <w:szCs w:val="20"/>
              </w:rPr>
              <w:t>37% (31%, 43%)</w:t>
            </w:r>
          </w:p>
        </w:tc>
        <w:tc>
          <w:tcPr>
            <w:tcW w:w="902" w:type="pct"/>
            <w:gridSpan w:val="2"/>
            <w:shd w:val="clear" w:color="auto" w:fill="auto"/>
          </w:tcPr>
          <w:p w14:paraId="49210F4F" w14:textId="5B9A92F8" w:rsidR="002652BF" w:rsidRPr="006541F8" w:rsidRDefault="002652BF" w:rsidP="00816361">
            <w:pPr>
              <w:pStyle w:val="TableText0"/>
              <w:keepLines/>
              <w:widowControl w:val="0"/>
              <w:jc w:val="center"/>
            </w:pPr>
            <w:r w:rsidRPr="006541F8">
              <w:t>14%</w:t>
            </w:r>
          </w:p>
        </w:tc>
        <w:tc>
          <w:tcPr>
            <w:tcW w:w="879" w:type="pct"/>
            <w:gridSpan w:val="2"/>
            <w:vMerge/>
            <w:shd w:val="clear" w:color="auto" w:fill="auto"/>
          </w:tcPr>
          <w:p w14:paraId="145535C0" w14:textId="77777777" w:rsidR="002652BF" w:rsidRPr="006541F8" w:rsidRDefault="002652BF" w:rsidP="00816361">
            <w:pPr>
              <w:pStyle w:val="TableText0"/>
              <w:keepLines/>
              <w:widowControl w:val="0"/>
              <w:jc w:val="center"/>
            </w:pPr>
          </w:p>
        </w:tc>
      </w:tr>
      <w:tr w:rsidR="0099451E" w:rsidRPr="00E2771E" w14:paraId="4CB55A42" w14:textId="77777777" w:rsidTr="003D1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0"/>
            <w:tcBorders>
              <w:top w:val="double" w:sz="4" w:space="0" w:color="auto"/>
              <w:left w:val="single" w:sz="4" w:space="0" w:color="auto"/>
              <w:bottom w:val="single" w:sz="4" w:space="0" w:color="auto"/>
              <w:right w:val="single" w:sz="4" w:space="0" w:color="auto"/>
            </w:tcBorders>
            <w:shd w:val="clear" w:color="auto" w:fill="auto"/>
            <w:vAlign w:val="center"/>
          </w:tcPr>
          <w:p w14:paraId="5D6D7F31" w14:textId="77777777" w:rsidR="0099451E" w:rsidRPr="006541F8" w:rsidRDefault="0099451E" w:rsidP="00D2155B">
            <w:pPr>
              <w:pStyle w:val="In-tableHeading"/>
            </w:pPr>
            <w:bookmarkStart w:id="47" w:name="_Hlk103157134"/>
            <w:r w:rsidRPr="006541F8">
              <w:t xml:space="preserve">Harms </w:t>
            </w:r>
          </w:p>
        </w:tc>
      </w:tr>
      <w:tr w:rsidR="00B3256F" w:rsidRPr="00E2771E" w14:paraId="75B2E922" w14:textId="77777777" w:rsidTr="00265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4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547F8C" w14:textId="77777777" w:rsidR="0099451E" w:rsidRPr="002F1494" w:rsidRDefault="0099451E" w:rsidP="00D2155B">
            <w:pPr>
              <w:pStyle w:val="In-tableHeading"/>
            </w:pPr>
            <w:bookmarkStart w:id="48" w:name="_Hlk103157243"/>
          </w:p>
        </w:tc>
        <w:tc>
          <w:tcPr>
            <w:tcW w:w="787" w:type="pct"/>
            <w:gridSpan w:val="2"/>
            <w:vMerge w:val="restart"/>
            <w:tcBorders>
              <w:top w:val="single" w:sz="4" w:space="0" w:color="auto"/>
              <w:left w:val="single" w:sz="4" w:space="0" w:color="auto"/>
              <w:bottom w:val="single" w:sz="4" w:space="0" w:color="auto"/>
              <w:right w:val="single" w:sz="4" w:space="0" w:color="auto"/>
            </w:tcBorders>
            <w:vAlign w:val="center"/>
          </w:tcPr>
          <w:p w14:paraId="5D1245E5" w14:textId="64ADD8A9" w:rsidR="0099451E" w:rsidRPr="006541F8" w:rsidRDefault="005C012A" w:rsidP="001E34DF">
            <w:pPr>
              <w:pStyle w:val="In-tableHeading"/>
              <w:jc w:val="center"/>
            </w:pPr>
            <w:r w:rsidRPr="006541F8">
              <w:t>Oral azacitidine</w:t>
            </w:r>
            <w:r w:rsidR="002652BF" w:rsidRPr="006541F8">
              <w:t>,</w:t>
            </w:r>
          </w:p>
          <w:p w14:paraId="18AE1B71" w14:textId="21103E21" w:rsidR="0099451E" w:rsidRPr="006541F8" w:rsidRDefault="0099451E" w:rsidP="001E34DF">
            <w:pPr>
              <w:pStyle w:val="In-tableHeading"/>
              <w:jc w:val="center"/>
            </w:pPr>
            <w:r w:rsidRPr="006541F8">
              <w:t>n/N</w:t>
            </w:r>
          </w:p>
        </w:tc>
        <w:tc>
          <w:tcPr>
            <w:tcW w:w="629" w:type="pct"/>
            <w:gridSpan w:val="2"/>
            <w:vMerge w:val="restart"/>
            <w:tcBorders>
              <w:top w:val="single" w:sz="4" w:space="0" w:color="auto"/>
              <w:left w:val="single" w:sz="4" w:space="0" w:color="auto"/>
              <w:bottom w:val="single" w:sz="4" w:space="0" w:color="auto"/>
              <w:right w:val="single" w:sz="4" w:space="0" w:color="auto"/>
            </w:tcBorders>
            <w:vAlign w:val="center"/>
          </w:tcPr>
          <w:p w14:paraId="6A5F8202" w14:textId="7C5DC41A" w:rsidR="0099451E" w:rsidRPr="006541F8" w:rsidRDefault="009B5D5E" w:rsidP="001E34DF">
            <w:pPr>
              <w:pStyle w:val="In-tableHeading"/>
              <w:jc w:val="center"/>
            </w:pPr>
            <w:r w:rsidRPr="006541F8">
              <w:t>BSC</w:t>
            </w:r>
            <w:r w:rsidR="002652BF" w:rsidRPr="006541F8">
              <w:t>,</w:t>
            </w:r>
            <w:r w:rsidR="005C012A" w:rsidRPr="006541F8">
              <w:t xml:space="preserve"> </w:t>
            </w:r>
          </w:p>
          <w:p w14:paraId="6D0B7D43" w14:textId="49912C18" w:rsidR="0099451E" w:rsidRPr="006541F8" w:rsidRDefault="0099451E" w:rsidP="001E34DF">
            <w:pPr>
              <w:pStyle w:val="In-tableHeading"/>
              <w:jc w:val="center"/>
            </w:pPr>
            <w:r w:rsidRPr="006541F8">
              <w:t>n/N</w:t>
            </w:r>
          </w:p>
        </w:tc>
        <w:tc>
          <w:tcPr>
            <w:tcW w:w="392" w:type="pct"/>
            <w:vMerge w:val="restart"/>
            <w:tcBorders>
              <w:top w:val="single" w:sz="4" w:space="0" w:color="auto"/>
              <w:left w:val="single" w:sz="4" w:space="0" w:color="auto"/>
              <w:bottom w:val="single" w:sz="4" w:space="0" w:color="auto"/>
              <w:right w:val="single" w:sz="4" w:space="0" w:color="auto"/>
            </w:tcBorders>
            <w:vAlign w:val="center"/>
          </w:tcPr>
          <w:p w14:paraId="6CD15AD0" w14:textId="77777777" w:rsidR="0099451E" w:rsidRPr="006541F8" w:rsidRDefault="0099451E" w:rsidP="001E34DF">
            <w:pPr>
              <w:pStyle w:val="In-tableHeading"/>
              <w:jc w:val="center"/>
            </w:pPr>
            <w:r w:rsidRPr="006541F8">
              <w:t>RR</w:t>
            </w:r>
          </w:p>
          <w:p w14:paraId="3695D7EC" w14:textId="6BAAC358" w:rsidR="0099451E" w:rsidRPr="006541F8" w:rsidRDefault="0099451E" w:rsidP="001E34DF">
            <w:pPr>
              <w:pStyle w:val="In-tableHeading"/>
              <w:jc w:val="center"/>
            </w:pPr>
          </w:p>
        </w:tc>
        <w:tc>
          <w:tcPr>
            <w:tcW w:w="1339" w:type="pct"/>
            <w:gridSpan w:val="3"/>
            <w:tcBorders>
              <w:top w:val="single" w:sz="4" w:space="0" w:color="auto"/>
              <w:left w:val="single" w:sz="4" w:space="0" w:color="auto"/>
              <w:bottom w:val="single" w:sz="4" w:space="0" w:color="auto"/>
              <w:right w:val="single" w:sz="4" w:space="0" w:color="auto"/>
            </w:tcBorders>
            <w:vAlign w:val="center"/>
          </w:tcPr>
          <w:p w14:paraId="2D89440A" w14:textId="1114EE4C" w:rsidR="0099451E" w:rsidRPr="006541F8" w:rsidRDefault="0099451E" w:rsidP="001E34DF">
            <w:pPr>
              <w:pStyle w:val="In-tableHeading"/>
              <w:jc w:val="center"/>
            </w:pPr>
            <w:r w:rsidRPr="006541F8">
              <w:t>Event rate/100 patients</w:t>
            </w:r>
          </w:p>
        </w:tc>
        <w:tc>
          <w:tcPr>
            <w:tcW w:w="442" w:type="pct"/>
            <w:vMerge w:val="restart"/>
            <w:tcBorders>
              <w:top w:val="single" w:sz="4" w:space="0" w:color="auto"/>
              <w:left w:val="single" w:sz="4" w:space="0" w:color="auto"/>
              <w:bottom w:val="single" w:sz="4" w:space="0" w:color="auto"/>
              <w:right w:val="single" w:sz="4" w:space="0" w:color="auto"/>
            </w:tcBorders>
            <w:vAlign w:val="center"/>
          </w:tcPr>
          <w:p w14:paraId="0603FC2B" w14:textId="77777777" w:rsidR="0099451E" w:rsidRPr="006541F8" w:rsidRDefault="0099451E" w:rsidP="001E34DF">
            <w:pPr>
              <w:pStyle w:val="In-tableHeading"/>
              <w:jc w:val="center"/>
            </w:pPr>
            <w:r w:rsidRPr="006541F8">
              <w:t>RD</w:t>
            </w:r>
          </w:p>
          <w:p w14:paraId="61EDAA80" w14:textId="6B069FAA" w:rsidR="0099451E" w:rsidRPr="006541F8" w:rsidRDefault="0099451E" w:rsidP="001E34DF">
            <w:pPr>
              <w:pStyle w:val="In-tableHeading"/>
              <w:jc w:val="center"/>
            </w:pPr>
          </w:p>
        </w:tc>
      </w:tr>
      <w:tr w:rsidR="00B3256F" w:rsidRPr="00E2771E" w14:paraId="479B77C6" w14:textId="77777777" w:rsidTr="00265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14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BA6A81F" w14:textId="77777777" w:rsidR="0099451E" w:rsidRPr="002F1494" w:rsidRDefault="0099451E" w:rsidP="00D2155B">
            <w:pPr>
              <w:pStyle w:val="In-tableHeading"/>
            </w:pPr>
          </w:p>
        </w:tc>
        <w:tc>
          <w:tcPr>
            <w:tcW w:w="787" w:type="pct"/>
            <w:gridSpan w:val="2"/>
            <w:vMerge/>
            <w:tcBorders>
              <w:top w:val="single" w:sz="4" w:space="0" w:color="auto"/>
              <w:left w:val="single" w:sz="4" w:space="0" w:color="auto"/>
              <w:bottom w:val="single" w:sz="4" w:space="0" w:color="auto"/>
              <w:right w:val="single" w:sz="4" w:space="0" w:color="auto"/>
            </w:tcBorders>
            <w:vAlign w:val="center"/>
          </w:tcPr>
          <w:p w14:paraId="738CA751" w14:textId="77777777" w:rsidR="0099451E" w:rsidRPr="006541F8" w:rsidRDefault="0099451E" w:rsidP="00D2155B">
            <w:pPr>
              <w:pStyle w:val="In-tableHeading"/>
            </w:pPr>
          </w:p>
        </w:tc>
        <w:tc>
          <w:tcPr>
            <w:tcW w:w="629" w:type="pct"/>
            <w:gridSpan w:val="2"/>
            <w:vMerge/>
            <w:tcBorders>
              <w:top w:val="single" w:sz="4" w:space="0" w:color="auto"/>
              <w:left w:val="single" w:sz="4" w:space="0" w:color="auto"/>
              <w:bottom w:val="single" w:sz="4" w:space="0" w:color="auto"/>
              <w:right w:val="single" w:sz="4" w:space="0" w:color="auto"/>
            </w:tcBorders>
            <w:vAlign w:val="center"/>
          </w:tcPr>
          <w:p w14:paraId="75FBCA94" w14:textId="77777777" w:rsidR="0099451E" w:rsidRPr="006541F8" w:rsidRDefault="0099451E" w:rsidP="00D2155B">
            <w:pPr>
              <w:pStyle w:val="In-tableHeading"/>
            </w:pPr>
          </w:p>
        </w:tc>
        <w:tc>
          <w:tcPr>
            <w:tcW w:w="392" w:type="pct"/>
            <w:vMerge/>
            <w:tcBorders>
              <w:top w:val="single" w:sz="4" w:space="0" w:color="auto"/>
              <w:left w:val="single" w:sz="4" w:space="0" w:color="auto"/>
              <w:bottom w:val="single" w:sz="4" w:space="0" w:color="auto"/>
              <w:right w:val="single" w:sz="4" w:space="0" w:color="auto"/>
            </w:tcBorders>
            <w:vAlign w:val="center"/>
          </w:tcPr>
          <w:p w14:paraId="57978F38" w14:textId="77777777" w:rsidR="0099451E" w:rsidRPr="006541F8" w:rsidRDefault="0099451E" w:rsidP="00D2155B">
            <w:pPr>
              <w:pStyle w:val="In-tableHeading"/>
            </w:pPr>
          </w:p>
        </w:tc>
        <w:tc>
          <w:tcPr>
            <w:tcW w:w="709" w:type="pct"/>
            <w:tcBorders>
              <w:top w:val="single" w:sz="4" w:space="0" w:color="auto"/>
              <w:left w:val="single" w:sz="4" w:space="0" w:color="auto"/>
              <w:bottom w:val="single" w:sz="4" w:space="0" w:color="auto"/>
              <w:right w:val="single" w:sz="4" w:space="0" w:color="auto"/>
            </w:tcBorders>
            <w:vAlign w:val="center"/>
          </w:tcPr>
          <w:p w14:paraId="6C5E3022" w14:textId="53C723A7" w:rsidR="0099451E" w:rsidRPr="006541F8" w:rsidRDefault="005C012A" w:rsidP="000F07BB">
            <w:pPr>
              <w:pStyle w:val="In-tableHeading"/>
            </w:pPr>
            <w:r w:rsidRPr="006541F8">
              <w:t>Oral azacitidine</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0B50134F" w14:textId="78283697" w:rsidR="0099451E" w:rsidRPr="006541F8" w:rsidRDefault="009B5D5E" w:rsidP="00B3256F">
            <w:pPr>
              <w:pStyle w:val="In-tableHeading"/>
              <w:jc w:val="center"/>
            </w:pPr>
            <w:r w:rsidRPr="006541F8">
              <w:t>BSC</w:t>
            </w:r>
            <w:r w:rsidR="005C012A" w:rsidRPr="006541F8">
              <w:t xml:space="preserve"> </w:t>
            </w:r>
          </w:p>
        </w:tc>
        <w:tc>
          <w:tcPr>
            <w:tcW w:w="442" w:type="pct"/>
            <w:vMerge/>
            <w:tcBorders>
              <w:top w:val="single" w:sz="4" w:space="0" w:color="auto"/>
              <w:left w:val="single" w:sz="4" w:space="0" w:color="auto"/>
              <w:bottom w:val="single" w:sz="4" w:space="0" w:color="auto"/>
              <w:right w:val="single" w:sz="4" w:space="0" w:color="auto"/>
            </w:tcBorders>
            <w:vAlign w:val="center"/>
          </w:tcPr>
          <w:p w14:paraId="1A0186C2" w14:textId="77777777" w:rsidR="0099451E" w:rsidRPr="006541F8" w:rsidRDefault="0099451E" w:rsidP="00D2155B">
            <w:pPr>
              <w:pStyle w:val="In-tableHeading"/>
            </w:pPr>
          </w:p>
        </w:tc>
      </w:tr>
      <w:tr w:rsidR="009D15AF" w:rsidRPr="009D15AF" w14:paraId="572E193B" w14:textId="77777777" w:rsidTr="00265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14:paraId="591D19B5" w14:textId="1567E080" w:rsidR="005C012A" w:rsidRPr="002F1494" w:rsidRDefault="005C012A" w:rsidP="005C012A">
            <w:pPr>
              <w:pStyle w:val="TableText0"/>
            </w:pPr>
            <w:r w:rsidRPr="002F1494">
              <w:t>TEAE (all causality)</w:t>
            </w:r>
          </w:p>
        </w:tc>
        <w:tc>
          <w:tcPr>
            <w:tcW w:w="787" w:type="pct"/>
            <w:gridSpan w:val="2"/>
            <w:tcBorders>
              <w:top w:val="single" w:sz="4" w:space="0" w:color="auto"/>
              <w:left w:val="single" w:sz="4" w:space="0" w:color="auto"/>
              <w:bottom w:val="single" w:sz="4" w:space="0" w:color="auto"/>
              <w:right w:val="single" w:sz="4" w:space="0" w:color="auto"/>
            </w:tcBorders>
          </w:tcPr>
          <w:p w14:paraId="4C700CB8" w14:textId="1C0D3642" w:rsidR="005C012A" w:rsidRPr="006541F8" w:rsidRDefault="005C012A" w:rsidP="005C012A">
            <w:pPr>
              <w:pStyle w:val="TableText0"/>
              <w:jc w:val="center"/>
            </w:pPr>
            <w:r w:rsidRPr="006541F8">
              <w:t>231/236</w:t>
            </w:r>
          </w:p>
        </w:tc>
        <w:tc>
          <w:tcPr>
            <w:tcW w:w="629" w:type="pct"/>
            <w:gridSpan w:val="2"/>
            <w:tcBorders>
              <w:top w:val="single" w:sz="4" w:space="0" w:color="auto"/>
              <w:left w:val="single" w:sz="4" w:space="0" w:color="auto"/>
              <w:bottom w:val="single" w:sz="4" w:space="0" w:color="auto"/>
              <w:right w:val="single" w:sz="4" w:space="0" w:color="auto"/>
            </w:tcBorders>
          </w:tcPr>
          <w:p w14:paraId="01A4D221" w14:textId="62595D7F" w:rsidR="005C012A" w:rsidRPr="006541F8" w:rsidRDefault="005C012A" w:rsidP="005C012A">
            <w:pPr>
              <w:pStyle w:val="TableText0"/>
              <w:jc w:val="center"/>
            </w:pPr>
            <w:r w:rsidRPr="006541F8">
              <w:t>225/233</w:t>
            </w:r>
          </w:p>
        </w:tc>
        <w:tc>
          <w:tcPr>
            <w:tcW w:w="392" w:type="pct"/>
            <w:tcBorders>
              <w:top w:val="single" w:sz="4" w:space="0" w:color="auto"/>
              <w:left w:val="single" w:sz="4" w:space="0" w:color="auto"/>
              <w:bottom w:val="single" w:sz="4" w:space="0" w:color="auto"/>
              <w:right w:val="single" w:sz="4" w:space="0" w:color="auto"/>
            </w:tcBorders>
            <w:vAlign w:val="center"/>
          </w:tcPr>
          <w:p w14:paraId="34986F80" w14:textId="0E9C9F23" w:rsidR="005C012A" w:rsidRPr="006541F8" w:rsidRDefault="00B26DC1" w:rsidP="005C012A">
            <w:pPr>
              <w:pStyle w:val="TableText0"/>
              <w:jc w:val="center"/>
            </w:pPr>
            <w:r w:rsidRPr="006541F8">
              <w:t>1.0</w:t>
            </w:r>
            <w:r w:rsidR="001171E8" w:rsidRPr="006541F8">
              <w:t>1</w:t>
            </w:r>
          </w:p>
        </w:tc>
        <w:tc>
          <w:tcPr>
            <w:tcW w:w="709" w:type="pct"/>
            <w:tcBorders>
              <w:top w:val="single" w:sz="4" w:space="0" w:color="auto"/>
              <w:left w:val="single" w:sz="4" w:space="0" w:color="auto"/>
              <w:bottom w:val="single" w:sz="4" w:space="0" w:color="auto"/>
              <w:right w:val="single" w:sz="4" w:space="0" w:color="auto"/>
            </w:tcBorders>
            <w:vAlign w:val="center"/>
          </w:tcPr>
          <w:p w14:paraId="56FA6411" w14:textId="39CE6103" w:rsidR="005C012A" w:rsidRPr="006541F8" w:rsidRDefault="005C012A" w:rsidP="005C012A">
            <w:pPr>
              <w:pStyle w:val="TableText0"/>
              <w:jc w:val="center"/>
            </w:pPr>
            <w:r w:rsidRPr="006541F8">
              <w:t>98</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5EDDCB36" w14:textId="09671074" w:rsidR="005C012A" w:rsidRPr="006541F8" w:rsidRDefault="005C012A" w:rsidP="005C012A">
            <w:pPr>
              <w:pStyle w:val="TableText0"/>
              <w:jc w:val="center"/>
            </w:pPr>
            <w:r w:rsidRPr="006541F8">
              <w:t>97</w:t>
            </w:r>
          </w:p>
        </w:tc>
        <w:tc>
          <w:tcPr>
            <w:tcW w:w="442" w:type="pct"/>
            <w:tcBorders>
              <w:top w:val="single" w:sz="4" w:space="0" w:color="auto"/>
              <w:left w:val="single" w:sz="4" w:space="0" w:color="auto"/>
              <w:bottom w:val="single" w:sz="4" w:space="0" w:color="auto"/>
              <w:right w:val="single" w:sz="4" w:space="0" w:color="auto"/>
            </w:tcBorders>
            <w:vAlign w:val="center"/>
          </w:tcPr>
          <w:p w14:paraId="3D5DEBDC" w14:textId="2991AED3" w:rsidR="005C012A" w:rsidRPr="006541F8" w:rsidRDefault="00B26DC1" w:rsidP="005C012A">
            <w:pPr>
              <w:pStyle w:val="TableText0"/>
              <w:jc w:val="center"/>
            </w:pPr>
            <w:r w:rsidRPr="006541F8">
              <w:t>0.01</w:t>
            </w:r>
          </w:p>
        </w:tc>
      </w:tr>
      <w:tr w:rsidR="009D15AF" w:rsidRPr="009D15AF" w14:paraId="14D3DE89" w14:textId="77777777" w:rsidTr="00265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1" w:type="pct"/>
            <w:tcBorders>
              <w:top w:val="single" w:sz="4" w:space="0" w:color="auto"/>
              <w:left w:val="single" w:sz="4" w:space="0" w:color="auto"/>
              <w:bottom w:val="single" w:sz="4" w:space="0" w:color="auto"/>
              <w:right w:val="single" w:sz="4" w:space="0" w:color="auto"/>
            </w:tcBorders>
            <w:shd w:val="clear" w:color="auto" w:fill="auto"/>
          </w:tcPr>
          <w:p w14:paraId="2CF069A6" w14:textId="4FFD2FE8" w:rsidR="005C012A" w:rsidRPr="002F1494" w:rsidRDefault="005C012A" w:rsidP="005C012A">
            <w:pPr>
              <w:pStyle w:val="TableText0"/>
            </w:pPr>
            <w:r w:rsidRPr="002F1494">
              <w:t xml:space="preserve">TEAE </w:t>
            </w:r>
            <w:bookmarkStart w:id="49" w:name="_Hlk100774284"/>
            <w:r w:rsidRPr="002F1494">
              <w:t>≥</w:t>
            </w:r>
            <w:bookmarkEnd w:id="49"/>
            <w:r w:rsidRPr="002F1494">
              <w:t xml:space="preserve"> Grade 3 (all-causality)</w:t>
            </w:r>
          </w:p>
        </w:tc>
        <w:tc>
          <w:tcPr>
            <w:tcW w:w="787" w:type="pct"/>
            <w:gridSpan w:val="2"/>
            <w:tcBorders>
              <w:top w:val="single" w:sz="4" w:space="0" w:color="auto"/>
              <w:left w:val="single" w:sz="4" w:space="0" w:color="auto"/>
              <w:bottom w:val="single" w:sz="4" w:space="0" w:color="auto"/>
              <w:right w:val="single" w:sz="4" w:space="0" w:color="auto"/>
            </w:tcBorders>
          </w:tcPr>
          <w:p w14:paraId="1E11DD0C" w14:textId="3DEB8936" w:rsidR="005C012A" w:rsidRPr="006541F8" w:rsidRDefault="005C012A" w:rsidP="005C012A">
            <w:pPr>
              <w:pStyle w:val="TableText0"/>
              <w:jc w:val="center"/>
            </w:pPr>
            <w:r w:rsidRPr="006541F8">
              <w:t>169/236</w:t>
            </w:r>
          </w:p>
        </w:tc>
        <w:tc>
          <w:tcPr>
            <w:tcW w:w="629" w:type="pct"/>
            <w:gridSpan w:val="2"/>
            <w:tcBorders>
              <w:top w:val="single" w:sz="4" w:space="0" w:color="auto"/>
              <w:left w:val="single" w:sz="4" w:space="0" w:color="auto"/>
              <w:bottom w:val="single" w:sz="4" w:space="0" w:color="auto"/>
              <w:right w:val="single" w:sz="4" w:space="0" w:color="auto"/>
            </w:tcBorders>
          </w:tcPr>
          <w:p w14:paraId="2E59E3BC" w14:textId="62318F16" w:rsidR="005C012A" w:rsidRPr="006541F8" w:rsidRDefault="005C012A" w:rsidP="005C012A">
            <w:pPr>
              <w:pStyle w:val="TableText0"/>
              <w:jc w:val="center"/>
            </w:pPr>
            <w:r w:rsidRPr="006541F8">
              <w:t>147/233</w:t>
            </w:r>
          </w:p>
        </w:tc>
        <w:tc>
          <w:tcPr>
            <w:tcW w:w="392" w:type="pct"/>
            <w:tcBorders>
              <w:top w:val="single" w:sz="4" w:space="0" w:color="auto"/>
              <w:left w:val="single" w:sz="4" w:space="0" w:color="auto"/>
              <w:bottom w:val="single" w:sz="4" w:space="0" w:color="auto"/>
              <w:right w:val="single" w:sz="4" w:space="0" w:color="auto"/>
            </w:tcBorders>
            <w:vAlign w:val="center"/>
          </w:tcPr>
          <w:p w14:paraId="49827CFC" w14:textId="54EC9577" w:rsidR="005C012A" w:rsidRPr="006541F8" w:rsidRDefault="00B26DC1" w:rsidP="005C012A">
            <w:pPr>
              <w:pStyle w:val="TableText0"/>
              <w:jc w:val="center"/>
            </w:pPr>
            <w:r w:rsidRPr="006541F8">
              <w:t>1.14</w:t>
            </w:r>
          </w:p>
        </w:tc>
        <w:tc>
          <w:tcPr>
            <w:tcW w:w="709" w:type="pct"/>
            <w:tcBorders>
              <w:top w:val="single" w:sz="4" w:space="0" w:color="auto"/>
              <w:left w:val="single" w:sz="4" w:space="0" w:color="auto"/>
              <w:bottom w:val="single" w:sz="4" w:space="0" w:color="auto"/>
              <w:right w:val="single" w:sz="4" w:space="0" w:color="auto"/>
            </w:tcBorders>
            <w:vAlign w:val="center"/>
          </w:tcPr>
          <w:p w14:paraId="2E01B9A6" w14:textId="3D6C9398" w:rsidR="005C012A" w:rsidRPr="006541F8" w:rsidRDefault="005C012A" w:rsidP="005C012A">
            <w:pPr>
              <w:pStyle w:val="TableText0"/>
              <w:jc w:val="center"/>
            </w:pPr>
            <w:r w:rsidRPr="006541F8">
              <w:t>72</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133BD093" w14:textId="51EEEAA3" w:rsidR="005C012A" w:rsidRPr="006541F8" w:rsidRDefault="005C012A" w:rsidP="005C012A">
            <w:pPr>
              <w:pStyle w:val="TableText0"/>
              <w:jc w:val="center"/>
            </w:pPr>
            <w:r w:rsidRPr="006541F8">
              <w:t>63</w:t>
            </w:r>
          </w:p>
        </w:tc>
        <w:tc>
          <w:tcPr>
            <w:tcW w:w="442" w:type="pct"/>
            <w:tcBorders>
              <w:top w:val="single" w:sz="4" w:space="0" w:color="auto"/>
              <w:left w:val="single" w:sz="4" w:space="0" w:color="auto"/>
              <w:bottom w:val="single" w:sz="4" w:space="0" w:color="auto"/>
              <w:right w:val="single" w:sz="4" w:space="0" w:color="auto"/>
            </w:tcBorders>
            <w:vAlign w:val="center"/>
          </w:tcPr>
          <w:p w14:paraId="78BD64E0" w14:textId="06A06C53" w:rsidR="005C012A" w:rsidRPr="006541F8" w:rsidRDefault="00B26DC1" w:rsidP="005C012A">
            <w:pPr>
              <w:pStyle w:val="TableText0"/>
              <w:jc w:val="center"/>
            </w:pPr>
            <w:r w:rsidRPr="006541F8">
              <w:t>0.0</w:t>
            </w:r>
            <w:r w:rsidR="001171E8" w:rsidRPr="006541F8">
              <w:t>9</w:t>
            </w:r>
          </w:p>
        </w:tc>
      </w:tr>
      <w:tr w:rsidR="009D15AF" w:rsidRPr="009D15AF" w14:paraId="7E1F31B8" w14:textId="77777777" w:rsidTr="002652BF">
        <w:tc>
          <w:tcPr>
            <w:tcW w:w="1411" w:type="pct"/>
            <w:tcBorders>
              <w:top w:val="single" w:sz="4" w:space="0" w:color="auto"/>
              <w:left w:val="single" w:sz="4" w:space="0" w:color="auto"/>
              <w:bottom w:val="single" w:sz="4" w:space="0" w:color="auto"/>
              <w:right w:val="single" w:sz="4" w:space="0" w:color="auto"/>
            </w:tcBorders>
            <w:shd w:val="clear" w:color="auto" w:fill="auto"/>
          </w:tcPr>
          <w:p w14:paraId="666A526D" w14:textId="3F23C188" w:rsidR="005C012A" w:rsidRPr="002F1494" w:rsidRDefault="005C012A" w:rsidP="005C012A">
            <w:pPr>
              <w:pStyle w:val="TableText0"/>
            </w:pPr>
            <w:r w:rsidRPr="002F1494">
              <w:t>TEAE resulting in treatment discontinuation (all-causality)</w:t>
            </w:r>
          </w:p>
        </w:tc>
        <w:tc>
          <w:tcPr>
            <w:tcW w:w="787" w:type="pct"/>
            <w:gridSpan w:val="2"/>
            <w:tcBorders>
              <w:top w:val="single" w:sz="4" w:space="0" w:color="auto"/>
              <w:left w:val="single" w:sz="4" w:space="0" w:color="auto"/>
              <w:bottom w:val="single" w:sz="4" w:space="0" w:color="auto"/>
              <w:right w:val="single" w:sz="4" w:space="0" w:color="auto"/>
            </w:tcBorders>
            <w:vAlign w:val="center"/>
          </w:tcPr>
          <w:p w14:paraId="17E91F0E" w14:textId="67E92E41" w:rsidR="005C012A" w:rsidRPr="006541F8" w:rsidRDefault="005C012A" w:rsidP="002652BF">
            <w:pPr>
              <w:pStyle w:val="TableText0"/>
              <w:jc w:val="center"/>
            </w:pPr>
            <w:r w:rsidRPr="006541F8">
              <w:t>31/236</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65590E70" w14:textId="46396F0C" w:rsidR="005C012A" w:rsidRPr="006541F8" w:rsidRDefault="005C012A" w:rsidP="002652BF">
            <w:pPr>
              <w:pStyle w:val="TableText0"/>
              <w:jc w:val="center"/>
            </w:pPr>
            <w:r w:rsidRPr="006541F8">
              <w:t>10/233</w:t>
            </w:r>
          </w:p>
        </w:tc>
        <w:tc>
          <w:tcPr>
            <w:tcW w:w="392" w:type="pct"/>
            <w:tcBorders>
              <w:top w:val="single" w:sz="4" w:space="0" w:color="auto"/>
              <w:left w:val="single" w:sz="4" w:space="0" w:color="auto"/>
              <w:bottom w:val="single" w:sz="4" w:space="0" w:color="auto"/>
              <w:right w:val="single" w:sz="4" w:space="0" w:color="auto"/>
            </w:tcBorders>
            <w:vAlign w:val="center"/>
          </w:tcPr>
          <w:p w14:paraId="248BBAED" w14:textId="68AA7851" w:rsidR="005C012A" w:rsidRPr="006541F8" w:rsidRDefault="00B26DC1" w:rsidP="002652BF">
            <w:pPr>
              <w:pStyle w:val="TableText0"/>
              <w:jc w:val="center"/>
            </w:pPr>
            <w:r w:rsidRPr="006541F8">
              <w:t>3.0</w:t>
            </w:r>
            <w:r w:rsidR="001171E8" w:rsidRPr="006541F8">
              <w:t>6</w:t>
            </w:r>
          </w:p>
        </w:tc>
        <w:tc>
          <w:tcPr>
            <w:tcW w:w="709" w:type="pct"/>
            <w:tcBorders>
              <w:top w:val="single" w:sz="4" w:space="0" w:color="auto"/>
              <w:left w:val="single" w:sz="4" w:space="0" w:color="auto"/>
              <w:bottom w:val="single" w:sz="4" w:space="0" w:color="auto"/>
              <w:right w:val="single" w:sz="4" w:space="0" w:color="auto"/>
            </w:tcBorders>
            <w:vAlign w:val="center"/>
          </w:tcPr>
          <w:p w14:paraId="1F8EE094" w14:textId="4D3C329A" w:rsidR="005C012A" w:rsidRPr="006541F8" w:rsidRDefault="005C012A" w:rsidP="002652BF">
            <w:pPr>
              <w:pStyle w:val="TableText0"/>
              <w:jc w:val="center"/>
            </w:pPr>
            <w:r w:rsidRPr="006541F8">
              <w:t>13</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474A565F" w14:textId="55AC4768" w:rsidR="005C012A" w:rsidRPr="006541F8" w:rsidRDefault="005C012A" w:rsidP="002652BF">
            <w:pPr>
              <w:pStyle w:val="TableText0"/>
              <w:jc w:val="center"/>
            </w:pPr>
            <w:r w:rsidRPr="006541F8">
              <w:t>4</w:t>
            </w:r>
          </w:p>
        </w:tc>
        <w:tc>
          <w:tcPr>
            <w:tcW w:w="442" w:type="pct"/>
            <w:tcBorders>
              <w:top w:val="single" w:sz="4" w:space="0" w:color="auto"/>
              <w:left w:val="single" w:sz="4" w:space="0" w:color="auto"/>
              <w:bottom w:val="single" w:sz="4" w:space="0" w:color="auto"/>
              <w:right w:val="single" w:sz="4" w:space="0" w:color="auto"/>
            </w:tcBorders>
            <w:vAlign w:val="center"/>
          </w:tcPr>
          <w:p w14:paraId="09E054BB" w14:textId="3F19BEF6" w:rsidR="005C012A" w:rsidRPr="006541F8" w:rsidRDefault="00B26DC1" w:rsidP="002652BF">
            <w:pPr>
              <w:pStyle w:val="TableText0"/>
              <w:jc w:val="center"/>
            </w:pPr>
            <w:r w:rsidRPr="006541F8">
              <w:t>0.0</w:t>
            </w:r>
            <w:r w:rsidR="001171E8" w:rsidRPr="006541F8">
              <w:t>9</w:t>
            </w:r>
          </w:p>
        </w:tc>
      </w:tr>
      <w:tr w:rsidR="009D15AF" w:rsidRPr="009D15AF" w14:paraId="469DCFE8" w14:textId="77777777" w:rsidTr="00265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1" w:type="pct"/>
            <w:tcBorders>
              <w:top w:val="single" w:sz="4" w:space="0" w:color="auto"/>
              <w:left w:val="single" w:sz="4" w:space="0" w:color="auto"/>
              <w:bottom w:val="single" w:sz="4" w:space="0" w:color="auto"/>
              <w:right w:val="single" w:sz="4" w:space="0" w:color="auto"/>
            </w:tcBorders>
            <w:shd w:val="clear" w:color="auto" w:fill="auto"/>
          </w:tcPr>
          <w:p w14:paraId="498F7375" w14:textId="59C4479C" w:rsidR="005C012A" w:rsidRPr="002F1494" w:rsidRDefault="005C012A" w:rsidP="005C012A">
            <w:pPr>
              <w:pStyle w:val="TableText0"/>
            </w:pPr>
            <w:r w:rsidRPr="002F1494">
              <w:t>TEAE leading to death</w:t>
            </w:r>
          </w:p>
        </w:tc>
        <w:tc>
          <w:tcPr>
            <w:tcW w:w="787" w:type="pct"/>
            <w:gridSpan w:val="2"/>
            <w:tcBorders>
              <w:top w:val="single" w:sz="4" w:space="0" w:color="auto"/>
              <w:left w:val="single" w:sz="4" w:space="0" w:color="auto"/>
              <w:bottom w:val="single" w:sz="4" w:space="0" w:color="auto"/>
              <w:right w:val="single" w:sz="4" w:space="0" w:color="auto"/>
            </w:tcBorders>
          </w:tcPr>
          <w:p w14:paraId="1F4D285F" w14:textId="2615898C" w:rsidR="005C012A" w:rsidRPr="006541F8" w:rsidRDefault="005C012A" w:rsidP="005C012A">
            <w:pPr>
              <w:pStyle w:val="TableText0"/>
              <w:jc w:val="center"/>
            </w:pPr>
            <w:r w:rsidRPr="006541F8">
              <w:t>9/236</w:t>
            </w:r>
          </w:p>
        </w:tc>
        <w:tc>
          <w:tcPr>
            <w:tcW w:w="629" w:type="pct"/>
            <w:gridSpan w:val="2"/>
            <w:tcBorders>
              <w:top w:val="single" w:sz="4" w:space="0" w:color="auto"/>
              <w:left w:val="single" w:sz="4" w:space="0" w:color="auto"/>
              <w:bottom w:val="single" w:sz="4" w:space="0" w:color="auto"/>
              <w:right w:val="single" w:sz="4" w:space="0" w:color="auto"/>
            </w:tcBorders>
          </w:tcPr>
          <w:p w14:paraId="6E128852" w14:textId="782A7926" w:rsidR="005C012A" w:rsidRPr="006541F8" w:rsidRDefault="005C012A" w:rsidP="005C012A">
            <w:pPr>
              <w:pStyle w:val="TableText0"/>
              <w:jc w:val="center"/>
            </w:pPr>
            <w:r w:rsidRPr="006541F8">
              <w:t>4/233</w:t>
            </w:r>
          </w:p>
        </w:tc>
        <w:tc>
          <w:tcPr>
            <w:tcW w:w="392" w:type="pct"/>
            <w:tcBorders>
              <w:top w:val="single" w:sz="4" w:space="0" w:color="auto"/>
              <w:left w:val="single" w:sz="4" w:space="0" w:color="auto"/>
              <w:bottom w:val="single" w:sz="4" w:space="0" w:color="auto"/>
              <w:right w:val="single" w:sz="4" w:space="0" w:color="auto"/>
            </w:tcBorders>
            <w:vAlign w:val="center"/>
          </w:tcPr>
          <w:p w14:paraId="58049A63" w14:textId="2CBBE110" w:rsidR="005C012A" w:rsidRPr="006541F8" w:rsidRDefault="00B26DC1" w:rsidP="005C012A">
            <w:pPr>
              <w:pStyle w:val="TableText0"/>
              <w:jc w:val="center"/>
            </w:pPr>
            <w:r w:rsidRPr="006541F8">
              <w:t>2.2</w:t>
            </w:r>
            <w:r w:rsidR="001171E8" w:rsidRPr="006541F8">
              <w:t>2</w:t>
            </w:r>
          </w:p>
        </w:tc>
        <w:tc>
          <w:tcPr>
            <w:tcW w:w="709" w:type="pct"/>
            <w:tcBorders>
              <w:top w:val="single" w:sz="4" w:space="0" w:color="auto"/>
              <w:left w:val="single" w:sz="4" w:space="0" w:color="auto"/>
              <w:bottom w:val="single" w:sz="4" w:space="0" w:color="auto"/>
              <w:right w:val="single" w:sz="4" w:space="0" w:color="auto"/>
            </w:tcBorders>
            <w:vAlign w:val="center"/>
          </w:tcPr>
          <w:p w14:paraId="43A3B7AF" w14:textId="196E2546" w:rsidR="005C012A" w:rsidRPr="006541F8" w:rsidRDefault="005C012A" w:rsidP="005C012A">
            <w:pPr>
              <w:pStyle w:val="TableText0"/>
              <w:jc w:val="center"/>
            </w:pPr>
            <w:r w:rsidRPr="006541F8">
              <w:t>4</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7ACA87BE" w14:textId="43915749" w:rsidR="005C012A" w:rsidRPr="006541F8" w:rsidRDefault="005C012A" w:rsidP="005C012A">
            <w:pPr>
              <w:pStyle w:val="TableText0"/>
              <w:jc w:val="center"/>
            </w:pPr>
            <w:r w:rsidRPr="006541F8">
              <w:t>2</w:t>
            </w:r>
          </w:p>
        </w:tc>
        <w:tc>
          <w:tcPr>
            <w:tcW w:w="442" w:type="pct"/>
            <w:tcBorders>
              <w:top w:val="single" w:sz="4" w:space="0" w:color="auto"/>
              <w:left w:val="single" w:sz="4" w:space="0" w:color="auto"/>
              <w:bottom w:val="single" w:sz="4" w:space="0" w:color="auto"/>
              <w:right w:val="single" w:sz="4" w:space="0" w:color="auto"/>
            </w:tcBorders>
            <w:vAlign w:val="center"/>
          </w:tcPr>
          <w:p w14:paraId="46C675B1" w14:textId="6676A6AA" w:rsidR="005C012A" w:rsidRPr="006541F8" w:rsidRDefault="00B26DC1" w:rsidP="005C012A">
            <w:pPr>
              <w:pStyle w:val="TableText0"/>
              <w:jc w:val="center"/>
            </w:pPr>
            <w:r w:rsidRPr="006541F8">
              <w:t>0.0</w:t>
            </w:r>
            <w:r w:rsidR="001171E8" w:rsidRPr="006541F8">
              <w:t>2</w:t>
            </w:r>
          </w:p>
        </w:tc>
      </w:tr>
      <w:tr w:rsidR="009D15AF" w:rsidRPr="009D15AF" w14:paraId="4887D83F" w14:textId="77777777" w:rsidTr="002652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1" w:type="pct"/>
            <w:tcBorders>
              <w:top w:val="single" w:sz="4" w:space="0" w:color="auto"/>
              <w:left w:val="single" w:sz="4" w:space="0" w:color="auto"/>
              <w:bottom w:val="single" w:sz="4" w:space="0" w:color="auto"/>
              <w:right w:val="single" w:sz="4" w:space="0" w:color="auto"/>
            </w:tcBorders>
            <w:shd w:val="clear" w:color="auto" w:fill="auto"/>
          </w:tcPr>
          <w:p w14:paraId="3527C916" w14:textId="6CED7639" w:rsidR="00B3256F" w:rsidRPr="002F1494" w:rsidRDefault="00B3256F" w:rsidP="00B3256F">
            <w:pPr>
              <w:pStyle w:val="TableText0"/>
            </w:pPr>
            <w:r w:rsidRPr="002F1494">
              <w:t>Any haematologic adverse event</w:t>
            </w:r>
          </w:p>
        </w:tc>
        <w:tc>
          <w:tcPr>
            <w:tcW w:w="787" w:type="pct"/>
            <w:gridSpan w:val="2"/>
            <w:tcBorders>
              <w:top w:val="single" w:sz="4" w:space="0" w:color="auto"/>
              <w:left w:val="single" w:sz="4" w:space="0" w:color="auto"/>
              <w:bottom w:val="single" w:sz="4" w:space="0" w:color="auto"/>
              <w:right w:val="single" w:sz="4" w:space="0" w:color="auto"/>
            </w:tcBorders>
          </w:tcPr>
          <w:p w14:paraId="525A1421" w14:textId="475ACAB5" w:rsidR="00B3256F" w:rsidRPr="006541F8" w:rsidRDefault="00B3256F" w:rsidP="00B3256F">
            <w:pPr>
              <w:pStyle w:val="TableText0"/>
              <w:jc w:val="center"/>
            </w:pPr>
            <w:r w:rsidRPr="006541F8">
              <w:t>155/236</w:t>
            </w:r>
          </w:p>
        </w:tc>
        <w:tc>
          <w:tcPr>
            <w:tcW w:w="629" w:type="pct"/>
            <w:gridSpan w:val="2"/>
            <w:tcBorders>
              <w:top w:val="single" w:sz="4" w:space="0" w:color="auto"/>
              <w:left w:val="single" w:sz="4" w:space="0" w:color="auto"/>
              <w:bottom w:val="single" w:sz="4" w:space="0" w:color="auto"/>
              <w:right w:val="single" w:sz="4" w:space="0" w:color="auto"/>
            </w:tcBorders>
          </w:tcPr>
          <w:p w14:paraId="64C3063C" w14:textId="315FEB0E" w:rsidR="00B3256F" w:rsidRPr="006541F8" w:rsidRDefault="00B3256F" w:rsidP="00B3256F">
            <w:pPr>
              <w:pStyle w:val="TableText0"/>
              <w:jc w:val="center"/>
            </w:pPr>
            <w:r w:rsidRPr="006541F8">
              <w:t xml:space="preserve">110/233 </w:t>
            </w:r>
          </w:p>
        </w:tc>
        <w:tc>
          <w:tcPr>
            <w:tcW w:w="392" w:type="pct"/>
            <w:tcBorders>
              <w:top w:val="single" w:sz="4" w:space="0" w:color="auto"/>
              <w:left w:val="single" w:sz="4" w:space="0" w:color="auto"/>
              <w:bottom w:val="single" w:sz="4" w:space="0" w:color="auto"/>
              <w:right w:val="single" w:sz="4" w:space="0" w:color="auto"/>
            </w:tcBorders>
            <w:vAlign w:val="center"/>
          </w:tcPr>
          <w:p w14:paraId="28D31A3E" w14:textId="1364FF37" w:rsidR="00B3256F" w:rsidRPr="006541F8" w:rsidRDefault="00B26DC1" w:rsidP="00B3256F">
            <w:pPr>
              <w:pStyle w:val="TableText0"/>
              <w:jc w:val="center"/>
            </w:pPr>
            <w:r w:rsidRPr="006541F8">
              <w:t>1.</w:t>
            </w:r>
            <w:r w:rsidR="001171E8" w:rsidRPr="006541F8">
              <w:t>39</w:t>
            </w:r>
          </w:p>
        </w:tc>
        <w:tc>
          <w:tcPr>
            <w:tcW w:w="709" w:type="pct"/>
            <w:tcBorders>
              <w:top w:val="single" w:sz="4" w:space="0" w:color="auto"/>
              <w:left w:val="single" w:sz="4" w:space="0" w:color="auto"/>
              <w:bottom w:val="single" w:sz="4" w:space="0" w:color="auto"/>
              <w:right w:val="single" w:sz="4" w:space="0" w:color="auto"/>
            </w:tcBorders>
            <w:vAlign w:val="center"/>
          </w:tcPr>
          <w:p w14:paraId="45A28C52" w14:textId="2C7FD911" w:rsidR="00B3256F" w:rsidRPr="006541F8" w:rsidRDefault="00B3256F" w:rsidP="00B3256F">
            <w:pPr>
              <w:pStyle w:val="TableText0"/>
              <w:jc w:val="center"/>
            </w:pPr>
            <w:r w:rsidRPr="006541F8">
              <w:t>66</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07EE10CA" w14:textId="736879BC" w:rsidR="00B3256F" w:rsidRPr="006541F8" w:rsidRDefault="00B3256F" w:rsidP="00B3256F">
            <w:pPr>
              <w:pStyle w:val="TableText0"/>
              <w:jc w:val="center"/>
            </w:pPr>
            <w:r w:rsidRPr="006541F8">
              <w:t>47</w:t>
            </w:r>
          </w:p>
        </w:tc>
        <w:tc>
          <w:tcPr>
            <w:tcW w:w="442" w:type="pct"/>
            <w:tcBorders>
              <w:top w:val="single" w:sz="4" w:space="0" w:color="auto"/>
              <w:left w:val="single" w:sz="4" w:space="0" w:color="auto"/>
              <w:bottom w:val="single" w:sz="4" w:space="0" w:color="auto"/>
              <w:right w:val="single" w:sz="4" w:space="0" w:color="auto"/>
            </w:tcBorders>
            <w:vAlign w:val="center"/>
          </w:tcPr>
          <w:p w14:paraId="5306D78B" w14:textId="1AB88B0A" w:rsidR="00B3256F" w:rsidRPr="006541F8" w:rsidRDefault="00B26DC1" w:rsidP="00B3256F">
            <w:pPr>
              <w:pStyle w:val="TableText0"/>
              <w:jc w:val="center"/>
            </w:pPr>
            <w:r w:rsidRPr="006541F8">
              <w:t>0.</w:t>
            </w:r>
            <w:r w:rsidR="001171E8" w:rsidRPr="006541F8">
              <w:t>19</w:t>
            </w:r>
          </w:p>
        </w:tc>
      </w:tr>
    </w:tbl>
    <w:bookmarkEnd w:id="47"/>
    <w:bookmarkEnd w:id="48"/>
    <w:p w14:paraId="6E2286D0" w14:textId="61942566" w:rsidR="00620C25" w:rsidRPr="009D15AF" w:rsidRDefault="00620C25" w:rsidP="00620C25">
      <w:pPr>
        <w:pStyle w:val="TableFigureFooter"/>
        <w:rPr>
          <w:sz w:val="20"/>
        </w:rPr>
      </w:pPr>
      <w:r w:rsidRPr="009D15AF">
        <w:t xml:space="preserve">Source: </w:t>
      </w:r>
      <w:r w:rsidR="00AF3522" w:rsidRPr="009D15AF">
        <w:t>Table 42, p67</w:t>
      </w:r>
      <w:r w:rsidR="00B3256F" w:rsidRPr="009D15AF">
        <w:t xml:space="preserve">; </w:t>
      </w:r>
      <w:r w:rsidR="00AF3522" w:rsidRPr="009D15AF">
        <w:t>Table 45, p71</w:t>
      </w:r>
      <w:r w:rsidR="00B3256F" w:rsidRPr="009D15AF">
        <w:t xml:space="preserve">; Table 52, p79 </w:t>
      </w:r>
      <w:r w:rsidR="00AF3522" w:rsidRPr="009D15AF">
        <w:t>of the submission</w:t>
      </w:r>
      <w:r w:rsidR="00E5131A">
        <w:t>;</w:t>
      </w:r>
      <w:r w:rsidR="00AF3522" w:rsidRPr="009D15AF">
        <w:t xml:space="preserve"> </w:t>
      </w:r>
      <w:r w:rsidR="000270A2" w:rsidRPr="009D15AF">
        <w:t>Table 15, p93 and Table 19, p103 of QUAZAR Clinical Study Report</w:t>
      </w:r>
      <w:r w:rsidR="00AF3522" w:rsidRPr="009D15AF">
        <w:t xml:space="preserve"> of the submission</w:t>
      </w:r>
      <w:r w:rsidRPr="009D15AF">
        <w:t>.</w:t>
      </w:r>
    </w:p>
    <w:p w14:paraId="67D9843F" w14:textId="505975F0" w:rsidR="00620C25" w:rsidRPr="009D15AF" w:rsidRDefault="00B3256F" w:rsidP="00620C25">
      <w:pPr>
        <w:pStyle w:val="TableFigureFooter"/>
      </w:pPr>
      <w:r w:rsidRPr="009D15AF">
        <w:t xml:space="preserve">Abbreviations: </w:t>
      </w:r>
      <w:r w:rsidR="009B5D5E">
        <w:t xml:space="preserve">BSC = best supportive care; </w:t>
      </w:r>
      <w:r w:rsidRPr="009D15AF">
        <w:t xml:space="preserve">CI = confidence interval; HR = hazard ratio; </w:t>
      </w:r>
      <w:r w:rsidR="005A0D4F" w:rsidRPr="009D15AF">
        <w:rPr>
          <w:rFonts w:eastAsia="Calibri"/>
        </w:rPr>
        <w:t>n = number of participants reporting data; N = total participants in group</w:t>
      </w:r>
      <w:r w:rsidR="005A0D4F" w:rsidRPr="009D15AF">
        <w:t xml:space="preserve">; </w:t>
      </w:r>
      <w:r w:rsidRPr="009D15AF">
        <w:t xml:space="preserve">NR = not reported; </w:t>
      </w:r>
      <w:r w:rsidR="005A0D4F" w:rsidRPr="009D15AF">
        <w:t xml:space="preserve">OS = overall survival; </w:t>
      </w:r>
      <w:r w:rsidR="00620C25" w:rsidRPr="009D15AF">
        <w:t xml:space="preserve">RD = risk difference; </w:t>
      </w:r>
      <w:r w:rsidR="005A0D4F" w:rsidRPr="009D15AF">
        <w:t>RFS = relapse</w:t>
      </w:r>
      <w:r w:rsidR="00B5657E">
        <w:t>-</w:t>
      </w:r>
      <w:r w:rsidR="005A0D4F" w:rsidRPr="009D15AF">
        <w:t xml:space="preserve">free survival; </w:t>
      </w:r>
      <w:r w:rsidR="00620C25" w:rsidRPr="009D15AF">
        <w:t>RR = risk ratio</w:t>
      </w:r>
      <w:r w:rsidRPr="009D15AF">
        <w:t xml:space="preserve">; </w:t>
      </w:r>
      <w:r w:rsidRPr="009D15AF">
        <w:rPr>
          <w:rFonts w:eastAsia="Calibri"/>
        </w:rPr>
        <w:t>TEAEs = treatment emergent adverse events</w:t>
      </w:r>
    </w:p>
    <w:p w14:paraId="38A9036E" w14:textId="4558A496" w:rsidR="003D4A30" w:rsidRDefault="00AF3522" w:rsidP="005A0D4F">
      <w:pPr>
        <w:pStyle w:val="TableFigureFooter"/>
      </w:pPr>
      <w:r>
        <w:t>Bold indicates statistically significant</w:t>
      </w:r>
      <w:r w:rsidR="005A0D4F">
        <w:t>.</w:t>
      </w:r>
    </w:p>
    <w:p w14:paraId="56A22B9E" w14:textId="299B4F21" w:rsidR="002441D2" w:rsidRDefault="002441D2" w:rsidP="00E9094A">
      <w:pPr>
        <w:pStyle w:val="3-BodyText"/>
      </w:pPr>
      <w:r>
        <w:t xml:space="preserve">On the basis of </w:t>
      </w:r>
      <w:r w:rsidR="005A0D4F">
        <w:t>the direct</w:t>
      </w:r>
      <w:r>
        <w:t xml:space="preserve"> evidence presented </w:t>
      </w:r>
      <w:r w:rsidR="005A0D4F">
        <w:t xml:space="preserve">in QUAZAR at the primary analysis (July 2019 data cut-off), </w:t>
      </w:r>
      <w:r>
        <w:t xml:space="preserve">for every 100 patients treated with </w:t>
      </w:r>
      <w:r w:rsidR="005A0D4F">
        <w:t>oral azacitidine</w:t>
      </w:r>
      <w:r>
        <w:t xml:space="preserve"> in comparison </w:t>
      </w:r>
      <w:r w:rsidR="006D68FB">
        <w:t>with</w:t>
      </w:r>
      <w:r>
        <w:t xml:space="preserve"> </w:t>
      </w:r>
      <w:r w:rsidR="009B5D5E">
        <w:t>BSC</w:t>
      </w:r>
      <w:r>
        <w:t>:</w:t>
      </w:r>
    </w:p>
    <w:p w14:paraId="3DC754A2" w14:textId="3011D461" w:rsidR="00184B0E" w:rsidRPr="007F034A" w:rsidRDefault="002441D2" w:rsidP="002652BF">
      <w:pPr>
        <w:pStyle w:val="ListParagraph"/>
        <w:spacing w:after="0"/>
        <w:ind w:left="1077" w:hanging="357"/>
        <w:rPr>
          <w:iCs/>
        </w:rPr>
      </w:pPr>
      <w:r w:rsidRPr="007F034A">
        <w:rPr>
          <w:iCs/>
        </w:rPr>
        <w:t>Approximately 1</w:t>
      </w:r>
      <w:r w:rsidR="005A0D4F" w:rsidRPr="007F034A">
        <w:rPr>
          <w:iCs/>
        </w:rPr>
        <w:t xml:space="preserve">0 fewer </w:t>
      </w:r>
      <w:r w:rsidRPr="007F034A">
        <w:rPr>
          <w:iCs/>
        </w:rPr>
        <w:t xml:space="preserve">patients </w:t>
      </w:r>
      <w:r w:rsidR="005A0D4F" w:rsidRPr="007F034A">
        <w:rPr>
          <w:iCs/>
        </w:rPr>
        <w:t xml:space="preserve">would have relapsed at 2 years. </w:t>
      </w:r>
    </w:p>
    <w:p w14:paraId="342856C1" w14:textId="14418998" w:rsidR="007F0CD7" w:rsidRPr="007F034A" w:rsidRDefault="005A0D4F" w:rsidP="002652BF">
      <w:pPr>
        <w:pStyle w:val="ListParagraph"/>
        <w:spacing w:after="0"/>
        <w:ind w:left="1077" w:hanging="357"/>
        <w:rPr>
          <w:iCs/>
        </w:rPr>
      </w:pPr>
      <w:r w:rsidRPr="007F034A">
        <w:rPr>
          <w:iCs/>
        </w:rPr>
        <w:t>Approximately 14 fewer patients would have died at 2 years.</w:t>
      </w:r>
      <w:r w:rsidR="007F0CD7" w:rsidRPr="007F034A">
        <w:rPr>
          <w:iCs/>
        </w:rPr>
        <w:t xml:space="preserve"> </w:t>
      </w:r>
    </w:p>
    <w:p w14:paraId="24E9BA49" w14:textId="31483C2D" w:rsidR="002652BF" w:rsidRPr="007F034A" w:rsidRDefault="002652BF" w:rsidP="002652BF">
      <w:pPr>
        <w:pStyle w:val="ListParagraph"/>
        <w:ind w:left="1077" w:hanging="357"/>
        <w:rPr>
          <w:iCs/>
        </w:rPr>
      </w:pPr>
      <w:r w:rsidRPr="007F034A">
        <w:rPr>
          <w:iCs/>
        </w:rPr>
        <w:t>Approximately 19 additional patients would experience a haematologic adverse events over a median duration of treatment of 40.2 months.</w:t>
      </w:r>
    </w:p>
    <w:p w14:paraId="54271DE1" w14:textId="77777777" w:rsidR="003C6039" w:rsidRPr="001C7F75" w:rsidRDefault="003C6039" w:rsidP="003C6039">
      <w:pPr>
        <w:pStyle w:val="4-SubsectionHeading"/>
      </w:pPr>
      <w:bookmarkStart w:id="50" w:name="_Toc22897644"/>
      <w:bookmarkStart w:id="51" w:name="_Toc103244683"/>
      <w:bookmarkStart w:id="52" w:name="_Toc22897645"/>
      <w:bookmarkStart w:id="53" w:name="_Toc103244684"/>
      <w:bookmarkStart w:id="54" w:name="_Toc22897650"/>
      <w:r w:rsidRPr="00C9624D">
        <w:t>Clinical claim</w:t>
      </w:r>
      <w:bookmarkEnd w:id="50"/>
      <w:bookmarkEnd w:id="51"/>
    </w:p>
    <w:p w14:paraId="7BB22C42" w14:textId="77777777" w:rsidR="003C6039" w:rsidRPr="0010205E" w:rsidRDefault="003C6039" w:rsidP="003C6039">
      <w:pPr>
        <w:pStyle w:val="3-BodyText"/>
        <w:rPr>
          <w:rFonts w:eastAsia="Calibri"/>
        </w:rPr>
      </w:pPr>
      <w:r w:rsidRPr="0010205E">
        <w:rPr>
          <w:rFonts w:eastAsia="Calibri"/>
        </w:rPr>
        <w:t>On the basis of the direct evidence from the QUAZAR trial, the submission claimed that oral azacitidine was superior in terms of effectiveness and inferior in terms of safety compared with BSC. The clinical claim of effectiveness was based on OS, and the clinical claim of safety was based on comparison of all TEAEs, frequently reported TEAEs (any Grade and Grade 3-4) and haematologic adverse events.</w:t>
      </w:r>
    </w:p>
    <w:p w14:paraId="7D58D2EA" w14:textId="77777777" w:rsidR="003C6039" w:rsidRPr="0010205E" w:rsidRDefault="003C6039" w:rsidP="003C6039">
      <w:pPr>
        <w:pStyle w:val="3-BodyText"/>
        <w:rPr>
          <w:rFonts w:eastAsia="Calibri"/>
        </w:rPr>
      </w:pPr>
      <w:r w:rsidRPr="0010205E">
        <w:rPr>
          <w:rFonts w:eastAsia="Calibri"/>
        </w:rPr>
        <w:t xml:space="preserve">The ESC considered that the clinical claims were supported by the results presented in the submission, noting that: </w:t>
      </w:r>
    </w:p>
    <w:p w14:paraId="53A04D6C" w14:textId="77777777" w:rsidR="003C6039" w:rsidRPr="0010205E" w:rsidRDefault="003C6039" w:rsidP="003C6039">
      <w:pPr>
        <w:pStyle w:val="3-BodyText"/>
        <w:numPr>
          <w:ilvl w:val="0"/>
          <w:numId w:val="8"/>
        </w:numPr>
        <w:spacing w:after="0"/>
        <w:ind w:left="1077" w:hanging="357"/>
        <w:rPr>
          <w:rFonts w:eastAsia="Calibri"/>
        </w:rPr>
      </w:pPr>
      <w:r w:rsidRPr="0010205E">
        <w:rPr>
          <w:rFonts w:eastAsia="Calibri"/>
        </w:rPr>
        <w:lastRenderedPageBreak/>
        <w:t xml:space="preserve">In terms of clinical effectiveness there was a statistically significant improvement in OS for the oral azacitidine arm compared to the BSC arm (HR = 0.69; 95% CI: 0.56, 0.86 at 51.7 months median follow-up). </w:t>
      </w:r>
    </w:p>
    <w:p w14:paraId="47C71029" w14:textId="77777777" w:rsidR="003C6039" w:rsidRDefault="003C6039" w:rsidP="00BC1195">
      <w:pPr>
        <w:pStyle w:val="3-BodyText"/>
        <w:numPr>
          <w:ilvl w:val="0"/>
          <w:numId w:val="8"/>
        </w:numPr>
        <w:ind w:left="1077" w:hanging="357"/>
        <w:rPr>
          <w:rFonts w:eastAsia="Calibri"/>
        </w:rPr>
      </w:pPr>
      <w:r w:rsidRPr="0010205E">
        <w:rPr>
          <w:rFonts w:eastAsia="Calibri"/>
        </w:rPr>
        <w:t xml:space="preserve">In terms of safety, TEAEs resulting in treatment discontinuation, a considerable number of individual TEAEs (any Grade: nausea, vomiting, diarrhoea, neutropenia, constipation, fatigue, asthenia, abdominal pain, decreased appetite and pain in extremity; Grade 3-4: neutropenia) and all haematologic TEAEs were reported more frequently in the oral azacitidine arm than in the BSC arm.  </w:t>
      </w:r>
    </w:p>
    <w:bookmarkEnd w:id="52"/>
    <w:bookmarkEnd w:id="53"/>
    <w:p w14:paraId="294E7B88" w14:textId="7B952BEA" w:rsidR="00BC1195" w:rsidRDefault="00BC1195" w:rsidP="009A2CD1">
      <w:pPr>
        <w:pStyle w:val="3-BodyText"/>
        <w:rPr>
          <w:lang w:val="en-US"/>
        </w:rPr>
      </w:pPr>
      <w:r>
        <w:rPr>
          <w:lang w:val="en-US"/>
        </w:rPr>
        <w:t>The PBAC considered that the claim that oral azacitidine was superior in terms of comparative effectiveness and inferior in terms of comparative safety compared to BSC was reasonable.</w:t>
      </w:r>
    </w:p>
    <w:p w14:paraId="58E6BC48" w14:textId="77777777" w:rsidR="00BC1195" w:rsidRPr="00C9624D" w:rsidRDefault="00BC1195" w:rsidP="00BC1195">
      <w:pPr>
        <w:pStyle w:val="4-SubsectionHeading"/>
      </w:pPr>
      <w:r w:rsidRPr="00C9624D">
        <w:t xml:space="preserve">Economic analysis </w:t>
      </w:r>
    </w:p>
    <w:p w14:paraId="31CF523C" w14:textId="10878416" w:rsidR="00F665F3" w:rsidRDefault="00AC36A2" w:rsidP="009A2CD1">
      <w:pPr>
        <w:pStyle w:val="3-BodyText"/>
        <w:rPr>
          <w:lang w:val="en-US"/>
        </w:rPr>
      </w:pPr>
      <w:r w:rsidRPr="008F05D8">
        <w:rPr>
          <w:lang w:val="en-US"/>
        </w:rPr>
        <w:t xml:space="preserve">The economic </w:t>
      </w:r>
      <w:r w:rsidRPr="00A511A4">
        <w:rPr>
          <w:lang w:val="en-US"/>
        </w:rPr>
        <w:t xml:space="preserve">evaluation presented was a cost-utility analysis. Health benefits were reported as RFS years gained, life years (LYs) gained, and quality adjusted life years (QALYs) gained. The key </w:t>
      </w:r>
      <w:r w:rsidR="00A77851">
        <w:rPr>
          <w:lang w:val="en-US"/>
        </w:rPr>
        <w:t>aspects of</w:t>
      </w:r>
      <w:r w:rsidRPr="00A511A4">
        <w:rPr>
          <w:lang w:val="en-US"/>
        </w:rPr>
        <w:t xml:space="preserve"> the economic evaluation are summari</w:t>
      </w:r>
      <w:r w:rsidR="002A67C2">
        <w:rPr>
          <w:lang w:val="en-US"/>
        </w:rPr>
        <w:t>s</w:t>
      </w:r>
      <w:r w:rsidRPr="00A511A4">
        <w:rPr>
          <w:lang w:val="en-US"/>
        </w:rPr>
        <w:t xml:space="preserve">ed </w:t>
      </w:r>
      <w:r w:rsidRPr="00A511A4">
        <w:rPr>
          <w:rFonts w:cstheme="minorHAnsi"/>
          <w:lang w:val="en-US"/>
        </w:rPr>
        <w:t xml:space="preserve">in </w:t>
      </w:r>
      <w:r w:rsidRPr="00A511A4">
        <w:rPr>
          <w:rFonts w:cstheme="minorHAnsi"/>
          <w:lang w:val="en-US"/>
        </w:rPr>
        <w:fldChar w:fldCharType="begin" w:fldLock="1"/>
      </w:r>
      <w:r w:rsidRPr="00A511A4">
        <w:rPr>
          <w:rFonts w:cstheme="minorHAnsi"/>
          <w:lang w:val="en-US"/>
        </w:rPr>
        <w:instrText xml:space="preserve"> REF _Ref100772965 \h  \* MERGEFORMAT </w:instrText>
      </w:r>
      <w:r w:rsidRPr="00A511A4">
        <w:rPr>
          <w:rFonts w:cstheme="minorHAnsi"/>
          <w:lang w:val="en-US"/>
        </w:rPr>
      </w:r>
      <w:r w:rsidRPr="00A511A4">
        <w:rPr>
          <w:rFonts w:cstheme="minorHAnsi"/>
          <w:lang w:val="en-US"/>
        </w:rPr>
        <w:fldChar w:fldCharType="separate"/>
      </w:r>
      <w:r w:rsidR="00602E88" w:rsidRPr="00602E88">
        <w:rPr>
          <w:rFonts w:cstheme="minorHAnsi"/>
        </w:rPr>
        <w:t>Table</w:t>
      </w:r>
      <w:r w:rsidR="00EF2979">
        <w:rPr>
          <w:rFonts w:cstheme="minorHAnsi"/>
        </w:rPr>
        <w:t> </w:t>
      </w:r>
      <w:r w:rsidR="00602E88" w:rsidRPr="00602E88">
        <w:rPr>
          <w:rFonts w:cstheme="minorHAnsi"/>
          <w:noProof/>
        </w:rPr>
        <w:t>11</w:t>
      </w:r>
      <w:r w:rsidRPr="00A511A4">
        <w:rPr>
          <w:rFonts w:cstheme="minorHAnsi"/>
          <w:lang w:val="en-US"/>
        </w:rPr>
        <w:fldChar w:fldCharType="end"/>
      </w:r>
      <w:r w:rsidRPr="00A511A4">
        <w:rPr>
          <w:lang w:val="en-US"/>
        </w:rPr>
        <w:t>.</w:t>
      </w:r>
    </w:p>
    <w:p w14:paraId="3C679826" w14:textId="77777777" w:rsidR="00F665F3" w:rsidRDefault="00F665F3">
      <w:pPr>
        <w:jc w:val="left"/>
        <w:rPr>
          <w:rFonts w:asciiTheme="minorHAnsi" w:hAnsiTheme="minorHAnsi"/>
          <w:snapToGrid w:val="0"/>
          <w:lang w:val="en-US"/>
        </w:rPr>
      </w:pPr>
      <w:r>
        <w:rPr>
          <w:lang w:val="en-US"/>
        </w:rPr>
        <w:br w:type="page"/>
      </w:r>
    </w:p>
    <w:p w14:paraId="46D0BEE8" w14:textId="547A1518" w:rsidR="00B4284F" w:rsidRPr="00694B06" w:rsidRDefault="00B4284F" w:rsidP="00B4284F">
      <w:pPr>
        <w:pStyle w:val="Caption"/>
        <w:keepNext/>
        <w:keepLines/>
        <w:spacing w:after="0"/>
        <w:rPr>
          <w:rFonts w:ascii="Arial Narrow" w:hAnsi="Arial Narrow"/>
          <w:color w:val="auto"/>
          <w:sz w:val="20"/>
          <w:szCs w:val="20"/>
        </w:rPr>
      </w:pPr>
      <w:bookmarkStart w:id="55" w:name="_Ref100772965"/>
      <w:r w:rsidRPr="00694B06">
        <w:rPr>
          <w:rFonts w:ascii="Arial Narrow" w:hAnsi="Arial Narrow"/>
          <w:color w:val="auto"/>
          <w:sz w:val="20"/>
          <w:szCs w:val="20"/>
        </w:rPr>
        <w:t xml:space="preserve">Table </w:t>
      </w:r>
      <w:r>
        <w:rPr>
          <w:rFonts w:ascii="Arial Narrow" w:hAnsi="Arial Narrow"/>
          <w:color w:val="auto"/>
          <w:sz w:val="20"/>
          <w:szCs w:val="20"/>
        </w:rPr>
        <w:fldChar w:fldCharType="begin" w:fldLock="1"/>
      </w:r>
      <w:r>
        <w:rPr>
          <w:rFonts w:ascii="Arial Narrow" w:hAnsi="Arial Narrow"/>
          <w:color w:val="auto"/>
          <w:sz w:val="20"/>
          <w:szCs w:val="20"/>
        </w:rPr>
        <w:instrText xml:space="preserve"> SEQ Table \* ARABIC \s 1 </w:instrText>
      </w:r>
      <w:r>
        <w:rPr>
          <w:rFonts w:ascii="Arial Narrow" w:hAnsi="Arial Narrow"/>
          <w:color w:val="auto"/>
          <w:sz w:val="20"/>
          <w:szCs w:val="20"/>
        </w:rPr>
        <w:fldChar w:fldCharType="separate"/>
      </w:r>
      <w:r w:rsidR="00602E88">
        <w:rPr>
          <w:rFonts w:ascii="Arial Narrow" w:hAnsi="Arial Narrow"/>
          <w:noProof/>
          <w:color w:val="auto"/>
          <w:sz w:val="20"/>
          <w:szCs w:val="20"/>
        </w:rPr>
        <w:t>11</w:t>
      </w:r>
      <w:r>
        <w:rPr>
          <w:rFonts w:ascii="Arial Narrow" w:hAnsi="Arial Narrow"/>
          <w:color w:val="auto"/>
          <w:sz w:val="20"/>
          <w:szCs w:val="20"/>
        </w:rPr>
        <w:fldChar w:fldCharType="end"/>
      </w:r>
      <w:bookmarkEnd w:id="55"/>
      <w:r w:rsidRPr="00694B06">
        <w:rPr>
          <w:rFonts w:ascii="Arial Narrow" w:hAnsi="Arial Narrow"/>
          <w:color w:val="auto"/>
          <w:sz w:val="20"/>
          <w:szCs w:val="20"/>
        </w:rPr>
        <w:t>: Summary of model structure, key inputs and rationale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1: Summary of model structure, key inputs and rationale"/>
      </w:tblPr>
      <w:tblGrid>
        <w:gridCol w:w="1695"/>
        <w:gridCol w:w="7322"/>
      </w:tblGrid>
      <w:tr w:rsidR="00AC36A2" w:rsidRPr="00705787" w14:paraId="7979A14F" w14:textId="77777777" w:rsidTr="00E85546">
        <w:trPr>
          <w:cantSplit/>
          <w:tblHeader/>
        </w:trPr>
        <w:tc>
          <w:tcPr>
            <w:tcW w:w="940" w:type="pct"/>
            <w:shd w:val="clear" w:color="auto" w:fill="auto"/>
            <w:vAlign w:val="center"/>
          </w:tcPr>
          <w:p w14:paraId="08BD227C" w14:textId="77777777" w:rsidR="00AC36A2" w:rsidRPr="00705787" w:rsidRDefault="00AC36A2" w:rsidP="00F665F3">
            <w:pPr>
              <w:pStyle w:val="In-tableHeading"/>
              <w:keepLines/>
              <w:rPr>
                <w:szCs w:val="20"/>
              </w:rPr>
            </w:pPr>
            <w:r w:rsidRPr="00705787">
              <w:rPr>
                <w:szCs w:val="20"/>
              </w:rPr>
              <w:t>Component</w:t>
            </w:r>
          </w:p>
        </w:tc>
        <w:tc>
          <w:tcPr>
            <w:tcW w:w="4060" w:type="pct"/>
            <w:shd w:val="clear" w:color="auto" w:fill="auto"/>
            <w:vAlign w:val="center"/>
          </w:tcPr>
          <w:p w14:paraId="5AE0B481" w14:textId="77777777" w:rsidR="00AC36A2" w:rsidRPr="00705787" w:rsidRDefault="00AC36A2" w:rsidP="00F665F3">
            <w:pPr>
              <w:pStyle w:val="In-tableHeading"/>
              <w:keepLines/>
              <w:rPr>
                <w:szCs w:val="20"/>
              </w:rPr>
            </w:pPr>
            <w:r w:rsidRPr="00705787">
              <w:rPr>
                <w:szCs w:val="20"/>
              </w:rPr>
              <w:t>Summary</w:t>
            </w:r>
          </w:p>
        </w:tc>
      </w:tr>
      <w:tr w:rsidR="00AC36A2" w:rsidRPr="00705787" w14:paraId="0DA9B087" w14:textId="77777777" w:rsidTr="00C540B8">
        <w:trPr>
          <w:cantSplit/>
        </w:trPr>
        <w:tc>
          <w:tcPr>
            <w:tcW w:w="940" w:type="pct"/>
            <w:shd w:val="clear" w:color="auto" w:fill="auto"/>
            <w:vAlign w:val="center"/>
          </w:tcPr>
          <w:p w14:paraId="4A2E5BD8" w14:textId="77777777" w:rsidR="00AC36A2" w:rsidRPr="00705787" w:rsidRDefault="00AC36A2" w:rsidP="00F665F3">
            <w:pPr>
              <w:pStyle w:val="TableText0"/>
              <w:keepLines/>
              <w:rPr>
                <w:szCs w:val="20"/>
              </w:rPr>
            </w:pPr>
            <w:r w:rsidRPr="00705787">
              <w:rPr>
                <w:szCs w:val="20"/>
              </w:rPr>
              <w:t>Treatments</w:t>
            </w:r>
          </w:p>
        </w:tc>
        <w:tc>
          <w:tcPr>
            <w:tcW w:w="4060" w:type="pct"/>
            <w:shd w:val="clear" w:color="auto" w:fill="auto"/>
            <w:vAlign w:val="center"/>
          </w:tcPr>
          <w:p w14:paraId="6F8648F4" w14:textId="30E88F34" w:rsidR="00AC36A2" w:rsidRPr="00705787" w:rsidRDefault="00AC36A2" w:rsidP="00F665F3">
            <w:pPr>
              <w:pStyle w:val="TableText0"/>
              <w:keepLines/>
              <w:rPr>
                <w:szCs w:val="20"/>
              </w:rPr>
            </w:pPr>
            <w:r w:rsidRPr="00705787">
              <w:rPr>
                <w:szCs w:val="20"/>
              </w:rPr>
              <w:t>Oral azacitidine v</w:t>
            </w:r>
            <w:r w:rsidR="0030522F">
              <w:rPr>
                <w:szCs w:val="20"/>
              </w:rPr>
              <w:t>er</w:t>
            </w:r>
            <w:r w:rsidRPr="00705787">
              <w:rPr>
                <w:szCs w:val="20"/>
              </w:rPr>
              <w:t>s</w:t>
            </w:r>
            <w:r w:rsidR="0030522F">
              <w:rPr>
                <w:szCs w:val="20"/>
              </w:rPr>
              <w:t>us</w:t>
            </w:r>
            <w:r w:rsidRPr="00705787">
              <w:rPr>
                <w:szCs w:val="20"/>
              </w:rPr>
              <w:t xml:space="preserve"> </w:t>
            </w:r>
            <w:r w:rsidR="001C46EE">
              <w:rPr>
                <w:szCs w:val="20"/>
              </w:rPr>
              <w:t>BSC</w:t>
            </w:r>
          </w:p>
        </w:tc>
      </w:tr>
      <w:tr w:rsidR="00AC36A2" w:rsidRPr="00705787" w14:paraId="3ED7D150" w14:textId="77777777" w:rsidTr="00C540B8">
        <w:trPr>
          <w:cantSplit/>
        </w:trPr>
        <w:tc>
          <w:tcPr>
            <w:tcW w:w="940" w:type="pct"/>
            <w:shd w:val="clear" w:color="auto" w:fill="auto"/>
            <w:vAlign w:val="center"/>
          </w:tcPr>
          <w:p w14:paraId="41E5F67F" w14:textId="77777777" w:rsidR="00AC36A2" w:rsidRPr="00705787" w:rsidRDefault="00AC36A2" w:rsidP="00F665F3">
            <w:pPr>
              <w:pStyle w:val="TableText0"/>
              <w:keepLines/>
              <w:rPr>
                <w:szCs w:val="20"/>
              </w:rPr>
            </w:pPr>
            <w:r w:rsidRPr="00705787">
              <w:rPr>
                <w:szCs w:val="20"/>
              </w:rPr>
              <w:t>Time horizon</w:t>
            </w:r>
          </w:p>
        </w:tc>
        <w:tc>
          <w:tcPr>
            <w:tcW w:w="4060" w:type="pct"/>
            <w:shd w:val="clear" w:color="auto" w:fill="auto"/>
            <w:vAlign w:val="center"/>
          </w:tcPr>
          <w:p w14:paraId="2E2E3C9B" w14:textId="53EAC586" w:rsidR="00AC36A2" w:rsidRPr="00705787" w:rsidRDefault="00AC36A2" w:rsidP="00F665F3">
            <w:pPr>
              <w:pStyle w:val="TableText0"/>
              <w:keepLines/>
              <w:rPr>
                <w:szCs w:val="20"/>
              </w:rPr>
            </w:pPr>
            <w:r w:rsidRPr="00705787">
              <w:rPr>
                <w:szCs w:val="20"/>
              </w:rPr>
              <w:t>20 years in the model base case v</w:t>
            </w:r>
            <w:r w:rsidR="0030522F">
              <w:rPr>
                <w:szCs w:val="20"/>
              </w:rPr>
              <w:t>er</w:t>
            </w:r>
            <w:r w:rsidRPr="00705787">
              <w:rPr>
                <w:szCs w:val="20"/>
              </w:rPr>
              <w:t>s</w:t>
            </w:r>
            <w:r w:rsidR="0030522F">
              <w:rPr>
                <w:szCs w:val="20"/>
              </w:rPr>
              <w:t>us</w:t>
            </w:r>
            <w:r w:rsidRPr="00705787">
              <w:rPr>
                <w:szCs w:val="20"/>
              </w:rPr>
              <w:t xml:space="preserve"> 4.3 years (51.7 months) median follow-up at September</w:t>
            </w:r>
            <w:r w:rsidR="00EF2979">
              <w:rPr>
                <w:szCs w:val="20"/>
              </w:rPr>
              <w:t> </w:t>
            </w:r>
            <w:r w:rsidRPr="00705787">
              <w:rPr>
                <w:szCs w:val="20"/>
              </w:rPr>
              <w:t xml:space="preserve">2020 data cut-off in QUAZAR. </w:t>
            </w:r>
            <w:r w:rsidRPr="007F034A">
              <w:rPr>
                <w:iCs/>
                <w:szCs w:val="20"/>
              </w:rPr>
              <w:t xml:space="preserve">This may be optimistic, given the starting age in the model was 68 years and patients </w:t>
            </w:r>
            <w:r w:rsidR="002652BF" w:rsidRPr="007F034A">
              <w:rPr>
                <w:iCs/>
                <w:szCs w:val="20"/>
              </w:rPr>
              <w:t>we</w:t>
            </w:r>
            <w:r w:rsidRPr="007F034A">
              <w:rPr>
                <w:iCs/>
                <w:szCs w:val="20"/>
              </w:rPr>
              <w:t>re ineligible for HSCT.</w:t>
            </w:r>
          </w:p>
        </w:tc>
      </w:tr>
      <w:tr w:rsidR="00AC36A2" w:rsidRPr="00705787" w14:paraId="02D50A9B" w14:textId="77777777" w:rsidTr="00C540B8">
        <w:trPr>
          <w:cantSplit/>
        </w:trPr>
        <w:tc>
          <w:tcPr>
            <w:tcW w:w="940" w:type="pct"/>
            <w:shd w:val="clear" w:color="auto" w:fill="auto"/>
            <w:vAlign w:val="center"/>
          </w:tcPr>
          <w:p w14:paraId="7885BD14" w14:textId="77777777" w:rsidR="00AC36A2" w:rsidRPr="00705787" w:rsidRDefault="00AC36A2" w:rsidP="00F665F3">
            <w:pPr>
              <w:pStyle w:val="TableText0"/>
              <w:keepLines/>
              <w:rPr>
                <w:szCs w:val="20"/>
              </w:rPr>
            </w:pPr>
            <w:r w:rsidRPr="00705787">
              <w:rPr>
                <w:szCs w:val="20"/>
              </w:rPr>
              <w:t>Outcomes</w:t>
            </w:r>
          </w:p>
        </w:tc>
        <w:tc>
          <w:tcPr>
            <w:tcW w:w="4060" w:type="pct"/>
            <w:shd w:val="clear" w:color="auto" w:fill="auto"/>
            <w:vAlign w:val="center"/>
          </w:tcPr>
          <w:p w14:paraId="511DE488" w14:textId="5063062C" w:rsidR="00AC36A2" w:rsidRPr="00705787" w:rsidRDefault="00AC36A2" w:rsidP="0030522F">
            <w:pPr>
              <w:keepNext/>
              <w:keepLines/>
              <w:jc w:val="left"/>
              <w:rPr>
                <w:szCs w:val="20"/>
              </w:rPr>
            </w:pPr>
            <w:r w:rsidRPr="00705787">
              <w:rPr>
                <w:rFonts w:ascii="Arial Narrow" w:hAnsi="Arial Narrow" w:cs="Times New Roman"/>
                <w:sz w:val="20"/>
                <w:szCs w:val="20"/>
                <w:lang w:eastAsia="en-US"/>
              </w:rPr>
              <w:t>Quality adjusted life years</w:t>
            </w:r>
            <w:r w:rsidR="0030522F">
              <w:rPr>
                <w:rFonts w:ascii="Arial Narrow" w:hAnsi="Arial Narrow" w:cs="Times New Roman"/>
                <w:sz w:val="20"/>
                <w:szCs w:val="20"/>
                <w:lang w:eastAsia="en-US"/>
              </w:rPr>
              <w:t xml:space="preserve">, </w:t>
            </w:r>
            <w:r w:rsidR="00EF2979">
              <w:rPr>
                <w:rFonts w:ascii="Arial Narrow" w:hAnsi="Arial Narrow" w:cs="Times New Roman"/>
                <w:sz w:val="20"/>
                <w:szCs w:val="20"/>
                <w:lang w:eastAsia="en-US"/>
              </w:rPr>
              <w:t>l</w:t>
            </w:r>
            <w:r w:rsidRPr="0030522F">
              <w:rPr>
                <w:rFonts w:ascii="Arial Narrow" w:hAnsi="Arial Narrow" w:cs="Times New Roman"/>
                <w:sz w:val="20"/>
                <w:szCs w:val="20"/>
                <w:lang w:eastAsia="en-US"/>
              </w:rPr>
              <w:t xml:space="preserve">ife </w:t>
            </w:r>
            <w:r w:rsidRPr="0030522F">
              <w:rPr>
                <w:rFonts w:ascii="Arial Narrow" w:hAnsi="Arial Narrow" w:cstheme="minorHAnsi"/>
                <w:sz w:val="20"/>
                <w:szCs w:val="20"/>
                <w:lang w:eastAsia="en-US"/>
              </w:rPr>
              <w:t>years</w:t>
            </w:r>
            <w:r w:rsidR="0030522F" w:rsidRPr="0030522F">
              <w:rPr>
                <w:rFonts w:ascii="Arial Narrow" w:hAnsi="Arial Narrow" w:cstheme="minorHAnsi"/>
                <w:sz w:val="20"/>
                <w:szCs w:val="20"/>
                <w:lang w:eastAsia="en-US"/>
              </w:rPr>
              <w:t xml:space="preserve">, </w:t>
            </w:r>
            <w:r w:rsidR="00EF2979">
              <w:rPr>
                <w:rFonts w:ascii="Arial Narrow" w:hAnsi="Arial Narrow" w:cstheme="minorHAnsi"/>
                <w:sz w:val="20"/>
                <w:szCs w:val="20"/>
                <w:lang w:eastAsia="en-US"/>
              </w:rPr>
              <w:t>r</w:t>
            </w:r>
            <w:r w:rsidRPr="0030522F">
              <w:rPr>
                <w:rFonts w:ascii="Arial Narrow" w:hAnsi="Arial Narrow" w:cstheme="minorHAnsi"/>
                <w:sz w:val="20"/>
                <w:szCs w:val="20"/>
              </w:rPr>
              <w:t>elapse-free life years</w:t>
            </w:r>
          </w:p>
        </w:tc>
      </w:tr>
      <w:tr w:rsidR="00AC36A2" w:rsidRPr="00705787" w14:paraId="10B16A44" w14:textId="77777777" w:rsidTr="00C540B8">
        <w:trPr>
          <w:cantSplit/>
        </w:trPr>
        <w:tc>
          <w:tcPr>
            <w:tcW w:w="940" w:type="pct"/>
            <w:shd w:val="clear" w:color="auto" w:fill="auto"/>
            <w:vAlign w:val="center"/>
          </w:tcPr>
          <w:p w14:paraId="42047D94" w14:textId="77777777" w:rsidR="00AC36A2" w:rsidRPr="00705787" w:rsidRDefault="00AC36A2" w:rsidP="00F665F3">
            <w:pPr>
              <w:pStyle w:val="TableText0"/>
              <w:keepLines/>
              <w:rPr>
                <w:szCs w:val="20"/>
              </w:rPr>
            </w:pPr>
            <w:r w:rsidRPr="00705787">
              <w:rPr>
                <w:szCs w:val="20"/>
              </w:rPr>
              <w:t>Methods used to generate results</w:t>
            </w:r>
          </w:p>
        </w:tc>
        <w:tc>
          <w:tcPr>
            <w:tcW w:w="4060" w:type="pct"/>
            <w:shd w:val="clear" w:color="auto" w:fill="auto"/>
            <w:vAlign w:val="center"/>
          </w:tcPr>
          <w:p w14:paraId="4152631F" w14:textId="77777777" w:rsidR="00AC36A2" w:rsidRPr="00705787" w:rsidRDefault="00AC36A2" w:rsidP="00F665F3">
            <w:pPr>
              <w:pStyle w:val="TableText0"/>
              <w:keepLines/>
              <w:rPr>
                <w:szCs w:val="20"/>
              </w:rPr>
            </w:pPr>
            <w:r w:rsidRPr="00705787">
              <w:rPr>
                <w:szCs w:val="20"/>
              </w:rPr>
              <w:t>Partitioned survival approach, incorporating a cohort expected value analysis.</w:t>
            </w:r>
          </w:p>
        </w:tc>
      </w:tr>
      <w:tr w:rsidR="00AC36A2" w:rsidRPr="00705787" w14:paraId="50B54F1F" w14:textId="77777777" w:rsidTr="00C540B8">
        <w:trPr>
          <w:cantSplit/>
        </w:trPr>
        <w:tc>
          <w:tcPr>
            <w:tcW w:w="940" w:type="pct"/>
            <w:shd w:val="clear" w:color="auto" w:fill="auto"/>
            <w:vAlign w:val="center"/>
          </w:tcPr>
          <w:p w14:paraId="0146698E" w14:textId="77777777" w:rsidR="00AC36A2" w:rsidRPr="00705787" w:rsidRDefault="00AC36A2" w:rsidP="00F665F3">
            <w:pPr>
              <w:pStyle w:val="TableText0"/>
              <w:keepLines/>
              <w:rPr>
                <w:szCs w:val="20"/>
              </w:rPr>
            </w:pPr>
            <w:r w:rsidRPr="00705787">
              <w:rPr>
                <w:szCs w:val="20"/>
              </w:rPr>
              <w:t>Health states</w:t>
            </w:r>
          </w:p>
        </w:tc>
        <w:tc>
          <w:tcPr>
            <w:tcW w:w="4060" w:type="pct"/>
            <w:shd w:val="clear" w:color="auto" w:fill="auto"/>
            <w:vAlign w:val="center"/>
          </w:tcPr>
          <w:p w14:paraId="543D5A12" w14:textId="04DFACD2" w:rsidR="0030522F" w:rsidRPr="00705787" w:rsidRDefault="0030522F" w:rsidP="0030522F">
            <w:pPr>
              <w:pStyle w:val="TableText0"/>
              <w:keepLines/>
              <w:rPr>
                <w:szCs w:val="20"/>
              </w:rPr>
            </w:pPr>
            <w:r>
              <w:rPr>
                <w:szCs w:val="20"/>
              </w:rPr>
              <w:t>Relapse free (on treatment and off treatment substates), relapse, death</w:t>
            </w:r>
            <w:r w:rsidR="007C7928">
              <w:rPr>
                <w:szCs w:val="20"/>
              </w:rPr>
              <w:t>.</w:t>
            </w:r>
          </w:p>
        </w:tc>
      </w:tr>
      <w:tr w:rsidR="00AC36A2" w:rsidRPr="00705787" w14:paraId="53C77CE4" w14:textId="77777777" w:rsidTr="00C540B8">
        <w:trPr>
          <w:cantSplit/>
        </w:trPr>
        <w:tc>
          <w:tcPr>
            <w:tcW w:w="940" w:type="pct"/>
            <w:shd w:val="clear" w:color="auto" w:fill="auto"/>
            <w:vAlign w:val="center"/>
          </w:tcPr>
          <w:p w14:paraId="56A92609" w14:textId="77777777" w:rsidR="00AC36A2" w:rsidRPr="00705787" w:rsidRDefault="00AC36A2" w:rsidP="00F665F3">
            <w:pPr>
              <w:pStyle w:val="TableText0"/>
              <w:keepLines/>
              <w:rPr>
                <w:szCs w:val="20"/>
              </w:rPr>
            </w:pPr>
            <w:r w:rsidRPr="00705787">
              <w:rPr>
                <w:szCs w:val="20"/>
              </w:rPr>
              <w:t>Cycle length</w:t>
            </w:r>
          </w:p>
        </w:tc>
        <w:tc>
          <w:tcPr>
            <w:tcW w:w="4060" w:type="pct"/>
            <w:shd w:val="clear" w:color="auto" w:fill="auto"/>
            <w:vAlign w:val="center"/>
          </w:tcPr>
          <w:p w14:paraId="322515F1" w14:textId="77777777" w:rsidR="00AC36A2" w:rsidRPr="00705787" w:rsidRDefault="00AC36A2" w:rsidP="00F665F3">
            <w:pPr>
              <w:pStyle w:val="TableText0"/>
              <w:keepLines/>
              <w:rPr>
                <w:szCs w:val="20"/>
              </w:rPr>
            </w:pPr>
            <w:r w:rsidRPr="00705787">
              <w:rPr>
                <w:szCs w:val="20"/>
              </w:rPr>
              <w:t>28 days</w:t>
            </w:r>
          </w:p>
        </w:tc>
      </w:tr>
      <w:tr w:rsidR="00AC36A2" w:rsidRPr="00705787" w14:paraId="2E6B8EEC" w14:textId="77777777" w:rsidTr="00C540B8">
        <w:trPr>
          <w:cantSplit/>
        </w:trPr>
        <w:tc>
          <w:tcPr>
            <w:tcW w:w="940" w:type="pct"/>
            <w:shd w:val="clear" w:color="auto" w:fill="auto"/>
            <w:vAlign w:val="center"/>
          </w:tcPr>
          <w:p w14:paraId="08B73985" w14:textId="1F49AC95" w:rsidR="00AC36A2" w:rsidRPr="00705787" w:rsidRDefault="009D15AF" w:rsidP="00F665F3">
            <w:pPr>
              <w:pStyle w:val="TableText0"/>
              <w:keepLines/>
              <w:rPr>
                <w:szCs w:val="20"/>
              </w:rPr>
            </w:pPr>
            <w:r w:rsidRPr="00705787">
              <w:rPr>
                <w:szCs w:val="20"/>
              </w:rPr>
              <w:t>Allocation to health states</w:t>
            </w:r>
            <w:r w:rsidR="007B5D58" w:rsidRPr="00705787">
              <w:rPr>
                <w:szCs w:val="20"/>
              </w:rPr>
              <w:t xml:space="preserve"> </w:t>
            </w:r>
          </w:p>
        </w:tc>
        <w:tc>
          <w:tcPr>
            <w:tcW w:w="4060" w:type="pct"/>
            <w:shd w:val="clear" w:color="auto" w:fill="auto"/>
            <w:vAlign w:val="center"/>
          </w:tcPr>
          <w:p w14:paraId="78265B23" w14:textId="56DBD644" w:rsidR="00AC36A2" w:rsidRPr="00705787" w:rsidRDefault="00B55A4C" w:rsidP="00F665F3">
            <w:pPr>
              <w:pStyle w:val="TableText0"/>
              <w:keepLines/>
              <w:rPr>
                <w:szCs w:val="20"/>
              </w:rPr>
            </w:pPr>
            <w:r>
              <w:rPr>
                <w:szCs w:val="20"/>
              </w:rPr>
              <w:t>D</w:t>
            </w:r>
            <w:r w:rsidR="00AC36A2" w:rsidRPr="00705787">
              <w:rPr>
                <w:szCs w:val="20"/>
              </w:rPr>
              <w:t xml:space="preserve">etermined by RFS (July 2019 data cut-off) and OS (September 2020 data cut-off) </w:t>
            </w:r>
            <w:r w:rsidR="00E5131A">
              <w:rPr>
                <w:szCs w:val="20"/>
              </w:rPr>
              <w:t>Kaplan–Meier</w:t>
            </w:r>
            <w:r w:rsidR="009D15AF" w:rsidRPr="00705787">
              <w:rPr>
                <w:szCs w:val="20"/>
              </w:rPr>
              <w:t xml:space="preserve"> </w:t>
            </w:r>
            <w:r w:rsidR="00AC36A2" w:rsidRPr="00705787">
              <w:rPr>
                <w:szCs w:val="20"/>
              </w:rPr>
              <w:t xml:space="preserve">curves from QUAZAR. </w:t>
            </w:r>
          </w:p>
          <w:p w14:paraId="728333EA" w14:textId="0A416F64" w:rsidR="00AC36A2" w:rsidRPr="00705787" w:rsidRDefault="00AC36A2" w:rsidP="00F665F3">
            <w:pPr>
              <w:pStyle w:val="TableText0"/>
              <w:keepLines/>
              <w:rPr>
                <w:szCs w:val="20"/>
              </w:rPr>
            </w:pPr>
            <w:r w:rsidRPr="00705787">
              <w:rPr>
                <w:szCs w:val="20"/>
              </w:rPr>
              <w:t>The on</w:t>
            </w:r>
            <w:r w:rsidR="009D15AF" w:rsidRPr="00705787">
              <w:rPr>
                <w:szCs w:val="20"/>
              </w:rPr>
              <w:t>-</w:t>
            </w:r>
            <w:r w:rsidRPr="00705787">
              <w:rPr>
                <w:szCs w:val="20"/>
              </w:rPr>
              <w:t xml:space="preserve">treatment phase </w:t>
            </w:r>
            <w:r w:rsidR="002B204D">
              <w:rPr>
                <w:szCs w:val="20"/>
              </w:rPr>
              <w:t xml:space="preserve">for oral azacitidine </w:t>
            </w:r>
            <w:r w:rsidRPr="00705787">
              <w:rPr>
                <w:szCs w:val="20"/>
              </w:rPr>
              <w:t xml:space="preserve">within </w:t>
            </w:r>
            <w:r w:rsidR="002B204D">
              <w:rPr>
                <w:szCs w:val="20"/>
              </w:rPr>
              <w:t xml:space="preserve">the </w:t>
            </w:r>
            <w:r w:rsidRPr="00705787">
              <w:rPr>
                <w:szCs w:val="20"/>
              </w:rPr>
              <w:t xml:space="preserve">relapse-free health state was based on the </w:t>
            </w:r>
            <w:r w:rsidR="007F0EB7">
              <w:rPr>
                <w:szCs w:val="20"/>
              </w:rPr>
              <w:t xml:space="preserve">censored </w:t>
            </w:r>
            <w:r w:rsidRPr="00705787">
              <w:rPr>
                <w:szCs w:val="20"/>
              </w:rPr>
              <w:t xml:space="preserve">mean duration of treatment (18.1 months) from QUAZAR. The submission presented a </w:t>
            </w:r>
            <w:r w:rsidR="0030522F">
              <w:rPr>
                <w:szCs w:val="20"/>
              </w:rPr>
              <w:t>sensitivity analysis</w:t>
            </w:r>
            <w:r w:rsidR="0030522F" w:rsidRPr="00705787">
              <w:rPr>
                <w:szCs w:val="20"/>
              </w:rPr>
              <w:t xml:space="preserve"> </w:t>
            </w:r>
            <w:r w:rsidRPr="00705787">
              <w:rPr>
                <w:szCs w:val="20"/>
              </w:rPr>
              <w:t xml:space="preserve">using time on treatment </w:t>
            </w:r>
            <w:r w:rsidR="00E5131A">
              <w:rPr>
                <w:szCs w:val="20"/>
              </w:rPr>
              <w:t>Kaplan–Meier</w:t>
            </w:r>
            <w:r w:rsidR="00BA35C5" w:rsidRPr="00705787">
              <w:rPr>
                <w:szCs w:val="20"/>
              </w:rPr>
              <w:t xml:space="preserve"> </w:t>
            </w:r>
            <w:r w:rsidRPr="00705787">
              <w:rPr>
                <w:szCs w:val="20"/>
              </w:rPr>
              <w:t>data from the QUAZAR.</w:t>
            </w:r>
          </w:p>
        </w:tc>
      </w:tr>
      <w:tr w:rsidR="00AC36A2" w:rsidRPr="00705787" w14:paraId="4EF83BF7" w14:textId="77777777" w:rsidTr="00C540B8">
        <w:trPr>
          <w:cantSplit/>
        </w:trPr>
        <w:tc>
          <w:tcPr>
            <w:tcW w:w="940" w:type="pct"/>
            <w:shd w:val="clear" w:color="auto" w:fill="auto"/>
            <w:vAlign w:val="center"/>
          </w:tcPr>
          <w:p w14:paraId="6F56B166" w14:textId="77777777" w:rsidR="00AC36A2" w:rsidRPr="00705787" w:rsidRDefault="00AC36A2" w:rsidP="00F665F3">
            <w:pPr>
              <w:pStyle w:val="TableText0"/>
              <w:keepLines/>
              <w:rPr>
                <w:szCs w:val="20"/>
              </w:rPr>
            </w:pPr>
            <w:r w:rsidRPr="00705787">
              <w:rPr>
                <w:szCs w:val="20"/>
              </w:rPr>
              <w:t>Extrapolation method</w:t>
            </w:r>
          </w:p>
        </w:tc>
        <w:tc>
          <w:tcPr>
            <w:tcW w:w="4060" w:type="pct"/>
            <w:shd w:val="clear" w:color="auto" w:fill="auto"/>
            <w:vAlign w:val="center"/>
          </w:tcPr>
          <w:p w14:paraId="6BE082B3" w14:textId="3FF44E93" w:rsidR="00AC36A2" w:rsidRPr="007F034A" w:rsidRDefault="00E5131A" w:rsidP="00F665F3">
            <w:pPr>
              <w:keepNext/>
              <w:keepLines/>
              <w:jc w:val="left"/>
              <w:rPr>
                <w:rFonts w:ascii="Arial Narrow" w:eastAsiaTheme="majorEastAsia" w:hAnsi="Arial Narrow" w:cstheme="majorBidi"/>
                <w:bCs/>
                <w:sz w:val="20"/>
                <w:szCs w:val="20"/>
              </w:rPr>
            </w:pPr>
            <w:r>
              <w:rPr>
                <w:rFonts w:ascii="Arial Narrow" w:eastAsiaTheme="majorEastAsia" w:hAnsi="Arial Narrow" w:cstheme="majorBidi"/>
                <w:bCs/>
                <w:sz w:val="20"/>
                <w:szCs w:val="20"/>
              </w:rPr>
              <w:t>Kaplan–Meier</w:t>
            </w:r>
            <w:r w:rsidR="00AC36A2" w:rsidRPr="00705787">
              <w:rPr>
                <w:rFonts w:ascii="Arial Narrow" w:eastAsiaTheme="majorEastAsia" w:hAnsi="Arial Narrow" w:cstheme="majorBidi"/>
                <w:bCs/>
                <w:sz w:val="20"/>
                <w:szCs w:val="20"/>
              </w:rPr>
              <w:t xml:space="preserve"> estimates of time to relapse and time to death </w:t>
            </w:r>
            <w:r w:rsidR="00B55A4C">
              <w:rPr>
                <w:rFonts w:ascii="Arial Narrow" w:eastAsiaTheme="majorEastAsia" w:hAnsi="Arial Narrow" w:cstheme="majorBidi"/>
                <w:bCs/>
                <w:sz w:val="20"/>
                <w:szCs w:val="20"/>
              </w:rPr>
              <w:t>from</w:t>
            </w:r>
            <w:r w:rsidR="00AC36A2" w:rsidRPr="00705787">
              <w:rPr>
                <w:rFonts w:ascii="Arial Narrow" w:eastAsiaTheme="majorEastAsia" w:hAnsi="Arial Narrow" w:cstheme="majorBidi"/>
                <w:bCs/>
                <w:sz w:val="20"/>
                <w:szCs w:val="20"/>
              </w:rPr>
              <w:t xml:space="preserve"> QUAZAR were applied up to the point that </w:t>
            </w:r>
            <w:r w:rsidR="00B55A4C">
              <w:rPr>
                <w:rFonts w:ascii="Arial Narrow" w:eastAsiaTheme="majorEastAsia" w:hAnsi="Arial Narrow" w:cstheme="majorBidi"/>
                <w:bCs/>
                <w:sz w:val="20"/>
                <w:szCs w:val="20"/>
              </w:rPr>
              <w:t xml:space="preserve">the submission considered the </w:t>
            </w:r>
            <w:r w:rsidR="00AC36A2" w:rsidRPr="00705787">
              <w:rPr>
                <w:rFonts w:ascii="Arial Narrow" w:eastAsiaTheme="majorEastAsia" w:hAnsi="Arial Narrow" w:cstheme="majorBidi"/>
                <w:bCs/>
                <w:sz w:val="20"/>
                <w:szCs w:val="20"/>
              </w:rPr>
              <w:t>data had excessive censoring and was unreliable. The base case extrapolated functions were based on parametric models fitted to each treatment arm and</w:t>
            </w:r>
            <w:r w:rsidR="008F45F3">
              <w:rPr>
                <w:rFonts w:ascii="Arial Narrow" w:eastAsiaTheme="majorEastAsia" w:hAnsi="Arial Narrow" w:cstheme="majorBidi"/>
                <w:bCs/>
                <w:sz w:val="20"/>
                <w:szCs w:val="20"/>
              </w:rPr>
              <w:t xml:space="preserve"> were</w:t>
            </w:r>
            <w:r w:rsidR="00AC36A2" w:rsidRPr="00705787">
              <w:rPr>
                <w:rFonts w:ascii="Arial Narrow" w:eastAsiaTheme="majorEastAsia" w:hAnsi="Arial Narrow" w:cstheme="majorBidi"/>
                <w:bCs/>
                <w:sz w:val="20"/>
                <w:szCs w:val="20"/>
              </w:rPr>
              <w:t xml:space="preserve"> based on </w:t>
            </w:r>
            <w:r w:rsidR="00C0456C">
              <w:rPr>
                <w:rFonts w:ascii="Arial Narrow" w:eastAsiaTheme="majorEastAsia" w:hAnsi="Arial Narrow" w:cstheme="majorBidi"/>
                <w:bCs/>
                <w:sz w:val="20"/>
                <w:szCs w:val="20"/>
              </w:rPr>
              <w:t xml:space="preserve">visual inspection and </w:t>
            </w:r>
            <w:r w:rsidR="00AC36A2" w:rsidRPr="00705787">
              <w:rPr>
                <w:rFonts w:ascii="Arial Narrow" w:eastAsiaTheme="majorEastAsia" w:hAnsi="Arial Narrow" w:cstheme="majorBidi"/>
                <w:bCs/>
                <w:sz w:val="20"/>
                <w:szCs w:val="20"/>
              </w:rPr>
              <w:t>goodness of fit (AIC and BIC)</w:t>
            </w:r>
            <w:r w:rsidR="00F00956">
              <w:rPr>
                <w:rFonts w:ascii="Arial Narrow" w:eastAsiaTheme="majorEastAsia" w:hAnsi="Arial Narrow" w:cstheme="majorBidi"/>
                <w:bCs/>
                <w:sz w:val="20"/>
                <w:szCs w:val="20"/>
              </w:rPr>
              <w:t>.</w:t>
            </w:r>
          </w:p>
          <w:p w14:paraId="42949716" w14:textId="77777777" w:rsidR="002B204D" w:rsidRDefault="002B204D" w:rsidP="001C46EE">
            <w:pPr>
              <w:jc w:val="left"/>
              <w:rPr>
                <w:rFonts w:ascii="Arial Narrow" w:eastAsiaTheme="majorEastAsia" w:hAnsi="Arial Narrow" w:cstheme="majorBidi"/>
                <w:bCs/>
                <w:sz w:val="20"/>
                <w:szCs w:val="20"/>
              </w:rPr>
            </w:pPr>
          </w:p>
          <w:p w14:paraId="63A2832D" w14:textId="3BF86056" w:rsidR="001C46EE" w:rsidRPr="00797CA0" w:rsidRDefault="001C46EE" w:rsidP="001C46EE">
            <w:pPr>
              <w:jc w:val="left"/>
              <w:rPr>
                <w:rFonts w:ascii="Arial Narrow" w:eastAsiaTheme="majorEastAsia" w:hAnsi="Arial Narrow" w:cstheme="majorBidi"/>
                <w:bCs/>
                <w:sz w:val="20"/>
                <w:szCs w:val="20"/>
              </w:rPr>
            </w:pPr>
            <w:r w:rsidRPr="00797CA0">
              <w:rPr>
                <w:rFonts w:ascii="Arial Narrow" w:eastAsiaTheme="majorEastAsia" w:hAnsi="Arial Narrow" w:cstheme="majorBidi"/>
                <w:bCs/>
                <w:sz w:val="20"/>
                <w:szCs w:val="20"/>
              </w:rPr>
              <w:t xml:space="preserve">The functional forms </w:t>
            </w:r>
            <w:r w:rsidR="002B204D">
              <w:rPr>
                <w:rFonts w:ascii="Arial Narrow" w:eastAsiaTheme="majorEastAsia" w:hAnsi="Arial Narrow" w:cstheme="majorBidi"/>
                <w:bCs/>
                <w:sz w:val="20"/>
                <w:szCs w:val="20"/>
              </w:rPr>
              <w:t>applied</w:t>
            </w:r>
            <w:r w:rsidRPr="00797CA0">
              <w:rPr>
                <w:rFonts w:ascii="Arial Narrow" w:eastAsiaTheme="majorEastAsia" w:hAnsi="Arial Narrow" w:cstheme="majorBidi"/>
                <w:bCs/>
                <w:sz w:val="20"/>
                <w:szCs w:val="20"/>
              </w:rPr>
              <w:t xml:space="preserve"> in base case were:</w:t>
            </w:r>
          </w:p>
          <w:p w14:paraId="6C8F37E0" w14:textId="77777777" w:rsidR="001C46EE" w:rsidRPr="00797CA0" w:rsidRDefault="001C46EE" w:rsidP="001C46EE">
            <w:pPr>
              <w:jc w:val="left"/>
              <w:rPr>
                <w:rFonts w:ascii="Arial Narrow" w:eastAsiaTheme="majorEastAsia" w:hAnsi="Arial Narrow" w:cstheme="majorBidi"/>
                <w:bCs/>
                <w:sz w:val="20"/>
                <w:szCs w:val="20"/>
              </w:rPr>
            </w:pPr>
            <w:r w:rsidRPr="00797CA0">
              <w:rPr>
                <w:rFonts w:ascii="Arial Narrow" w:eastAsiaTheme="majorEastAsia" w:hAnsi="Arial Narrow" w:cstheme="majorBidi"/>
                <w:bCs/>
                <w:sz w:val="20"/>
                <w:szCs w:val="20"/>
              </w:rPr>
              <w:t>OS: log-normal</w:t>
            </w:r>
          </w:p>
          <w:p w14:paraId="339747BA" w14:textId="77777777" w:rsidR="002B204D" w:rsidRDefault="001C46EE" w:rsidP="001C46EE">
            <w:pPr>
              <w:keepNext/>
              <w:keepLines/>
              <w:jc w:val="left"/>
              <w:rPr>
                <w:rFonts w:ascii="Arial Narrow" w:eastAsiaTheme="majorEastAsia" w:hAnsi="Arial Narrow" w:cstheme="majorBidi"/>
                <w:bCs/>
                <w:sz w:val="20"/>
                <w:szCs w:val="20"/>
              </w:rPr>
            </w:pPr>
            <w:r w:rsidRPr="00797CA0">
              <w:rPr>
                <w:rFonts w:ascii="Arial Narrow" w:eastAsiaTheme="majorEastAsia" w:hAnsi="Arial Narrow" w:cstheme="majorBidi"/>
                <w:bCs/>
                <w:sz w:val="20"/>
                <w:szCs w:val="20"/>
              </w:rPr>
              <w:t>RFS: log-logistic</w:t>
            </w:r>
            <w:r w:rsidRPr="00705787" w:rsidDel="001C46EE">
              <w:rPr>
                <w:rFonts w:ascii="Arial Narrow" w:eastAsiaTheme="majorEastAsia" w:hAnsi="Arial Narrow" w:cstheme="majorBidi"/>
                <w:bCs/>
                <w:sz w:val="20"/>
                <w:szCs w:val="20"/>
              </w:rPr>
              <w:t xml:space="preserve"> </w:t>
            </w:r>
          </w:p>
          <w:p w14:paraId="38A48F79" w14:textId="4D076168" w:rsidR="001C46EE" w:rsidRPr="007F034A" w:rsidRDefault="001C46EE" w:rsidP="001C46EE">
            <w:pPr>
              <w:keepNext/>
              <w:keepLines/>
              <w:jc w:val="left"/>
              <w:rPr>
                <w:rFonts w:ascii="Arial Narrow" w:eastAsiaTheme="majorEastAsia" w:hAnsi="Arial Narrow" w:cstheme="majorBidi"/>
                <w:bCs/>
                <w:iCs/>
                <w:sz w:val="20"/>
                <w:szCs w:val="20"/>
              </w:rPr>
            </w:pPr>
            <w:r w:rsidRPr="001C46EE">
              <w:rPr>
                <w:rFonts w:ascii="Arial Narrow" w:eastAsiaTheme="majorEastAsia" w:hAnsi="Arial Narrow" w:cstheme="majorBidi"/>
                <w:bCs/>
                <w:sz w:val="20"/>
                <w:szCs w:val="20"/>
              </w:rPr>
              <w:t xml:space="preserve">The forms </w:t>
            </w:r>
            <w:r w:rsidR="002B204D">
              <w:rPr>
                <w:rFonts w:ascii="Arial Narrow" w:eastAsiaTheme="majorEastAsia" w:hAnsi="Arial Narrow" w:cstheme="majorBidi"/>
                <w:bCs/>
                <w:sz w:val="20"/>
                <w:szCs w:val="20"/>
              </w:rPr>
              <w:t>applied</w:t>
            </w:r>
            <w:r w:rsidRPr="001C46EE">
              <w:rPr>
                <w:rFonts w:ascii="Arial Narrow" w:eastAsiaTheme="majorEastAsia" w:hAnsi="Arial Narrow" w:cstheme="majorBidi"/>
                <w:bCs/>
                <w:sz w:val="20"/>
                <w:szCs w:val="20"/>
              </w:rPr>
              <w:t xml:space="preserve"> in the base case were second-best selected based on the AIC and BIC parameters.</w:t>
            </w:r>
            <w:r w:rsidRPr="007F034A">
              <w:rPr>
                <w:rFonts w:ascii="Arial Narrow" w:eastAsiaTheme="majorEastAsia" w:hAnsi="Arial Narrow" w:cstheme="majorBidi"/>
                <w:bCs/>
                <w:iCs/>
                <w:sz w:val="20"/>
                <w:szCs w:val="20"/>
              </w:rPr>
              <w:t xml:space="preserve"> The best fit function</w:t>
            </w:r>
            <w:r w:rsidR="008F45F3" w:rsidRPr="007F034A">
              <w:rPr>
                <w:rFonts w:ascii="Arial Narrow" w:eastAsiaTheme="majorEastAsia" w:hAnsi="Arial Narrow" w:cstheme="majorBidi"/>
                <w:bCs/>
                <w:iCs/>
                <w:sz w:val="20"/>
                <w:szCs w:val="20"/>
              </w:rPr>
              <w:t>s</w:t>
            </w:r>
            <w:r w:rsidRPr="007F034A">
              <w:rPr>
                <w:rFonts w:ascii="Arial Narrow" w:eastAsiaTheme="majorEastAsia" w:hAnsi="Arial Narrow" w:cstheme="majorBidi"/>
                <w:bCs/>
                <w:iCs/>
                <w:sz w:val="20"/>
                <w:szCs w:val="20"/>
              </w:rPr>
              <w:t xml:space="preserve"> (</w:t>
            </w:r>
            <w:r w:rsidR="008F45F3" w:rsidRPr="007F034A">
              <w:rPr>
                <w:rFonts w:ascii="Arial Narrow" w:eastAsiaTheme="majorEastAsia" w:hAnsi="Arial Narrow" w:cstheme="majorBidi"/>
                <w:bCs/>
                <w:iCs/>
                <w:sz w:val="20"/>
                <w:szCs w:val="20"/>
              </w:rPr>
              <w:t xml:space="preserve">based on </w:t>
            </w:r>
            <w:r w:rsidRPr="007F034A">
              <w:rPr>
                <w:rFonts w:ascii="Arial Narrow" w:eastAsiaTheme="majorEastAsia" w:hAnsi="Arial Narrow" w:cstheme="majorBidi"/>
                <w:bCs/>
                <w:iCs/>
                <w:sz w:val="20"/>
                <w:szCs w:val="20"/>
              </w:rPr>
              <w:t xml:space="preserve">AIC and BIC) </w:t>
            </w:r>
            <w:r w:rsidR="008F45F3" w:rsidRPr="007F034A">
              <w:rPr>
                <w:rFonts w:ascii="Arial Narrow" w:eastAsiaTheme="majorEastAsia" w:hAnsi="Arial Narrow" w:cstheme="majorBidi"/>
                <w:bCs/>
                <w:iCs/>
                <w:sz w:val="20"/>
                <w:szCs w:val="20"/>
              </w:rPr>
              <w:t>were</w:t>
            </w:r>
            <w:r w:rsidRPr="007F034A">
              <w:rPr>
                <w:rFonts w:ascii="Arial Narrow" w:eastAsiaTheme="majorEastAsia" w:hAnsi="Arial Narrow" w:cstheme="majorBidi"/>
                <w:bCs/>
                <w:iCs/>
                <w:sz w:val="20"/>
                <w:szCs w:val="20"/>
              </w:rPr>
              <w:t xml:space="preserve"> </w:t>
            </w:r>
            <w:r w:rsidR="008F45F3" w:rsidRPr="007F034A">
              <w:rPr>
                <w:rFonts w:ascii="Arial Narrow" w:eastAsiaTheme="majorEastAsia" w:hAnsi="Arial Narrow" w:cstheme="majorBidi"/>
                <w:bCs/>
                <w:iCs/>
                <w:sz w:val="20"/>
                <w:szCs w:val="20"/>
              </w:rPr>
              <w:t>g</w:t>
            </w:r>
            <w:r w:rsidRPr="007F034A">
              <w:rPr>
                <w:rFonts w:ascii="Arial Narrow" w:eastAsiaTheme="majorEastAsia" w:hAnsi="Arial Narrow" w:cstheme="majorBidi"/>
                <w:bCs/>
                <w:iCs/>
                <w:sz w:val="20"/>
                <w:szCs w:val="20"/>
              </w:rPr>
              <w:t xml:space="preserve">eneralised </w:t>
            </w:r>
            <w:r w:rsidR="008F45F3" w:rsidRPr="007F034A">
              <w:rPr>
                <w:rFonts w:ascii="Arial Narrow" w:eastAsiaTheme="majorEastAsia" w:hAnsi="Arial Narrow" w:cstheme="majorBidi"/>
                <w:bCs/>
                <w:iCs/>
                <w:sz w:val="20"/>
                <w:szCs w:val="20"/>
              </w:rPr>
              <w:t>g</w:t>
            </w:r>
            <w:r w:rsidRPr="007F034A">
              <w:rPr>
                <w:rFonts w:ascii="Arial Narrow" w:eastAsiaTheme="majorEastAsia" w:hAnsi="Arial Narrow" w:cstheme="majorBidi"/>
                <w:bCs/>
                <w:iCs/>
                <w:sz w:val="20"/>
                <w:szCs w:val="20"/>
              </w:rPr>
              <w:t>amma (OS) and Gompertz (RFS)</w:t>
            </w:r>
            <w:r w:rsidR="002B204D" w:rsidRPr="007F034A">
              <w:rPr>
                <w:rFonts w:ascii="Arial Narrow" w:eastAsiaTheme="majorEastAsia" w:hAnsi="Arial Narrow" w:cstheme="majorBidi"/>
                <w:bCs/>
                <w:iCs/>
                <w:sz w:val="20"/>
                <w:szCs w:val="20"/>
              </w:rPr>
              <w:t>;</w:t>
            </w:r>
            <w:r w:rsidRPr="007F034A">
              <w:rPr>
                <w:rFonts w:ascii="Arial Narrow" w:eastAsiaTheme="majorEastAsia" w:hAnsi="Arial Narrow" w:cstheme="majorBidi"/>
                <w:bCs/>
                <w:iCs/>
                <w:sz w:val="20"/>
                <w:szCs w:val="20"/>
              </w:rPr>
              <w:t xml:space="preserve"> however, </w:t>
            </w:r>
            <w:r w:rsidR="008F45F3" w:rsidRPr="007F034A">
              <w:rPr>
                <w:rFonts w:ascii="Arial Narrow" w:eastAsiaTheme="majorEastAsia" w:hAnsi="Arial Narrow" w:cstheme="majorBidi"/>
                <w:bCs/>
                <w:iCs/>
                <w:sz w:val="20"/>
                <w:szCs w:val="20"/>
              </w:rPr>
              <w:t xml:space="preserve">visual inspection </w:t>
            </w:r>
            <w:r w:rsidRPr="007F034A">
              <w:rPr>
                <w:rFonts w:ascii="Arial Narrow" w:eastAsiaTheme="majorEastAsia" w:hAnsi="Arial Narrow" w:cstheme="majorBidi"/>
                <w:bCs/>
                <w:iCs/>
                <w:sz w:val="20"/>
                <w:szCs w:val="20"/>
              </w:rPr>
              <w:t>suggested clinical implausibility.</w:t>
            </w:r>
            <w:r w:rsidR="008F45F3" w:rsidRPr="007F034A">
              <w:rPr>
                <w:rFonts w:ascii="Arial Narrow" w:eastAsiaTheme="majorEastAsia" w:hAnsi="Arial Narrow" w:cstheme="majorBidi"/>
                <w:bCs/>
                <w:iCs/>
                <w:sz w:val="20"/>
                <w:szCs w:val="20"/>
              </w:rPr>
              <w:t xml:space="preserve"> </w:t>
            </w:r>
            <w:r w:rsidR="00B975F4" w:rsidRPr="007F034A">
              <w:rPr>
                <w:rFonts w:ascii="Arial Narrow" w:eastAsiaTheme="majorEastAsia" w:hAnsi="Arial Narrow" w:cstheme="majorBidi"/>
                <w:bCs/>
                <w:iCs/>
                <w:sz w:val="20"/>
                <w:szCs w:val="20"/>
              </w:rPr>
              <w:t xml:space="preserve">Based on </w:t>
            </w:r>
            <w:r w:rsidR="002F2D63" w:rsidRPr="007F034A">
              <w:rPr>
                <w:rFonts w:ascii="Arial Narrow" w:eastAsiaTheme="majorEastAsia" w:hAnsi="Arial Narrow" w:cstheme="majorBidi"/>
                <w:bCs/>
                <w:iCs/>
                <w:sz w:val="20"/>
                <w:szCs w:val="20"/>
              </w:rPr>
              <w:t>visual inspection the selection of the parametric models was appropriate</w:t>
            </w:r>
            <w:r w:rsidR="00236503" w:rsidRPr="007F034A">
              <w:rPr>
                <w:rFonts w:ascii="Arial Narrow" w:eastAsiaTheme="majorEastAsia" w:hAnsi="Arial Narrow" w:cstheme="majorBidi"/>
                <w:bCs/>
                <w:iCs/>
                <w:sz w:val="20"/>
                <w:szCs w:val="20"/>
              </w:rPr>
              <w:t>.</w:t>
            </w:r>
            <w:r w:rsidR="002F2D63" w:rsidRPr="007F034A">
              <w:rPr>
                <w:rFonts w:ascii="Arial Narrow" w:eastAsiaTheme="majorEastAsia" w:hAnsi="Arial Narrow" w:cstheme="majorBidi"/>
                <w:bCs/>
                <w:iCs/>
                <w:sz w:val="20"/>
                <w:szCs w:val="20"/>
              </w:rPr>
              <w:t xml:space="preserve"> </w:t>
            </w:r>
          </w:p>
          <w:p w14:paraId="5B46FF91" w14:textId="77777777" w:rsidR="00AC36A2" w:rsidRPr="00705787" w:rsidRDefault="00AC36A2" w:rsidP="00F665F3">
            <w:pPr>
              <w:pStyle w:val="TableText0"/>
              <w:keepLines/>
              <w:rPr>
                <w:szCs w:val="20"/>
              </w:rPr>
            </w:pPr>
          </w:p>
          <w:p w14:paraId="4DC75077" w14:textId="4D8D4E59" w:rsidR="00AC36A2" w:rsidRPr="00705787" w:rsidRDefault="00AC36A2" w:rsidP="00F665F3">
            <w:pPr>
              <w:keepNext/>
              <w:keepLines/>
              <w:jc w:val="left"/>
              <w:rPr>
                <w:rFonts w:ascii="Arial Narrow" w:eastAsiaTheme="majorEastAsia" w:hAnsi="Arial Narrow" w:cstheme="majorBidi"/>
                <w:bCs/>
                <w:iCs/>
                <w:sz w:val="20"/>
                <w:szCs w:val="20"/>
              </w:rPr>
            </w:pPr>
            <w:r w:rsidRPr="00705787">
              <w:rPr>
                <w:rFonts w:ascii="Arial Narrow" w:hAnsi="Arial Narrow"/>
                <w:sz w:val="20"/>
                <w:szCs w:val="20"/>
              </w:rPr>
              <w:t xml:space="preserve">The extrapolation point </w:t>
            </w:r>
            <w:r w:rsidR="002B204D">
              <w:rPr>
                <w:rFonts w:ascii="Arial Narrow" w:hAnsi="Arial Narrow"/>
                <w:sz w:val="20"/>
                <w:szCs w:val="20"/>
              </w:rPr>
              <w:t>for</w:t>
            </w:r>
            <w:r w:rsidRPr="00705787">
              <w:rPr>
                <w:rFonts w:ascii="Arial Narrow" w:hAnsi="Arial Narrow"/>
                <w:sz w:val="20"/>
                <w:szCs w:val="20"/>
              </w:rPr>
              <w:t xml:space="preserve"> OS was 69 cycles (</w:t>
            </w:r>
            <w:r w:rsidR="00E8345E" w:rsidRPr="00705787">
              <w:rPr>
                <w:rFonts w:ascii="Arial Narrow" w:hAnsi="Arial Narrow"/>
                <w:sz w:val="20"/>
                <w:szCs w:val="20"/>
              </w:rPr>
              <w:t xml:space="preserve">63 </w:t>
            </w:r>
            <w:r w:rsidRPr="00705787">
              <w:rPr>
                <w:rFonts w:ascii="Arial Narrow" w:hAnsi="Arial Narrow"/>
                <w:sz w:val="20"/>
                <w:szCs w:val="20"/>
              </w:rPr>
              <w:t xml:space="preserve">months), </w:t>
            </w:r>
            <w:bookmarkStart w:id="56" w:name="_Hlk100760899"/>
            <w:r w:rsidR="002B204D" w:rsidRPr="007F034A">
              <w:rPr>
                <w:rFonts w:ascii="Arial Narrow" w:eastAsiaTheme="majorEastAsia" w:hAnsi="Arial Narrow" w:cstheme="majorBidi"/>
                <w:bCs/>
                <w:sz w:val="20"/>
                <w:szCs w:val="20"/>
              </w:rPr>
              <w:t>at which</w:t>
            </w:r>
            <w:r w:rsidRPr="007F034A">
              <w:rPr>
                <w:rFonts w:ascii="Arial Narrow" w:eastAsiaTheme="majorEastAsia" w:hAnsi="Arial Narrow" w:cstheme="majorBidi"/>
                <w:bCs/>
                <w:sz w:val="20"/>
                <w:szCs w:val="20"/>
              </w:rPr>
              <w:t xml:space="preserve"> 16/238 (</w:t>
            </w:r>
            <w:r w:rsidR="009D15AF" w:rsidRPr="007F034A">
              <w:rPr>
                <w:rFonts w:ascii="Arial Narrow" w:eastAsiaTheme="majorEastAsia" w:hAnsi="Arial Narrow" w:cstheme="majorBidi"/>
                <w:bCs/>
                <w:sz w:val="20"/>
                <w:szCs w:val="20"/>
              </w:rPr>
              <w:t>6.</w:t>
            </w:r>
            <w:r w:rsidRPr="007F034A">
              <w:rPr>
                <w:rFonts w:ascii="Arial Narrow" w:eastAsiaTheme="majorEastAsia" w:hAnsi="Arial Narrow" w:cstheme="majorBidi"/>
                <w:bCs/>
                <w:sz w:val="20"/>
                <w:szCs w:val="20"/>
              </w:rPr>
              <w:t xml:space="preserve">7%) of patients in </w:t>
            </w:r>
            <w:r w:rsidR="002B204D" w:rsidRPr="007F034A">
              <w:rPr>
                <w:rFonts w:ascii="Arial Narrow" w:eastAsiaTheme="majorEastAsia" w:hAnsi="Arial Narrow" w:cstheme="majorBidi"/>
                <w:bCs/>
                <w:sz w:val="20"/>
                <w:szCs w:val="20"/>
              </w:rPr>
              <w:t xml:space="preserve">the oral </w:t>
            </w:r>
            <w:r w:rsidRPr="007F034A">
              <w:rPr>
                <w:rFonts w:ascii="Arial Narrow" w:eastAsiaTheme="majorEastAsia" w:hAnsi="Arial Narrow" w:cstheme="majorBidi"/>
                <w:bCs/>
                <w:sz w:val="20"/>
                <w:szCs w:val="20"/>
              </w:rPr>
              <w:t>azacitidine arm and 12/234 (5</w:t>
            </w:r>
            <w:r w:rsidR="009D15AF" w:rsidRPr="007F034A">
              <w:rPr>
                <w:rFonts w:ascii="Arial Narrow" w:eastAsiaTheme="majorEastAsia" w:hAnsi="Arial Narrow" w:cstheme="majorBidi"/>
                <w:bCs/>
                <w:sz w:val="20"/>
                <w:szCs w:val="20"/>
              </w:rPr>
              <w:t>.1</w:t>
            </w:r>
            <w:r w:rsidRPr="007F034A">
              <w:rPr>
                <w:rFonts w:ascii="Arial Narrow" w:eastAsiaTheme="majorEastAsia" w:hAnsi="Arial Narrow" w:cstheme="majorBidi"/>
                <w:bCs/>
                <w:sz w:val="20"/>
                <w:szCs w:val="20"/>
              </w:rPr>
              <w:t xml:space="preserve">%) of patients in </w:t>
            </w:r>
            <w:r w:rsidR="002B204D" w:rsidRPr="007F034A">
              <w:rPr>
                <w:rFonts w:ascii="Arial Narrow" w:eastAsiaTheme="majorEastAsia" w:hAnsi="Arial Narrow" w:cstheme="majorBidi"/>
                <w:bCs/>
                <w:sz w:val="20"/>
                <w:szCs w:val="20"/>
              </w:rPr>
              <w:t xml:space="preserve">the </w:t>
            </w:r>
            <w:r w:rsidR="001C46EE" w:rsidRPr="007F034A">
              <w:rPr>
                <w:rFonts w:ascii="Arial Narrow" w:eastAsiaTheme="majorEastAsia" w:hAnsi="Arial Narrow" w:cstheme="majorBidi"/>
                <w:bCs/>
                <w:sz w:val="20"/>
                <w:szCs w:val="20"/>
              </w:rPr>
              <w:t>BSC</w:t>
            </w:r>
            <w:r w:rsidRPr="007F034A">
              <w:rPr>
                <w:rFonts w:ascii="Arial Narrow" w:eastAsiaTheme="majorEastAsia" w:hAnsi="Arial Narrow" w:cstheme="majorBidi"/>
                <w:bCs/>
                <w:sz w:val="20"/>
                <w:szCs w:val="20"/>
              </w:rPr>
              <w:t xml:space="preserve"> arm remained at </w:t>
            </w:r>
            <w:r w:rsidRPr="00795B5B">
              <w:rPr>
                <w:rFonts w:ascii="Arial Narrow" w:eastAsiaTheme="majorEastAsia" w:hAnsi="Arial Narrow" w:cstheme="majorBidi"/>
                <w:bCs/>
                <w:sz w:val="20"/>
                <w:szCs w:val="20"/>
              </w:rPr>
              <w:t>risk</w:t>
            </w:r>
            <w:r w:rsidRPr="00795B5B">
              <w:rPr>
                <w:rFonts w:ascii="Arial Narrow" w:eastAsiaTheme="majorEastAsia" w:hAnsi="Arial Narrow" w:cstheme="majorBidi"/>
                <w:bCs/>
                <w:iCs/>
                <w:sz w:val="20"/>
                <w:szCs w:val="20"/>
              </w:rPr>
              <w:t>.</w:t>
            </w:r>
            <w:bookmarkEnd w:id="56"/>
            <w:r w:rsidR="008F45F3" w:rsidRPr="00795B5B">
              <w:rPr>
                <w:rFonts w:ascii="Arial Narrow" w:eastAsiaTheme="majorEastAsia" w:hAnsi="Arial Narrow" w:cstheme="majorBidi"/>
                <w:bCs/>
                <w:iCs/>
                <w:sz w:val="20"/>
                <w:szCs w:val="20"/>
              </w:rPr>
              <w:t xml:space="preserve"> </w:t>
            </w:r>
            <w:r w:rsidR="002F2D63" w:rsidRPr="00795B5B">
              <w:rPr>
                <w:rFonts w:ascii="Arial Narrow" w:eastAsiaTheme="majorEastAsia" w:hAnsi="Arial Narrow" w:cstheme="majorBidi"/>
                <w:bCs/>
                <w:iCs/>
                <w:sz w:val="20"/>
                <w:szCs w:val="20"/>
              </w:rPr>
              <w:t>The point of extrapolation chosen by the submission may be unreliable due significant censoring occurring prior to this time point. The model is sensitive to the point of</w:t>
            </w:r>
            <w:r w:rsidR="002F2D63" w:rsidRPr="007F034A">
              <w:rPr>
                <w:rFonts w:ascii="Arial Narrow" w:eastAsiaTheme="majorEastAsia" w:hAnsi="Arial Narrow" w:cstheme="majorBidi"/>
                <w:bCs/>
                <w:iCs/>
                <w:sz w:val="20"/>
                <w:szCs w:val="20"/>
              </w:rPr>
              <w:t xml:space="preserve"> extrapolation</w:t>
            </w:r>
            <w:r w:rsidR="007F0EB7" w:rsidRPr="007F034A">
              <w:rPr>
                <w:rFonts w:ascii="Arial Narrow" w:eastAsiaTheme="majorEastAsia" w:hAnsi="Arial Narrow" w:cstheme="majorBidi"/>
                <w:bCs/>
                <w:iCs/>
                <w:sz w:val="20"/>
                <w:szCs w:val="20"/>
              </w:rPr>
              <w:t xml:space="preserve"> for OS</w:t>
            </w:r>
            <w:r w:rsidR="002F2D63" w:rsidRPr="007F034A">
              <w:rPr>
                <w:rFonts w:ascii="Arial Narrow" w:eastAsiaTheme="majorEastAsia" w:hAnsi="Arial Narrow" w:cstheme="majorBidi"/>
                <w:bCs/>
                <w:iCs/>
                <w:sz w:val="20"/>
                <w:szCs w:val="20"/>
              </w:rPr>
              <w:t>.</w:t>
            </w:r>
          </w:p>
          <w:p w14:paraId="7266C98F" w14:textId="77777777" w:rsidR="00AC36A2" w:rsidRPr="00705787" w:rsidRDefault="00AC36A2" w:rsidP="00F665F3">
            <w:pPr>
              <w:pStyle w:val="TableText0"/>
              <w:keepLines/>
              <w:rPr>
                <w:szCs w:val="20"/>
              </w:rPr>
            </w:pPr>
          </w:p>
          <w:p w14:paraId="335E97F4" w14:textId="410396F5" w:rsidR="00AC36A2" w:rsidRPr="002B204D" w:rsidRDefault="00AC36A2" w:rsidP="00F665F3">
            <w:pPr>
              <w:pStyle w:val="TableText0"/>
              <w:keepLines/>
              <w:rPr>
                <w:i/>
                <w:szCs w:val="20"/>
              </w:rPr>
            </w:pPr>
            <w:r w:rsidRPr="00705787">
              <w:rPr>
                <w:szCs w:val="20"/>
              </w:rPr>
              <w:t xml:space="preserve">RFS extrapolation began at 35 cycles (32 months), </w:t>
            </w:r>
            <w:r w:rsidR="002B204D" w:rsidRPr="007F034A">
              <w:rPr>
                <w:iCs/>
                <w:szCs w:val="20"/>
              </w:rPr>
              <w:t>at which</w:t>
            </w:r>
            <w:r w:rsidRPr="007F034A">
              <w:rPr>
                <w:szCs w:val="20"/>
              </w:rPr>
              <w:t xml:space="preserve"> 30/238 (12.6%) of patients in </w:t>
            </w:r>
            <w:r w:rsidR="002B204D" w:rsidRPr="007F034A">
              <w:rPr>
                <w:szCs w:val="20"/>
              </w:rPr>
              <w:t xml:space="preserve">the oral </w:t>
            </w:r>
            <w:r w:rsidRPr="007F034A">
              <w:rPr>
                <w:szCs w:val="20"/>
              </w:rPr>
              <w:t xml:space="preserve">azacitidine arm and 23/234 (9.8%) of patients in </w:t>
            </w:r>
            <w:r w:rsidR="002B204D" w:rsidRPr="007F034A">
              <w:rPr>
                <w:szCs w:val="20"/>
              </w:rPr>
              <w:t>the BSC</w:t>
            </w:r>
            <w:r w:rsidRPr="007F034A">
              <w:rPr>
                <w:szCs w:val="20"/>
              </w:rPr>
              <w:t xml:space="preserve"> arm remained at risk. </w:t>
            </w:r>
            <w:r w:rsidR="002F2D63" w:rsidRPr="007F034A">
              <w:rPr>
                <w:szCs w:val="20"/>
              </w:rPr>
              <w:t>The point extrapolation for the RFS curve was reasonable.</w:t>
            </w:r>
          </w:p>
        </w:tc>
      </w:tr>
      <w:tr w:rsidR="00AC36A2" w:rsidRPr="00705787" w14:paraId="25780C43" w14:textId="77777777" w:rsidTr="00C540B8">
        <w:trPr>
          <w:cantSplit/>
        </w:trPr>
        <w:tc>
          <w:tcPr>
            <w:tcW w:w="940" w:type="pct"/>
            <w:shd w:val="clear" w:color="auto" w:fill="auto"/>
            <w:vAlign w:val="center"/>
          </w:tcPr>
          <w:p w14:paraId="242141C8" w14:textId="77777777" w:rsidR="00AC36A2" w:rsidRPr="00705787" w:rsidRDefault="00AC36A2" w:rsidP="00F665F3">
            <w:pPr>
              <w:pStyle w:val="TableText0"/>
              <w:keepLines/>
              <w:rPr>
                <w:szCs w:val="20"/>
              </w:rPr>
            </w:pPr>
            <w:r w:rsidRPr="00705787">
              <w:rPr>
                <w:szCs w:val="20"/>
              </w:rPr>
              <w:t>Health related quality of life</w:t>
            </w:r>
          </w:p>
        </w:tc>
        <w:tc>
          <w:tcPr>
            <w:tcW w:w="4060" w:type="pct"/>
            <w:shd w:val="clear" w:color="auto" w:fill="auto"/>
            <w:vAlign w:val="center"/>
          </w:tcPr>
          <w:p w14:paraId="2AE56156" w14:textId="0EC63032" w:rsidR="00AC36A2" w:rsidRPr="006541F8" w:rsidRDefault="00AC36A2" w:rsidP="00F665F3">
            <w:pPr>
              <w:keepNext/>
              <w:keepLines/>
              <w:jc w:val="left"/>
              <w:rPr>
                <w:rFonts w:ascii="Arial Narrow" w:eastAsiaTheme="majorEastAsia" w:hAnsi="Arial Narrow" w:cstheme="majorBidi"/>
                <w:bCs/>
                <w:sz w:val="20"/>
                <w:szCs w:val="20"/>
              </w:rPr>
            </w:pPr>
            <w:r w:rsidRPr="00705787">
              <w:rPr>
                <w:rFonts w:ascii="Arial Narrow" w:eastAsiaTheme="majorEastAsia" w:hAnsi="Arial Narrow" w:cstheme="majorBidi"/>
                <w:bCs/>
                <w:sz w:val="20"/>
                <w:szCs w:val="20"/>
              </w:rPr>
              <w:t>Relapse free (on-treatment and off treatment</w:t>
            </w:r>
            <w:r w:rsidRPr="006541F8">
              <w:rPr>
                <w:rFonts w:ascii="Arial Narrow" w:eastAsiaTheme="majorEastAsia" w:hAnsi="Arial Narrow" w:cstheme="majorBidi"/>
                <w:bCs/>
                <w:sz w:val="20"/>
                <w:szCs w:val="20"/>
              </w:rPr>
              <w:t>):</w:t>
            </w:r>
            <w:r w:rsidR="00F00956" w:rsidRPr="006541F8">
              <w:rPr>
                <w:rFonts w:ascii="Arial Narrow" w:eastAsiaTheme="majorEastAsia" w:hAnsi="Arial Narrow" w:cstheme="majorBidi"/>
                <w:bCs/>
                <w:sz w:val="20"/>
                <w:szCs w:val="20"/>
              </w:rPr>
              <w:t xml:space="preserve"> </w:t>
            </w:r>
            <w:r w:rsidRPr="006541F8">
              <w:rPr>
                <w:rFonts w:ascii="Arial Narrow" w:eastAsiaTheme="majorEastAsia" w:hAnsi="Arial Narrow" w:cstheme="majorBidi"/>
                <w:bCs/>
                <w:sz w:val="20"/>
                <w:szCs w:val="20"/>
              </w:rPr>
              <w:t>0.83</w:t>
            </w:r>
          </w:p>
          <w:p w14:paraId="3CD3E540" w14:textId="728F3A1F" w:rsidR="00AC36A2" w:rsidRPr="00705787" w:rsidRDefault="00AC36A2" w:rsidP="00F665F3">
            <w:pPr>
              <w:keepNext/>
              <w:keepLines/>
              <w:jc w:val="left"/>
              <w:rPr>
                <w:rFonts w:ascii="Arial Narrow" w:eastAsiaTheme="majorEastAsia" w:hAnsi="Arial Narrow" w:cstheme="majorBidi"/>
                <w:bCs/>
                <w:sz w:val="20"/>
                <w:szCs w:val="20"/>
              </w:rPr>
            </w:pPr>
            <w:r w:rsidRPr="006541F8">
              <w:rPr>
                <w:rFonts w:ascii="Arial Narrow" w:eastAsiaTheme="majorEastAsia" w:hAnsi="Arial Narrow" w:cstheme="majorBidi"/>
                <w:bCs/>
                <w:sz w:val="20"/>
                <w:szCs w:val="20"/>
              </w:rPr>
              <w:t>Based on QUAZAR EQ-5D data, equal for both arms. The mean utility value was based on a repeated measures mixed effect model that accounted for reduction in utility due to adverse events.</w:t>
            </w:r>
            <w:r w:rsidR="003C6039" w:rsidRPr="006541F8">
              <w:rPr>
                <w:rFonts w:ascii="Arial Narrow" w:eastAsiaTheme="majorEastAsia" w:hAnsi="Arial Narrow" w:cstheme="majorBidi"/>
                <w:bCs/>
                <w:sz w:val="20"/>
                <w:szCs w:val="20"/>
              </w:rPr>
              <w:t xml:space="preserve"> </w:t>
            </w:r>
            <w:r w:rsidR="00871723" w:rsidRPr="006541F8">
              <w:rPr>
                <w:rFonts w:ascii="Arial Narrow" w:eastAsiaTheme="majorEastAsia" w:hAnsi="Arial Narrow" w:cstheme="majorBidi"/>
                <w:bCs/>
                <w:sz w:val="20"/>
                <w:szCs w:val="20"/>
              </w:rPr>
              <w:t xml:space="preserve">Treatment specific utility values of </w:t>
            </w:r>
            <w:r w:rsidR="003C6039" w:rsidRPr="006541F8">
              <w:rPr>
                <w:rFonts w:ascii="Arial Narrow" w:eastAsiaTheme="majorEastAsia" w:hAnsi="Arial Narrow" w:cstheme="majorBidi"/>
                <w:bCs/>
                <w:sz w:val="20"/>
                <w:szCs w:val="20"/>
              </w:rPr>
              <w:t xml:space="preserve">0.846 for patients in the azacitidine arm and 0.853 for patients in the BSC arm </w:t>
            </w:r>
            <w:r w:rsidR="00871723" w:rsidRPr="006541F8">
              <w:rPr>
                <w:rFonts w:ascii="Arial Narrow" w:eastAsiaTheme="majorEastAsia" w:hAnsi="Arial Narrow" w:cstheme="majorBidi"/>
                <w:bCs/>
                <w:sz w:val="20"/>
                <w:szCs w:val="20"/>
              </w:rPr>
              <w:t xml:space="preserve">based on the QUAZAR trial </w:t>
            </w:r>
            <w:r w:rsidR="003C6039" w:rsidRPr="006541F8">
              <w:rPr>
                <w:rFonts w:ascii="Arial Narrow" w:eastAsiaTheme="majorEastAsia" w:hAnsi="Arial Narrow" w:cstheme="majorBidi"/>
                <w:bCs/>
                <w:sz w:val="20"/>
                <w:szCs w:val="20"/>
              </w:rPr>
              <w:t xml:space="preserve">were applied in the </w:t>
            </w:r>
            <w:r w:rsidR="00871723" w:rsidRPr="006541F8">
              <w:rPr>
                <w:rFonts w:ascii="Arial Narrow" w:eastAsiaTheme="majorEastAsia" w:hAnsi="Arial Narrow" w:cstheme="majorBidi"/>
                <w:bCs/>
                <w:sz w:val="20"/>
                <w:szCs w:val="20"/>
              </w:rPr>
              <w:t>revised</w:t>
            </w:r>
            <w:r w:rsidR="00871723">
              <w:rPr>
                <w:rFonts w:ascii="Arial Narrow" w:eastAsiaTheme="majorEastAsia" w:hAnsi="Arial Narrow" w:cstheme="majorBidi"/>
                <w:bCs/>
                <w:sz w:val="20"/>
                <w:szCs w:val="20"/>
              </w:rPr>
              <w:t xml:space="preserve"> model presented in the </w:t>
            </w:r>
            <w:r w:rsidR="003C6039">
              <w:rPr>
                <w:rFonts w:ascii="Arial Narrow" w:eastAsiaTheme="majorEastAsia" w:hAnsi="Arial Narrow" w:cstheme="majorBidi"/>
                <w:bCs/>
                <w:sz w:val="20"/>
                <w:szCs w:val="20"/>
              </w:rPr>
              <w:t>pre-PBAC response.</w:t>
            </w:r>
            <w:r w:rsidRPr="00705787">
              <w:rPr>
                <w:rFonts w:ascii="Arial Narrow" w:eastAsiaTheme="majorEastAsia" w:hAnsi="Arial Narrow" w:cstheme="majorBidi"/>
                <w:bCs/>
                <w:sz w:val="20"/>
                <w:szCs w:val="20"/>
              </w:rPr>
              <w:t xml:space="preserve"> </w:t>
            </w:r>
          </w:p>
          <w:p w14:paraId="280EAD41" w14:textId="77777777" w:rsidR="00AC36A2" w:rsidRPr="00705787" w:rsidRDefault="00AC36A2" w:rsidP="00F665F3">
            <w:pPr>
              <w:keepNext/>
              <w:keepLines/>
              <w:jc w:val="left"/>
              <w:rPr>
                <w:rFonts w:ascii="Arial Narrow" w:eastAsiaTheme="majorEastAsia" w:hAnsi="Arial Narrow" w:cstheme="majorBidi"/>
                <w:bCs/>
                <w:sz w:val="20"/>
                <w:szCs w:val="20"/>
              </w:rPr>
            </w:pPr>
          </w:p>
          <w:p w14:paraId="56196AC2" w14:textId="54C30F42" w:rsidR="00AC36A2" w:rsidRPr="00705787" w:rsidRDefault="00AC36A2" w:rsidP="00F665F3">
            <w:pPr>
              <w:keepNext/>
              <w:keepLines/>
              <w:jc w:val="left"/>
              <w:rPr>
                <w:rFonts w:ascii="Arial Narrow" w:eastAsiaTheme="majorEastAsia" w:hAnsi="Arial Narrow" w:cstheme="majorBidi"/>
                <w:bCs/>
                <w:sz w:val="20"/>
                <w:szCs w:val="20"/>
              </w:rPr>
            </w:pPr>
            <w:r w:rsidRPr="00705787">
              <w:rPr>
                <w:rFonts w:ascii="Arial Narrow" w:eastAsiaTheme="majorEastAsia" w:hAnsi="Arial Narrow" w:cstheme="majorBidi"/>
                <w:bCs/>
                <w:sz w:val="20"/>
                <w:szCs w:val="20"/>
              </w:rPr>
              <w:t>Relapse: 0.51</w:t>
            </w:r>
          </w:p>
          <w:p w14:paraId="0066BABA" w14:textId="392D3E17" w:rsidR="00AC36A2" w:rsidRDefault="00AC36A2" w:rsidP="00F665F3">
            <w:pPr>
              <w:pStyle w:val="TableText0"/>
              <w:keepLines/>
              <w:rPr>
                <w:szCs w:val="20"/>
              </w:rPr>
            </w:pPr>
            <w:r w:rsidRPr="00705787">
              <w:rPr>
                <w:szCs w:val="20"/>
              </w:rPr>
              <w:t>Based on published literature (Joshi et al., 2019).</w:t>
            </w:r>
          </w:p>
          <w:p w14:paraId="17B3D68B" w14:textId="77777777" w:rsidR="002B204D" w:rsidRDefault="002B204D" w:rsidP="00F665F3">
            <w:pPr>
              <w:pStyle w:val="TableText0"/>
              <w:keepLines/>
              <w:rPr>
                <w:szCs w:val="20"/>
              </w:rPr>
            </w:pPr>
          </w:p>
          <w:p w14:paraId="28216DA5" w14:textId="09FA85E0" w:rsidR="001C46EE" w:rsidRPr="00705787" w:rsidRDefault="001C46EE" w:rsidP="00F665F3">
            <w:pPr>
              <w:pStyle w:val="TableText0"/>
              <w:keepLines/>
              <w:rPr>
                <w:szCs w:val="20"/>
              </w:rPr>
            </w:pPr>
            <w:r w:rsidRPr="007F034A">
              <w:t xml:space="preserve">The </w:t>
            </w:r>
            <w:r w:rsidR="002F7D64">
              <w:t xml:space="preserve">evaluation and the ESC considered that the </w:t>
            </w:r>
            <w:r w:rsidRPr="007F034A">
              <w:t xml:space="preserve">application of the same utility value for both treatment arms may not be reasonable given the difficulties in concluding that HRQoL is noninferior in the oral azacitidine arm compared with the BSC arm. </w:t>
            </w:r>
            <w:r w:rsidR="002B204D" w:rsidRPr="007F034A">
              <w:t>In addition, g</w:t>
            </w:r>
            <w:r w:rsidRPr="007F034A">
              <w:t xml:space="preserve">iven patients in the oral azacitidine arm experienced more severe AEs </w:t>
            </w:r>
            <w:r w:rsidR="00B76B3F" w:rsidRPr="007F034A">
              <w:t xml:space="preserve">than patients in the BSC arm </w:t>
            </w:r>
            <w:r w:rsidRPr="007F034A">
              <w:t>the application of a single utility value for both treatment arms may overestimate the utility applied in the oral azacitidine arm.</w:t>
            </w:r>
          </w:p>
        </w:tc>
      </w:tr>
      <w:tr w:rsidR="00B4284F" w:rsidRPr="00705787" w14:paraId="315DAE5C" w14:textId="77777777" w:rsidTr="00C540B8">
        <w:trPr>
          <w:cantSplit/>
        </w:trPr>
        <w:tc>
          <w:tcPr>
            <w:tcW w:w="940" w:type="pct"/>
            <w:shd w:val="clear" w:color="auto" w:fill="auto"/>
            <w:vAlign w:val="center"/>
          </w:tcPr>
          <w:p w14:paraId="2F72106E" w14:textId="17E0D5B3" w:rsidR="00B4284F" w:rsidRPr="00705787" w:rsidRDefault="00B4284F" w:rsidP="00F665F3">
            <w:pPr>
              <w:pStyle w:val="TableText0"/>
              <w:keepLines/>
              <w:rPr>
                <w:szCs w:val="20"/>
              </w:rPr>
            </w:pPr>
            <w:r>
              <w:rPr>
                <w:szCs w:val="20"/>
              </w:rPr>
              <w:t>Adverse events</w:t>
            </w:r>
          </w:p>
        </w:tc>
        <w:tc>
          <w:tcPr>
            <w:tcW w:w="4060" w:type="pct"/>
            <w:shd w:val="clear" w:color="auto" w:fill="auto"/>
            <w:vAlign w:val="center"/>
          </w:tcPr>
          <w:p w14:paraId="45ED0821" w14:textId="1E6CAA27" w:rsidR="00B4284F" w:rsidRPr="00F501B9" w:rsidRDefault="00B4284F" w:rsidP="00F665F3">
            <w:pPr>
              <w:keepNext/>
              <w:keepLines/>
              <w:jc w:val="left"/>
              <w:rPr>
                <w:rFonts w:ascii="Arial Narrow" w:eastAsiaTheme="majorEastAsia" w:hAnsi="Arial Narrow" w:cstheme="majorBidi"/>
                <w:bCs/>
                <w:i/>
                <w:sz w:val="20"/>
                <w:szCs w:val="20"/>
              </w:rPr>
            </w:pPr>
            <w:r>
              <w:rPr>
                <w:rFonts w:ascii="Arial Narrow" w:eastAsiaTheme="majorEastAsia" w:hAnsi="Arial Narrow" w:cstheme="majorBidi"/>
                <w:bCs/>
                <w:sz w:val="20"/>
                <w:szCs w:val="20"/>
              </w:rPr>
              <w:t>The model</w:t>
            </w:r>
            <w:r w:rsidRPr="00B4284F">
              <w:rPr>
                <w:rFonts w:ascii="Arial Narrow" w:eastAsiaTheme="majorEastAsia" w:hAnsi="Arial Narrow" w:cstheme="majorBidi"/>
                <w:bCs/>
                <w:sz w:val="20"/>
                <w:szCs w:val="20"/>
              </w:rPr>
              <w:t xml:space="preserve"> included and applied the costs of treatment </w:t>
            </w:r>
            <w:r w:rsidR="002B204D">
              <w:rPr>
                <w:rFonts w:ascii="Arial Narrow" w:eastAsiaTheme="majorEastAsia" w:hAnsi="Arial Narrow" w:cstheme="majorBidi"/>
                <w:bCs/>
                <w:sz w:val="20"/>
                <w:szCs w:val="20"/>
              </w:rPr>
              <w:t>for</w:t>
            </w:r>
            <w:r w:rsidRPr="00B4284F">
              <w:rPr>
                <w:rFonts w:ascii="Arial Narrow" w:eastAsiaTheme="majorEastAsia" w:hAnsi="Arial Narrow" w:cstheme="majorBidi"/>
                <w:bCs/>
                <w:sz w:val="20"/>
                <w:szCs w:val="20"/>
              </w:rPr>
              <w:t xml:space="preserve"> ≥</w:t>
            </w:r>
            <w:r w:rsidR="00B55A4C">
              <w:rPr>
                <w:rFonts w:ascii="Arial Narrow" w:eastAsiaTheme="majorEastAsia" w:hAnsi="Arial Narrow" w:cstheme="majorBidi"/>
                <w:bCs/>
                <w:sz w:val="20"/>
                <w:szCs w:val="20"/>
              </w:rPr>
              <w:t> </w:t>
            </w:r>
            <w:r w:rsidRPr="00B4284F">
              <w:rPr>
                <w:rFonts w:ascii="Arial Narrow" w:eastAsiaTheme="majorEastAsia" w:hAnsi="Arial Narrow" w:cstheme="majorBidi"/>
                <w:bCs/>
                <w:sz w:val="20"/>
                <w:szCs w:val="20"/>
              </w:rPr>
              <w:t>Grade 3 diarrhoea/vomiting/nausea, ≥</w:t>
            </w:r>
            <w:r w:rsidR="00B55A4C">
              <w:rPr>
                <w:rFonts w:ascii="Arial Narrow" w:eastAsiaTheme="majorEastAsia" w:hAnsi="Arial Narrow" w:cstheme="majorBidi"/>
                <w:bCs/>
                <w:sz w:val="20"/>
                <w:szCs w:val="20"/>
              </w:rPr>
              <w:t> </w:t>
            </w:r>
            <w:r w:rsidRPr="00B4284F">
              <w:rPr>
                <w:rFonts w:ascii="Arial Narrow" w:eastAsiaTheme="majorEastAsia" w:hAnsi="Arial Narrow" w:cstheme="majorBidi"/>
                <w:bCs/>
                <w:sz w:val="20"/>
                <w:szCs w:val="20"/>
              </w:rPr>
              <w:t>Grade 3 neutropenia, anaemia/thrombocytopenia, ≥</w:t>
            </w:r>
            <w:r w:rsidR="00B55A4C">
              <w:rPr>
                <w:rFonts w:ascii="Arial Narrow" w:eastAsiaTheme="majorEastAsia" w:hAnsi="Arial Narrow" w:cstheme="majorBidi"/>
                <w:bCs/>
                <w:sz w:val="20"/>
                <w:szCs w:val="20"/>
              </w:rPr>
              <w:t> </w:t>
            </w:r>
            <w:r w:rsidRPr="00B4284F">
              <w:rPr>
                <w:rFonts w:ascii="Arial Narrow" w:eastAsiaTheme="majorEastAsia" w:hAnsi="Arial Narrow" w:cstheme="majorBidi"/>
                <w:bCs/>
                <w:sz w:val="20"/>
                <w:szCs w:val="20"/>
              </w:rPr>
              <w:t>Grade 3 febrile neutropenia and ≥</w:t>
            </w:r>
            <w:r w:rsidR="00B55A4C">
              <w:rPr>
                <w:rFonts w:ascii="Arial Narrow" w:eastAsiaTheme="majorEastAsia" w:hAnsi="Arial Narrow" w:cstheme="majorBidi"/>
                <w:bCs/>
                <w:sz w:val="20"/>
                <w:szCs w:val="20"/>
              </w:rPr>
              <w:t> </w:t>
            </w:r>
            <w:r w:rsidRPr="00B4284F">
              <w:rPr>
                <w:rFonts w:ascii="Arial Narrow" w:eastAsiaTheme="majorEastAsia" w:hAnsi="Arial Narrow" w:cstheme="majorBidi"/>
                <w:bCs/>
                <w:sz w:val="20"/>
                <w:szCs w:val="20"/>
              </w:rPr>
              <w:t xml:space="preserve">Grade 3 fatigue for both </w:t>
            </w:r>
            <w:r>
              <w:rPr>
                <w:rFonts w:ascii="Arial Narrow" w:eastAsiaTheme="majorEastAsia" w:hAnsi="Arial Narrow" w:cstheme="majorBidi"/>
                <w:bCs/>
                <w:sz w:val="20"/>
                <w:szCs w:val="20"/>
              </w:rPr>
              <w:t xml:space="preserve">the </w:t>
            </w:r>
            <w:r w:rsidRPr="00B4284F">
              <w:rPr>
                <w:rFonts w:ascii="Arial Narrow" w:eastAsiaTheme="majorEastAsia" w:hAnsi="Arial Narrow" w:cstheme="majorBidi"/>
                <w:bCs/>
                <w:sz w:val="20"/>
                <w:szCs w:val="20"/>
              </w:rPr>
              <w:t xml:space="preserve">oral azacitidine and </w:t>
            </w:r>
            <w:r>
              <w:rPr>
                <w:rFonts w:ascii="Arial Narrow" w:eastAsiaTheme="majorEastAsia" w:hAnsi="Arial Narrow" w:cstheme="majorBidi"/>
                <w:bCs/>
                <w:sz w:val="20"/>
                <w:szCs w:val="20"/>
              </w:rPr>
              <w:t xml:space="preserve">the </w:t>
            </w:r>
            <w:r w:rsidR="001C46EE">
              <w:rPr>
                <w:rFonts w:ascii="Arial Narrow" w:eastAsiaTheme="majorEastAsia" w:hAnsi="Arial Narrow" w:cstheme="majorBidi"/>
                <w:bCs/>
                <w:sz w:val="20"/>
                <w:szCs w:val="20"/>
              </w:rPr>
              <w:t>BSC</w:t>
            </w:r>
            <w:r w:rsidRPr="00B4284F">
              <w:rPr>
                <w:rFonts w:ascii="Arial Narrow" w:eastAsiaTheme="majorEastAsia" w:hAnsi="Arial Narrow" w:cstheme="majorBidi"/>
                <w:bCs/>
                <w:sz w:val="20"/>
                <w:szCs w:val="20"/>
              </w:rPr>
              <w:t xml:space="preserve"> arms</w:t>
            </w:r>
            <w:r>
              <w:rPr>
                <w:rFonts w:ascii="Arial Narrow" w:eastAsiaTheme="majorEastAsia" w:hAnsi="Arial Narrow" w:cstheme="majorBidi"/>
                <w:bCs/>
                <w:sz w:val="20"/>
                <w:szCs w:val="20"/>
              </w:rPr>
              <w:t>.</w:t>
            </w:r>
            <w:r w:rsidR="00F501B9">
              <w:rPr>
                <w:rFonts w:ascii="Arial Narrow" w:eastAsiaTheme="majorEastAsia" w:hAnsi="Arial Narrow" w:cstheme="majorBidi"/>
                <w:bCs/>
                <w:sz w:val="20"/>
                <w:szCs w:val="20"/>
              </w:rPr>
              <w:t xml:space="preserve"> </w:t>
            </w:r>
            <w:r w:rsidR="00F501B9" w:rsidRPr="007F034A">
              <w:rPr>
                <w:rFonts w:ascii="Arial Narrow" w:eastAsiaTheme="majorEastAsia" w:hAnsi="Arial Narrow" w:cstheme="majorBidi"/>
                <w:bCs/>
                <w:sz w:val="20"/>
                <w:szCs w:val="20"/>
              </w:rPr>
              <w:t xml:space="preserve">This was reasonable. </w:t>
            </w:r>
          </w:p>
        </w:tc>
      </w:tr>
      <w:tr w:rsidR="00AC36A2" w:rsidRPr="00F501B9" w14:paraId="25FA6382" w14:textId="77777777" w:rsidTr="00C540B8">
        <w:trPr>
          <w:cantSplit/>
        </w:trPr>
        <w:tc>
          <w:tcPr>
            <w:tcW w:w="940" w:type="pct"/>
            <w:shd w:val="clear" w:color="auto" w:fill="auto"/>
            <w:vAlign w:val="center"/>
          </w:tcPr>
          <w:p w14:paraId="097B3E76" w14:textId="77777777" w:rsidR="00AC36A2" w:rsidRPr="00705787" w:rsidRDefault="00AC36A2" w:rsidP="00F665F3">
            <w:pPr>
              <w:pStyle w:val="TableText0"/>
              <w:keepLines/>
              <w:rPr>
                <w:szCs w:val="20"/>
              </w:rPr>
            </w:pPr>
            <w:r w:rsidRPr="00705787">
              <w:rPr>
                <w:szCs w:val="20"/>
              </w:rPr>
              <w:t>Stem cell transplant</w:t>
            </w:r>
          </w:p>
        </w:tc>
        <w:tc>
          <w:tcPr>
            <w:tcW w:w="4060" w:type="pct"/>
            <w:shd w:val="clear" w:color="auto" w:fill="auto"/>
            <w:vAlign w:val="center"/>
          </w:tcPr>
          <w:p w14:paraId="5817D95B" w14:textId="385FAFE1" w:rsidR="00AC36A2" w:rsidRPr="00F501B9" w:rsidRDefault="00AC36A2" w:rsidP="00F501B9">
            <w:pPr>
              <w:rPr>
                <w:rFonts w:eastAsiaTheme="majorEastAsia" w:cstheme="majorBidi"/>
                <w:bCs/>
                <w:i/>
                <w:iCs/>
                <w:szCs w:val="20"/>
              </w:rPr>
            </w:pPr>
            <w:r w:rsidRPr="00705787">
              <w:rPr>
                <w:rFonts w:ascii="Arial Narrow" w:eastAsiaTheme="majorEastAsia" w:hAnsi="Arial Narrow" w:cstheme="majorBidi"/>
                <w:bCs/>
                <w:sz w:val="20"/>
                <w:szCs w:val="20"/>
              </w:rPr>
              <w:t xml:space="preserve">The </w:t>
            </w:r>
            <w:r w:rsidR="002B204D">
              <w:rPr>
                <w:rFonts w:ascii="Arial Narrow" w:eastAsiaTheme="majorEastAsia" w:hAnsi="Arial Narrow" w:cstheme="majorBidi"/>
                <w:bCs/>
                <w:sz w:val="20"/>
                <w:szCs w:val="20"/>
              </w:rPr>
              <w:t xml:space="preserve">proportion of patients receiving a </w:t>
            </w:r>
            <w:r w:rsidR="00AE57EB">
              <w:rPr>
                <w:rFonts w:ascii="Arial Narrow" w:eastAsiaTheme="majorEastAsia" w:hAnsi="Arial Narrow" w:cstheme="majorBidi"/>
                <w:bCs/>
                <w:sz w:val="20"/>
                <w:szCs w:val="20"/>
              </w:rPr>
              <w:t>H</w:t>
            </w:r>
            <w:r w:rsidRPr="00705787">
              <w:rPr>
                <w:rFonts w:ascii="Arial Narrow" w:eastAsiaTheme="majorEastAsia" w:hAnsi="Arial Narrow" w:cstheme="majorBidi"/>
                <w:bCs/>
                <w:sz w:val="20"/>
                <w:szCs w:val="20"/>
              </w:rPr>
              <w:t xml:space="preserve">SCT was included in the model based on the </w:t>
            </w:r>
            <w:r w:rsidR="001C46EE">
              <w:rPr>
                <w:rFonts w:ascii="Arial Narrow" w:eastAsiaTheme="majorEastAsia" w:hAnsi="Arial Narrow" w:cstheme="majorBidi"/>
                <w:bCs/>
                <w:sz w:val="20"/>
                <w:szCs w:val="20"/>
              </w:rPr>
              <w:t>H</w:t>
            </w:r>
            <w:r w:rsidRPr="00705787">
              <w:rPr>
                <w:rFonts w:ascii="Arial Narrow" w:eastAsiaTheme="majorEastAsia" w:hAnsi="Arial Narrow" w:cstheme="majorBidi"/>
                <w:bCs/>
                <w:sz w:val="20"/>
                <w:szCs w:val="20"/>
              </w:rPr>
              <w:t xml:space="preserve">SCT rates for each arm reported in QUAZAR: 6.3% for oral azacitidine, 13.7% </w:t>
            </w:r>
            <w:r w:rsidR="00F501B9">
              <w:rPr>
                <w:rFonts w:ascii="Arial Narrow" w:eastAsiaTheme="majorEastAsia" w:hAnsi="Arial Narrow" w:cstheme="majorBidi"/>
                <w:bCs/>
                <w:sz w:val="20"/>
                <w:szCs w:val="20"/>
              </w:rPr>
              <w:t>for</w:t>
            </w:r>
            <w:r w:rsidR="00F501B9" w:rsidRPr="00705787">
              <w:rPr>
                <w:rFonts w:ascii="Arial Narrow" w:eastAsiaTheme="majorEastAsia" w:hAnsi="Arial Narrow" w:cstheme="majorBidi"/>
                <w:bCs/>
                <w:sz w:val="20"/>
                <w:szCs w:val="20"/>
              </w:rPr>
              <w:t xml:space="preserve"> </w:t>
            </w:r>
            <w:r w:rsidR="001C46EE">
              <w:rPr>
                <w:rFonts w:ascii="Arial Narrow" w:eastAsiaTheme="majorEastAsia" w:hAnsi="Arial Narrow" w:cstheme="majorBidi"/>
                <w:bCs/>
                <w:sz w:val="20"/>
                <w:szCs w:val="20"/>
              </w:rPr>
              <w:t>BSC</w:t>
            </w:r>
            <w:r w:rsidRPr="00705787">
              <w:rPr>
                <w:rFonts w:ascii="Arial Narrow" w:eastAsiaTheme="majorEastAsia" w:hAnsi="Arial Narrow" w:cstheme="majorBidi"/>
                <w:bCs/>
                <w:sz w:val="20"/>
                <w:szCs w:val="20"/>
              </w:rPr>
              <w:t>.</w:t>
            </w:r>
            <w:r w:rsidR="001C46EE">
              <w:rPr>
                <w:rFonts w:ascii="Arial Narrow" w:eastAsiaTheme="majorEastAsia" w:hAnsi="Arial Narrow" w:cstheme="majorBidi"/>
                <w:bCs/>
                <w:sz w:val="20"/>
                <w:szCs w:val="20"/>
              </w:rPr>
              <w:t xml:space="preserve"> </w:t>
            </w:r>
            <w:r w:rsidRPr="007F034A">
              <w:rPr>
                <w:rFonts w:ascii="Arial Narrow" w:eastAsiaTheme="majorEastAsia" w:hAnsi="Arial Narrow" w:cstheme="majorBidi"/>
                <w:bCs/>
                <w:iCs/>
                <w:sz w:val="20"/>
                <w:szCs w:val="20"/>
              </w:rPr>
              <w:t xml:space="preserve">The cost was included as a </w:t>
            </w:r>
            <w:r w:rsidR="009D15AF" w:rsidRPr="007F034A">
              <w:rPr>
                <w:rFonts w:ascii="Arial Narrow" w:eastAsiaTheme="majorEastAsia" w:hAnsi="Arial Narrow" w:cstheme="majorBidi"/>
                <w:bCs/>
                <w:iCs/>
                <w:sz w:val="20"/>
                <w:szCs w:val="20"/>
              </w:rPr>
              <w:t>single cost</w:t>
            </w:r>
            <w:r w:rsidRPr="007F034A">
              <w:rPr>
                <w:rFonts w:ascii="Arial Narrow" w:eastAsiaTheme="majorEastAsia" w:hAnsi="Arial Narrow" w:cstheme="majorBidi"/>
                <w:bCs/>
                <w:iCs/>
                <w:sz w:val="20"/>
                <w:szCs w:val="20"/>
              </w:rPr>
              <w:t xml:space="preserve"> at the start of treatment. </w:t>
            </w:r>
            <w:r w:rsidR="002B204D" w:rsidRPr="007F034A">
              <w:rPr>
                <w:rFonts w:ascii="Arial Narrow" w:hAnsi="Arial Narrow"/>
                <w:iCs/>
                <w:sz w:val="20"/>
                <w:szCs w:val="20"/>
              </w:rPr>
              <w:t>Additionally, the submission applied a cost of HSCT ($21,087) based on the cost of autologous HSCT in the base case. AML patients will undergo allogenic HSCT only at a cost of $123,956.</w:t>
            </w:r>
            <w:r w:rsidR="00CA21DB">
              <w:rPr>
                <w:rFonts w:ascii="Arial Narrow" w:hAnsi="Arial Narrow"/>
                <w:iCs/>
                <w:sz w:val="20"/>
                <w:szCs w:val="20"/>
              </w:rPr>
              <w:t xml:space="preserve"> </w:t>
            </w:r>
            <w:r w:rsidR="003C6039">
              <w:rPr>
                <w:rFonts w:ascii="Arial Narrow" w:hAnsi="Arial Narrow"/>
                <w:iCs/>
                <w:sz w:val="20"/>
                <w:szCs w:val="20"/>
              </w:rPr>
              <w:t xml:space="preserve">The </w:t>
            </w:r>
            <w:r w:rsidR="00871723">
              <w:rPr>
                <w:rFonts w:ascii="Arial Narrow" w:hAnsi="Arial Narrow"/>
                <w:iCs/>
                <w:sz w:val="20"/>
                <w:szCs w:val="20"/>
              </w:rPr>
              <w:t xml:space="preserve">correct </w:t>
            </w:r>
            <w:r w:rsidR="003C6039">
              <w:rPr>
                <w:rFonts w:ascii="Arial Narrow" w:hAnsi="Arial Narrow"/>
                <w:iCs/>
                <w:sz w:val="20"/>
                <w:szCs w:val="20"/>
              </w:rPr>
              <w:t xml:space="preserve">cost of $123,956 was applied in the </w:t>
            </w:r>
            <w:r w:rsidR="00CA21DB">
              <w:rPr>
                <w:rFonts w:ascii="Arial Narrow" w:hAnsi="Arial Narrow"/>
                <w:iCs/>
                <w:sz w:val="20"/>
                <w:szCs w:val="20"/>
              </w:rPr>
              <w:t xml:space="preserve">revised model presented in the </w:t>
            </w:r>
            <w:r w:rsidR="003C6039">
              <w:rPr>
                <w:rFonts w:ascii="Arial Narrow" w:hAnsi="Arial Narrow"/>
                <w:iCs/>
                <w:sz w:val="20"/>
                <w:szCs w:val="20"/>
              </w:rPr>
              <w:t>pre-PBAC response.</w:t>
            </w:r>
          </w:p>
        </w:tc>
      </w:tr>
    </w:tbl>
    <w:p w14:paraId="14600BC0" w14:textId="38C69145" w:rsidR="00AC36A2" w:rsidRPr="002B204D" w:rsidRDefault="00AC36A2" w:rsidP="00263163">
      <w:pPr>
        <w:pStyle w:val="PBACTableSource"/>
      </w:pPr>
      <w:r w:rsidRPr="002B204D">
        <w:t>Source: Compiled during evaluation.</w:t>
      </w:r>
    </w:p>
    <w:p w14:paraId="02515577" w14:textId="19A0966C" w:rsidR="00327216" w:rsidRPr="002B204D" w:rsidRDefault="00E2520D" w:rsidP="00327216">
      <w:pPr>
        <w:pStyle w:val="TableFigureFooter"/>
        <w:rPr>
          <w:szCs w:val="18"/>
        </w:rPr>
      </w:pPr>
      <w:r w:rsidRPr="002B204D">
        <w:rPr>
          <w:rFonts w:eastAsiaTheme="majorEastAsia" w:cstheme="majorBidi"/>
          <w:bCs/>
          <w:szCs w:val="18"/>
        </w:rPr>
        <w:t xml:space="preserve">Abbreviations: AIC = Akaike </w:t>
      </w:r>
      <w:r w:rsidR="00B17B04" w:rsidRPr="002B204D">
        <w:rPr>
          <w:rFonts w:eastAsiaTheme="majorEastAsia" w:cstheme="majorBidi"/>
          <w:bCs/>
          <w:szCs w:val="18"/>
        </w:rPr>
        <w:t xml:space="preserve">Information Criteria; BIC = </w:t>
      </w:r>
      <w:r w:rsidR="00BB42E5" w:rsidRPr="002B204D">
        <w:rPr>
          <w:rFonts w:eastAsiaTheme="majorEastAsia" w:cstheme="majorBidi"/>
          <w:bCs/>
          <w:szCs w:val="18"/>
        </w:rPr>
        <w:t>Bayesian</w:t>
      </w:r>
      <w:r w:rsidR="00B17B04" w:rsidRPr="002B204D">
        <w:rPr>
          <w:rFonts w:eastAsiaTheme="majorEastAsia" w:cstheme="majorBidi"/>
          <w:bCs/>
          <w:szCs w:val="18"/>
        </w:rPr>
        <w:t xml:space="preserve"> </w:t>
      </w:r>
      <w:r w:rsidR="00BB42E5" w:rsidRPr="002B204D">
        <w:rPr>
          <w:rFonts w:eastAsiaTheme="majorEastAsia" w:cstheme="majorBidi"/>
          <w:bCs/>
          <w:szCs w:val="18"/>
        </w:rPr>
        <w:t>Information</w:t>
      </w:r>
      <w:r w:rsidR="00B17B04" w:rsidRPr="002B204D">
        <w:rPr>
          <w:rFonts w:eastAsiaTheme="majorEastAsia" w:cstheme="majorBidi"/>
          <w:bCs/>
          <w:szCs w:val="18"/>
        </w:rPr>
        <w:t xml:space="preserve"> Criteria;</w:t>
      </w:r>
      <w:r w:rsidR="0013644A" w:rsidRPr="002B204D">
        <w:rPr>
          <w:rFonts w:eastAsiaTheme="majorEastAsia" w:cstheme="majorBidi"/>
          <w:bCs/>
          <w:szCs w:val="18"/>
        </w:rPr>
        <w:t xml:space="preserve"> BSC = best supportive care;</w:t>
      </w:r>
      <w:r w:rsidR="00B17B04" w:rsidRPr="002B204D">
        <w:rPr>
          <w:rFonts w:eastAsiaTheme="majorEastAsia" w:cstheme="majorBidi"/>
          <w:bCs/>
          <w:szCs w:val="18"/>
        </w:rPr>
        <w:t xml:space="preserve"> </w:t>
      </w:r>
      <w:r w:rsidR="00BB42E5" w:rsidRPr="002B204D">
        <w:rPr>
          <w:rFonts w:eastAsiaTheme="majorEastAsia" w:cstheme="majorBidi"/>
          <w:bCs/>
          <w:szCs w:val="18"/>
        </w:rPr>
        <w:t>EQ-5D =</w:t>
      </w:r>
      <w:r w:rsidR="00801F45" w:rsidRPr="002B204D">
        <w:rPr>
          <w:rFonts w:eastAsiaTheme="majorEastAsia" w:cstheme="majorBidi"/>
          <w:bCs/>
          <w:szCs w:val="18"/>
        </w:rPr>
        <w:t>self-assessed, health related, quality of life questionnaire</w:t>
      </w:r>
      <w:r w:rsidR="0013644A" w:rsidRPr="002B204D">
        <w:rPr>
          <w:rFonts w:eastAsiaTheme="majorEastAsia" w:cstheme="majorBidi"/>
          <w:bCs/>
          <w:szCs w:val="18"/>
        </w:rPr>
        <w:t>;</w:t>
      </w:r>
      <w:r w:rsidR="00AE57EB" w:rsidRPr="002B204D">
        <w:rPr>
          <w:rFonts w:eastAsiaTheme="majorEastAsia" w:cstheme="majorBidi"/>
          <w:bCs/>
          <w:szCs w:val="18"/>
        </w:rPr>
        <w:t xml:space="preserve"> HSCT = haematopoietic</w:t>
      </w:r>
      <w:r w:rsidR="00AE57EB" w:rsidRPr="002B204D">
        <w:rPr>
          <w:szCs w:val="18"/>
        </w:rPr>
        <w:t xml:space="preserve"> stem cell transplantation</w:t>
      </w:r>
      <w:r w:rsidR="00DD508F" w:rsidRPr="002B204D">
        <w:rPr>
          <w:szCs w:val="18"/>
        </w:rPr>
        <w:t>.</w:t>
      </w:r>
      <w:r w:rsidR="00AE57EB" w:rsidRPr="002B204D">
        <w:rPr>
          <w:szCs w:val="18"/>
        </w:rPr>
        <w:t xml:space="preserve">; </w:t>
      </w:r>
      <w:r w:rsidR="00BA0F89" w:rsidRPr="002B204D">
        <w:rPr>
          <w:szCs w:val="18"/>
        </w:rPr>
        <w:t xml:space="preserve">RFS = relapse free survival; OS = overall survival; </w:t>
      </w:r>
      <w:r w:rsidR="00B17B04" w:rsidRPr="002B204D">
        <w:rPr>
          <w:szCs w:val="18"/>
        </w:rPr>
        <w:t>QALY = quality adjusted life year</w:t>
      </w:r>
      <w:r w:rsidR="00AE57EB" w:rsidRPr="002B204D">
        <w:rPr>
          <w:szCs w:val="18"/>
        </w:rPr>
        <w:t>.</w:t>
      </w:r>
    </w:p>
    <w:p w14:paraId="515A6B1D" w14:textId="5BF12D99" w:rsidR="0090337F" w:rsidRPr="0010205E" w:rsidRDefault="00AC36A2" w:rsidP="0090337F">
      <w:pPr>
        <w:pStyle w:val="3-BodyText"/>
      </w:pPr>
      <w:bookmarkStart w:id="57" w:name="_Ref111200687"/>
      <w:r w:rsidRPr="006541F8">
        <w:t>The</w:t>
      </w:r>
      <w:r w:rsidR="009D15AF" w:rsidRPr="006541F8">
        <w:t xml:space="preserve"> submission applied </w:t>
      </w:r>
      <w:r w:rsidR="00065B69" w:rsidRPr="006541F8">
        <w:t xml:space="preserve">a log-normal </w:t>
      </w:r>
      <w:r w:rsidR="009D15AF" w:rsidRPr="006541F8">
        <w:t>extrapolat</w:t>
      </w:r>
      <w:r w:rsidR="00065B69" w:rsidRPr="006541F8">
        <w:t xml:space="preserve">ion to the </w:t>
      </w:r>
      <w:r w:rsidR="00E5131A" w:rsidRPr="006541F8">
        <w:t>Kaplan–Meier</w:t>
      </w:r>
      <w:r w:rsidR="009D15AF" w:rsidRPr="006541F8">
        <w:t xml:space="preserve"> </w:t>
      </w:r>
      <w:r w:rsidR="00FE39D6" w:rsidRPr="006541F8">
        <w:t xml:space="preserve">data </w:t>
      </w:r>
      <w:r w:rsidR="009D15AF" w:rsidRPr="006541F8">
        <w:t>for OS from 69 cycles (63 months), at which point 6.</w:t>
      </w:r>
      <w:r w:rsidRPr="006541F8">
        <w:t xml:space="preserve">7% of patients in </w:t>
      </w:r>
      <w:r w:rsidR="007477A8" w:rsidRPr="006541F8">
        <w:t xml:space="preserve">the </w:t>
      </w:r>
      <w:r w:rsidR="00A0612A" w:rsidRPr="006541F8">
        <w:t xml:space="preserve">oral </w:t>
      </w:r>
      <w:r w:rsidRPr="006541F8">
        <w:t>azacitidine arm and 5</w:t>
      </w:r>
      <w:r w:rsidR="009D15AF" w:rsidRPr="006541F8">
        <w:t>.1</w:t>
      </w:r>
      <w:r w:rsidRPr="006541F8">
        <w:t xml:space="preserve">% of patients in </w:t>
      </w:r>
      <w:r w:rsidR="007477A8" w:rsidRPr="006541F8">
        <w:t xml:space="preserve">the </w:t>
      </w:r>
      <w:r w:rsidR="001C46EE" w:rsidRPr="006541F8">
        <w:t>BSC</w:t>
      </w:r>
      <w:r w:rsidRPr="006541F8">
        <w:t xml:space="preserve"> arm remained at risk. </w:t>
      </w:r>
      <w:r w:rsidR="003A6176" w:rsidRPr="006541F8">
        <w:t xml:space="preserve">The point of extrapolation for OS chosen by the submission may be unreliable due significant censoring occurring prior to this time point. </w:t>
      </w:r>
      <w:r w:rsidRPr="006541F8">
        <w:t xml:space="preserve">Applying </w:t>
      </w:r>
      <w:r w:rsidR="009D15AF" w:rsidRPr="006541F8">
        <w:t xml:space="preserve">the extrapolated OS curve from the </w:t>
      </w:r>
      <w:r w:rsidRPr="006541F8">
        <w:t>median follow</w:t>
      </w:r>
      <w:r w:rsidR="008A0354" w:rsidRPr="006541F8">
        <w:noBreakHyphen/>
      </w:r>
      <w:r w:rsidRPr="006541F8">
        <w:t>up point (51.7 months (approx</w:t>
      </w:r>
      <w:r w:rsidR="00C444CF" w:rsidRPr="006541F8">
        <w:t>imately</w:t>
      </w:r>
      <w:r w:rsidRPr="006541F8">
        <w:t xml:space="preserve"> 55 cycles)</w:t>
      </w:r>
      <w:r w:rsidR="00B4284F" w:rsidRPr="006541F8">
        <w:t xml:space="preserve"> </w:t>
      </w:r>
      <w:r w:rsidR="0012353A" w:rsidRPr="006541F8">
        <w:t>at which point 37/238</w:t>
      </w:r>
      <w:r w:rsidR="00560E54" w:rsidRPr="006541F8">
        <w:t xml:space="preserve"> (16%)</w:t>
      </w:r>
      <w:r w:rsidR="0012353A" w:rsidRPr="006541F8">
        <w:t xml:space="preserve"> </w:t>
      </w:r>
      <w:r w:rsidR="00560E54" w:rsidRPr="006541F8">
        <w:t xml:space="preserve">of patients </w:t>
      </w:r>
      <w:r w:rsidR="0012353A" w:rsidRPr="006541F8">
        <w:t>in oral azacitidine arm and 24/234</w:t>
      </w:r>
      <w:r w:rsidR="005B0E28" w:rsidRPr="006541F8">
        <w:t xml:space="preserve"> (10%) of patients in</w:t>
      </w:r>
      <w:r w:rsidR="0012353A" w:rsidRPr="006541F8">
        <w:t xml:space="preserve"> </w:t>
      </w:r>
      <w:r w:rsidR="001C46EE" w:rsidRPr="006541F8">
        <w:t>BSC</w:t>
      </w:r>
      <w:r w:rsidR="0012353A" w:rsidRPr="006541F8">
        <w:t xml:space="preserve"> arm remained at risk</w:t>
      </w:r>
      <w:r w:rsidRPr="006541F8">
        <w:t xml:space="preserve">) </w:t>
      </w:r>
      <w:r w:rsidR="009D15AF" w:rsidRPr="006541F8">
        <w:t>ha</w:t>
      </w:r>
      <w:r w:rsidR="007C7928" w:rsidRPr="006541F8">
        <w:t>d</w:t>
      </w:r>
      <w:r w:rsidRPr="006541F8">
        <w:t xml:space="preserve"> a moderate impact on the incremental cost-effectiveness ratio (ICER)</w:t>
      </w:r>
      <w:r w:rsidR="009D15AF" w:rsidRPr="006541F8">
        <w:t>.</w:t>
      </w:r>
      <w:r w:rsidR="001C46EE" w:rsidRPr="006541F8">
        <w:t xml:space="preserve"> </w:t>
      </w:r>
      <w:r w:rsidR="0090337F" w:rsidRPr="006541F8">
        <w:t xml:space="preserve">The PSCR stated that </w:t>
      </w:r>
      <w:r w:rsidR="001F2038" w:rsidRPr="006541F8">
        <w:t xml:space="preserve">as </w:t>
      </w:r>
      <w:r w:rsidR="0090337F" w:rsidRPr="006541F8">
        <w:t>the use</w:t>
      </w:r>
      <w:r w:rsidR="0090337F" w:rsidRPr="0010205E">
        <w:t xml:space="preserve"> of the median duration of follow-up as the point of extrapolation did not incorporate 11.3 months of observed time-to-event data </w:t>
      </w:r>
      <w:r w:rsidR="001F2038" w:rsidRPr="0010205E">
        <w:t>it</w:t>
      </w:r>
      <w:r w:rsidR="0090337F" w:rsidRPr="0010205E">
        <w:t xml:space="preserve"> was therefore considered a less robust assessment of the cost-effectiveness of oral azacitidine compared to the base case presented in the submission.</w:t>
      </w:r>
      <w:r w:rsidR="00E85546" w:rsidRPr="0010205E">
        <w:t xml:space="preserve"> The ESC noted that although the choice of the log-normal extrapolation function was reasonable, the point of extrapolation was unreliable due to the significant censoring. The ESC considered that it would be more appropriate to extrapolate the OS curves from </w:t>
      </w:r>
      <w:r w:rsidR="000006FD">
        <w:t>an earlier time</w:t>
      </w:r>
      <w:r w:rsidR="008463F1">
        <w:t xml:space="preserve"> </w:t>
      </w:r>
      <w:r w:rsidR="000006FD">
        <w:t xml:space="preserve">point, such as </w:t>
      </w:r>
      <w:r w:rsidR="00E85546" w:rsidRPr="0010205E">
        <w:t>the median follow-up point as suggested in the evaluation.</w:t>
      </w:r>
      <w:r w:rsidR="003C6039">
        <w:t xml:space="preserve"> The pre-PBAC response reiterated that the approach used in the submission (extrapolation from 69</w:t>
      </w:r>
      <w:r w:rsidR="008A0354">
        <w:t> </w:t>
      </w:r>
      <w:r w:rsidR="003C6039">
        <w:t>cycles) was appropriate.</w:t>
      </w:r>
      <w:bookmarkEnd w:id="57"/>
    </w:p>
    <w:p w14:paraId="077BFEB3" w14:textId="469EBA96" w:rsidR="00AF2B9C" w:rsidRPr="0010205E" w:rsidRDefault="00AF2B9C" w:rsidP="00AF2B9C">
      <w:pPr>
        <w:pStyle w:val="3-BodyText"/>
      </w:pPr>
      <w:r w:rsidRPr="0010205E">
        <w:t xml:space="preserve">The extrapolation functions for OS and RFS used in the base case analysis are </w:t>
      </w:r>
      <w:r w:rsidRPr="0010205E">
        <w:rPr>
          <w:rFonts w:cstheme="minorHAnsi"/>
        </w:rPr>
        <w:t xml:space="preserve">presented in </w:t>
      </w:r>
      <w:r w:rsidRPr="0010205E">
        <w:fldChar w:fldCharType="begin" w:fldLock="1"/>
      </w:r>
      <w:r w:rsidRPr="0010205E">
        <w:instrText xml:space="preserve"> REF _Ref100772995 \h  \* MERGEFORMAT </w:instrText>
      </w:r>
      <w:r w:rsidRPr="0010205E">
        <w:fldChar w:fldCharType="separate"/>
      </w:r>
      <w:r w:rsidR="00602E88" w:rsidRPr="00602E88">
        <w:t>Figure 5</w:t>
      </w:r>
      <w:r w:rsidRPr="0010205E">
        <w:fldChar w:fldCharType="end"/>
      </w:r>
      <w:r w:rsidRPr="0010205E">
        <w:t xml:space="preserve"> and </w:t>
      </w:r>
      <w:r w:rsidRPr="0010205E">
        <w:fldChar w:fldCharType="begin" w:fldLock="1"/>
      </w:r>
      <w:r w:rsidRPr="0010205E">
        <w:instrText xml:space="preserve"> REF _Ref100773005 \h  \* MERGEFORMAT </w:instrText>
      </w:r>
      <w:r w:rsidRPr="0010205E">
        <w:fldChar w:fldCharType="separate"/>
      </w:r>
      <w:r w:rsidR="00602E88" w:rsidRPr="00602E88">
        <w:t>Figure 6</w:t>
      </w:r>
      <w:r w:rsidRPr="0010205E">
        <w:fldChar w:fldCharType="end"/>
      </w:r>
      <w:r w:rsidRPr="0010205E">
        <w:t xml:space="preserve">, respectively. </w:t>
      </w:r>
    </w:p>
    <w:p w14:paraId="3AE6C529" w14:textId="7E2DB7B1" w:rsidR="00AF2B9C" w:rsidRPr="00694B06" w:rsidRDefault="00AF2B9C" w:rsidP="00AF2B9C">
      <w:pPr>
        <w:pStyle w:val="Caption"/>
        <w:keepNext/>
        <w:spacing w:after="0"/>
        <w:rPr>
          <w:rFonts w:ascii="Arial Narrow" w:hAnsi="Arial Narrow"/>
          <w:color w:val="auto"/>
          <w:sz w:val="20"/>
          <w:szCs w:val="20"/>
        </w:rPr>
      </w:pPr>
      <w:bookmarkStart w:id="58" w:name="_Ref100772995"/>
      <w:r w:rsidRPr="00694B06">
        <w:rPr>
          <w:rFonts w:ascii="Arial Narrow" w:hAnsi="Arial Narrow"/>
          <w:color w:val="auto"/>
          <w:sz w:val="20"/>
          <w:szCs w:val="20"/>
        </w:rPr>
        <w:t xml:space="preserve">Figure </w:t>
      </w:r>
      <w:r w:rsidRPr="00694B06">
        <w:rPr>
          <w:rFonts w:ascii="Arial Narrow" w:hAnsi="Arial Narrow"/>
          <w:color w:val="auto"/>
          <w:sz w:val="20"/>
          <w:szCs w:val="20"/>
        </w:rPr>
        <w:fldChar w:fldCharType="begin" w:fldLock="1"/>
      </w:r>
      <w:r w:rsidRPr="00694B06">
        <w:rPr>
          <w:rFonts w:ascii="Arial Narrow" w:hAnsi="Arial Narrow"/>
          <w:color w:val="auto"/>
          <w:sz w:val="20"/>
          <w:szCs w:val="20"/>
        </w:rPr>
        <w:instrText xml:space="preserve"> SEQ Figure \* ARABIC </w:instrText>
      </w:r>
      <w:r w:rsidRPr="00694B06">
        <w:rPr>
          <w:rFonts w:ascii="Arial Narrow" w:hAnsi="Arial Narrow"/>
          <w:color w:val="auto"/>
          <w:sz w:val="20"/>
          <w:szCs w:val="20"/>
        </w:rPr>
        <w:fldChar w:fldCharType="separate"/>
      </w:r>
      <w:r w:rsidR="00602E88">
        <w:rPr>
          <w:rFonts w:ascii="Arial Narrow" w:hAnsi="Arial Narrow"/>
          <w:noProof/>
          <w:color w:val="auto"/>
          <w:sz w:val="20"/>
          <w:szCs w:val="20"/>
        </w:rPr>
        <w:t>5</w:t>
      </w:r>
      <w:r w:rsidRPr="00694B06">
        <w:rPr>
          <w:rFonts w:ascii="Arial Narrow" w:hAnsi="Arial Narrow"/>
          <w:color w:val="auto"/>
          <w:sz w:val="20"/>
          <w:szCs w:val="20"/>
        </w:rPr>
        <w:fldChar w:fldCharType="end"/>
      </w:r>
      <w:bookmarkEnd w:id="58"/>
      <w:r w:rsidRPr="00694B06">
        <w:rPr>
          <w:rFonts w:ascii="Arial Narrow" w:hAnsi="Arial Narrow"/>
          <w:color w:val="auto"/>
          <w:sz w:val="20"/>
          <w:szCs w:val="20"/>
        </w:rPr>
        <w:t xml:space="preserve">: The </w:t>
      </w:r>
      <w:r w:rsidR="003A6176">
        <w:rPr>
          <w:rFonts w:ascii="Arial Narrow" w:hAnsi="Arial Narrow"/>
          <w:color w:val="auto"/>
          <w:sz w:val="20"/>
          <w:szCs w:val="20"/>
        </w:rPr>
        <w:t xml:space="preserve">log-normal </w:t>
      </w:r>
      <w:r w:rsidRPr="00694B06">
        <w:rPr>
          <w:rFonts w:ascii="Arial Narrow" w:hAnsi="Arial Narrow"/>
          <w:color w:val="auto"/>
          <w:sz w:val="20"/>
          <w:szCs w:val="20"/>
        </w:rPr>
        <w:t xml:space="preserve">extrapolation function </w:t>
      </w:r>
      <w:r w:rsidR="003A6176">
        <w:rPr>
          <w:rFonts w:ascii="Arial Narrow" w:hAnsi="Arial Narrow"/>
          <w:color w:val="auto"/>
          <w:sz w:val="20"/>
          <w:szCs w:val="20"/>
        </w:rPr>
        <w:t>was</w:t>
      </w:r>
      <w:r w:rsidRPr="00694B06">
        <w:rPr>
          <w:rFonts w:ascii="Arial Narrow" w:hAnsi="Arial Narrow"/>
          <w:color w:val="auto"/>
          <w:sz w:val="20"/>
          <w:szCs w:val="20"/>
        </w:rPr>
        <w:t xml:space="preserve"> applied to OS in both arms</w:t>
      </w:r>
    </w:p>
    <w:p w14:paraId="42268F36" w14:textId="77777777" w:rsidR="00AF2B9C" w:rsidRDefault="00AF2B9C" w:rsidP="00AF2B9C">
      <w:pPr>
        <w:pStyle w:val="3-BodyText"/>
        <w:numPr>
          <w:ilvl w:val="0"/>
          <w:numId w:val="0"/>
        </w:numPr>
        <w:ind w:left="720" w:hanging="720"/>
        <w:rPr>
          <w:color w:val="0066FF"/>
        </w:rPr>
      </w:pPr>
      <w:r>
        <w:rPr>
          <w:noProof/>
          <w:color w:val="0066FF"/>
        </w:rPr>
        <w:drawing>
          <wp:inline distT="0" distB="0" distL="0" distR="0" wp14:anchorId="5F9941B4" wp14:editId="70558DA5">
            <wp:extent cx="5646505" cy="2777924"/>
            <wp:effectExtent l="0" t="0" r="0" b="0"/>
            <wp:docPr id="1" name="Picture 1" descr="Figure 5: The log-normal extrapolation function was applied to OS in both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5: The log-normal extrapolation function was applied to OS in both arm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8197" cy="2788596"/>
                    </a:xfrm>
                    <a:prstGeom prst="rect">
                      <a:avLst/>
                    </a:prstGeom>
                    <a:noFill/>
                  </pic:spPr>
                </pic:pic>
              </a:graphicData>
            </a:graphic>
          </wp:inline>
        </w:drawing>
      </w:r>
    </w:p>
    <w:p w14:paraId="5C50D1DF" w14:textId="3BB7F3E1" w:rsidR="00AF2B9C" w:rsidRPr="003A6176" w:rsidRDefault="00AF2B9C" w:rsidP="00AF2B9C">
      <w:pPr>
        <w:rPr>
          <w:rFonts w:ascii="Arial Narrow" w:hAnsi="Arial Narrow"/>
          <w:sz w:val="18"/>
          <w:szCs w:val="18"/>
        </w:rPr>
      </w:pPr>
      <w:r w:rsidRPr="003A6176">
        <w:rPr>
          <w:rFonts w:ascii="Arial Narrow" w:hAnsi="Arial Narrow"/>
          <w:sz w:val="18"/>
          <w:szCs w:val="18"/>
        </w:rPr>
        <w:t>Source:</w:t>
      </w:r>
      <w:r w:rsidR="00DB6419" w:rsidRPr="003A6176">
        <w:rPr>
          <w:rFonts w:ascii="Arial Narrow" w:hAnsi="Arial Narrow"/>
          <w:sz w:val="18"/>
          <w:szCs w:val="18"/>
        </w:rPr>
        <w:t xml:space="preserve"> Excel spreadsheet ‘Onureg CUA Workbook.xls’, sheet ‘Efficacy</w:t>
      </w:r>
      <w:r w:rsidR="007C7928" w:rsidRPr="003A6176">
        <w:rPr>
          <w:rFonts w:ascii="Arial Narrow" w:hAnsi="Arial Narrow"/>
          <w:sz w:val="18"/>
          <w:szCs w:val="18"/>
        </w:rPr>
        <w:t>’</w:t>
      </w:r>
    </w:p>
    <w:p w14:paraId="72DDC826" w14:textId="02F94983" w:rsidR="00AF2B9C" w:rsidRPr="003A6176" w:rsidRDefault="00AF2B9C" w:rsidP="00AF2B9C">
      <w:pPr>
        <w:rPr>
          <w:rFonts w:ascii="Arial Narrow" w:hAnsi="Arial Narrow"/>
          <w:sz w:val="18"/>
          <w:szCs w:val="18"/>
        </w:rPr>
      </w:pPr>
      <w:r w:rsidRPr="003A6176">
        <w:rPr>
          <w:rFonts w:ascii="Arial Narrow" w:hAnsi="Arial Narrow"/>
          <w:sz w:val="18"/>
          <w:szCs w:val="18"/>
        </w:rPr>
        <w:t>Abbreviations:</w:t>
      </w:r>
      <w:r w:rsidR="005778AE" w:rsidRPr="003A6176">
        <w:rPr>
          <w:rFonts w:ascii="Arial Narrow" w:hAnsi="Arial Narrow"/>
          <w:sz w:val="18"/>
          <w:szCs w:val="18"/>
        </w:rPr>
        <w:t xml:space="preserve"> KM = </w:t>
      </w:r>
      <w:r w:rsidR="00E5131A">
        <w:rPr>
          <w:rFonts w:ascii="Arial Narrow" w:hAnsi="Arial Narrow"/>
          <w:sz w:val="18"/>
          <w:szCs w:val="18"/>
        </w:rPr>
        <w:t>Kaplan–Meier</w:t>
      </w:r>
      <w:r w:rsidR="00DB6419" w:rsidRPr="003A6176">
        <w:rPr>
          <w:rFonts w:ascii="Arial Narrow" w:hAnsi="Arial Narrow"/>
          <w:sz w:val="18"/>
          <w:szCs w:val="18"/>
        </w:rPr>
        <w:t xml:space="preserve"> OS = overall survival</w:t>
      </w:r>
      <w:r w:rsidR="00333CE8" w:rsidRPr="003A6176">
        <w:rPr>
          <w:rFonts w:ascii="Arial Narrow" w:hAnsi="Arial Narrow"/>
          <w:sz w:val="18"/>
          <w:szCs w:val="18"/>
        </w:rPr>
        <w:t>.</w:t>
      </w:r>
    </w:p>
    <w:p w14:paraId="6FE6F24A" w14:textId="77777777" w:rsidR="007249F0" w:rsidRPr="00AF2B9C" w:rsidRDefault="007249F0" w:rsidP="00AF2B9C">
      <w:pPr>
        <w:rPr>
          <w:rFonts w:ascii="Arial Narrow" w:hAnsi="Arial Narrow"/>
          <w:sz w:val="16"/>
          <w:szCs w:val="16"/>
        </w:rPr>
      </w:pPr>
    </w:p>
    <w:p w14:paraId="23904E40" w14:textId="36B4CE90" w:rsidR="00AF2B9C" w:rsidRPr="00694B06" w:rsidRDefault="00AF2B9C" w:rsidP="00AF2B9C">
      <w:pPr>
        <w:pStyle w:val="Caption"/>
        <w:keepNext/>
        <w:spacing w:after="0"/>
        <w:rPr>
          <w:rFonts w:ascii="Arial Narrow" w:hAnsi="Arial Narrow"/>
          <w:color w:val="auto"/>
          <w:sz w:val="20"/>
          <w:szCs w:val="20"/>
        </w:rPr>
      </w:pPr>
      <w:bookmarkStart w:id="59" w:name="_Ref100773005"/>
      <w:r w:rsidRPr="00694B06">
        <w:rPr>
          <w:rFonts w:ascii="Arial Narrow" w:hAnsi="Arial Narrow"/>
          <w:color w:val="auto"/>
          <w:sz w:val="20"/>
          <w:szCs w:val="20"/>
        </w:rPr>
        <w:t xml:space="preserve">Figure </w:t>
      </w:r>
      <w:r w:rsidRPr="00694B06">
        <w:rPr>
          <w:rFonts w:ascii="Arial Narrow" w:hAnsi="Arial Narrow"/>
          <w:color w:val="auto"/>
          <w:sz w:val="20"/>
          <w:szCs w:val="20"/>
        </w:rPr>
        <w:fldChar w:fldCharType="begin" w:fldLock="1"/>
      </w:r>
      <w:r w:rsidRPr="00694B06">
        <w:rPr>
          <w:rFonts w:ascii="Arial Narrow" w:hAnsi="Arial Narrow"/>
          <w:color w:val="auto"/>
          <w:sz w:val="20"/>
          <w:szCs w:val="20"/>
        </w:rPr>
        <w:instrText xml:space="preserve"> SEQ Figure \* ARABIC </w:instrText>
      </w:r>
      <w:r w:rsidRPr="00694B06">
        <w:rPr>
          <w:rFonts w:ascii="Arial Narrow" w:hAnsi="Arial Narrow"/>
          <w:color w:val="auto"/>
          <w:sz w:val="20"/>
          <w:szCs w:val="20"/>
        </w:rPr>
        <w:fldChar w:fldCharType="separate"/>
      </w:r>
      <w:r w:rsidR="00602E88">
        <w:rPr>
          <w:rFonts w:ascii="Arial Narrow" w:hAnsi="Arial Narrow"/>
          <w:noProof/>
          <w:color w:val="auto"/>
          <w:sz w:val="20"/>
          <w:szCs w:val="20"/>
        </w:rPr>
        <w:t>6</w:t>
      </w:r>
      <w:r w:rsidRPr="00694B06">
        <w:rPr>
          <w:rFonts w:ascii="Arial Narrow" w:hAnsi="Arial Narrow"/>
          <w:color w:val="auto"/>
          <w:sz w:val="20"/>
          <w:szCs w:val="20"/>
        </w:rPr>
        <w:fldChar w:fldCharType="end"/>
      </w:r>
      <w:bookmarkEnd w:id="59"/>
      <w:r w:rsidRPr="00694B06">
        <w:rPr>
          <w:rFonts w:ascii="Arial Narrow" w:hAnsi="Arial Narrow"/>
          <w:color w:val="auto"/>
          <w:sz w:val="20"/>
          <w:szCs w:val="20"/>
        </w:rPr>
        <w:t xml:space="preserve">: The </w:t>
      </w:r>
      <w:r w:rsidR="003A6176">
        <w:rPr>
          <w:rFonts w:ascii="Arial Narrow" w:hAnsi="Arial Narrow"/>
          <w:color w:val="auto"/>
          <w:sz w:val="20"/>
          <w:szCs w:val="20"/>
        </w:rPr>
        <w:t xml:space="preserve">log-logistic </w:t>
      </w:r>
      <w:r w:rsidRPr="00694B06">
        <w:rPr>
          <w:rFonts w:ascii="Arial Narrow" w:hAnsi="Arial Narrow"/>
          <w:color w:val="auto"/>
          <w:sz w:val="20"/>
          <w:szCs w:val="20"/>
        </w:rPr>
        <w:t xml:space="preserve">extrapolation function </w:t>
      </w:r>
      <w:r w:rsidR="003A6176">
        <w:rPr>
          <w:rFonts w:ascii="Arial Narrow" w:hAnsi="Arial Narrow"/>
          <w:color w:val="auto"/>
          <w:sz w:val="20"/>
          <w:szCs w:val="20"/>
        </w:rPr>
        <w:t>was</w:t>
      </w:r>
      <w:r w:rsidRPr="00694B06">
        <w:rPr>
          <w:rFonts w:ascii="Arial Narrow" w:hAnsi="Arial Narrow"/>
          <w:color w:val="auto"/>
          <w:sz w:val="20"/>
          <w:szCs w:val="20"/>
        </w:rPr>
        <w:t xml:space="preserve"> applied </w:t>
      </w:r>
      <w:r w:rsidR="00B55A4C">
        <w:rPr>
          <w:rFonts w:ascii="Arial Narrow" w:hAnsi="Arial Narrow"/>
          <w:color w:val="auto"/>
          <w:sz w:val="20"/>
          <w:szCs w:val="20"/>
        </w:rPr>
        <w:t>to</w:t>
      </w:r>
      <w:r w:rsidR="00B55A4C" w:rsidRPr="00694B06">
        <w:rPr>
          <w:rFonts w:ascii="Arial Narrow" w:hAnsi="Arial Narrow"/>
          <w:color w:val="auto"/>
          <w:sz w:val="20"/>
          <w:szCs w:val="20"/>
        </w:rPr>
        <w:t xml:space="preserve"> </w:t>
      </w:r>
      <w:r w:rsidRPr="00694B06">
        <w:rPr>
          <w:rFonts w:ascii="Arial Narrow" w:hAnsi="Arial Narrow"/>
          <w:color w:val="auto"/>
          <w:sz w:val="20"/>
          <w:szCs w:val="20"/>
        </w:rPr>
        <w:t>RFS in both arms</w:t>
      </w:r>
    </w:p>
    <w:p w14:paraId="6CBE6799" w14:textId="77777777" w:rsidR="00AF2B9C" w:rsidRPr="00714C26" w:rsidRDefault="00AF2B9C" w:rsidP="00AF2B9C">
      <w:pPr>
        <w:pStyle w:val="3-BodyText"/>
        <w:numPr>
          <w:ilvl w:val="0"/>
          <w:numId w:val="0"/>
        </w:numPr>
        <w:ind w:left="720" w:hanging="720"/>
        <w:rPr>
          <w:color w:val="0066FF"/>
        </w:rPr>
      </w:pPr>
      <w:r>
        <w:rPr>
          <w:noProof/>
          <w:color w:val="0066FF"/>
        </w:rPr>
        <w:drawing>
          <wp:inline distT="0" distB="0" distL="0" distR="0" wp14:anchorId="1A0A213D" wp14:editId="0F540441">
            <wp:extent cx="5497975" cy="2731175"/>
            <wp:effectExtent l="0" t="0" r="0" b="0"/>
            <wp:docPr id="20" name="Picture 20" descr="Figure 6: The log-logistic extrapolation function was applied to RFS in both arm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Figure 6: The log-logistic extrapolation function was applied to RFS in both arms&#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9893" cy="2737096"/>
                    </a:xfrm>
                    <a:prstGeom prst="rect">
                      <a:avLst/>
                    </a:prstGeom>
                    <a:noFill/>
                  </pic:spPr>
                </pic:pic>
              </a:graphicData>
            </a:graphic>
          </wp:inline>
        </w:drawing>
      </w:r>
    </w:p>
    <w:p w14:paraId="0F789C13" w14:textId="6CC28120" w:rsidR="005778AE" w:rsidRPr="003A6176" w:rsidRDefault="005778AE" w:rsidP="005778AE">
      <w:pPr>
        <w:rPr>
          <w:rFonts w:ascii="Arial Narrow" w:hAnsi="Arial Narrow"/>
          <w:sz w:val="18"/>
          <w:szCs w:val="18"/>
        </w:rPr>
      </w:pPr>
      <w:r w:rsidRPr="003A6176">
        <w:rPr>
          <w:rFonts w:ascii="Arial Narrow" w:hAnsi="Arial Narrow"/>
          <w:sz w:val="18"/>
          <w:szCs w:val="18"/>
        </w:rPr>
        <w:t>Source: Excel spreadsheet ‘Onureg CUA Workbook.xls’, sheet ‘Efficacy</w:t>
      </w:r>
      <w:r w:rsidR="007C7928" w:rsidRPr="003A6176">
        <w:rPr>
          <w:rFonts w:ascii="Arial Narrow" w:hAnsi="Arial Narrow"/>
          <w:sz w:val="18"/>
          <w:szCs w:val="18"/>
        </w:rPr>
        <w:t>’</w:t>
      </w:r>
    </w:p>
    <w:p w14:paraId="2177AEDC" w14:textId="187EE1B3" w:rsidR="00AF2B9C" w:rsidRPr="003A6176" w:rsidRDefault="005778AE" w:rsidP="005778AE">
      <w:pPr>
        <w:rPr>
          <w:rFonts w:ascii="Arial Narrow" w:hAnsi="Arial Narrow"/>
          <w:sz w:val="18"/>
          <w:szCs w:val="18"/>
        </w:rPr>
      </w:pPr>
      <w:r w:rsidRPr="003A6176">
        <w:rPr>
          <w:rFonts w:ascii="Arial Narrow" w:hAnsi="Arial Narrow"/>
          <w:sz w:val="18"/>
          <w:szCs w:val="18"/>
        </w:rPr>
        <w:t xml:space="preserve">Abbreviations: KM = </w:t>
      </w:r>
      <w:r w:rsidR="00E5131A">
        <w:rPr>
          <w:rFonts w:ascii="Arial Narrow" w:hAnsi="Arial Narrow"/>
          <w:sz w:val="18"/>
          <w:szCs w:val="18"/>
        </w:rPr>
        <w:t>Kaplan–Meier</w:t>
      </w:r>
      <w:r w:rsidR="00333CE8" w:rsidRPr="003A6176">
        <w:rPr>
          <w:rFonts w:ascii="Arial Narrow" w:hAnsi="Arial Narrow"/>
          <w:sz w:val="18"/>
          <w:szCs w:val="18"/>
        </w:rPr>
        <w:t>; RFS = relapse free survival.</w:t>
      </w:r>
    </w:p>
    <w:p w14:paraId="172374A8" w14:textId="77777777" w:rsidR="007249F0" w:rsidRPr="007F034A" w:rsidRDefault="007249F0" w:rsidP="005778AE">
      <w:pPr>
        <w:rPr>
          <w:rFonts w:ascii="Arial Narrow" w:hAnsi="Arial Narrow"/>
          <w:iCs/>
          <w:sz w:val="16"/>
          <w:szCs w:val="16"/>
        </w:rPr>
      </w:pPr>
    </w:p>
    <w:p w14:paraId="3C67E8F8" w14:textId="1F798F93" w:rsidR="00AC36A2" w:rsidRPr="0010205E" w:rsidRDefault="00BA35C5" w:rsidP="00AC36A2">
      <w:pPr>
        <w:pStyle w:val="3-BodyText"/>
      </w:pPr>
      <w:bookmarkStart w:id="60" w:name="_Ref110933607"/>
      <w:r w:rsidRPr="0010205E">
        <w:t>The submission based t</w:t>
      </w:r>
      <w:r w:rsidR="009D15AF" w:rsidRPr="0010205E">
        <w:t xml:space="preserve">he treatment duration for oral azacitidine </w:t>
      </w:r>
      <w:r w:rsidR="007249F0" w:rsidRPr="0010205E">
        <w:t xml:space="preserve">in the model </w:t>
      </w:r>
      <w:r w:rsidR="009D15AF" w:rsidRPr="0010205E">
        <w:t xml:space="preserve">on </w:t>
      </w:r>
      <w:r w:rsidR="007249F0" w:rsidRPr="0010205E">
        <w:t xml:space="preserve">the </w:t>
      </w:r>
      <w:r w:rsidR="009D15AF" w:rsidRPr="0010205E">
        <w:t xml:space="preserve">QUAZAR </w:t>
      </w:r>
      <w:r w:rsidR="005878F9" w:rsidRPr="0010205E">
        <w:t xml:space="preserve">censored </w:t>
      </w:r>
      <w:r w:rsidR="009D15AF" w:rsidRPr="0010205E">
        <w:t>mean treatment duration of 18.1 months (standard deviation</w:t>
      </w:r>
      <w:r w:rsidR="008A0354">
        <w:t>: </w:t>
      </w:r>
      <w:r w:rsidR="009D15AF" w:rsidRPr="0010205E">
        <w:t xml:space="preserve">17.2), arguing that application of the </w:t>
      </w:r>
      <w:r w:rsidR="005878F9" w:rsidRPr="0010205E">
        <w:t xml:space="preserve">censored </w:t>
      </w:r>
      <w:r w:rsidR="009D15AF" w:rsidRPr="0010205E">
        <w:t>mean value was</w:t>
      </w:r>
      <w:r w:rsidR="00AC36A2" w:rsidRPr="0010205E">
        <w:t xml:space="preserve"> </w:t>
      </w:r>
      <w:r w:rsidR="009D15AF" w:rsidRPr="0010205E">
        <w:t>‘</w:t>
      </w:r>
      <w:r w:rsidR="00AC36A2" w:rsidRPr="0010205E">
        <w:t>appropriate for decision-making as it reflects the cost of treatment for the ‘average’ patient and is less prone to confounding by outlying patients who receive a very short or very long duration of treatment in the QUAZAR trial</w:t>
      </w:r>
      <w:r w:rsidR="009D15AF" w:rsidRPr="0010205E">
        <w:t>’</w:t>
      </w:r>
      <w:r w:rsidR="00AC36A2" w:rsidRPr="0010205E">
        <w:t>.</w:t>
      </w:r>
      <w:r w:rsidR="000E3A1A" w:rsidRPr="0010205E">
        <w:t xml:space="preserve"> The </w:t>
      </w:r>
      <w:r w:rsidR="00B4284F" w:rsidRPr="0010205E">
        <w:t>model</w:t>
      </w:r>
      <w:r w:rsidR="000E3A1A" w:rsidRPr="0010205E">
        <w:t xml:space="preserve"> assum</w:t>
      </w:r>
      <w:r w:rsidR="00085944">
        <w:t>ed</w:t>
      </w:r>
      <w:r w:rsidR="000E3A1A" w:rsidRPr="0010205E">
        <w:t xml:space="preserve"> that </w:t>
      </w:r>
      <w:r w:rsidR="00B4284F" w:rsidRPr="0010205E">
        <w:t xml:space="preserve">all patients in the RFS health state </w:t>
      </w:r>
      <w:r w:rsidR="00B4284F" w:rsidRPr="006541F8">
        <w:t xml:space="preserve">up to </w:t>
      </w:r>
      <w:r w:rsidR="000E3A1A" w:rsidRPr="006541F8">
        <w:t>18</w:t>
      </w:r>
      <w:r w:rsidR="003A6176" w:rsidRPr="006541F8">
        <w:t>.1</w:t>
      </w:r>
      <w:r w:rsidR="007C7928" w:rsidRPr="006541F8">
        <w:t> </w:t>
      </w:r>
      <w:r w:rsidR="000E3A1A" w:rsidRPr="006541F8">
        <w:t>months received treatment, whil</w:t>
      </w:r>
      <w:r w:rsidR="003A6176" w:rsidRPr="006541F8">
        <w:t>st</w:t>
      </w:r>
      <w:r w:rsidR="000E3A1A" w:rsidRPr="006541F8">
        <w:t xml:space="preserve"> </w:t>
      </w:r>
      <w:r w:rsidR="00B4284F" w:rsidRPr="006541F8">
        <w:t>beyond 18</w:t>
      </w:r>
      <w:r w:rsidR="003A6176" w:rsidRPr="006541F8">
        <w:t>.1</w:t>
      </w:r>
      <w:r w:rsidR="00B4284F" w:rsidRPr="006541F8">
        <w:t xml:space="preserve"> months</w:t>
      </w:r>
      <w:r w:rsidR="003A6176" w:rsidRPr="0010205E">
        <w:t>,</w:t>
      </w:r>
      <w:r w:rsidR="00B4284F" w:rsidRPr="0010205E">
        <w:t xml:space="preserve"> no patients receive</w:t>
      </w:r>
      <w:r w:rsidR="003A6176" w:rsidRPr="0010205E">
        <w:t>d</w:t>
      </w:r>
      <w:r w:rsidR="00B4284F" w:rsidRPr="0010205E">
        <w:t xml:space="preserve"> treatment</w:t>
      </w:r>
      <w:r w:rsidR="003A6176" w:rsidRPr="0010205E">
        <w:t>. Th</w:t>
      </w:r>
      <w:r w:rsidR="00E85546" w:rsidRPr="0010205E">
        <w:t>e ESC noted that th</w:t>
      </w:r>
      <w:r w:rsidR="003A6176" w:rsidRPr="0010205E">
        <w:t xml:space="preserve">is </w:t>
      </w:r>
      <w:r w:rsidR="000E3A1A" w:rsidRPr="0010205E">
        <w:t>underestimat</w:t>
      </w:r>
      <w:r w:rsidR="003A6176" w:rsidRPr="0010205E">
        <w:t>ed</w:t>
      </w:r>
      <w:r w:rsidR="000E3A1A" w:rsidRPr="0010205E">
        <w:t xml:space="preserve"> the cost of </w:t>
      </w:r>
      <w:r w:rsidR="003A6176" w:rsidRPr="0010205E">
        <w:t xml:space="preserve">oral azacitidine </w:t>
      </w:r>
      <w:r w:rsidR="000E3A1A" w:rsidRPr="0010205E">
        <w:t>treatment per patient</w:t>
      </w:r>
      <w:r w:rsidR="009D15AF" w:rsidRPr="0010205E">
        <w:t xml:space="preserve">. </w:t>
      </w:r>
      <w:r w:rsidR="001C46EE" w:rsidRPr="0010205E">
        <w:t>A</w:t>
      </w:r>
      <w:r w:rsidR="00AC36A2" w:rsidRPr="0010205E">
        <w:t xml:space="preserve">pplying </w:t>
      </w:r>
      <w:r w:rsidR="00E5131A">
        <w:t>Kaplan–Meier</w:t>
      </w:r>
      <w:r w:rsidR="009D15AF" w:rsidRPr="0010205E">
        <w:t xml:space="preserve"> time on treatment</w:t>
      </w:r>
      <w:r w:rsidR="00AC36A2" w:rsidRPr="0010205E">
        <w:t xml:space="preserve"> data from QUAZAR</w:t>
      </w:r>
      <w:r w:rsidR="001C46EE" w:rsidRPr="0010205E">
        <w:t xml:space="preserve"> (oral azacitidine 74 months (80 cycles) and BSC 68 months (74 cycles))</w:t>
      </w:r>
      <w:r w:rsidR="00AC36A2" w:rsidRPr="0010205E">
        <w:t xml:space="preserve"> ha</w:t>
      </w:r>
      <w:r w:rsidR="009B43C0" w:rsidRPr="0010205E">
        <w:t>d</w:t>
      </w:r>
      <w:r w:rsidR="00AC36A2" w:rsidRPr="0010205E">
        <w:t xml:space="preserve"> a high impact on </w:t>
      </w:r>
      <w:r w:rsidR="009D15AF" w:rsidRPr="0010205E">
        <w:t>the I</w:t>
      </w:r>
      <w:r w:rsidR="00AC36A2" w:rsidRPr="0010205E">
        <w:t>CER</w:t>
      </w:r>
      <w:r w:rsidR="009D15AF" w:rsidRPr="0010205E">
        <w:t>.</w:t>
      </w:r>
      <w:r w:rsidR="001C46EE" w:rsidRPr="0010205E">
        <w:t xml:space="preserve"> Although there was no extrapolation applied to time on treatment, only a small </w:t>
      </w:r>
      <w:r w:rsidR="002F2D63" w:rsidRPr="0010205E">
        <w:t>number</w:t>
      </w:r>
      <w:r w:rsidR="001C46EE" w:rsidRPr="0010205E">
        <w:t xml:space="preserve"> of patients remained on treatment </w:t>
      </w:r>
      <w:r w:rsidR="002F2D63" w:rsidRPr="0010205E">
        <w:t>at</w:t>
      </w:r>
      <w:r w:rsidR="001C46EE" w:rsidRPr="0010205E">
        <w:t xml:space="preserve"> the last available data point.</w:t>
      </w:r>
      <w:r w:rsidR="0090337F" w:rsidRPr="0010205E">
        <w:t xml:space="preserve"> </w:t>
      </w:r>
      <w:r w:rsidR="003C6039">
        <w:t xml:space="preserve">The PBAC noted that there was an error in the </w:t>
      </w:r>
      <w:r w:rsidR="006D10AA">
        <w:t xml:space="preserve">calculation of azacitidine costs in the model and although the submission stated that azacitidine patients received </w:t>
      </w:r>
      <w:r w:rsidR="003A2BBB" w:rsidRPr="006541F8">
        <w:t xml:space="preserve">an average of </w:t>
      </w:r>
      <w:r w:rsidR="006D10AA" w:rsidRPr="006541F8">
        <w:t xml:space="preserve">18.1 months of treatment, they actually received </w:t>
      </w:r>
      <w:r w:rsidR="00F93DF0" w:rsidRPr="006541F8">
        <w:t xml:space="preserve">an average of </w:t>
      </w:r>
      <w:r w:rsidR="006D10AA" w:rsidRPr="006541F8">
        <w:t xml:space="preserve">15 months. </w:t>
      </w:r>
      <w:r w:rsidR="00BF5FA0" w:rsidRPr="006541F8">
        <w:t xml:space="preserve">This was because </w:t>
      </w:r>
      <w:r w:rsidR="003A2BBB" w:rsidRPr="006541F8">
        <w:t>the calculations</w:t>
      </w:r>
      <w:r w:rsidR="00BF5FA0" w:rsidRPr="006541F8">
        <w:t xml:space="preserve"> also took into account the proportion of patients who were relapse free in each cycle </w:t>
      </w:r>
      <w:r w:rsidR="003A2BBB" w:rsidRPr="006541F8">
        <w:t xml:space="preserve">and thus not every patient was treated during the 18.1 months </w:t>
      </w:r>
      <w:r w:rsidR="00BF5FA0" w:rsidRPr="006541F8">
        <w:t xml:space="preserve">(refer to the ‘RFS adjustment factor’ in </w:t>
      </w:r>
      <w:r w:rsidR="00BF5FA0" w:rsidRPr="006541F8">
        <w:fldChar w:fldCharType="begin" w:fldLock="1"/>
      </w:r>
      <w:r w:rsidR="00BF5FA0" w:rsidRPr="006541F8">
        <w:instrText xml:space="preserve"> REF _Ref110864244 \h  \* MERGEFORMAT </w:instrText>
      </w:r>
      <w:r w:rsidR="00BF5FA0" w:rsidRPr="006541F8">
        <w:fldChar w:fldCharType="separate"/>
      </w:r>
      <w:r w:rsidR="00602E88" w:rsidRPr="006541F8">
        <w:t>Table 16</w:t>
      </w:r>
      <w:r w:rsidR="00BF5FA0" w:rsidRPr="006541F8">
        <w:fldChar w:fldCharType="end"/>
      </w:r>
      <w:r w:rsidR="00BF5FA0" w:rsidRPr="006541F8">
        <w:t xml:space="preserve">). </w:t>
      </w:r>
      <w:r w:rsidR="006D10AA" w:rsidRPr="006541F8">
        <w:t xml:space="preserve">When using the </w:t>
      </w:r>
      <w:r w:rsidR="00E5131A" w:rsidRPr="006541F8">
        <w:t>Kaplan</w:t>
      </w:r>
      <w:r w:rsidR="00E5131A">
        <w:t>–Meier</w:t>
      </w:r>
      <w:r w:rsidR="006D10AA">
        <w:t xml:space="preserve"> time on treatment data, patients received an average of 18 months treatment.</w:t>
      </w:r>
      <w:bookmarkEnd w:id="60"/>
    </w:p>
    <w:p w14:paraId="79614470" w14:textId="7D66BD3A" w:rsidR="00AC36A2" w:rsidRPr="0010205E" w:rsidRDefault="00AC36A2" w:rsidP="00AC36A2">
      <w:pPr>
        <w:pStyle w:val="3-BodyText"/>
      </w:pPr>
      <w:r w:rsidRPr="0010205E">
        <w:t>The</w:t>
      </w:r>
      <w:r w:rsidR="00E85546" w:rsidRPr="0010205E">
        <w:t xml:space="preserve"> ESC considered that the</w:t>
      </w:r>
      <w:r w:rsidRPr="0010205E">
        <w:t xml:space="preserve"> time horizon of 20 years for a </w:t>
      </w:r>
      <w:r w:rsidR="003A6176" w:rsidRPr="0010205E">
        <w:t xml:space="preserve">patient commencing </w:t>
      </w:r>
      <w:r w:rsidRPr="0010205E">
        <w:t>treatment at 68</w:t>
      </w:r>
      <w:r w:rsidR="009D15AF" w:rsidRPr="0010205E">
        <w:t xml:space="preserve"> </w:t>
      </w:r>
      <w:r w:rsidR="003A6176" w:rsidRPr="0010205E">
        <w:t xml:space="preserve">years </w:t>
      </w:r>
      <w:r w:rsidR="009D15AF" w:rsidRPr="0010205E">
        <w:t>and who is ineligible for HSCT</w:t>
      </w:r>
      <w:r w:rsidRPr="0010205E">
        <w:t xml:space="preserve"> </w:t>
      </w:r>
      <w:r w:rsidR="00E85546" w:rsidRPr="0010205E">
        <w:t>was reasonable</w:t>
      </w:r>
      <w:r w:rsidRPr="0010205E">
        <w:t xml:space="preserve">. </w:t>
      </w:r>
    </w:p>
    <w:p w14:paraId="2A952475" w14:textId="488A7ACE" w:rsidR="00F501B9" w:rsidRPr="0010205E" w:rsidRDefault="00F501B9" w:rsidP="005F7242">
      <w:pPr>
        <w:pStyle w:val="3-BodyText"/>
      </w:pPr>
      <w:bookmarkStart w:id="61" w:name="_Ref110862045"/>
      <w:r w:rsidRPr="0010205E">
        <w:t xml:space="preserve">The </w:t>
      </w:r>
      <w:r w:rsidR="003A6176" w:rsidRPr="0010205E">
        <w:t>proportion of patients receiving</w:t>
      </w:r>
      <w:r w:rsidRPr="0010205E">
        <w:t xml:space="preserve"> HSCT in the model </w:t>
      </w:r>
      <w:r w:rsidR="003A6176" w:rsidRPr="0010205E">
        <w:t xml:space="preserve">was </w:t>
      </w:r>
      <w:r w:rsidRPr="0010205E">
        <w:t xml:space="preserve">based on the HSCT rates for each arm reported in QUAZAR: 6.3% for oral azacitidine, 13.7% for BSC. There is </w:t>
      </w:r>
      <w:r w:rsidR="003A6176" w:rsidRPr="0010205E">
        <w:t>a</w:t>
      </w:r>
      <w:r w:rsidRPr="0010205E">
        <w:t xml:space="preserve"> possibility the </w:t>
      </w:r>
      <w:r w:rsidR="003A6176" w:rsidRPr="0010205E">
        <w:t>lower rate</w:t>
      </w:r>
      <w:r w:rsidRPr="0010205E">
        <w:t xml:space="preserve"> of HSCT in the oral azacitidine arm relative to </w:t>
      </w:r>
      <w:r w:rsidR="003A6176" w:rsidRPr="0010205E">
        <w:t xml:space="preserve">BSC </w:t>
      </w:r>
      <w:r w:rsidRPr="0010205E">
        <w:t xml:space="preserve">would not be observed </w:t>
      </w:r>
      <w:r w:rsidR="003A6176" w:rsidRPr="0010205E">
        <w:t xml:space="preserve">in clinical practice </w:t>
      </w:r>
      <w:r w:rsidRPr="0010205E">
        <w:t xml:space="preserve">given that </w:t>
      </w:r>
      <w:r w:rsidR="00BF0022" w:rsidRPr="0010205E">
        <w:t xml:space="preserve">the </w:t>
      </w:r>
      <w:r w:rsidRPr="0010205E">
        <w:t xml:space="preserve">improved relapse status with </w:t>
      </w:r>
      <w:r w:rsidR="00BF0022" w:rsidRPr="0010205E">
        <w:t xml:space="preserve">oral </w:t>
      </w:r>
      <w:r w:rsidRPr="0010205E">
        <w:t xml:space="preserve">azacitidine may result in more patients undergoing HSCT. </w:t>
      </w:r>
      <w:r w:rsidR="0041696C" w:rsidRPr="0010205E">
        <w:t xml:space="preserve">The PSCR stated that it was clinically plausible that there may be a reduced rate of HSCT in the azacitidine arm relative to the BSC arm as oral azacitidine is an active anti-cancer treatment used with the intent of maintaining patients in remission following induction therapy with or without consolidation. </w:t>
      </w:r>
      <w:r w:rsidR="00750E90" w:rsidRPr="0010205E">
        <w:t xml:space="preserve">The ESC considered that this was reasonable. </w:t>
      </w:r>
      <w:r w:rsidR="00784209">
        <w:t>T</w:t>
      </w:r>
      <w:r w:rsidRPr="0010205E">
        <w:t xml:space="preserve">he submission </w:t>
      </w:r>
      <w:r w:rsidR="00BF0022" w:rsidRPr="0010205E">
        <w:t>applied</w:t>
      </w:r>
      <w:r w:rsidRPr="0010205E">
        <w:t xml:space="preserve"> a cost of HSCT </w:t>
      </w:r>
      <w:r w:rsidR="00BF0022" w:rsidRPr="0010205E">
        <w:t xml:space="preserve">of </w:t>
      </w:r>
      <w:r w:rsidRPr="0010205E">
        <w:t xml:space="preserve">$21,087 based on the cost of autologous </w:t>
      </w:r>
      <w:r w:rsidR="00BF0022" w:rsidRPr="0010205E">
        <w:t>HSCT</w:t>
      </w:r>
      <w:r w:rsidRPr="0010205E">
        <w:t xml:space="preserve"> (based on AR</w:t>
      </w:r>
      <w:r w:rsidR="00A90D48">
        <w:noBreakHyphen/>
      </w:r>
      <w:r w:rsidRPr="0010205E">
        <w:t>DRG</w:t>
      </w:r>
      <w:r w:rsidR="00327216" w:rsidRPr="0010205E">
        <w:t xml:space="preserve"> R06)</w:t>
      </w:r>
      <w:r w:rsidRPr="0010205E">
        <w:t xml:space="preserve">. </w:t>
      </w:r>
      <w:r w:rsidR="00327216" w:rsidRPr="0010205E">
        <w:t xml:space="preserve">However, AML patients will undergo allogenic </w:t>
      </w:r>
      <w:r w:rsidR="00BF0022" w:rsidRPr="0010205E">
        <w:t>HSCTs</w:t>
      </w:r>
      <w:r w:rsidR="00327216" w:rsidRPr="0010205E">
        <w:t xml:space="preserve"> only</w:t>
      </w:r>
      <w:r w:rsidR="00BF0022" w:rsidRPr="0010205E">
        <w:t xml:space="preserve">. These </w:t>
      </w:r>
      <w:r w:rsidR="00327216" w:rsidRPr="0010205E">
        <w:t>are more expensive than autologous transplants (weighted cost of AR-DRGs R05A and R05B was $123,956).</w:t>
      </w:r>
      <w:r w:rsidR="00794199" w:rsidRPr="0010205E">
        <w:t xml:space="preserve"> </w:t>
      </w:r>
      <w:r w:rsidR="00BF0022" w:rsidRPr="0010205E">
        <w:t>Applying</w:t>
      </w:r>
      <w:r w:rsidR="00794199" w:rsidRPr="0010205E">
        <w:t xml:space="preserve"> the cost of allogenic </w:t>
      </w:r>
      <w:r w:rsidR="00BF0022" w:rsidRPr="0010205E">
        <w:t>HSCT</w:t>
      </w:r>
      <w:r w:rsidR="00794199" w:rsidRPr="0010205E">
        <w:t xml:space="preserve"> ($123,956) </w:t>
      </w:r>
      <w:r w:rsidR="00C0456C" w:rsidRPr="0010205E">
        <w:t>had</w:t>
      </w:r>
      <w:r w:rsidR="00794199" w:rsidRPr="0010205E">
        <w:t xml:space="preserve"> a significant impact on the ICER in favour of oral azacitidine.</w:t>
      </w:r>
      <w:r w:rsidR="00327216" w:rsidRPr="0010205E">
        <w:t xml:space="preserve"> </w:t>
      </w:r>
      <w:r w:rsidR="00BF0022" w:rsidRPr="0010205E">
        <w:t>Applying</w:t>
      </w:r>
      <w:r w:rsidR="00327216" w:rsidRPr="0010205E">
        <w:t xml:space="preserve"> the cost of allogenic </w:t>
      </w:r>
      <w:r w:rsidR="00BF0022" w:rsidRPr="0010205E">
        <w:t>HSCT</w:t>
      </w:r>
      <w:r w:rsidR="00327216" w:rsidRPr="0010205E">
        <w:t xml:space="preserve"> (</w:t>
      </w:r>
      <w:r w:rsidRPr="0010205E">
        <w:t>$123,956</w:t>
      </w:r>
      <w:r w:rsidR="00327216" w:rsidRPr="0010205E">
        <w:t>)</w:t>
      </w:r>
      <w:r w:rsidRPr="0010205E">
        <w:t xml:space="preserve"> and </w:t>
      </w:r>
      <w:r w:rsidR="00BF0022" w:rsidRPr="0010205E">
        <w:t xml:space="preserve">a </w:t>
      </w:r>
      <w:r w:rsidRPr="0010205E">
        <w:t xml:space="preserve">similar rate of transplant in both arms (13.7% in the </w:t>
      </w:r>
      <w:r w:rsidRPr="00A90D48">
        <w:rPr>
          <w:rFonts w:cstheme="minorHAnsi"/>
        </w:rPr>
        <w:t xml:space="preserve">BSC and oral azacitidine arms) </w:t>
      </w:r>
      <w:r w:rsidR="00C0456C" w:rsidRPr="00A90D48">
        <w:rPr>
          <w:rFonts w:cstheme="minorHAnsi"/>
        </w:rPr>
        <w:t>had</w:t>
      </w:r>
      <w:r w:rsidRPr="00A90D48">
        <w:rPr>
          <w:rFonts w:cstheme="minorHAnsi"/>
        </w:rPr>
        <w:t xml:space="preserve"> a </w:t>
      </w:r>
      <w:r w:rsidR="00385EE5" w:rsidRPr="00A90D48">
        <w:rPr>
          <w:rFonts w:cstheme="minorHAnsi"/>
        </w:rPr>
        <w:t>m</w:t>
      </w:r>
      <w:r w:rsidR="00F4005E" w:rsidRPr="00A90D48">
        <w:rPr>
          <w:rFonts w:cstheme="minorHAnsi"/>
        </w:rPr>
        <w:t>i</w:t>
      </w:r>
      <w:r w:rsidR="00385EE5" w:rsidRPr="00A90D48">
        <w:rPr>
          <w:rFonts w:cstheme="minorHAnsi"/>
        </w:rPr>
        <w:t>nor</w:t>
      </w:r>
      <w:r w:rsidRPr="00A90D48">
        <w:rPr>
          <w:rFonts w:cstheme="minorHAnsi"/>
        </w:rPr>
        <w:t xml:space="preserve"> impact on the ICER in favour of oral azacitidine</w:t>
      </w:r>
      <w:r w:rsidR="00BF0022" w:rsidRPr="00A90D48">
        <w:rPr>
          <w:rFonts w:cstheme="minorHAnsi"/>
        </w:rPr>
        <w:t xml:space="preserve"> (see </w:t>
      </w:r>
      <w:r w:rsidR="00A90D48" w:rsidRPr="00A90D48">
        <w:rPr>
          <w:rFonts w:cstheme="minorHAnsi"/>
        </w:rPr>
        <w:fldChar w:fldCharType="begin" w:fldLock="1"/>
      </w:r>
      <w:r w:rsidR="00A90D48" w:rsidRPr="00A90D48">
        <w:rPr>
          <w:rFonts w:cstheme="minorHAnsi"/>
        </w:rPr>
        <w:instrText xml:space="preserve"> REF _Ref106194874 \h  \* MERGEFORMAT </w:instrText>
      </w:r>
      <w:r w:rsidR="00A90D48" w:rsidRPr="00A90D48">
        <w:rPr>
          <w:rFonts w:cstheme="minorHAnsi"/>
        </w:rPr>
      </w:r>
      <w:r w:rsidR="00A90D48" w:rsidRPr="00A90D48">
        <w:rPr>
          <w:rFonts w:cstheme="minorHAnsi"/>
        </w:rPr>
        <w:fldChar w:fldCharType="separate"/>
      </w:r>
      <w:r w:rsidR="00A90D48" w:rsidRPr="00A90D48">
        <w:rPr>
          <w:rFonts w:cstheme="minorHAnsi"/>
        </w:rPr>
        <w:t xml:space="preserve">Table </w:t>
      </w:r>
      <w:r w:rsidR="00A90D48" w:rsidRPr="00A90D48">
        <w:rPr>
          <w:rFonts w:cstheme="minorHAnsi"/>
          <w:noProof/>
        </w:rPr>
        <w:t>15</w:t>
      </w:r>
      <w:r w:rsidR="00A90D48" w:rsidRPr="00A90D48">
        <w:rPr>
          <w:rFonts w:cstheme="minorHAnsi"/>
        </w:rPr>
        <w:fldChar w:fldCharType="end"/>
      </w:r>
      <w:r w:rsidR="00BF0022" w:rsidRPr="00A90D48">
        <w:rPr>
          <w:rFonts w:cstheme="minorHAnsi"/>
        </w:rPr>
        <w:t>)</w:t>
      </w:r>
      <w:r w:rsidR="0003220F" w:rsidRPr="00A90D48">
        <w:rPr>
          <w:rFonts w:cstheme="minorHAnsi"/>
        </w:rPr>
        <w:t xml:space="preserve"> as the cost of HSCT is modelled as a once off, up-front cost</w:t>
      </w:r>
      <w:r w:rsidRPr="00A90D48">
        <w:rPr>
          <w:rFonts w:cstheme="minorHAnsi"/>
        </w:rPr>
        <w:t xml:space="preserve">. </w:t>
      </w:r>
      <w:r w:rsidR="00CA21DB" w:rsidRPr="00A90D48">
        <w:rPr>
          <w:rFonts w:cstheme="minorHAnsi"/>
        </w:rPr>
        <w:t>This was correc</w:t>
      </w:r>
      <w:r w:rsidR="00CA21DB">
        <w:t>ted in the revised model presented in the pre-PBAC response.</w:t>
      </w:r>
      <w:bookmarkEnd w:id="61"/>
    </w:p>
    <w:p w14:paraId="0ED7C485" w14:textId="3D53AAD4" w:rsidR="00C5577E" w:rsidRPr="008A5608" w:rsidRDefault="00C5577E" w:rsidP="00C5577E">
      <w:pPr>
        <w:pStyle w:val="3-BodyText"/>
      </w:pPr>
      <w:bookmarkStart w:id="62" w:name="_Ref111200609"/>
      <w:r w:rsidRPr="0010205E">
        <w:t xml:space="preserve">The </w:t>
      </w:r>
      <w:r w:rsidR="00263163" w:rsidRPr="0010205E">
        <w:t xml:space="preserve">ESC noted that the </w:t>
      </w:r>
      <w:r w:rsidRPr="0010205E">
        <w:t xml:space="preserve">application of the same utility value </w:t>
      </w:r>
      <w:r w:rsidR="00ED249F">
        <w:t xml:space="preserve">(0.83) </w:t>
      </w:r>
      <w:r w:rsidRPr="0010205E">
        <w:t xml:space="preserve">for both treatment arms may not </w:t>
      </w:r>
      <w:r w:rsidR="00263163" w:rsidRPr="0010205E">
        <w:t xml:space="preserve">have </w:t>
      </w:r>
      <w:r w:rsidRPr="0010205E">
        <w:t>be</w:t>
      </w:r>
      <w:r w:rsidR="00263163" w:rsidRPr="0010205E">
        <w:t>en</w:t>
      </w:r>
      <w:r w:rsidRPr="0010205E">
        <w:t xml:space="preserve"> reasonable given the difficulties in concluding that HRQoL </w:t>
      </w:r>
      <w:r w:rsidR="00750E90" w:rsidRPr="0010205E">
        <w:t>wa</w:t>
      </w:r>
      <w:r w:rsidRPr="0010205E">
        <w:t xml:space="preserve">s noninferior in the oral azacitidine arm compared with the BSC arm. </w:t>
      </w:r>
      <w:r w:rsidR="00263163" w:rsidRPr="0010205E">
        <w:t xml:space="preserve">In addition, given patients in the oral azacitidine arm experienced more severe AEs than patients in the BSC arm, the application of a single utility value for both treatment arms may have overestimated the utility applied in the oral azacitidine arm. </w:t>
      </w:r>
      <w:r w:rsidRPr="0010205E">
        <w:t>The economic model d</w:t>
      </w:r>
      <w:r w:rsidR="00263163" w:rsidRPr="0010205E">
        <w:t>id</w:t>
      </w:r>
      <w:r w:rsidRPr="0010205E">
        <w:t xml:space="preserve"> not allow for testing of different utility values in each arm. </w:t>
      </w:r>
      <w:r w:rsidR="003C6039">
        <w:t xml:space="preserve">The pre-PBAC response revised the model to allow the incorporation of treatment specific utility values that were based on the QUAZAR trial data for the relapse free health </w:t>
      </w:r>
      <w:r w:rsidR="003C6039" w:rsidRPr="008A5608">
        <w:t>state. A value of 0.846 was applied to the azacitidine arm and 0.853 to the BSC arm.</w:t>
      </w:r>
      <w:bookmarkEnd w:id="62"/>
    </w:p>
    <w:p w14:paraId="238B6E6E" w14:textId="736B0932" w:rsidR="00AC36A2" w:rsidRPr="0010205E" w:rsidRDefault="007249F0" w:rsidP="00750E90">
      <w:pPr>
        <w:numPr>
          <w:ilvl w:val="1"/>
          <w:numId w:val="1"/>
        </w:numPr>
        <w:spacing w:after="120"/>
        <w:ind w:left="720"/>
        <w:rPr>
          <w:rFonts w:asciiTheme="minorHAnsi" w:hAnsiTheme="minorHAnsi"/>
          <w:snapToGrid w:val="0"/>
          <w:color w:val="000000" w:themeColor="text1"/>
        </w:rPr>
      </w:pPr>
      <w:r w:rsidRPr="0010205E">
        <w:rPr>
          <w:rFonts w:asciiTheme="minorHAnsi" w:hAnsiTheme="minorHAnsi"/>
          <w:snapToGrid w:val="0"/>
          <w:color w:val="000000" w:themeColor="text1"/>
        </w:rPr>
        <w:t>A s</w:t>
      </w:r>
      <w:r w:rsidR="00AC36A2" w:rsidRPr="0010205E">
        <w:rPr>
          <w:rFonts w:asciiTheme="minorHAnsi" w:hAnsiTheme="minorHAnsi"/>
          <w:snapToGrid w:val="0"/>
          <w:color w:val="000000" w:themeColor="text1"/>
        </w:rPr>
        <w:t xml:space="preserve">ummary of the key drivers of the model </w:t>
      </w:r>
      <w:r w:rsidRPr="0010205E">
        <w:rPr>
          <w:rFonts w:asciiTheme="minorHAnsi" w:hAnsiTheme="minorHAnsi"/>
          <w:snapToGrid w:val="0"/>
          <w:color w:val="000000" w:themeColor="text1"/>
        </w:rPr>
        <w:t xml:space="preserve">is </w:t>
      </w:r>
      <w:r w:rsidR="00AC36A2" w:rsidRPr="0010205E">
        <w:rPr>
          <w:rFonts w:asciiTheme="minorHAnsi" w:hAnsiTheme="minorHAnsi"/>
          <w:snapToGrid w:val="0"/>
          <w:color w:val="000000" w:themeColor="text1"/>
        </w:rPr>
        <w:t xml:space="preserve">presented </w:t>
      </w:r>
      <w:r w:rsidR="00AC36A2" w:rsidRPr="0010205E">
        <w:rPr>
          <w:rFonts w:asciiTheme="minorHAnsi" w:hAnsiTheme="minorHAnsi"/>
          <w:snapToGrid w:val="0"/>
          <w:lang w:val="en-US"/>
        </w:rPr>
        <w:t xml:space="preserve">in </w:t>
      </w:r>
      <w:r w:rsidR="00AC36A2" w:rsidRPr="0010205E">
        <w:rPr>
          <w:rFonts w:asciiTheme="minorHAnsi" w:hAnsiTheme="minorHAnsi"/>
          <w:snapToGrid w:val="0"/>
          <w:lang w:val="en-US"/>
        </w:rPr>
        <w:fldChar w:fldCharType="begin" w:fldLock="1"/>
      </w:r>
      <w:r w:rsidR="00AC36A2" w:rsidRPr="0010205E">
        <w:rPr>
          <w:rFonts w:asciiTheme="minorHAnsi" w:hAnsiTheme="minorHAnsi"/>
          <w:snapToGrid w:val="0"/>
          <w:lang w:val="en-US"/>
        </w:rPr>
        <w:instrText xml:space="preserve"> REF _Ref100772954 \h  \* MERGEFORMAT </w:instrText>
      </w:r>
      <w:r w:rsidR="00AC36A2" w:rsidRPr="0010205E">
        <w:rPr>
          <w:rFonts w:asciiTheme="minorHAnsi" w:hAnsiTheme="minorHAnsi"/>
          <w:snapToGrid w:val="0"/>
          <w:lang w:val="en-US"/>
        </w:rPr>
      </w:r>
      <w:r w:rsidR="00AC36A2" w:rsidRPr="0010205E">
        <w:rPr>
          <w:rFonts w:asciiTheme="minorHAnsi" w:hAnsiTheme="minorHAnsi"/>
          <w:snapToGrid w:val="0"/>
          <w:lang w:val="en-US"/>
        </w:rPr>
        <w:fldChar w:fldCharType="separate"/>
      </w:r>
      <w:r w:rsidR="00602E88" w:rsidRPr="00602E88">
        <w:rPr>
          <w:rFonts w:asciiTheme="minorHAnsi" w:hAnsiTheme="minorHAnsi"/>
          <w:snapToGrid w:val="0"/>
          <w:lang w:val="en-US"/>
        </w:rPr>
        <w:t>Table 12</w:t>
      </w:r>
      <w:r w:rsidR="00AC36A2" w:rsidRPr="0010205E">
        <w:rPr>
          <w:rFonts w:asciiTheme="minorHAnsi" w:hAnsiTheme="minorHAnsi"/>
          <w:snapToGrid w:val="0"/>
          <w:lang w:val="en-US"/>
        </w:rPr>
        <w:fldChar w:fldCharType="end"/>
      </w:r>
      <w:r w:rsidR="00AC36A2" w:rsidRPr="0010205E">
        <w:rPr>
          <w:rFonts w:asciiTheme="minorHAnsi" w:hAnsiTheme="minorHAnsi"/>
          <w:snapToGrid w:val="0"/>
          <w:color w:val="000000" w:themeColor="text1"/>
        </w:rPr>
        <w:t>.</w:t>
      </w:r>
    </w:p>
    <w:p w14:paraId="3718419C" w14:textId="0DEAA4D5" w:rsidR="00AC36A2" w:rsidRPr="00694B06" w:rsidRDefault="00AC36A2" w:rsidP="009D15AF">
      <w:pPr>
        <w:pStyle w:val="Caption"/>
        <w:keepNext/>
        <w:spacing w:after="0"/>
        <w:rPr>
          <w:rFonts w:ascii="Arial Narrow" w:hAnsi="Arial Narrow"/>
          <w:color w:val="auto"/>
          <w:sz w:val="20"/>
          <w:szCs w:val="20"/>
        </w:rPr>
      </w:pPr>
      <w:bookmarkStart w:id="63" w:name="_Ref100772954"/>
      <w:r w:rsidRPr="00694B06">
        <w:rPr>
          <w:rFonts w:ascii="Arial Narrow" w:hAnsi="Arial Narrow"/>
          <w:color w:val="auto"/>
          <w:sz w:val="20"/>
          <w:szCs w:val="20"/>
        </w:rPr>
        <w:t xml:space="preserve">Table </w:t>
      </w:r>
      <w:r>
        <w:rPr>
          <w:rFonts w:ascii="Arial Narrow" w:hAnsi="Arial Narrow"/>
          <w:color w:val="auto"/>
          <w:sz w:val="20"/>
          <w:szCs w:val="20"/>
        </w:rPr>
        <w:fldChar w:fldCharType="begin" w:fldLock="1"/>
      </w:r>
      <w:r>
        <w:rPr>
          <w:rFonts w:ascii="Arial Narrow" w:hAnsi="Arial Narrow"/>
          <w:color w:val="auto"/>
          <w:sz w:val="20"/>
          <w:szCs w:val="20"/>
        </w:rPr>
        <w:instrText xml:space="preserve"> SEQ Table \* ARABIC \s 1 </w:instrText>
      </w:r>
      <w:r>
        <w:rPr>
          <w:rFonts w:ascii="Arial Narrow" w:hAnsi="Arial Narrow"/>
          <w:color w:val="auto"/>
          <w:sz w:val="20"/>
          <w:szCs w:val="20"/>
        </w:rPr>
        <w:fldChar w:fldCharType="separate"/>
      </w:r>
      <w:r w:rsidR="00602E88">
        <w:rPr>
          <w:rFonts w:ascii="Arial Narrow" w:hAnsi="Arial Narrow"/>
          <w:noProof/>
          <w:color w:val="auto"/>
          <w:sz w:val="20"/>
          <w:szCs w:val="20"/>
        </w:rPr>
        <w:t>12</w:t>
      </w:r>
      <w:r>
        <w:rPr>
          <w:rFonts w:ascii="Arial Narrow" w:hAnsi="Arial Narrow"/>
          <w:color w:val="auto"/>
          <w:sz w:val="20"/>
          <w:szCs w:val="20"/>
        </w:rPr>
        <w:fldChar w:fldCharType="end"/>
      </w:r>
      <w:bookmarkEnd w:id="63"/>
      <w:r w:rsidRPr="00694B06">
        <w:rPr>
          <w:rFonts w:ascii="Arial Narrow" w:hAnsi="Arial Narrow"/>
          <w:color w:val="auto"/>
          <w:sz w:val="20"/>
          <w:szCs w:val="20"/>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Key drivers of the model"/>
      </w:tblPr>
      <w:tblGrid>
        <w:gridCol w:w="1127"/>
        <w:gridCol w:w="2837"/>
        <w:gridCol w:w="5053"/>
      </w:tblGrid>
      <w:tr w:rsidR="00AC36A2" w:rsidRPr="003D1DE4" w14:paraId="52872DFA" w14:textId="77777777" w:rsidTr="00835984">
        <w:trPr>
          <w:tblHeader/>
        </w:trPr>
        <w:tc>
          <w:tcPr>
            <w:tcW w:w="625" w:type="pct"/>
            <w:shd w:val="clear" w:color="auto" w:fill="auto"/>
            <w:vAlign w:val="center"/>
          </w:tcPr>
          <w:p w14:paraId="3899DABC" w14:textId="77777777" w:rsidR="00AC36A2" w:rsidRPr="003D1DE4" w:rsidRDefault="00AC36A2" w:rsidP="00BF0022">
            <w:pPr>
              <w:pStyle w:val="In-tableHeading"/>
            </w:pPr>
            <w:r w:rsidRPr="003D1DE4">
              <w:t>Description</w:t>
            </w:r>
          </w:p>
        </w:tc>
        <w:tc>
          <w:tcPr>
            <w:tcW w:w="1573" w:type="pct"/>
            <w:shd w:val="clear" w:color="auto" w:fill="auto"/>
            <w:vAlign w:val="center"/>
          </w:tcPr>
          <w:p w14:paraId="016928B4" w14:textId="77777777" w:rsidR="00AC36A2" w:rsidRPr="003D1DE4" w:rsidRDefault="00AC36A2" w:rsidP="009D15AF">
            <w:pPr>
              <w:pStyle w:val="In-tableHeading"/>
              <w:jc w:val="center"/>
            </w:pPr>
            <w:r w:rsidRPr="003D1DE4">
              <w:t>Method/Value</w:t>
            </w:r>
          </w:p>
        </w:tc>
        <w:tc>
          <w:tcPr>
            <w:tcW w:w="2802" w:type="pct"/>
            <w:shd w:val="clear" w:color="auto" w:fill="auto"/>
            <w:vAlign w:val="center"/>
          </w:tcPr>
          <w:p w14:paraId="3A4B4307" w14:textId="77777777" w:rsidR="00AC36A2" w:rsidRDefault="00AC36A2" w:rsidP="009D15AF">
            <w:pPr>
              <w:pStyle w:val="In-tableHeading"/>
              <w:jc w:val="center"/>
            </w:pPr>
            <w:r w:rsidRPr="003D1DE4">
              <w:t>Impact</w:t>
            </w:r>
          </w:p>
          <w:p w14:paraId="745741E0" w14:textId="4ADBDE7E" w:rsidR="00AC36A2" w:rsidRPr="003D1DE4" w:rsidRDefault="00AC36A2" w:rsidP="009D15AF">
            <w:pPr>
              <w:pStyle w:val="In-tableHeading"/>
              <w:jc w:val="center"/>
            </w:pPr>
            <w:r w:rsidRPr="00354F64">
              <w:rPr>
                <w:rFonts w:cs="Arial"/>
                <w:szCs w:val="20"/>
              </w:rPr>
              <w:t>Base case: $</w:t>
            </w:r>
            <w:r w:rsidR="00EB4495" w:rsidRPr="00EB4495">
              <w:rPr>
                <w:rFonts w:cs="Arial"/>
                <w:color w:val="000000"/>
                <w:szCs w:val="20"/>
                <w:shd w:val="solid" w:color="000000" w:fill="000000"/>
                <w14:textFill>
                  <w14:solidFill>
                    <w14:srgbClr w14:val="000000">
                      <w14:alpha w14:val="100000"/>
                    </w14:srgbClr>
                  </w14:solidFill>
                </w14:textFill>
              </w:rPr>
              <w:t>|</w:t>
            </w:r>
            <w:r w:rsidR="00835984">
              <w:rPr>
                <w:rFonts w:cs="Arial"/>
                <w:szCs w:val="20"/>
                <w:vertAlign w:val="superscript"/>
              </w:rPr>
              <w:t>1</w:t>
            </w:r>
            <w:r w:rsidRPr="00354F64">
              <w:rPr>
                <w:rFonts w:cs="Arial"/>
                <w:szCs w:val="20"/>
              </w:rPr>
              <w:t>/QALY gained</w:t>
            </w:r>
          </w:p>
        </w:tc>
      </w:tr>
      <w:tr w:rsidR="00AC36A2" w:rsidRPr="00E2771E" w14:paraId="1AA274F0" w14:textId="77777777" w:rsidTr="00835984">
        <w:tc>
          <w:tcPr>
            <w:tcW w:w="625" w:type="pct"/>
            <w:shd w:val="clear" w:color="auto" w:fill="auto"/>
            <w:vAlign w:val="center"/>
          </w:tcPr>
          <w:p w14:paraId="2383165F" w14:textId="77777777" w:rsidR="00AC36A2" w:rsidRPr="00E2771E" w:rsidRDefault="00AC36A2" w:rsidP="00BF0022">
            <w:pPr>
              <w:pStyle w:val="TableText0"/>
              <w:rPr>
                <w:lang w:val="en-US"/>
              </w:rPr>
            </w:pPr>
            <w:r>
              <w:rPr>
                <w:lang w:val="en-US"/>
              </w:rPr>
              <w:t>Duration of treatment</w:t>
            </w:r>
          </w:p>
        </w:tc>
        <w:tc>
          <w:tcPr>
            <w:tcW w:w="1573" w:type="pct"/>
            <w:shd w:val="clear" w:color="auto" w:fill="auto"/>
            <w:vAlign w:val="center"/>
          </w:tcPr>
          <w:p w14:paraId="76FE0450" w14:textId="0464F88F" w:rsidR="00AC36A2" w:rsidRPr="008A5608" w:rsidRDefault="00AC36A2" w:rsidP="009D15AF">
            <w:pPr>
              <w:pStyle w:val="TableText0"/>
              <w:rPr>
                <w:lang w:val="en-US"/>
              </w:rPr>
            </w:pPr>
            <w:r w:rsidRPr="008A5608">
              <w:rPr>
                <w:lang w:val="en-US"/>
              </w:rPr>
              <w:t xml:space="preserve">The submission </w:t>
            </w:r>
            <w:r w:rsidR="00784209" w:rsidRPr="008A5608">
              <w:rPr>
                <w:lang w:val="en-US"/>
              </w:rPr>
              <w:t xml:space="preserve">stated that it </w:t>
            </w:r>
            <w:r w:rsidRPr="008A5608">
              <w:rPr>
                <w:lang w:val="en-US"/>
              </w:rPr>
              <w:t>applied the</w:t>
            </w:r>
            <w:r w:rsidR="001C46EE" w:rsidRPr="008A5608">
              <w:rPr>
                <w:lang w:val="en-US"/>
              </w:rPr>
              <w:t xml:space="preserve"> censored</w:t>
            </w:r>
            <w:r w:rsidRPr="008A5608">
              <w:rPr>
                <w:lang w:val="en-US"/>
              </w:rPr>
              <w:t xml:space="preserve"> mean duration of treatment 18.1 months. </w:t>
            </w:r>
          </w:p>
        </w:tc>
        <w:tc>
          <w:tcPr>
            <w:tcW w:w="2802" w:type="pct"/>
            <w:shd w:val="clear" w:color="auto" w:fill="auto"/>
            <w:vAlign w:val="center"/>
          </w:tcPr>
          <w:p w14:paraId="6BACB42B" w14:textId="77777777" w:rsidR="00BF0022" w:rsidRPr="007F034A" w:rsidRDefault="00AC36A2" w:rsidP="009D15AF">
            <w:pPr>
              <w:pStyle w:val="TableText0"/>
              <w:rPr>
                <w:lang w:val="en-US"/>
              </w:rPr>
            </w:pPr>
            <w:r w:rsidRPr="007F034A">
              <w:rPr>
                <w:lang w:val="en-US"/>
              </w:rPr>
              <w:t xml:space="preserve">High, favours oral azacitidine </w:t>
            </w:r>
          </w:p>
          <w:p w14:paraId="09F86E0C" w14:textId="2694E338" w:rsidR="00AC36A2" w:rsidRPr="00490B17" w:rsidRDefault="00BF0022" w:rsidP="009D15AF">
            <w:pPr>
              <w:pStyle w:val="TableText0"/>
              <w:rPr>
                <w:i/>
                <w:lang w:val="en-US"/>
              </w:rPr>
            </w:pPr>
            <w:r w:rsidRPr="007F034A">
              <w:rPr>
                <w:lang w:val="en-US"/>
              </w:rPr>
              <w:t>U</w:t>
            </w:r>
            <w:r w:rsidR="00AC36A2" w:rsidRPr="007F034A">
              <w:rPr>
                <w:lang w:val="en-US"/>
              </w:rPr>
              <w:t>se of ToT</w:t>
            </w:r>
            <w:r w:rsidR="009D15AF" w:rsidRPr="007F034A">
              <w:rPr>
                <w:lang w:val="en-US"/>
              </w:rPr>
              <w:t xml:space="preserve"> KM</w:t>
            </w:r>
            <w:r w:rsidR="00AC36A2" w:rsidRPr="007F034A">
              <w:rPr>
                <w:lang w:val="en-US"/>
              </w:rPr>
              <w:t xml:space="preserve"> data increased the ICER to $</w:t>
            </w:r>
            <w:r w:rsidR="00EB4495" w:rsidRPr="00EB4495">
              <w:rPr>
                <w:color w:val="000000"/>
                <w:spacing w:val="50"/>
                <w:shd w:val="solid" w:color="000000" w:fill="000000"/>
                <w:fitText w:val="325" w:id="-1435823871"/>
                <w:lang w:val="en-US"/>
                <w14:textFill>
                  <w14:solidFill>
                    <w14:srgbClr w14:val="000000">
                      <w14:alpha w14:val="100000"/>
                    </w14:srgbClr>
                  </w14:solidFill>
                </w14:textFill>
              </w:rPr>
              <w:t>|||</w:t>
            </w:r>
            <w:r w:rsidR="00EB4495" w:rsidRPr="00EB4495">
              <w:rPr>
                <w:color w:val="000000"/>
                <w:spacing w:val="13"/>
                <w:shd w:val="solid" w:color="000000" w:fill="000000"/>
                <w:fitText w:val="325" w:id="-1435823871"/>
                <w:lang w:val="en-US"/>
                <w14:textFill>
                  <w14:solidFill>
                    <w14:srgbClr w14:val="000000">
                      <w14:alpha w14:val="100000"/>
                    </w14:srgbClr>
                  </w14:solidFill>
                </w14:textFill>
              </w:rPr>
              <w:t>|</w:t>
            </w:r>
            <w:r w:rsidR="00835984">
              <w:rPr>
                <w:vertAlign w:val="superscript"/>
                <w:lang w:val="en-US"/>
              </w:rPr>
              <w:t>1</w:t>
            </w:r>
            <w:r w:rsidR="00AC36A2" w:rsidRPr="007F034A">
              <w:rPr>
                <w:lang w:val="en-US"/>
              </w:rPr>
              <w:t>/QALY gained.</w:t>
            </w:r>
          </w:p>
        </w:tc>
      </w:tr>
      <w:tr w:rsidR="00C0456C" w:rsidRPr="00E2771E" w14:paraId="68DDC2C5" w14:textId="77777777" w:rsidTr="00835984">
        <w:tc>
          <w:tcPr>
            <w:tcW w:w="625" w:type="pct"/>
            <w:shd w:val="clear" w:color="auto" w:fill="auto"/>
            <w:vAlign w:val="center"/>
          </w:tcPr>
          <w:p w14:paraId="409C61DD" w14:textId="77777777" w:rsidR="00C0456C" w:rsidRDefault="00C0456C" w:rsidP="00BF0022">
            <w:pPr>
              <w:pStyle w:val="TableText0"/>
              <w:rPr>
                <w:lang w:val="en-US"/>
              </w:rPr>
            </w:pPr>
            <w:r>
              <w:rPr>
                <w:lang w:val="en-US"/>
              </w:rPr>
              <w:t>Cost of HSCT</w:t>
            </w:r>
          </w:p>
        </w:tc>
        <w:tc>
          <w:tcPr>
            <w:tcW w:w="1573" w:type="pct"/>
            <w:shd w:val="clear" w:color="auto" w:fill="auto"/>
            <w:vAlign w:val="center"/>
          </w:tcPr>
          <w:p w14:paraId="59F44A10" w14:textId="28029E92" w:rsidR="00C0456C" w:rsidRPr="008A5608" w:rsidRDefault="00C0456C" w:rsidP="002E5E1C">
            <w:pPr>
              <w:pStyle w:val="TableText0"/>
              <w:rPr>
                <w:lang w:val="en-US"/>
              </w:rPr>
            </w:pPr>
            <w:r w:rsidRPr="008A5608">
              <w:rPr>
                <w:lang w:val="en-US"/>
              </w:rPr>
              <w:t xml:space="preserve">Cost of autologous </w:t>
            </w:r>
            <w:r w:rsidR="00BF0022" w:rsidRPr="008A5608">
              <w:rPr>
                <w:lang w:val="en-US"/>
              </w:rPr>
              <w:t>HSCT</w:t>
            </w:r>
            <w:r w:rsidRPr="008A5608">
              <w:rPr>
                <w:lang w:val="en-US"/>
              </w:rPr>
              <w:t xml:space="preserve"> applied in the base case (based on AR-DRG R06; $21,087). </w:t>
            </w:r>
          </w:p>
        </w:tc>
        <w:tc>
          <w:tcPr>
            <w:tcW w:w="2802" w:type="pct"/>
            <w:shd w:val="clear" w:color="auto" w:fill="auto"/>
            <w:vAlign w:val="center"/>
          </w:tcPr>
          <w:p w14:paraId="620FFC99" w14:textId="77777777" w:rsidR="00BF0022" w:rsidRPr="007F034A" w:rsidRDefault="00C0456C" w:rsidP="002E5E1C">
            <w:pPr>
              <w:pStyle w:val="TableText0"/>
              <w:rPr>
                <w:lang w:val="en-US"/>
              </w:rPr>
            </w:pPr>
            <w:r w:rsidRPr="007F034A">
              <w:rPr>
                <w:lang w:val="en-US"/>
              </w:rPr>
              <w:t>High, favours BSC</w:t>
            </w:r>
          </w:p>
          <w:p w14:paraId="0BCA3EF4" w14:textId="48A84D00" w:rsidR="00C0456C" w:rsidRPr="00490B17" w:rsidRDefault="00BF0022" w:rsidP="002E5E1C">
            <w:pPr>
              <w:pStyle w:val="TableText0"/>
              <w:rPr>
                <w:i/>
                <w:lang w:val="en-US"/>
              </w:rPr>
            </w:pPr>
            <w:r w:rsidRPr="007F034A">
              <w:rPr>
                <w:lang w:val="en-US"/>
              </w:rPr>
              <w:t>A</w:t>
            </w:r>
            <w:r w:rsidR="00C0456C" w:rsidRPr="007F034A">
              <w:rPr>
                <w:lang w:val="en-US"/>
              </w:rPr>
              <w:t xml:space="preserve">pplication of a weighted cost for allogenic </w:t>
            </w:r>
            <w:r w:rsidRPr="007F034A">
              <w:rPr>
                <w:lang w:val="en-US"/>
              </w:rPr>
              <w:t>HSCT of $123,956</w:t>
            </w:r>
            <w:r w:rsidR="00C0456C" w:rsidRPr="007F034A">
              <w:rPr>
                <w:lang w:val="en-US"/>
              </w:rPr>
              <w:t xml:space="preserve"> decreased the ICER to $</w:t>
            </w:r>
            <w:r w:rsidR="00EB4495" w:rsidRPr="00EB4495">
              <w:rPr>
                <w:color w:val="000000"/>
                <w:spacing w:val="51"/>
                <w:shd w:val="solid" w:color="000000" w:fill="000000"/>
                <w:fitText w:val="325" w:id="-1435823870"/>
                <w:lang w:val="en-US"/>
                <w14:textFill>
                  <w14:solidFill>
                    <w14:srgbClr w14:val="000000">
                      <w14:alpha w14:val="100000"/>
                    </w14:srgbClr>
                  </w14:solidFill>
                </w14:textFill>
              </w:rPr>
              <w:t>|||</w:t>
            </w:r>
            <w:r w:rsidR="00EB4495" w:rsidRPr="00EB4495">
              <w:rPr>
                <w:color w:val="000000"/>
                <w:spacing w:val="2"/>
                <w:shd w:val="solid" w:color="000000" w:fill="000000"/>
                <w:fitText w:val="325" w:id="-1435823870"/>
                <w:lang w:val="en-US"/>
                <w14:textFill>
                  <w14:solidFill>
                    <w14:srgbClr w14:val="000000">
                      <w14:alpha w14:val="100000"/>
                    </w14:srgbClr>
                  </w14:solidFill>
                </w14:textFill>
              </w:rPr>
              <w:t>|</w:t>
            </w:r>
            <w:r w:rsidR="00835984">
              <w:rPr>
                <w:vertAlign w:val="superscript"/>
                <w:lang w:val="en-US"/>
              </w:rPr>
              <w:t>2</w:t>
            </w:r>
            <w:r w:rsidR="00C0456C" w:rsidRPr="007F034A">
              <w:rPr>
                <w:lang w:val="en-US"/>
              </w:rPr>
              <w:t>/QALY gained.</w:t>
            </w:r>
          </w:p>
        </w:tc>
      </w:tr>
      <w:tr w:rsidR="00AC36A2" w:rsidRPr="00E2771E" w14:paraId="229583FC" w14:textId="77777777" w:rsidTr="00835984">
        <w:tc>
          <w:tcPr>
            <w:tcW w:w="625" w:type="pct"/>
            <w:shd w:val="clear" w:color="auto" w:fill="auto"/>
            <w:vAlign w:val="center"/>
          </w:tcPr>
          <w:p w14:paraId="656CE5F7" w14:textId="77777777" w:rsidR="00AC36A2" w:rsidRDefault="00AC36A2" w:rsidP="00BF0022">
            <w:pPr>
              <w:pStyle w:val="TableText0"/>
              <w:rPr>
                <w:lang w:val="en-US"/>
              </w:rPr>
            </w:pPr>
            <w:r>
              <w:rPr>
                <w:lang w:val="en-US"/>
              </w:rPr>
              <w:t>Time horizon</w:t>
            </w:r>
          </w:p>
        </w:tc>
        <w:tc>
          <w:tcPr>
            <w:tcW w:w="1573" w:type="pct"/>
            <w:shd w:val="clear" w:color="auto" w:fill="auto"/>
            <w:vAlign w:val="center"/>
          </w:tcPr>
          <w:p w14:paraId="1DBF1936" w14:textId="2D911CBA" w:rsidR="00AC36A2" w:rsidRPr="008A5608" w:rsidRDefault="009D15AF" w:rsidP="009D15AF">
            <w:pPr>
              <w:pStyle w:val="TableText0"/>
              <w:rPr>
                <w:lang w:val="en-US"/>
              </w:rPr>
            </w:pPr>
            <w:r w:rsidRPr="008A5608">
              <w:rPr>
                <w:lang w:val="en-US"/>
              </w:rPr>
              <w:t>20-year time horizon in the base case</w:t>
            </w:r>
          </w:p>
        </w:tc>
        <w:tc>
          <w:tcPr>
            <w:tcW w:w="2802" w:type="pct"/>
            <w:shd w:val="clear" w:color="auto" w:fill="auto"/>
            <w:vAlign w:val="center"/>
          </w:tcPr>
          <w:p w14:paraId="7F83DC55" w14:textId="77777777" w:rsidR="00BF0022" w:rsidRPr="007F034A" w:rsidRDefault="00AC36A2" w:rsidP="009D15AF">
            <w:pPr>
              <w:pStyle w:val="TableText0"/>
              <w:rPr>
                <w:lang w:val="en-US"/>
              </w:rPr>
            </w:pPr>
            <w:r w:rsidRPr="007F034A">
              <w:rPr>
                <w:lang w:val="en-US"/>
              </w:rPr>
              <w:t>Moderate-</w:t>
            </w:r>
            <w:r w:rsidR="00BA35C5" w:rsidRPr="007F034A">
              <w:rPr>
                <w:lang w:val="en-US"/>
              </w:rPr>
              <w:t>h</w:t>
            </w:r>
            <w:r w:rsidRPr="007F034A">
              <w:rPr>
                <w:lang w:val="en-US"/>
              </w:rPr>
              <w:t>igh, favo</w:t>
            </w:r>
            <w:r w:rsidR="009D15AF" w:rsidRPr="007F034A">
              <w:rPr>
                <w:lang w:val="en-US"/>
              </w:rPr>
              <w:t>u</w:t>
            </w:r>
            <w:r w:rsidRPr="007F034A">
              <w:rPr>
                <w:lang w:val="en-US"/>
              </w:rPr>
              <w:t xml:space="preserve">rs oral azacitidine </w:t>
            </w:r>
          </w:p>
          <w:p w14:paraId="63AD224E" w14:textId="001626C4" w:rsidR="00BF0022" w:rsidRPr="007F034A" w:rsidRDefault="00AC36A2" w:rsidP="009D15AF">
            <w:pPr>
              <w:pStyle w:val="TableText0"/>
              <w:rPr>
                <w:lang w:val="en-US"/>
              </w:rPr>
            </w:pPr>
            <w:r w:rsidRPr="007F034A">
              <w:rPr>
                <w:lang w:val="en-US"/>
              </w:rPr>
              <w:t>15</w:t>
            </w:r>
            <w:r w:rsidR="003A20B8" w:rsidRPr="007F034A">
              <w:rPr>
                <w:lang w:val="en-US"/>
              </w:rPr>
              <w:t>-</w:t>
            </w:r>
            <w:r w:rsidRPr="007F034A">
              <w:rPr>
                <w:lang w:val="en-US"/>
              </w:rPr>
              <w:t>year</w:t>
            </w:r>
            <w:r w:rsidR="009D15AF" w:rsidRPr="007F034A">
              <w:rPr>
                <w:lang w:val="en-US"/>
              </w:rPr>
              <w:t xml:space="preserve"> time horizon</w:t>
            </w:r>
            <w:r w:rsidRPr="007F034A">
              <w:rPr>
                <w:lang w:val="en-US"/>
              </w:rPr>
              <w:t xml:space="preserve"> increase</w:t>
            </w:r>
            <w:r w:rsidR="009D15AF" w:rsidRPr="007F034A">
              <w:rPr>
                <w:lang w:val="en-US"/>
              </w:rPr>
              <w:t>d</w:t>
            </w:r>
            <w:r w:rsidRPr="007F034A">
              <w:rPr>
                <w:lang w:val="en-US"/>
              </w:rPr>
              <w:t xml:space="preserve"> the ICER to $</w:t>
            </w:r>
            <w:r w:rsidR="00EB4495" w:rsidRPr="00EB4495">
              <w:rPr>
                <w:color w:val="000000"/>
                <w:spacing w:val="51"/>
                <w:shd w:val="solid" w:color="000000" w:fill="000000"/>
                <w:fitText w:val="325" w:id="-1435823869"/>
                <w:lang w:val="en-US"/>
                <w14:textFill>
                  <w14:solidFill>
                    <w14:srgbClr w14:val="000000">
                      <w14:alpha w14:val="100000"/>
                    </w14:srgbClr>
                  </w14:solidFill>
                </w14:textFill>
              </w:rPr>
              <w:t>|||</w:t>
            </w:r>
            <w:r w:rsidR="00EB4495" w:rsidRPr="00EB4495">
              <w:rPr>
                <w:color w:val="000000"/>
                <w:spacing w:val="2"/>
                <w:shd w:val="solid" w:color="000000" w:fill="000000"/>
                <w:fitText w:val="325" w:id="-1435823869"/>
                <w:lang w:val="en-US"/>
                <w14:textFill>
                  <w14:solidFill>
                    <w14:srgbClr w14:val="000000">
                      <w14:alpha w14:val="100000"/>
                    </w14:srgbClr>
                  </w14:solidFill>
                </w14:textFill>
              </w:rPr>
              <w:t>|</w:t>
            </w:r>
            <w:r w:rsidR="00835984">
              <w:rPr>
                <w:vertAlign w:val="superscript"/>
                <w:lang w:val="en-US"/>
              </w:rPr>
              <w:t>1</w:t>
            </w:r>
            <w:r w:rsidR="009D15AF" w:rsidRPr="007F034A">
              <w:rPr>
                <w:lang w:val="en-US"/>
              </w:rPr>
              <w:t>/</w:t>
            </w:r>
            <w:r w:rsidRPr="007F034A">
              <w:rPr>
                <w:lang w:val="en-US"/>
              </w:rPr>
              <w:t xml:space="preserve">QALY gained, </w:t>
            </w:r>
          </w:p>
          <w:p w14:paraId="4736F659" w14:textId="4D6C7BAD" w:rsidR="00AC36A2" w:rsidRPr="00490B17" w:rsidRDefault="00AC36A2" w:rsidP="009D15AF">
            <w:pPr>
              <w:pStyle w:val="TableText0"/>
              <w:rPr>
                <w:i/>
                <w:lang w:val="en-US"/>
              </w:rPr>
            </w:pPr>
            <w:r w:rsidRPr="007F034A">
              <w:rPr>
                <w:lang w:val="en-US"/>
              </w:rPr>
              <w:t>10</w:t>
            </w:r>
            <w:r w:rsidR="003A20B8" w:rsidRPr="007F034A">
              <w:rPr>
                <w:lang w:val="en-US"/>
              </w:rPr>
              <w:t>-</w:t>
            </w:r>
            <w:r w:rsidRPr="007F034A">
              <w:rPr>
                <w:lang w:val="en-US"/>
              </w:rPr>
              <w:t>year</w:t>
            </w:r>
            <w:r w:rsidR="009D15AF" w:rsidRPr="007F034A">
              <w:rPr>
                <w:lang w:val="en-US"/>
              </w:rPr>
              <w:t xml:space="preserve"> time</w:t>
            </w:r>
            <w:r w:rsidR="003A20B8" w:rsidRPr="007F034A">
              <w:rPr>
                <w:lang w:val="en-US"/>
              </w:rPr>
              <w:t xml:space="preserve"> </w:t>
            </w:r>
            <w:r w:rsidR="009D15AF" w:rsidRPr="007F034A">
              <w:rPr>
                <w:lang w:val="en-US"/>
              </w:rPr>
              <w:t>horizon</w:t>
            </w:r>
            <w:r w:rsidRPr="007F034A">
              <w:rPr>
                <w:lang w:val="en-US"/>
              </w:rPr>
              <w:t xml:space="preserve"> increase</w:t>
            </w:r>
            <w:r w:rsidR="009D15AF" w:rsidRPr="007F034A">
              <w:rPr>
                <w:lang w:val="en-US"/>
              </w:rPr>
              <w:t>d</w:t>
            </w:r>
            <w:r w:rsidRPr="007F034A">
              <w:rPr>
                <w:lang w:val="en-US"/>
              </w:rPr>
              <w:t xml:space="preserve"> the ICER to $</w:t>
            </w:r>
            <w:r w:rsidR="00EB4495" w:rsidRPr="00EB4495">
              <w:rPr>
                <w:color w:val="000000"/>
                <w:spacing w:val="51"/>
                <w:shd w:val="solid" w:color="000000" w:fill="000000"/>
                <w:fitText w:val="325" w:id="-1435823868"/>
                <w:lang w:val="en-US"/>
                <w14:textFill>
                  <w14:solidFill>
                    <w14:srgbClr w14:val="000000">
                      <w14:alpha w14:val="100000"/>
                    </w14:srgbClr>
                  </w14:solidFill>
                </w14:textFill>
              </w:rPr>
              <w:t>|||</w:t>
            </w:r>
            <w:r w:rsidR="00EB4495" w:rsidRPr="00EB4495">
              <w:rPr>
                <w:color w:val="000000"/>
                <w:spacing w:val="2"/>
                <w:shd w:val="solid" w:color="000000" w:fill="000000"/>
                <w:fitText w:val="325" w:id="-1435823868"/>
                <w:lang w:val="en-US"/>
                <w14:textFill>
                  <w14:solidFill>
                    <w14:srgbClr w14:val="000000">
                      <w14:alpha w14:val="100000"/>
                    </w14:srgbClr>
                  </w14:solidFill>
                </w14:textFill>
              </w:rPr>
              <w:t>|</w:t>
            </w:r>
            <w:r w:rsidR="00835984">
              <w:rPr>
                <w:vertAlign w:val="superscript"/>
                <w:lang w:val="en-US"/>
              </w:rPr>
              <w:t>1</w:t>
            </w:r>
            <w:r w:rsidR="009D15AF" w:rsidRPr="007F034A">
              <w:rPr>
                <w:lang w:val="en-US"/>
              </w:rPr>
              <w:t>/</w:t>
            </w:r>
            <w:r w:rsidRPr="007F034A">
              <w:rPr>
                <w:lang w:val="en-US"/>
              </w:rPr>
              <w:t>QALY gained.</w:t>
            </w:r>
          </w:p>
        </w:tc>
      </w:tr>
      <w:tr w:rsidR="009D15AF" w:rsidRPr="00E2771E" w14:paraId="1B63FC9C" w14:textId="77777777" w:rsidTr="00835984">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AD5E859" w14:textId="77777777" w:rsidR="009D15AF" w:rsidRPr="00E2771E" w:rsidRDefault="009D15AF" w:rsidP="00BF0022">
            <w:pPr>
              <w:pStyle w:val="TableText0"/>
              <w:rPr>
                <w:lang w:val="en-US"/>
              </w:rPr>
            </w:pPr>
            <w:r>
              <w:rPr>
                <w:lang w:val="en-US"/>
              </w:rPr>
              <w:t>OS point of extrapolation</w:t>
            </w:r>
          </w:p>
        </w:tc>
        <w:tc>
          <w:tcPr>
            <w:tcW w:w="1573" w:type="pct"/>
            <w:tcBorders>
              <w:top w:val="single" w:sz="4" w:space="0" w:color="auto"/>
              <w:left w:val="single" w:sz="4" w:space="0" w:color="auto"/>
              <w:bottom w:val="single" w:sz="4" w:space="0" w:color="auto"/>
              <w:right w:val="single" w:sz="4" w:space="0" w:color="auto"/>
            </w:tcBorders>
            <w:shd w:val="clear" w:color="auto" w:fill="auto"/>
            <w:vAlign w:val="center"/>
          </w:tcPr>
          <w:p w14:paraId="6B3F6F54" w14:textId="52743228" w:rsidR="009D15AF" w:rsidRPr="008A5608" w:rsidRDefault="009D15AF" w:rsidP="009D15AF">
            <w:pPr>
              <w:pStyle w:val="TableText0"/>
              <w:rPr>
                <w:lang w:val="en-US"/>
              </w:rPr>
            </w:pPr>
            <w:r w:rsidRPr="008A5608">
              <w:rPr>
                <w:lang w:val="en-US"/>
              </w:rPr>
              <w:t>The submission used extrapolated OS curve data from cycle 69 (63</w:t>
            </w:r>
            <w:r w:rsidR="003A20B8" w:rsidRPr="008A5608">
              <w:rPr>
                <w:lang w:val="en-US"/>
              </w:rPr>
              <w:t> </w:t>
            </w:r>
            <w:r w:rsidRPr="008A5608">
              <w:rPr>
                <w:lang w:val="en-US"/>
              </w:rPr>
              <w:t xml:space="preserve">months or 5.3 years) onwards until the end of time horizon in the base-case analysis. </w:t>
            </w:r>
          </w:p>
        </w:tc>
        <w:tc>
          <w:tcPr>
            <w:tcW w:w="2802" w:type="pct"/>
            <w:tcBorders>
              <w:top w:val="single" w:sz="4" w:space="0" w:color="auto"/>
              <w:left w:val="single" w:sz="4" w:space="0" w:color="auto"/>
              <w:bottom w:val="single" w:sz="4" w:space="0" w:color="auto"/>
              <w:right w:val="single" w:sz="4" w:space="0" w:color="auto"/>
            </w:tcBorders>
            <w:shd w:val="clear" w:color="auto" w:fill="auto"/>
            <w:vAlign w:val="center"/>
          </w:tcPr>
          <w:p w14:paraId="7B9ED0EA" w14:textId="0409F364" w:rsidR="009D15AF" w:rsidRPr="007F034A" w:rsidRDefault="009D15AF" w:rsidP="009D15AF">
            <w:pPr>
              <w:pStyle w:val="TableText0"/>
              <w:rPr>
                <w:lang w:val="en-US"/>
              </w:rPr>
            </w:pPr>
            <w:r w:rsidRPr="007F034A">
              <w:rPr>
                <w:lang w:val="en-US"/>
              </w:rPr>
              <w:t>Moderate, favours oral azacitidine</w:t>
            </w:r>
          </w:p>
          <w:p w14:paraId="16C19453" w14:textId="77DC42F5" w:rsidR="009D15AF" w:rsidRPr="00490B17" w:rsidRDefault="00BF0022" w:rsidP="009D15AF">
            <w:pPr>
              <w:pStyle w:val="TableText0"/>
              <w:rPr>
                <w:i/>
                <w:lang w:val="en-US"/>
              </w:rPr>
            </w:pPr>
            <w:r w:rsidRPr="007F034A">
              <w:rPr>
                <w:lang w:val="en-US"/>
              </w:rPr>
              <w:t xml:space="preserve">Extrapolation from </w:t>
            </w:r>
            <w:r w:rsidR="009D15AF" w:rsidRPr="007F034A">
              <w:rPr>
                <w:lang w:val="en-US"/>
              </w:rPr>
              <w:t xml:space="preserve">median follow-up </w:t>
            </w:r>
            <w:r w:rsidR="009D15AF" w:rsidRPr="008A5608">
              <w:rPr>
                <w:lang w:val="en-US"/>
              </w:rPr>
              <w:t xml:space="preserve">time </w:t>
            </w:r>
            <w:r w:rsidRPr="008A5608">
              <w:rPr>
                <w:lang w:val="en-US"/>
              </w:rPr>
              <w:t>(51.7 months or 4.3 years)</w:t>
            </w:r>
            <w:r w:rsidRPr="007F034A">
              <w:rPr>
                <w:lang w:val="en-US"/>
              </w:rPr>
              <w:t xml:space="preserve"> </w:t>
            </w:r>
            <w:r w:rsidR="009D15AF" w:rsidRPr="007F034A">
              <w:rPr>
                <w:lang w:val="en-US"/>
              </w:rPr>
              <w:t>increased the ICER to $</w:t>
            </w:r>
            <w:r w:rsidR="00EB4495" w:rsidRPr="00EB4495">
              <w:rPr>
                <w:color w:val="000000"/>
                <w:spacing w:val="51"/>
                <w:shd w:val="solid" w:color="000000" w:fill="000000"/>
                <w:fitText w:val="325" w:id="-1435823867"/>
                <w:lang w:val="en-US"/>
                <w14:textFill>
                  <w14:solidFill>
                    <w14:srgbClr w14:val="000000">
                      <w14:alpha w14:val="100000"/>
                    </w14:srgbClr>
                  </w14:solidFill>
                </w14:textFill>
              </w:rPr>
              <w:t>|||</w:t>
            </w:r>
            <w:r w:rsidR="00EB4495" w:rsidRPr="00EB4495">
              <w:rPr>
                <w:color w:val="000000"/>
                <w:spacing w:val="2"/>
                <w:shd w:val="solid" w:color="000000" w:fill="000000"/>
                <w:fitText w:val="325" w:id="-1435823867"/>
                <w:lang w:val="en-US"/>
                <w14:textFill>
                  <w14:solidFill>
                    <w14:srgbClr w14:val="000000">
                      <w14:alpha w14:val="100000"/>
                    </w14:srgbClr>
                  </w14:solidFill>
                </w14:textFill>
              </w:rPr>
              <w:t>|</w:t>
            </w:r>
            <w:r w:rsidR="00835984">
              <w:rPr>
                <w:vertAlign w:val="superscript"/>
                <w:lang w:val="en-US"/>
              </w:rPr>
              <w:t>1</w:t>
            </w:r>
            <w:r w:rsidR="009D15AF" w:rsidRPr="007F034A">
              <w:rPr>
                <w:lang w:val="en-US"/>
              </w:rPr>
              <w:t>/QALY gained.</w:t>
            </w:r>
          </w:p>
        </w:tc>
      </w:tr>
    </w:tbl>
    <w:p w14:paraId="5CF5113E" w14:textId="7A03E46D" w:rsidR="00AC36A2" w:rsidRDefault="00AC36A2" w:rsidP="009D15AF">
      <w:pPr>
        <w:pStyle w:val="TableFigureFooter"/>
        <w:keepNext/>
      </w:pPr>
      <w:r>
        <w:t xml:space="preserve">Source: Calculated during evaluation. The ICER presented in the submission was amended using </w:t>
      </w:r>
      <w:r w:rsidR="009D15AF">
        <w:t xml:space="preserve">amended </w:t>
      </w:r>
      <w:r>
        <w:t>cost</w:t>
      </w:r>
      <w:r w:rsidR="009D15AF">
        <w:t>s discussed in Section 3.6 of the Commentary</w:t>
      </w:r>
    </w:p>
    <w:p w14:paraId="40A3684A" w14:textId="70C04233" w:rsidR="00AC36A2" w:rsidRDefault="00AC36A2" w:rsidP="009D15AF">
      <w:pPr>
        <w:pStyle w:val="TableFigureFooter"/>
        <w:keepNext/>
        <w:rPr>
          <w:iCs/>
          <w:szCs w:val="18"/>
        </w:rPr>
      </w:pPr>
      <w:r w:rsidRPr="00F317A7">
        <w:rPr>
          <w:iCs/>
          <w:szCs w:val="18"/>
        </w:rPr>
        <w:t xml:space="preserve">Abbreviations: </w:t>
      </w:r>
      <w:r w:rsidR="00C0456C">
        <w:rPr>
          <w:iCs/>
          <w:szCs w:val="18"/>
        </w:rPr>
        <w:t xml:space="preserve">BSC = best supportive care; HSCT = haematopoietic stem cell transplant; </w:t>
      </w:r>
      <w:r w:rsidRPr="00F317A7">
        <w:rPr>
          <w:iCs/>
          <w:szCs w:val="18"/>
        </w:rPr>
        <w:t>ICER = incremental cost-effectiveness ratio; KM</w:t>
      </w:r>
      <w:r w:rsidR="000E6572">
        <w:rPr>
          <w:iCs/>
          <w:szCs w:val="18"/>
        </w:rPr>
        <w:t> </w:t>
      </w:r>
      <w:r w:rsidRPr="00F317A7">
        <w:rPr>
          <w:iCs/>
          <w:szCs w:val="18"/>
        </w:rPr>
        <w:t>= Kaplan</w:t>
      </w:r>
      <w:r w:rsidR="000E6572">
        <w:rPr>
          <w:iCs/>
          <w:szCs w:val="18"/>
        </w:rPr>
        <w:t>–</w:t>
      </w:r>
      <w:r w:rsidRPr="00F317A7">
        <w:rPr>
          <w:iCs/>
          <w:szCs w:val="18"/>
        </w:rPr>
        <w:t>Meier; OS = overall survival; ToT = time on treatment</w:t>
      </w:r>
      <w:r>
        <w:rPr>
          <w:iCs/>
          <w:szCs w:val="18"/>
        </w:rPr>
        <w:t>; QALY = quality adjusted life years</w:t>
      </w:r>
      <w:r w:rsidR="009D15AF">
        <w:rPr>
          <w:iCs/>
          <w:szCs w:val="18"/>
        </w:rPr>
        <w:t>; SA = sensitivity analysis</w:t>
      </w:r>
      <w:r>
        <w:rPr>
          <w:iCs/>
          <w:szCs w:val="18"/>
        </w:rPr>
        <w:t>.</w:t>
      </w:r>
    </w:p>
    <w:p w14:paraId="1AB899B6" w14:textId="36EDA645" w:rsidR="00835984" w:rsidRDefault="00835984" w:rsidP="009D15AF">
      <w:pPr>
        <w:pStyle w:val="TableFigureFooter"/>
        <w:keepNext/>
        <w:rPr>
          <w:iCs/>
          <w:szCs w:val="18"/>
        </w:rPr>
      </w:pPr>
    </w:p>
    <w:p w14:paraId="52F26FAB" w14:textId="77777777" w:rsidR="00835984" w:rsidRPr="0014238F" w:rsidRDefault="00835984" w:rsidP="00835984">
      <w:pPr>
        <w:pStyle w:val="TableFigureFooter"/>
        <w:keepNext/>
        <w:spacing w:after="0"/>
        <w:contextualSpacing w:val="0"/>
        <w:rPr>
          <w:i/>
        </w:rPr>
      </w:pPr>
      <w:bookmarkStart w:id="64" w:name="_Hlk112839435"/>
      <w:r w:rsidRPr="0014238F">
        <w:rPr>
          <w:i/>
        </w:rPr>
        <w:t>The redacted values correspond to the following ranges:</w:t>
      </w:r>
    </w:p>
    <w:bookmarkEnd w:id="64"/>
    <w:p w14:paraId="272ED8A7" w14:textId="1516BAB7" w:rsidR="00835984" w:rsidRDefault="00835984" w:rsidP="00835984">
      <w:pPr>
        <w:ind w:right="147"/>
        <w:rPr>
          <w:rFonts w:ascii="Arial Narrow" w:hAnsi="Arial Narrow"/>
          <w:i/>
          <w:snapToGrid w:val="0"/>
          <w:sz w:val="18"/>
          <w:szCs w:val="22"/>
        </w:rPr>
      </w:pPr>
      <w:r w:rsidRPr="00835984">
        <w:rPr>
          <w:rFonts w:ascii="Arial Narrow" w:hAnsi="Arial Narrow"/>
          <w:i/>
          <w:snapToGrid w:val="0"/>
          <w:sz w:val="18"/>
          <w:szCs w:val="22"/>
          <w:vertAlign w:val="superscript"/>
        </w:rPr>
        <w:t>1</w:t>
      </w:r>
      <w:bookmarkStart w:id="65" w:name="_Hlk112834737"/>
      <w:r w:rsidRPr="00835984">
        <w:rPr>
          <w:rFonts w:ascii="Arial Narrow" w:hAnsi="Arial Narrow"/>
          <w:i/>
          <w:snapToGrid w:val="0"/>
          <w:sz w:val="18"/>
          <w:szCs w:val="22"/>
        </w:rPr>
        <w:t>$</w:t>
      </w:r>
      <w:bookmarkStart w:id="66" w:name="_Hlk112839058"/>
      <w:r w:rsidRPr="00835984">
        <w:rPr>
          <w:rFonts w:ascii="Arial Narrow" w:hAnsi="Arial Narrow"/>
          <w:i/>
          <w:snapToGrid w:val="0"/>
          <w:sz w:val="18"/>
          <w:szCs w:val="22"/>
        </w:rPr>
        <w:t>75,000 to &lt; $95,000</w:t>
      </w:r>
      <w:bookmarkEnd w:id="66"/>
    </w:p>
    <w:p w14:paraId="00EEED21" w14:textId="77777777" w:rsidR="00835984" w:rsidRDefault="00835984" w:rsidP="00835984">
      <w:pPr>
        <w:ind w:right="147"/>
        <w:rPr>
          <w:rFonts w:ascii="Arial" w:hAnsi="Arial"/>
          <w:color w:val="333333"/>
          <w:sz w:val="21"/>
          <w:szCs w:val="21"/>
        </w:rPr>
      </w:pPr>
      <w:r>
        <w:rPr>
          <w:rFonts w:ascii="Arial Narrow" w:hAnsi="Arial Narrow"/>
          <w:i/>
          <w:snapToGrid w:val="0"/>
          <w:sz w:val="18"/>
          <w:szCs w:val="22"/>
          <w:vertAlign w:val="superscript"/>
        </w:rPr>
        <w:t>2</w:t>
      </w:r>
      <w:bookmarkStart w:id="67" w:name="_Hlk112839449"/>
      <w:r w:rsidRPr="00835984">
        <w:rPr>
          <w:rFonts w:ascii="Arial Narrow" w:hAnsi="Arial Narrow"/>
          <w:i/>
          <w:snapToGrid w:val="0"/>
          <w:sz w:val="18"/>
          <w:szCs w:val="22"/>
        </w:rPr>
        <w:t>$</w:t>
      </w:r>
      <w:bookmarkStart w:id="68" w:name="_Hlk112839073"/>
      <w:r w:rsidRPr="00835984">
        <w:rPr>
          <w:rFonts w:ascii="Arial Narrow" w:hAnsi="Arial Narrow"/>
          <w:i/>
          <w:snapToGrid w:val="0"/>
          <w:sz w:val="18"/>
          <w:szCs w:val="22"/>
        </w:rPr>
        <w:t>55,000 to &lt; $75,000</w:t>
      </w:r>
      <w:r w:rsidRPr="00462FBB">
        <w:rPr>
          <w:rFonts w:ascii="Arial" w:hAnsi="Arial"/>
          <w:color w:val="333333"/>
          <w:sz w:val="21"/>
          <w:szCs w:val="21"/>
        </w:rPr>
        <w:t xml:space="preserve"> </w:t>
      </w:r>
      <w:bookmarkEnd w:id="68"/>
    </w:p>
    <w:bookmarkEnd w:id="65"/>
    <w:bookmarkEnd w:id="67"/>
    <w:p w14:paraId="56108606" w14:textId="4B3A36B7" w:rsidR="00835984" w:rsidRPr="00835984" w:rsidRDefault="00835984" w:rsidP="009D15AF">
      <w:pPr>
        <w:pStyle w:val="TableFigureFooter"/>
        <w:keepNext/>
      </w:pPr>
    </w:p>
    <w:p w14:paraId="019CD52C" w14:textId="651C4CD2" w:rsidR="00AC36A2" w:rsidRDefault="00AC36A2" w:rsidP="00BF0022">
      <w:pPr>
        <w:pStyle w:val="3-BodyText"/>
      </w:pPr>
      <w:r w:rsidRPr="00A15C02">
        <w:t xml:space="preserve">The </w:t>
      </w:r>
      <w:r>
        <w:t>result</w:t>
      </w:r>
      <w:r w:rsidR="00BA35C5">
        <w:t>s</w:t>
      </w:r>
      <w:r>
        <w:t xml:space="preserve"> of the stepped economic evaluation are presented </w:t>
      </w:r>
      <w:r w:rsidRPr="00A511A4">
        <w:rPr>
          <w:lang w:val="en-US"/>
        </w:rPr>
        <w:t xml:space="preserve">in </w:t>
      </w:r>
      <w:r w:rsidRPr="00A511A4">
        <w:rPr>
          <w:lang w:val="en-US"/>
        </w:rPr>
        <w:fldChar w:fldCharType="begin" w:fldLock="1"/>
      </w:r>
      <w:r w:rsidRPr="00A511A4">
        <w:rPr>
          <w:lang w:val="en-US"/>
        </w:rPr>
        <w:instrText xml:space="preserve"> REF _Ref100772945 \h </w:instrText>
      </w:r>
      <w:r>
        <w:rPr>
          <w:lang w:val="en-US"/>
        </w:rPr>
        <w:instrText xml:space="preserve"> \* MERGEFORMAT </w:instrText>
      </w:r>
      <w:r w:rsidRPr="00A511A4">
        <w:rPr>
          <w:lang w:val="en-US"/>
        </w:rPr>
      </w:r>
      <w:r w:rsidRPr="00A511A4">
        <w:rPr>
          <w:lang w:val="en-US"/>
        </w:rPr>
        <w:fldChar w:fldCharType="separate"/>
      </w:r>
      <w:r w:rsidR="00602E88" w:rsidRPr="00602E88">
        <w:rPr>
          <w:lang w:val="en-US"/>
        </w:rPr>
        <w:t>Table 13</w:t>
      </w:r>
      <w:r w:rsidRPr="00A511A4">
        <w:rPr>
          <w:lang w:val="en-US"/>
        </w:rPr>
        <w:fldChar w:fldCharType="end"/>
      </w:r>
      <w:r>
        <w:t>. The submission includ</w:t>
      </w:r>
      <w:r w:rsidR="00BF0022">
        <w:t>ed</w:t>
      </w:r>
      <w:r>
        <w:t xml:space="preserve"> two steps based on the time horizon. Step 1 </w:t>
      </w:r>
      <w:r w:rsidR="00065B69">
        <w:t xml:space="preserve">applied </w:t>
      </w:r>
      <w:r w:rsidR="007249F0">
        <w:t xml:space="preserve">a </w:t>
      </w:r>
      <w:r>
        <w:t xml:space="preserve">time horizon of 4 years, </w:t>
      </w:r>
      <w:r w:rsidR="00FF7BF9" w:rsidRPr="00FF7BF9">
        <w:t>intended to approximate the within trial period given follow-up of 51.7 months as at the September 2020 data cut-off</w:t>
      </w:r>
      <w:r>
        <w:t xml:space="preserve">, with Step 2 </w:t>
      </w:r>
      <w:r w:rsidR="00065B69">
        <w:t xml:space="preserve">applying a time horizon of </w:t>
      </w:r>
      <w:r>
        <w:t>20 years.</w:t>
      </w:r>
      <w:r w:rsidRPr="00A15C02">
        <w:t xml:space="preserve"> </w:t>
      </w:r>
    </w:p>
    <w:p w14:paraId="78AAB9B8" w14:textId="769ACAEF" w:rsidR="00AC36A2" w:rsidRPr="00A15C02" w:rsidRDefault="00AC36A2" w:rsidP="00AC36A2">
      <w:pPr>
        <w:pStyle w:val="3-BodyText"/>
      </w:pPr>
      <w:r>
        <w:t>These results were based on the proposed effective price of oral azacitidine. The model included the cost of concomitant therap</w:t>
      </w:r>
      <w:r w:rsidR="009D15AF">
        <w:t>ies</w:t>
      </w:r>
      <w:r>
        <w:t>, supportive care cost</w:t>
      </w:r>
      <w:r w:rsidR="009D15AF">
        <w:t>s</w:t>
      </w:r>
      <w:r>
        <w:t>, cost</w:t>
      </w:r>
      <w:r w:rsidR="009D15AF">
        <w:t xml:space="preserve"> </w:t>
      </w:r>
      <w:r>
        <w:t xml:space="preserve">of subsequent therapies, cost of adverse events, cost of </w:t>
      </w:r>
      <w:r w:rsidR="009D15AF">
        <w:t>H</w:t>
      </w:r>
      <w:r>
        <w:t xml:space="preserve">SCT and </w:t>
      </w:r>
      <w:r w:rsidR="009D15AF">
        <w:t xml:space="preserve">a </w:t>
      </w:r>
      <w:r>
        <w:t>cost for end</w:t>
      </w:r>
      <w:r w:rsidR="00C70D83">
        <w:t>-</w:t>
      </w:r>
      <w:r>
        <w:t>of</w:t>
      </w:r>
      <w:r w:rsidR="00C70D83">
        <w:t>-</w:t>
      </w:r>
      <w:r>
        <w:t>life treatment.</w:t>
      </w:r>
    </w:p>
    <w:p w14:paraId="48A3C5A6" w14:textId="5F87BFB5" w:rsidR="00AC36A2" w:rsidRPr="008C5A8C" w:rsidRDefault="00AC36A2" w:rsidP="00DA4F1F">
      <w:pPr>
        <w:pStyle w:val="Caption"/>
        <w:keepNext/>
        <w:spacing w:after="0"/>
        <w:rPr>
          <w:rFonts w:ascii="Arial Narrow" w:hAnsi="Arial Narrow"/>
          <w:color w:val="auto"/>
          <w:sz w:val="20"/>
          <w:szCs w:val="20"/>
        </w:rPr>
      </w:pPr>
      <w:bookmarkStart w:id="69" w:name="_Ref100772945"/>
      <w:r w:rsidRPr="008C5A8C">
        <w:rPr>
          <w:rFonts w:ascii="Arial Narrow" w:hAnsi="Arial Narrow"/>
          <w:color w:val="auto"/>
          <w:sz w:val="20"/>
          <w:szCs w:val="20"/>
        </w:rPr>
        <w:t xml:space="preserve">Table </w:t>
      </w:r>
      <w:r>
        <w:rPr>
          <w:rFonts w:ascii="Arial Narrow" w:hAnsi="Arial Narrow"/>
          <w:color w:val="auto"/>
          <w:sz w:val="20"/>
          <w:szCs w:val="20"/>
        </w:rPr>
        <w:fldChar w:fldCharType="begin" w:fldLock="1"/>
      </w:r>
      <w:r>
        <w:rPr>
          <w:rFonts w:ascii="Arial Narrow" w:hAnsi="Arial Narrow"/>
          <w:color w:val="auto"/>
          <w:sz w:val="20"/>
          <w:szCs w:val="20"/>
        </w:rPr>
        <w:instrText xml:space="preserve"> SEQ Table \* ARABIC \s 1 </w:instrText>
      </w:r>
      <w:r>
        <w:rPr>
          <w:rFonts w:ascii="Arial Narrow" w:hAnsi="Arial Narrow"/>
          <w:color w:val="auto"/>
          <w:sz w:val="20"/>
          <w:szCs w:val="20"/>
        </w:rPr>
        <w:fldChar w:fldCharType="separate"/>
      </w:r>
      <w:r w:rsidR="00602E88">
        <w:rPr>
          <w:rFonts w:ascii="Arial Narrow" w:hAnsi="Arial Narrow"/>
          <w:noProof/>
          <w:color w:val="auto"/>
          <w:sz w:val="20"/>
          <w:szCs w:val="20"/>
        </w:rPr>
        <w:t>13</w:t>
      </w:r>
      <w:r>
        <w:rPr>
          <w:rFonts w:ascii="Arial Narrow" w:hAnsi="Arial Narrow"/>
          <w:color w:val="auto"/>
          <w:sz w:val="20"/>
          <w:szCs w:val="20"/>
        </w:rPr>
        <w:fldChar w:fldCharType="end"/>
      </w:r>
      <w:bookmarkEnd w:id="69"/>
      <w:r w:rsidRPr="008C5A8C">
        <w:rPr>
          <w:rFonts w:ascii="Arial Narrow" w:hAnsi="Arial Narrow"/>
          <w:color w:val="auto"/>
          <w:sz w:val="20"/>
          <w:szCs w:val="20"/>
        </w:rPr>
        <w:t>: Results of the stepped economic evaluation</w:t>
      </w:r>
      <w:r w:rsidR="008B5A92">
        <w:rPr>
          <w:rFonts w:ascii="Arial Narrow" w:hAnsi="Arial Narrow"/>
          <w:color w:val="auto"/>
          <w:sz w:val="20"/>
          <w:szCs w:val="20"/>
        </w:rPr>
        <w:t xml:space="preserve"> (effective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Caption w:val="Table 13: Results of the stepped economic evaluation (effective price)"/>
      </w:tblPr>
      <w:tblGrid>
        <w:gridCol w:w="1620"/>
        <w:gridCol w:w="1542"/>
        <w:gridCol w:w="1181"/>
        <w:gridCol w:w="1684"/>
        <w:gridCol w:w="2990"/>
      </w:tblGrid>
      <w:tr w:rsidR="00AC36A2" w:rsidRPr="00797CA0" w14:paraId="36304FDE" w14:textId="77777777" w:rsidTr="00AC36A2">
        <w:trPr>
          <w:cantSplit/>
          <w:tblHeader/>
        </w:trPr>
        <w:tc>
          <w:tcPr>
            <w:tcW w:w="898" w:type="pct"/>
            <w:shd w:val="clear" w:color="auto" w:fill="FFFFFF" w:themeFill="background1"/>
            <w:vAlign w:val="center"/>
          </w:tcPr>
          <w:p w14:paraId="4DE255C8" w14:textId="2AF24B96" w:rsidR="00AC36A2" w:rsidRPr="00263163" w:rsidRDefault="00AC36A2" w:rsidP="00DA4F1F">
            <w:pPr>
              <w:keepNext/>
              <w:widowControl w:val="0"/>
              <w:jc w:val="center"/>
              <w:rPr>
                <w:rFonts w:ascii="Arial Narrow" w:eastAsiaTheme="majorEastAsia" w:hAnsi="Arial Narrow" w:cs="Times New Roman"/>
                <w:b/>
                <w:sz w:val="20"/>
                <w:szCs w:val="20"/>
                <w:lang w:val="en-US"/>
              </w:rPr>
            </w:pPr>
          </w:p>
        </w:tc>
        <w:tc>
          <w:tcPr>
            <w:tcW w:w="855" w:type="pct"/>
            <w:shd w:val="clear" w:color="auto" w:fill="FFFFFF" w:themeFill="background1"/>
            <w:vAlign w:val="center"/>
          </w:tcPr>
          <w:p w14:paraId="7F01C9BF" w14:textId="77777777" w:rsidR="00AC36A2" w:rsidRPr="00263163" w:rsidRDefault="00AC36A2" w:rsidP="00DA4F1F">
            <w:pPr>
              <w:keepNext/>
              <w:widowControl w:val="0"/>
              <w:jc w:val="center"/>
              <w:rPr>
                <w:rFonts w:ascii="Arial Narrow" w:eastAsiaTheme="majorEastAsia" w:hAnsi="Arial Narrow" w:cs="Times New Roman"/>
                <w:b/>
                <w:sz w:val="20"/>
                <w:szCs w:val="20"/>
                <w:lang w:val="en-US"/>
              </w:rPr>
            </w:pPr>
            <w:r w:rsidRPr="00263163">
              <w:rPr>
                <w:rFonts w:ascii="Arial Narrow" w:eastAsiaTheme="majorEastAsia" w:hAnsi="Arial Narrow" w:cs="Times New Roman"/>
                <w:b/>
                <w:sz w:val="20"/>
                <w:szCs w:val="20"/>
                <w:lang w:val="en-US"/>
              </w:rPr>
              <w:t>Oral azacitidine</w:t>
            </w:r>
          </w:p>
        </w:tc>
        <w:tc>
          <w:tcPr>
            <w:tcW w:w="655" w:type="pct"/>
            <w:shd w:val="clear" w:color="auto" w:fill="FFFFFF" w:themeFill="background1"/>
            <w:vAlign w:val="center"/>
          </w:tcPr>
          <w:p w14:paraId="02A59A67" w14:textId="70F384BB" w:rsidR="00AC36A2" w:rsidRPr="00263163" w:rsidRDefault="001C46EE" w:rsidP="00DA4F1F">
            <w:pPr>
              <w:keepNext/>
              <w:widowControl w:val="0"/>
              <w:jc w:val="center"/>
              <w:rPr>
                <w:rFonts w:ascii="Arial Narrow" w:eastAsiaTheme="majorEastAsia" w:hAnsi="Arial Narrow" w:cs="Times New Roman"/>
                <w:b/>
                <w:sz w:val="20"/>
                <w:szCs w:val="20"/>
                <w:lang w:val="en-US"/>
              </w:rPr>
            </w:pPr>
            <w:r w:rsidRPr="00263163">
              <w:rPr>
                <w:rFonts w:ascii="Arial Narrow" w:eastAsiaTheme="majorEastAsia" w:hAnsi="Arial Narrow" w:cs="Times New Roman"/>
                <w:b/>
                <w:sz w:val="20"/>
                <w:szCs w:val="20"/>
                <w:lang w:val="en-US"/>
              </w:rPr>
              <w:t>BSC</w:t>
            </w:r>
          </w:p>
        </w:tc>
        <w:tc>
          <w:tcPr>
            <w:tcW w:w="934" w:type="pct"/>
            <w:shd w:val="clear" w:color="auto" w:fill="FFFFFF" w:themeFill="background1"/>
            <w:vAlign w:val="center"/>
          </w:tcPr>
          <w:p w14:paraId="26211831" w14:textId="4262284E" w:rsidR="00AC36A2" w:rsidRPr="00263163" w:rsidRDefault="00AC36A2" w:rsidP="00DA4F1F">
            <w:pPr>
              <w:keepNext/>
              <w:widowControl w:val="0"/>
              <w:jc w:val="center"/>
              <w:rPr>
                <w:rFonts w:ascii="Arial Narrow" w:eastAsiaTheme="majorEastAsia" w:hAnsi="Arial Narrow" w:cs="Times New Roman"/>
                <w:b/>
                <w:sz w:val="20"/>
                <w:szCs w:val="20"/>
                <w:lang w:val="en-US"/>
              </w:rPr>
            </w:pPr>
            <w:r w:rsidRPr="00263163">
              <w:rPr>
                <w:rFonts w:ascii="Arial Narrow" w:eastAsiaTheme="majorEastAsia" w:hAnsi="Arial Narrow" w:cs="Times New Roman"/>
                <w:b/>
                <w:sz w:val="20"/>
                <w:szCs w:val="20"/>
                <w:lang w:val="en-US"/>
              </w:rPr>
              <w:t>Increment</w:t>
            </w:r>
          </w:p>
        </w:tc>
        <w:tc>
          <w:tcPr>
            <w:tcW w:w="1658" w:type="pct"/>
            <w:shd w:val="clear" w:color="auto" w:fill="FFFFFF" w:themeFill="background1"/>
          </w:tcPr>
          <w:p w14:paraId="5EA9E12C" w14:textId="77777777" w:rsidR="00AC36A2" w:rsidRPr="00263163" w:rsidRDefault="00AC36A2" w:rsidP="00DA4F1F">
            <w:pPr>
              <w:keepNext/>
              <w:widowControl w:val="0"/>
              <w:jc w:val="center"/>
              <w:rPr>
                <w:rFonts w:ascii="Arial Narrow" w:eastAsiaTheme="majorEastAsia" w:hAnsi="Arial Narrow" w:cs="Times New Roman"/>
                <w:b/>
                <w:sz w:val="20"/>
                <w:szCs w:val="20"/>
                <w:lang w:val="en-US"/>
              </w:rPr>
            </w:pPr>
            <w:r w:rsidRPr="00263163">
              <w:rPr>
                <w:rFonts w:ascii="Arial Narrow" w:eastAsiaTheme="majorEastAsia" w:hAnsi="Arial Narrow" w:cs="Times New Roman"/>
                <w:b/>
                <w:sz w:val="20"/>
                <w:szCs w:val="20"/>
                <w:lang w:val="en-US"/>
              </w:rPr>
              <w:t>Incremental cost-effectiveness ratio</w:t>
            </w:r>
          </w:p>
        </w:tc>
      </w:tr>
      <w:tr w:rsidR="00BF0022" w:rsidRPr="00BF0022" w14:paraId="3412274B" w14:textId="77777777" w:rsidTr="00BF0022">
        <w:trPr>
          <w:cantSplit/>
        </w:trPr>
        <w:tc>
          <w:tcPr>
            <w:tcW w:w="5000" w:type="pct"/>
            <w:gridSpan w:val="5"/>
            <w:shd w:val="clear" w:color="auto" w:fill="FFFFFF" w:themeFill="background1"/>
            <w:vAlign w:val="center"/>
          </w:tcPr>
          <w:p w14:paraId="79F48152" w14:textId="5C87D4AD" w:rsidR="00BF0022" w:rsidRPr="00263163" w:rsidRDefault="00BF0022" w:rsidP="00DA4F1F">
            <w:pPr>
              <w:keepNext/>
              <w:widowControl w:val="0"/>
              <w:jc w:val="left"/>
              <w:rPr>
                <w:rFonts w:ascii="Arial Narrow" w:eastAsiaTheme="majorEastAsia" w:hAnsi="Arial Narrow" w:cstheme="majorBidi"/>
                <w:b/>
                <w:sz w:val="20"/>
                <w:szCs w:val="20"/>
              </w:rPr>
            </w:pPr>
            <w:r w:rsidRPr="00263163">
              <w:rPr>
                <w:rFonts w:ascii="Arial Narrow" w:eastAsiaTheme="majorEastAsia" w:hAnsi="Arial Narrow" w:cstheme="majorBidi"/>
                <w:b/>
                <w:sz w:val="20"/>
                <w:szCs w:val="20"/>
              </w:rPr>
              <w:t>Step 1: Time horizon: 4 years (approximated from trial follow-up 51.7 months)</w:t>
            </w:r>
          </w:p>
        </w:tc>
      </w:tr>
      <w:tr w:rsidR="00AC36A2" w:rsidRPr="00797CA0" w14:paraId="5FF67A93" w14:textId="77777777" w:rsidTr="00EB4495">
        <w:trPr>
          <w:cantSplit/>
        </w:trPr>
        <w:tc>
          <w:tcPr>
            <w:tcW w:w="898" w:type="pct"/>
            <w:shd w:val="clear" w:color="auto" w:fill="FFFFFF" w:themeFill="background1"/>
            <w:vAlign w:val="center"/>
          </w:tcPr>
          <w:p w14:paraId="377A2F81" w14:textId="5B769457" w:rsidR="00AC36A2" w:rsidRPr="00263163" w:rsidRDefault="00AC36A2" w:rsidP="00BF0022">
            <w:pPr>
              <w:keepNext/>
              <w:widowControl w:val="0"/>
              <w:jc w:val="left"/>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Cost</w:t>
            </w:r>
            <w:r w:rsidR="005E2E9D">
              <w:rPr>
                <w:rFonts w:ascii="Arial Narrow" w:eastAsiaTheme="majorEastAsia" w:hAnsi="Arial Narrow" w:cstheme="majorBidi"/>
                <w:bCs/>
                <w:sz w:val="20"/>
                <w:szCs w:val="20"/>
              </w:rPr>
              <w:t xml:space="preserve"> ($)</w:t>
            </w:r>
          </w:p>
        </w:tc>
        <w:tc>
          <w:tcPr>
            <w:tcW w:w="855" w:type="pct"/>
            <w:shd w:val="solid" w:color="000000" w:fill="000000"/>
          </w:tcPr>
          <w:p w14:paraId="657D37BC" w14:textId="7DEBA196" w:rsidR="00AC36A2" w:rsidRPr="005E2E9D" w:rsidRDefault="00EB4495" w:rsidP="00DA4F1F">
            <w:pPr>
              <w:keepNext/>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bCs/>
                <w:color w:val="000000"/>
                <w:sz w:val="20"/>
                <w:szCs w:val="20"/>
                <w14:textFill>
                  <w14:solidFill>
                    <w14:srgbClr w14:val="000000">
                      <w14:alpha w14:val="100000"/>
                    </w14:srgbClr>
                  </w14:solidFill>
                </w14:textFill>
              </w:rPr>
              <w:t>|</w:t>
            </w:r>
          </w:p>
        </w:tc>
        <w:tc>
          <w:tcPr>
            <w:tcW w:w="655" w:type="pct"/>
            <w:shd w:val="solid" w:color="000000" w:fill="000000"/>
          </w:tcPr>
          <w:p w14:paraId="0FD01944" w14:textId="148FC576" w:rsidR="00AC36A2" w:rsidRPr="005E2E9D" w:rsidRDefault="00EB4495" w:rsidP="00DA4F1F">
            <w:pPr>
              <w:keepNext/>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bCs/>
                <w:color w:val="000000"/>
                <w:sz w:val="20"/>
                <w:szCs w:val="20"/>
                <w14:textFill>
                  <w14:solidFill>
                    <w14:srgbClr w14:val="000000">
                      <w14:alpha w14:val="100000"/>
                    </w14:srgbClr>
                  </w14:solidFill>
                </w14:textFill>
              </w:rPr>
              <w:t>|</w:t>
            </w:r>
          </w:p>
        </w:tc>
        <w:tc>
          <w:tcPr>
            <w:tcW w:w="934" w:type="pct"/>
            <w:shd w:val="solid" w:color="000000" w:fill="000000"/>
          </w:tcPr>
          <w:p w14:paraId="3D6603BF" w14:textId="5FFC85D4" w:rsidR="00AC36A2" w:rsidRPr="005E2E9D" w:rsidRDefault="00EB4495" w:rsidP="00DA4F1F">
            <w:pPr>
              <w:keepNext/>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bCs/>
                <w:color w:val="000000"/>
                <w:sz w:val="20"/>
                <w:szCs w:val="20"/>
                <w14:textFill>
                  <w14:solidFill>
                    <w14:srgbClr w14:val="000000">
                      <w14:alpha w14:val="100000"/>
                    </w14:srgbClr>
                  </w14:solidFill>
                </w14:textFill>
              </w:rPr>
              <w:t>|</w:t>
            </w:r>
          </w:p>
        </w:tc>
        <w:tc>
          <w:tcPr>
            <w:tcW w:w="1658" w:type="pct"/>
            <w:shd w:val="clear" w:color="auto" w:fill="FFFFFF" w:themeFill="background1"/>
          </w:tcPr>
          <w:p w14:paraId="0DAA7927" w14:textId="4AB10177" w:rsidR="00AC36A2" w:rsidRPr="00263163" w:rsidRDefault="00BF0022" w:rsidP="00DA4F1F">
            <w:pPr>
              <w:keepNext/>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w:t>
            </w:r>
          </w:p>
        </w:tc>
      </w:tr>
      <w:tr w:rsidR="00AC36A2" w:rsidRPr="00797CA0" w14:paraId="21DA45E4" w14:textId="77777777" w:rsidTr="00AC36A2">
        <w:trPr>
          <w:cantSplit/>
        </w:trPr>
        <w:tc>
          <w:tcPr>
            <w:tcW w:w="898" w:type="pct"/>
            <w:shd w:val="clear" w:color="auto" w:fill="FFFFFF" w:themeFill="background1"/>
            <w:vAlign w:val="center"/>
          </w:tcPr>
          <w:p w14:paraId="0DC93618" w14:textId="77777777" w:rsidR="00AC36A2" w:rsidRPr="00263163" w:rsidRDefault="00AC36A2" w:rsidP="00DA4F1F">
            <w:pPr>
              <w:keepNext/>
              <w:widowControl w:val="0"/>
              <w:jc w:val="left"/>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RFS</w:t>
            </w:r>
          </w:p>
        </w:tc>
        <w:tc>
          <w:tcPr>
            <w:tcW w:w="855" w:type="pct"/>
            <w:shd w:val="clear" w:color="auto" w:fill="FFFFFF" w:themeFill="background1"/>
          </w:tcPr>
          <w:p w14:paraId="7B2CDE47" w14:textId="77777777" w:rsidR="00AC36A2" w:rsidRPr="00263163" w:rsidRDefault="00AC36A2" w:rsidP="00DA4F1F">
            <w:pPr>
              <w:keepNext/>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1.39</w:t>
            </w:r>
          </w:p>
        </w:tc>
        <w:tc>
          <w:tcPr>
            <w:tcW w:w="655" w:type="pct"/>
            <w:shd w:val="clear" w:color="auto" w:fill="FFFFFF" w:themeFill="background1"/>
          </w:tcPr>
          <w:p w14:paraId="03584667" w14:textId="77777777" w:rsidR="00AC36A2" w:rsidRPr="00263163" w:rsidRDefault="00AC36A2" w:rsidP="00DA4F1F">
            <w:pPr>
              <w:keepNext/>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0.98</w:t>
            </w:r>
          </w:p>
        </w:tc>
        <w:tc>
          <w:tcPr>
            <w:tcW w:w="934" w:type="pct"/>
            <w:shd w:val="clear" w:color="auto" w:fill="FFFFFF" w:themeFill="background1"/>
            <w:vAlign w:val="center"/>
          </w:tcPr>
          <w:p w14:paraId="6C919397" w14:textId="77777777" w:rsidR="00AC36A2" w:rsidRPr="00263163" w:rsidRDefault="00AC36A2" w:rsidP="00DA4F1F">
            <w:pPr>
              <w:keepNext/>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0.42</w:t>
            </w:r>
          </w:p>
        </w:tc>
        <w:tc>
          <w:tcPr>
            <w:tcW w:w="1658" w:type="pct"/>
            <w:shd w:val="clear" w:color="auto" w:fill="FFFFFF" w:themeFill="background1"/>
            <w:vAlign w:val="center"/>
          </w:tcPr>
          <w:p w14:paraId="27D7EE36" w14:textId="3D285BF0" w:rsidR="00AC36A2" w:rsidRPr="00263163" w:rsidRDefault="00AC36A2" w:rsidP="00DA4F1F">
            <w:pPr>
              <w:keepNext/>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w:t>
            </w:r>
            <w:r w:rsidR="00EB4495" w:rsidRPr="00EB4495">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5E2E9D">
              <w:rPr>
                <w:rFonts w:ascii="Arial Narrow" w:eastAsiaTheme="majorEastAsia" w:hAnsi="Arial Narrow" w:cstheme="majorBidi"/>
                <w:bCs/>
                <w:sz w:val="20"/>
                <w:szCs w:val="20"/>
                <w:vertAlign w:val="superscript"/>
              </w:rPr>
              <w:t>1</w:t>
            </w:r>
            <w:r w:rsidR="00750E90">
              <w:rPr>
                <w:rFonts w:ascii="Arial Narrow" w:eastAsiaTheme="majorEastAsia" w:hAnsi="Arial Narrow" w:cstheme="majorBidi"/>
                <w:bCs/>
                <w:sz w:val="20"/>
                <w:szCs w:val="20"/>
              </w:rPr>
              <w:t xml:space="preserve"> per </w:t>
            </w:r>
            <w:r w:rsidRPr="00263163">
              <w:rPr>
                <w:rFonts w:ascii="Arial Narrow" w:eastAsiaTheme="majorEastAsia" w:hAnsi="Arial Narrow" w:cstheme="majorBidi"/>
                <w:bCs/>
                <w:sz w:val="20"/>
                <w:szCs w:val="20"/>
              </w:rPr>
              <w:t>RFS-year</w:t>
            </w:r>
            <w:r w:rsidR="00915A8F" w:rsidRPr="00263163">
              <w:rPr>
                <w:rFonts w:ascii="Arial Narrow" w:eastAsiaTheme="majorEastAsia" w:hAnsi="Arial Narrow" w:cstheme="majorBidi"/>
                <w:bCs/>
                <w:sz w:val="20"/>
                <w:szCs w:val="20"/>
              </w:rPr>
              <w:t xml:space="preserve"> gained</w:t>
            </w:r>
          </w:p>
        </w:tc>
      </w:tr>
      <w:tr w:rsidR="00AC36A2" w:rsidRPr="00797CA0" w14:paraId="05AEED7A" w14:textId="77777777" w:rsidTr="00AC36A2">
        <w:trPr>
          <w:cantSplit/>
        </w:trPr>
        <w:tc>
          <w:tcPr>
            <w:tcW w:w="898" w:type="pct"/>
            <w:shd w:val="clear" w:color="auto" w:fill="FFFFFF" w:themeFill="background1"/>
            <w:vAlign w:val="center"/>
          </w:tcPr>
          <w:p w14:paraId="4DB7FF1D" w14:textId="77777777" w:rsidR="00AC36A2" w:rsidRPr="00263163" w:rsidRDefault="00AC36A2" w:rsidP="00DA4F1F">
            <w:pPr>
              <w:keepNext/>
              <w:widowControl w:val="0"/>
              <w:jc w:val="left"/>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Life-years</w:t>
            </w:r>
          </w:p>
        </w:tc>
        <w:tc>
          <w:tcPr>
            <w:tcW w:w="855" w:type="pct"/>
            <w:shd w:val="clear" w:color="auto" w:fill="FFFFFF" w:themeFill="background1"/>
          </w:tcPr>
          <w:p w14:paraId="26C2D9B9" w14:textId="77777777" w:rsidR="00AC36A2" w:rsidRPr="00263163" w:rsidRDefault="00AC36A2" w:rsidP="00DA4F1F">
            <w:pPr>
              <w:keepNext/>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2.16</w:t>
            </w:r>
          </w:p>
        </w:tc>
        <w:tc>
          <w:tcPr>
            <w:tcW w:w="655" w:type="pct"/>
            <w:shd w:val="clear" w:color="auto" w:fill="FFFFFF" w:themeFill="background1"/>
          </w:tcPr>
          <w:p w14:paraId="1C274E0C" w14:textId="77777777" w:rsidR="00AC36A2" w:rsidRPr="00263163" w:rsidRDefault="00AC36A2" w:rsidP="00DA4F1F">
            <w:pPr>
              <w:keepNext/>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1.74</w:t>
            </w:r>
          </w:p>
        </w:tc>
        <w:tc>
          <w:tcPr>
            <w:tcW w:w="934" w:type="pct"/>
            <w:shd w:val="clear" w:color="auto" w:fill="FFFFFF" w:themeFill="background1"/>
            <w:vAlign w:val="center"/>
          </w:tcPr>
          <w:p w14:paraId="2AE9F2E9" w14:textId="77777777" w:rsidR="00AC36A2" w:rsidRPr="00263163" w:rsidRDefault="00AC36A2" w:rsidP="00DA4F1F">
            <w:pPr>
              <w:keepNext/>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0.42</w:t>
            </w:r>
          </w:p>
        </w:tc>
        <w:tc>
          <w:tcPr>
            <w:tcW w:w="1658" w:type="pct"/>
            <w:shd w:val="clear" w:color="auto" w:fill="FFFFFF" w:themeFill="background1"/>
            <w:vAlign w:val="center"/>
          </w:tcPr>
          <w:p w14:paraId="6C18923C" w14:textId="538BB869" w:rsidR="00AC36A2" w:rsidRPr="00263163" w:rsidRDefault="00AC36A2" w:rsidP="00DA4F1F">
            <w:pPr>
              <w:keepNext/>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w:t>
            </w:r>
            <w:r w:rsidR="00EB4495" w:rsidRPr="00EB4495">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5E2E9D">
              <w:rPr>
                <w:rFonts w:ascii="Arial Narrow" w:eastAsiaTheme="majorEastAsia" w:hAnsi="Arial Narrow" w:cstheme="majorBidi"/>
                <w:bCs/>
                <w:sz w:val="20"/>
                <w:szCs w:val="20"/>
                <w:vertAlign w:val="superscript"/>
              </w:rPr>
              <w:t>1</w:t>
            </w:r>
            <w:r w:rsidR="00750E90">
              <w:rPr>
                <w:rFonts w:ascii="Arial Narrow" w:eastAsiaTheme="majorEastAsia" w:hAnsi="Arial Narrow" w:cstheme="majorBidi"/>
                <w:bCs/>
                <w:sz w:val="20"/>
                <w:szCs w:val="20"/>
              </w:rPr>
              <w:t xml:space="preserve"> per </w:t>
            </w:r>
            <w:r w:rsidRPr="00263163">
              <w:rPr>
                <w:rFonts w:ascii="Arial Narrow" w:eastAsiaTheme="majorEastAsia" w:hAnsi="Arial Narrow" w:cstheme="majorBidi"/>
                <w:bCs/>
                <w:sz w:val="20"/>
                <w:szCs w:val="20"/>
              </w:rPr>
              <w:t>life-year</w:t>
            </w:r>
            <w:r w:rsidR="00915A8F" w:rsidRPr="00263163">
              <w:rPr>
                <w:rFonts w:ascii="Arial Narrow" w:eastAsiaTheme="majorEastAsia" w:hAnsi="Arial Narrow" w:cstheme="majorBidi"/>
                <w:bCs/>
                <w:sz w:val="20"/>
                <w:szCs w:val="20"/>
              </w:rPr>
              <w:t xml:space="preserve"> gained</w:t>
            </w:r>
          </w:p>
        </w:tc>
      </w:tr>
      <w:tr w:rsidR="00AC36A2" w:rsidRPr="00797CA0" w14:paraId="1C65C65E" w14:textId="77777777" w:rsidTr="00AC36A2">
        <w:trPr>
          <w:cantSplit/>
        </w:trPr>
        <w:tc>
          <w:tcPr>
            <w:tcW w:w="898" w:type="pct"/>
            <w:shd w:val="clear" w:color="auto" w:fill="FFFFFF" w:themeFill="background1"/>
            <w:vAlign w:val="center"/>
          </w:tcPr>
          <w:p w14:paraId="22D92788" w14:textId="77777777" w:rsidR="00AC36A2" w:rsidRPr="00263163" w:rsidRDefault="00AC36A2" w:rsidP="00DA4F1F">
            <w:pPr>
              <w:keepNext/>
              <w:widowControl w:val="0"/>
              <w:jc w:val="left"/>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QALYs</w:t>
            </w:r>
          </w:p>
        </w:tc>
        <w:tc>
          <w:tcPr>
            <w:tcW w:w="855" w:type="pct"/>
            <w:shd w:val="clear" w:color="auto" w:fill="FFFFFF" w:themeFill="background1"/>
          </w:tcPr>
          <w:p w14:paraId="7FCE4772" w14:textId="77777777" w:rsidR="00AC36A2" w:rsidRPr="00263163" w:rsidRDefault="00AC36A2" w:rsidP="00DA4F1F">
            <w:pPr>
              <w:keepNext/>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1.55</w:t>
            </w:r>
          </w:p>
        </w:tc>
        <w:tc>
          <w:tcPr>
            <w:tcW w:w="655" w:type="pct"/>
            <w:shd w:val="clear" w:color="auto" w:fill="FFFFFF" w:themeFill="background1"/>
          </w:tcPr>
          <w:p w14:paraId="2797E5B7" w14:textId="77777777" w:rsidR="00AC36A2" w:rsidRPr="00263163" w:rsidRDefault="00AC36A2" w:rsidP="00DA4F1F">
            <w:pPr>
              <w:keepNext/>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1.20</w:t>
            </w:r>
          </w:p>
        </w:tc>
        <w:tc>
          <w:tcPr>
            <w:tcW w:w="934" w:type="pct"/>
            <w:shd w:val="clear" w:color="auto" w:fill="FFFFFF" w:themeFill="background1"/>
            <w:vAlign w:val="center"/>
          </w:tcPr>
          <w:p w14:paraId="0954565B" w14:textId="77777777" w:rsidR="00AC36A2" w:rsidRPr="00263163" w:rsidRDefault="00AC36A2" w:rsidP="00DA4F1F">
            <w:pPr>
              <w:keepNext/>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0.35</w:t>
            </w:r>
          </w:p>
        </w:tc>
        <w:tc>
          <w:tcPr>
            <w:tcW w:w="1658" w:type="pct"/>
            <w:shd w:val="clear" w:color="auto" w:fill="FFFFFF" w:themeFill="background1"/>
            <w:vAlign w:val="center"/>
          </w:tcPr>
          <w:p w14:paraId="03818F5E" w14:textId="2D9BE2E7" w:rsidR="00AC36A2" w:rsidRPr="00263163" w:rsidRDefault="00AC36A2" w:rsidP="00DA4F1F">
            <w:pPr>
              <w:keepNext/>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w:t>
            </w:r>
            <w:r w:rsidR="00EB4495" w:rsidRPr="00EB4495">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5E2E9D">
              <w:rPr>
                <w:rFonts w:ascii="Arial Narrow" w:eastAsiaTheme="majorEastAsia" w:hAnsi="Arial Narrow" w:cstheme="majorBidi"/>
                <w:bCs/>
                <w:sz w:val="20"/>
                <w:szCs w:val="20"/>
                <w:vertAlign w:val="superscript"/>
              </w:rPr>
              <w:t>2</w:t>
            </w:r>
            <w:r w:rsidR="00750E90">
              <w:rPr>
                <w:rFonts w:ascii="Arial Narrow" w:eastAsiaTheme="majorEastAsia" w:hAnsi="Arial Narrow" w:cstheme="majorBidi"/>
                <w:bCs/>
                <w:sz w:val="20"/>
                <w:szCs w:val="20"/>
              </w:rPr>
              <w:t xml:space="preserve"> per </w:t>
            </w:r>
            <w:r w:rsidRPr="00263163">
              <w:rPr>
                <w:rFonts w:ascii="Arial Narrow" w:eastAsiaTheme="majorEastAsia" w:hAnsi="Arial Narrow" w:cstheme="majorBidi"/>
                <w:bCs/>
                <w:sz w:val="20"/>
                <w:szCs w:val="20"/>
              </w:rPr>
              <w:t>QALY gained</w:t>
            </w:r>
          </w:p>
        </w:tc>
      </w:tr>
      <w:tr w:rsidR="00BF0022" w:rsidRPr="00BF0022" w14:paraId="0427A517" w14:textId="77777777" w:rsidTr="00BF0022">
        <w:trPr>
          <w:cantSplit/>
        </w:trPr>
        <w:tc>
          <w:tcPr>
            <w:tcW w:w="5000" w:type="pct"/>
            <w:gridSpan w:val="5"/>
            <w:shd w:val="clear" w:color="auto" w:fill="FFFFFF" w:themeFill="background1"/>
            <w:vAlign w:val="center"/>
          </w:tcPr>
          <w:p w14:paraId="19198C4A" w14:textId="50C92828" w:rsidR="00BF0022" w:rsidRPr="005E2E9D" w:rsidRDefault="00BF0022" w:rsidP="00DA4F1F">
            <w:pPr>
              <w:keepNext/>
              <w:widowControl w:val="0"/>
              <w:jc w:val="left"/>
              <w:rPr>
                <w:rFonts w:ascii="Arial Narrow" w:eastAsiaTheme="majorEastAsia" w:hAnsi="Arial Narrow" w:cstheme="majorBidi"/>
                <w:b/>
                <w:sz w:val="20"/>
                <w:szCs w:val="20"/>
                <w:vertAlign w:val="superscript"/>
              </w:rPr>
            </w:pPr>
            <w:r w:rsidRPr="00263163">
              <w:rPr>
                <w:rFonts w:ascii="Arial Narrow" w:eastAsiaTheme="majorEastAsia" w:hAnsi="Arial Narrow" w:cstheme="majorBidi"/>
                <w:b/>
                <w:sz w:val="20"/>
                <w:szCs w:val="20"/>
              </w:rPr>
              <w:t>Step 2: Time horizon (20 years)</w:t>
            </w:r>
            <w:r w:rsidR="005E2E9D">
              <w:rPr>
                <w:rFonts w:ascii="Arial Narrow" w:eastAsiaTheme="majorEastAsia" w:hAnsi="Arial Narrow" w:cstheme="majorBidi"/>
                <w:b/>
                <w:sz w:val="20"/>
                <w:szCs w:val="20"/>
                <w:vertAlign w:val="superscript"/>
              </w:rPr>
              <w:t>2</w:t>
            </w:r>
          </w:p>
        </w:tc>
      </w:tr>
      <w:tr w:rsidR="00AC36A2" w:rsidRPr="00797CA0" w14:paraId="4A8EAE7F" w14:textId="77777777" w:rsidTr="00EB4495">
        <w:trPr>
          <w:cantSplit/>
        </w:trPr>
        <w:tc>
          <w:tcPr>
            <w:tcW w:w="898" w:type="pct"/>
            <w:shd w:val="clear" w:color="auto" w:fill="FFFFFF" w:themeFill="background1"/>
            <w:vAlign w:val="center"/>
          </w:tcPr>
          <w:p w14:paraId="7FF50B4A" w14:textId="6EF3A1AC" w:rsidR="00AC36A2" w:rsidRPr="00263163" w:rsidRDefault="00AC36A2" w:rsidP="00BF0022">
            <w:pPr>
              <w:keepNext/>
              <w:widowControl w:val="0"/>
              <w:jc w:val="left"/>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Cost</w:t>
            </w:r>
            <w:r w:rsidR="005E2E9D">
              <w:rPr>
                <w:rFonts w:ascii="Arial Narrow" w:eastAsiaTheme="majorEastAsia" w:hAnsi="Arial Narrow" w:cstheme="majorBidi"/>
                <w:bCs/>
                <w:sz w:val="20"/>
                <w:szCs w:val="20"/>
              </w:rPr>
              <w:t xml:space="preserve"> ($)</w:t>
            </w:r>
          </w:p>
        </w:tc>
        <w:tc>
          <w:tcPr>
            <w:tcW w:w="855" w:type="pct"/>
            <w:shd w:val="solid" w:color="000000" w:fill="000000"/>
          </w:tcPr>
          <w:p w14:paraId="76BF0EF7" w14:textId="312E6389" w:rsidR="00AC36A2" w:rsidRPr="005E2E9D" w:rsidRDefault="00EB4495" w:rsidP="00DA4F1F">
            <w:pPr>
              <w:keepNext/>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bCs/>
                <w:color w:val="000000"/>
                <w:sz w:val="20"/>
                <w:szCs w:val="20"/>
                <w14:textFill>
                  <w14:solidFill>
                    <w14:srgbClr w14:val="000000">
                      <w14:alpha w14:val="100000"/>
                    </w14:srgbClr>
                  </w14:solidFill>
                </w14:textFill>
              </w:rPr>
              <w:t>|</w:t>
            </w:r>
          </w:p>
        </w:tc>
        <w:tc>
          <w:tcPr>
            <w:tcW w:w="655" w:type="pct"/>
            <w:shd w:val="solid" w:color="000000" w:fill="000000"/>
          </w:tcPr>
          <w:p w14:paraId="1AAE07F4" w14:textId="1B1B5311" w:rsidR="00AC36A2" w:rsidRPr="005E2E9D" w:rsidRDefault="00EB4495" w:rsidP="00DA4F1F">
            <w:pPr>
              <w:keepNext/>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bCs/>
                <w:color w:val="000000"/>
                <w:sz w:val="20"/>
                <w:szCs w:val="20"/>
                <w14:textFill>
                  <w14:solidFill>
                    <w14:srgbClr w14:val="000000">
                      <w14:alpha w14:val="100000"/>
                    </w14:srgbClr>
                  </w14:solidFill>
                </w14:textFill>
              </w:rPr>
              <w:t>|</w:t>
            </w:r>
          </w:p>
        </w:tc>
        <w:tc>
          <w:tcPr>
            <w:tcW w:w="934" w:type="pct"/>
            <w:shd w:val="solid" w:color="000000" w:fill="000000"/>
          </w:tcPr>
          <w:p w14:paraId="2173D69D" w14:textId="062291DF" w:rsidR="00AC36A2" w:rsidRPr="005E2E9D" w:rsidRDefault="00EB4495" w:rsidP="00DA4F1F">
            <w:pPr>
              <w:keepNext/>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bCs/>
                <w:color w:val="000000"/>
                <w:sz w:val="20"/>
                <w:szCs w:val="20"/>
                <w14:textFill>
                  <w14:solidFill>
                    <w14:srgbClr w14:val="000000">
                      <w14:alpha w14:val="100000"/>
                    </w14:srgbClr>
                  </w14:solidFill>
                </w14:textFill>
              </w:rPr>
              <w:t>|</w:t>
            </w:r>
          </w:p>
        </w:tc>
        <w:tc>
          <w:tcPr>
            <w:tcW w:w="1658" w:type="pct"/>
            <w:shd w:val="clear" w:color="auto" w:fill="FFFFFF" w:themeFill="background1"/>
          </w:tcPr>
          <w:p w14:paraId="73FCF6A3" w14:textId="039216DD" w:rsidR="00AC36A2" w:rsidRPr="00263163" w:rsidRDefault="00BF0022" w:rsidP="00DA4F1F">
            <w:pPr>
              <w:keepNext/>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w:t>
            </w:r>
          </w:p>
        </w:tc>
      </w:tr>
      <w:tr w:rsidR="00AC36A2" w:rsidRPr="00797CA0" w14:paraId="1EC51CB9" w14:textId="77777777" w:rsidTr="00AC36A2">
        <w:trPr>
          <w:cantSplit/>
        </w:trPr>
        <w:tc>
          <w:tcPr>
            <w:tcW w:w="898" w:type="pct"/>
            <w:shd w:val="clear" w:color="auto" w:fill="FFFFFF" w:themeFill="background1"/>
            <w:vAlign w:val="center"/>
          </w:tcPr>
          <w:p w14:paraId="5EC90B89" w14:textId="77777777" w:rsidR="00AC36A2" w:rsidRPr="00263163" w:rsidRDefault="00AC36A2" w:rsidP="00DA4F1F">
            <w:pPr>
              <w:keepNext/>
              <w:widowControl w:val="0"/>
              <w:jc w:val="left"/>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RFS</w:t>
            </w:r>
          </w:p>
        </w:tc>
        <w:tc>
          <w:tcPr>
            <w:tcW w:w="855" w:type="pct"/>
            <w:shd w:val="clear" w:color="auto" w:fill="FFFFFF" w:themeFill="background1"/>
            <w:vAlign w:val="center"/>
          </w:tcPr>
          <w:p w14:paraId="61CC78F5" w14:textId="77777777" w:rsidR="00AC36A2" w:rsidRPr="00263163" w:rsidRDefault="00AC36A2" w:rsidP="00DA4F1F">
            <w:pPr>
              <w:keepNext/>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2.01</w:t>
            </w:r>
          </w:p>
        </w:tc>
        <w:tc>
          <w:tcPr>
            <w:tcW w:w="655" w:type="pct"/>
            <w:shd w:val="clear" w:color="auto" w:fill="FFFFFF" w:themeFill="background1"/>
            <w:vAlign w:val="center"/>
          </w:tcPr>
          <w:p w14:paraId="7C49484F" w14:textId="77777777" w:rsidR="00AC36A2" w:rsidRPr="00263163" w:rsidRDefault="00AC36A2" w:rsidP="00DA4F1F">
            <w:pPr>
              <w:keepNext/>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1.37</w:t>
            </w:r>
          </w:p>
        </w:tc>
        <w:tc>
          <w:tcPr>
            <w:tcW w:w="934" w:type="pct"/>
            <w:shd w:val="clear" w:color="auto" w:fill="FFFFFF" w:themeFill="background1"/>
            <w:vAlign w:val="center"/>
          </w:tcPr>
          <w:p w14:paraId="226801D3" w14:textId="01CC1654" w:rsidR="00AC36A2" w:rsidRPr="00263163" w:rsidRDefault="001C46EE" w:rsidP="00DA4F1F">
            <w:pPr>
              <w:keepNext/>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0.64</w:t>
            </w:r>
            <w:r w:rsidR="00DA4F1F" w:rsidRPr="00263163">
              <w:rPr>
                <w:rFonts w:ascii="Arial Narrow" w:eastAsiaTheme="majorEastAsia" w:hAnsi="Arial Narrow" w:cstheme="majorBidi"/>
                <w:bCs/>
                <w:sz w:val="20"/>
                <w:szCs w:val="20"/>
                <w:vertAlign w:val="superscript"/>
              </w:rPr>
              <w:t>a</w:t>
            </w:r>
          </w:p>
        </w:tc>
        <w:tc>
          <w:tcPr>
            <w:tcW w:w="1658" w:type="pct"/>
            <w:shd w:val="clear" w:color="auto" w:fill="FFFFFF" w:themeFill="background1"/>
            <w:vAlign w:val="center"/>
          </w:tcPr>
          <w:p w14:paraId="0B1AD0B3" w14:textId="2C06996D" w:rsidR="00AC36A2" w:rsidRPr="00263163" w:rsidRDefault="00AC36A2" w:rsidP="00DA4F1F">
            <w:pPr>
              <w:keepNext/>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w:t>
            </w:r>
            <w:r w:rsidR="00EB4495" w:rsidRPr="00EB4495">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5E2E9D">
              <w:rPr>
                <w:rFonts w:ascii="Arial Narrow" w:eastAsiaTheme="majorEastAsia" w:hAnsi="Arial Narrow" w:cstheme="majorBidi"/>
                <w:bCs/>
                <w:sz w:val="20"/>
                <w:szCs w:val="20"/>
                <w:vertAlign w:val="superscript"/>
              </w:rPr>
              <w:t>3</w:t>
            </w:r>
            <w:r w:rsidR="00750E90">
              <w:rPr>
                <w:rFonts w:ascii="Arial Narrow" w:eastAsiaTheme="majorEastAsia" w:hAnsi="Arial Narrow" w:cstheme="majorBidi"/>
                <w:bCs/>
                <w:sz w:val="20"/>
                <w:szCs w:val="20"/>
              </w:rPr>
              <w:t xml:space="preserve"> per </w:t>
            </w:r>
            <w:r w:rsidRPr="00263163">
              <w:rPr>
                <w:rFonts w:ascii="Arial Narrow" w:eastAsiaTheme="majorEastAsia" w:hAnsi="Arial Narrow" w:cstheme="majorBidi"/>
                <w:bCs/>
                <w:sz w:val="20"/>
                <w:szCs w:val="20"/>
              </w:rPr>
              <w:t>RFS-year</w:t>
            </w:r>
            <w:r w:rsidR="00915A8F" w:rsidRPr="00263163">
              <w:rPr>
                <w:rFonts w:ascii="Arial Narrow" w:eastAsiaTheme="majorEastAsia" w:hAnsi="Arial Narrow" w:cstheme="majorBidi"/>
                <w:bCs/>
                <w:sz w:val="20"/>
                <w:szCs w:val="20"/>
              </w:rPr>
              <w:t xml:space="preserve"> gained</w:t>
            </w:r>
          </w:p>
        </w:tc>
      </w:tr>
      <w:tr w:rsidR="00AC36A2" w:rsidRPr="00797CA0" w14:paraId="341A57AA" w14:textId="77777777" w:rsidTr="00AC36A2">
        <w:trPr>
          <w:cantSplit/>
        </w:trPr>
        <w:tc>
          <w:tcPr>
            <w:tcW w:w="898" w:type="pct"/>
            <w:shd w:val="clear" w:color="auto" w:fill="FFFFFF" w:themeFill="background1"/>
            <w:vAlign w:val="center"/>
          </w:tcPr>
          <w:p w14:paraId="0AEBB9CE" w14:textId="77777777" w:rsidR="00AC36A2" w:rsidRPr="00263163" w:rsidRDefault="00AC36A2" w:rsidP="00DA4F1F">
            <w:pPr>
              <w:keepNext/>
              <w:widowControl w:val="0"/>
              <w:jc w:val="left"/>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Life-years</w:t>
            </w:r>
          </w:p>
        </w:tc>
        <w:tc>
          <w:tcPr>
            <w:tcW w:w="855" w:type="pct"/>
            <w:shd w:val="clear" w:color="auto" w:fill="FFFFFF" w:themeFill="background1"/>
            <w:vAlign w:val="center"/>
          </w:tcPr>
          <w:p w14:paraId="1043CA16" w14:textId="77777777" w:rsidR="00AC36A2" w:rsidRPr="00263163" w:rsidRDefault="00AC36A2" w:rsidP="00DA4F1F">
            <w:pPr>
              <w:keepNext/>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3.17</w:t>
            </w:r>
          </w:p>
        </w:tc>
        <w:tc>
          <w:tcPr>
            <w:tcW w:w="655" w:type="pct"/>
            <w:shd w:val="clear" w:color="auto" w:fill="FFFFFF" w:themeFill="background1"/>
            <w:vAlign w:val="center"/>
          </w:tcPr>
          <w:p w14:paraId="13AC74F4" w14:textId="77777777" w:rsidR="00AC36A2" w:rsidRPr="00263163" w:rsidRDefault="00AC36A2" w:rsidP="00DA4F1F">
            <w:pPr>
              <w:keepNext/>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2.51</w:t>
            </w:r>
          </w:p>
        </w:tc>
        <w:tc>
          <w:tcPr>
            <w:tcW w:w="934" w:type="pct"/>
            <w:shd w:val="clear" w:color="auto" w:fill="FFFFFF" w:themeFill="background1"/>
            <w:vAlign w:val="center"/>
          </w:tcPr>
          <w:p w14:paraId="5A0F68A4" w14:textId="77777777" w:rsidR="00AC36A2" w:rsidRPr="00263163" w:rsidRDefault="00AC36A2" w:rsidP="00DA4F1F">
            <w:pPr>
              <w:keepNext/>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0.66</w:t>
            </w:r>
          </w:p>
        </w:tc>
        <w:tc>
          <w:tcPr>
            <w:tcW w:w="1658" w:type="pct"/>
            <w:shd w:val="clear" w:color="auto" w:fill="FFFFFF" w:themeFill="background1"/>
            <w:vAlign w:val="center"/>
          </w:tcPr>
          <w:p w14:paraId="1C2E37AB" w14:textId="64618E31" w:rsidR="00AC36A2" w:rsidRPr="00263163" w:rsidRDefault="00AC36A2" w:rsidP="00DA4F1F">
            <w:pPr>
              <w:keepNext/>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w:t>
            </w:r>
            <w:r w:rsidR="00EB4495" w:rsidRPr="00EB4495">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5E2E9D">
              <w:rPr>
                <w:rFonts w:ascii="Arial Narrow" w:eastAsiaTheme="majorEastAsia" w:hAnsi="Arial Narrow" w:cstheme="majorBidi"/>
                <w:bCs/>
                <w:sz w:val="20"/>
                <w:szCs w:val="20"/>
                <w:vertAlign w:val="superscript"/>
              </w:rPr>
              <w:t>4</w:t>
            </w:r>
            <w:r w:rsidR="00750E90">
              <w:rPr>
                <w:rFonts w:ascii="Arial Narrow" w:eastAsiaTheme="majorEastAsia" w:hAnsi="Arial Narrow" w:cstheme="majorBidi"/>
                <w:bCs/>
                <w:sz w:val="20"/>
                <w:szCs w:val="20"/>
              </w:rPr>
              <w:t xml:space="preserve"> per </w:t>
            </w:r>
            <w:r w:rsidRPr="00263163">
              <w:rPr>
                <w:rFonts w:ascii="Arial Narrow" w:eastAsiaTheme="majorEastAsia" w:hAnsi="Arial Narrow" w:cstheme="majorBidi"/>
                <w:bCs/>
                <w:sz w:val="20"/>
                <w:szCs w:val="20"/>
              </w:rPr>
              <w:t>life-year</w:t>
            </w:r>
            <w:r w:rsidR="00915A8F" w:rsidRPr="00263163">
              <w:rPr>
                <w:rFonts w:ascii="Arial Narrow" w:eastAsiaTheme="majorEastAsia" w:hAnsi="Arial Narrow" w:cstheme="majorBidi"/>
                <w:bCs/>
                <w:sz w:val="20"/>
                <w:szCs w:val="20"/>
              </w:rPr>
              <w:t xml:space="preserve"> gained</w:t>
            </w:r>
          </w:p>
        </w:tc>
      </w:tr>
      <w:tr w:rsidR="00AC36A2" w:rsidRPr="00797CA0" w14:paraId="056EC20C" w14:textId="77777777" w:rsidTr="00AC36A2">
        <w:trPr>
          <w:cantSplit/>
        </w:trPr>
        <w:tc>
          <w:tcPr>
            <w:tcW w:w="898" w:type="pct"/>
            <w:shd w:val="clear" w:color="auto" w:fill="FFFFFF" w:themeFill="background1"/>
            <w:vAlign w:val="center"/>
          </w:tcPr>
          <w:p w14:paraId="71A1E59A" w14:textId="77777777" w:rsidR="00AC36A2" w:rsidRPr="00263163" w:rsidRDefault="00AC36A2" w:rsidP="00DA4F1F">
            <w:pPr>
              <w:keepNext/>
              <w:widowControl w:val="0"/>
              <w:jc w:val="left"/>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QALYs</w:t>
            </w:r>
          </w:p>
        </w:tc>
        <w:tc>
          <w:tcPr>
            <w:tcW w:w="855" w:type="pct"/>
            <w:shd w:val="clear" w:color="auto" w:fill="FFFFFF" w:themeFill="background1"/>
            <w:vAlign w:val="center"/>
          </w:tcPr>
          <w:p w14:paraId="6AF244C5" w14:textId="77777777" w:rsidR="00AC36A2" w:rsidRPr="00263163" w:rsidRDefault="00AC36A2" w:rsidP="00DA4F1F">
            <w:pPr>
              <w:keepNext/>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2.27</w:t>
            </w:r>
          </w:p>
        </w:tc>
        <w:tc>
          <w:tcPr>
            <w:tcW w:w="655" w:type="pct"/>
            <w:shd w:val="clear" w:color="auto" w:fill="FFFFFF" w:themeFill="background1"/>
            <w:vAlign w:val="center"/>
          </w:tcPr>
          <w:p w14:paraId="6B453545" w14:textId="77777777" w:rsidR="00AC36A2" w:rsidRPr="00263163" w:rsidRDefault="00AC36A2" w:rsidP="00DA4F1F">
            <w:pPr>
              <w:keepNext/>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1.72</w:t>
            </w:r>
          </w:p>
        </w:tc>
        <w:tc>
          <w:tcPr>
            <w:tcW w:w="934" w:type="pct"/>
            <w:shd w:val="clear" w:color="auto" w:fill="FFFFFF" w:themeFill="background1"/>
            <w:vAlign w:val="center"/>
          </w:tcPr>
          <w:p w14:paraId="59199412" w14:textId="77777777" w:rsidR="00AC36A2" w:rsidRPr="00263163" w:rsidRDefault="00AC36A2" w:rsidP="00DA4F1F">
            <w:pPr>
              <w:keepNext/>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0.54</w:t>
            </w:r>
          </w:p>
        </w:tc>
        <w:tc>
          <w:tcPr>
            <w:tcW w:w="1658" w:type="pct"/>
            <w:shd w:val="clear" w:color="auto" w:fill="FFFFFF" w:themeFill="background1"/>
            <w:vAlign w:val="center"/>
          </w:tcPr>
          <w:p w14:paraId="4552680E" w14:textId="11B58B5D" w:rsidR="00AC36A2" w:rsidRPr="00263163" w:rsidRDefault="00AC36A2" w:rsidP="00DA4F1F">
            <w:pPr>
              <w:keepNext/>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w:t>
            </w:r>
            <w:r w:rsidR="00EB4495" w:rsidRPr="00EB4495">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5E2E9D">
              <w:rPr>
                <w:rFonts w:ascii="Arial Narrow" w:eastAsiaTheme="majorEastAsia" w:hAnsi="Arial Narrow" w:cstheme="majorBidi"/>
                <w:bCs/>
                <w:sz w:val="20"/>
                <w:szCs w:val="20"/>
                <w:vertAlign w:val="superscript"/>
              </w:rPr>
              <w:t>4</w:t>
            </w:r>
            <w:r w:rsidR="00750E90">
              <w:rPr>
                <w:rFonts w:ascii="Arial Narrow" w:eastAsiaTheme="majorEastAsia" w:hAnsi="Arial Narrow" w:cstheme="majorBidi"/>
                <w:bCs/>
                <w:sz w:val="20"/>
                <w:szCs w:val="20"/>
              </w:rPr>
              <w:t xml:space="preserve"> per </w:t>
            </w:r>
            <w:r w:rsidRPr="00263163">
              <w:rPr>
                <w:rFonts w:ascii="Arial Narrow" w:eastAsiaTheme="majorEastAsia" w:hAnsi="Arial Narrow" w:cstheme="majorBidi"/>
                <w:bCs/>
                <w:sz w:val="20"/>
                <w:szCs w:val="20"/>
              </w:rPr>
              <w:t>QALY gained</w:t>
            </w:r>
          </w:p>
        </w:tc>
      </w:tr>
    </w:tbl>
    <w:p w14:paraId="3E05D18B" w14:textId="77777777" w:rsidR="00AC36A2" w:rsidRPr="009F1C21" w:rsidRDefault="00AC36A2" w:rsidP="00DA4F1F">
      <w:pPr>
        <w:keepNext/>
        <w:spacing w:after="120"/>
        <w:contextualSpacing/>
        <w:rPr>
          <w:rFonts w:ascii="Arial Narrow" w:hAnsi="Arial Narrow"/>
          <w:snapToGrid w:val="0"/>
          <w:sz w:val="18"/>
          <w:szCs w:val="18"/>
        </w:rPr>
      </w:pPr>
      <w:r w:rsidRPr="009F1C21">
        <w:rPr>
          <w:rFonts w:ascii="Arial Narrow" w:hAnsi="Arial Narrow"/>
          <w:snapToGrid w:val="0"/>
          <w:sz w:val="18"/>
          <w:szCs w:val="18"/>
        </w:rPr>
        <w:t>Source: Table 80, p130 of the submission.</w:t>
      </w:r>
    </w:p>
    <w:p w14:paraId="00449246" w14:textId="117AC5D2" w:rsidR="00AC36A2" w:rsidRPr="009F1C21" w:rsidRDefault="00AC36A2" w:rsidP="00DA4F1F">
      <w:pPr>
        <w:keepNext/>
        <w:spacing w:after="120"/>
        <w:contextualSpacing/>
        <w:rPr>
          <w:rFonts w:ascii="Arial Narrow" w:hAnsi="Arial Narrow"/>
          <w:snapToGrid w:val="0"/>
          <w:sz w:val="18"/>
          <w:szCs w:val="18"/>
        </w:rPr>
      </w:pPr>
      <w:r w:rsidRPr="009F1C21">
        <w:rPr>
          <w:rFonts w:ascii="Arial Narrow" w:hAnsi="Arial Narrow"/>
          <w:snapToGrid w:val="0"/>
          <w:sz w:val="18"/>
          <w:szCs w:val="18"/>
        </w:rPr>
        <w:t xml:space="preserve">Abbreviations: </w:t>
      </w:r>
      <w:r w:rsidR="001C46EE" w:rsidRPr="009F1C21">
        <w:rPr>
          <w:rFonts w:ascii="Arial Narrow" w:hAnsi="Arial Narrow"/>
          <w:snapToGrid w:val="0"/>
          <w:sz w:val="18"/>
          <w:szCs w:val="18"/>
        </w:rPr>
        <w:t xml:space="preserve">BSC = best supportive care; </w:t>
      </w:r>
      <w:r w:rsidRPr="009F1C21">
        <w:rPr>
          <w:rFonts w:ascii="Arial Narrow" w:hAnsi="Arial Narrow"/>
          <w:snapToGrid w:val="0"/>
          <w:sz w:val="18"/>
          <w:szCs w:val="18"/>
        </w:rPr>
        <w:t>ICER = incremental cost-effectiveness ratio; OS = overall survival; QALY = quality-adjusted life year; RFS= relapse-free survival.</w:t>
      </w:r>
    </w:p>
    <w:p w14:paraId="61AC3390" w14:textId="2F7B24E8" w:rsidR="00AC36A2" w:rsidRPr="009F1C21" w:rsidRDefault="00AC36A2" w:rsidP="00DA4F1F">
      <w:pPr>
        <w:keepNext/>
        <w:contextualSpacing/>
        <w:rPr>
          <w:rFonts w:ascii="Arial Narrow" w:hAnsi="Arial Narrow"/>
          <w:snapToGrid w:val="0"/>
          <w:sz w:val="18"/>
          <w:szCs w:val="18"/>
        </w:rPr>
      </w:pPr>
      <w:r w:rsidRPr="009F1C21">
        <w:rPr>
          <w:rFonts w:ascii="Arial Narrow" w:hAnsi="Arial Narrow"/>
          <w:snapToGrid w:val="0"/>
          <w:sz w:val="18"/>
          <w:szCs w:val="18"/>
        </w:rPr>
        <w:t>Note: The ICER</w:t>
      </w:r>
      <w:r w:rsidR="00C70D83" w:rsidRPr="009F1C21">
        <w:rPr>
          <w:rFonts w:ascii="Arial Narrow" w:hAnsi="Arial Narrow"/>
          <w:snapToGrid w:val="0"/>
          <w:sz w:val="18"/>
          <w:szCs w:val="18"/>
        </w:rPr>
        <w:t>s</w:t>
      </w:r>
      <w:r w:rsidRPr="009F1C21">
        <w:rPr>
          <w:rFonts w:ascii="Arial Narrow" w:hAnsi="Arial Narrow"/>
          <w:snapToGrid w:val="0"/>
          <w:sz w:val="18"/>
          <w:szCs w:val="18"/>
        </w:rPr>
        <w:t xml:space="preserve"> </w:t>
      </w:r>
      <w:r w:rsidR="00C70D83" w:rsidRPr="009F1C21">
        <w:rPr>
          <w:rFonts w:ascii="Arial Narrow" w:hAnsi="Arial Narrow"/>
          <w:snapToGrid w:val="0"/>
          <w:sz w:val="18"/>
          <w:szCs w:val="18"/>
        </w:rPr>
        <w:t xml:space="preserve">were </w:t>
      </w:r>
      <w:r w:rsidRPr="009F1C21">
        <w:rPr>
          <w:rFonts w:ascii="Arial Narrow" w:hAnsi="Arial Narrow"/>
          <w:snapToGrid w:val="0"/>
          <w:sz w:val="18"/>
          <w:szCs w:val="18"/>
        </w:rPr>
        <w:t xml:space="preserve">adjusted during evaluation based on the costs that were incorrectly applied in the </w:t>
      </w:r>
      <w:r w:rsidR="001C46EE" w:rsidRPr="009F1C21">
        <w:rPr>
          <w:rFonts w:ascii="Arial Narrow" w:hAnsi="Arial Narrow"/>
          <w:snapToGrid w:val="0"/>
          <w:sz w:val="18"/>
          <w:szCs w:val="18"/>
        </w:rPr>
        <w:t>model: treatment administration cost</w:t>
      </w:r>
      <w:r w:rsidR="009F1C21" w:rsidRPr="009F1C21">
        <w:rPr>
          <w:rFonts w:ascii="Arial Narrow" w:hAnsi="Arial Narrow"/>
          <w:snapToGrid w:val="0"/>
          <w:sz w:val="18"/>
          <w:szCs w:val="18"/>
        </w:rPr>
        <w:t xml:space="preserve"> (corrected from $</w:t>
      </w:r>
      <w:r w:rsidR="00EB4495" w:rsidRPr="00EB4495">
        <w:rPr>
          <w:rFonts w:ascii="Arial Narrow" w:hAnsi="Arial Narrow"/>
          <w:snapToGrid w:val="0"/>
          <w:color w:val="000000"/>
          <w:spacing w:val="36"/>
          <w:sz w:val="18"/>
          <w:szCs w:val="18"/>
          <w:shd w:val="solid" w:color="000000" w:fill="000000"/>
          <w:fitText w:val="268" w:id="-1435823866"/>
          <w14:textFill>
            <w14:solidFill>
              <w14:srgbClr w14:val="000000">
                <w14:alpha w14:val="100000"/>
              </w14:srgbClr>
            </w14:solidFill>
          </w14:textFill>
        </w:rPr>
        <w:t xml:space="preserve">|  </w:t>
      </w:r>
      <w:r w:rsidR="00EB4495" w:rsidRPr="00EB4495">
        <w:rPr>
          <w:rFonts w:ascii="Arial Narrow" w:hAnsi="Arial Narrow"/>
          <w:snapToGrid w:val="0"/>
          <w:color w:val="000000"/>
          <w:spacing w:val="2"/>
          <w:sz w:val="18"/>
          <w:szCs w:val="18"/>
          <w:shd w:val="solid" w:color="000000" w:fill="000000"/>
          <w:fitText w:val="268" w:id="-1435823866"/>
          <w14:textFill>
            <w14:solidFill>
              <w14:srgbClr w14:val="000000">
                <w14:alpha w14:val="100000"/>
              </w14:srgbClr>
            </w14:solidFill>
          </w14:textFill>
        </w:rPr>
        <w:t>|</w:t>
      </w:r>
      <w:r w:rsidR="009F1C21" w:rsidRPr="009F1C21">
        <w:rPr>
          <w:rFonts w:ascii="Arial Narrow" w:hAnsi="Arial Narrow"/>
          <w:snapToGrid w:val="0"/>
          <w:sz w:val="18"/>
          <w:szCs w:val="18"/>
        </w:rPr>
        <w:t xml:space="preserve"> to $</w:t>
      </w:r>
      <w:r w:rsidR="00EB4495" w:rsidRPr="00EB4495">
        <w:rPr>
          <w:rFonts w:ascii="Arial Narrow" w:hAnsi="Arial Narrow"/>
          <w:snapToGrid w:val="0"/>
          <w:color w:val="000000"/>
          <w:spacing w:val="40"/>
          <w:sz w:val="18"/>
          <w:szCs w:val="18"/>
          <w:shd w:val="solid" w:color="000000" w:fill="000000"/>
          <w:fitText w:val="280" w:id="-1435823865"/>
          <w14:textFill>
            <w14:solidFill>
              <w14:srgbClr w14:val="000000">
                <w14:alpha w14:val="100000"/>
              </w14:srgbClr>
            </w14:solidFill>
          </w14:textFill>
        </w:rPr>
        <w:t xml:space="preserve">|  </w:t>
      </w:r>
      <w:r w:rsidR="00EB4495" w:rsidRPr="00EB4495">
        <w:rPr>
          <w:rFonts w:ascii="Arial Narrow" w:hAnsi="Arial Narrow"/>
          <w:snapToGrid w:val="0"/>
          <w:color w:val="000000"/>
          <w:spacing w:val="2"/>
          <w:sz w:val="18"/>
          <w:szCs w:val="18"/>
          <w:shd w:val="solid" w:color="000000" w:fill="000000"/>
          <w:fitText w:val="280" w:id="-1435823865"/>
          <w14:textFill>
            <w14:solidFill>
              <w14:srgbClr w14:val="000000">
                <w14:alpha w14:val="100000"/>
              </w14:srgbClr>
            </w14:solidFill>
          </w14:textFill>
        </w:rPr>
        <w:t>|</w:t>
      </w:r>
      <w:r w:rsidR="009F1C21" w:rsidRPr="009F1C21">
        <w:rPr>
          <w:rFonts w:ascii="Arial Narrow" w:hAnsi="Arial Narrow"/>
          <w:snapToGrid w:val="0"/>
          <w:sz w:val="18"/>
          <w:szCs w:val="18"/>
        </w:rPr>
        <w:t>)</w:t>
      </w:r>
      <w:r w:rsidR="001C46EE" w:rsidRPr="009F1C21">
        <w:rPr>
          <w:rFonts w:ascii="Arial Narrow" w:hAnsi="Arial Narrow"/>
          <w:snapToGrid w:val="0"/>
          <w:sz w:val="18"/>
          <w:szCs w:val="18"/>
        </w:rPr>
        <w:t>, adverse events cost</w:t>
      </w:r>
      <w:r w:rsidR="009F1C21" w:rsidRPr="009F1C21">
        <w:rPr>
          <w:rFonts w:ascii="Arial Narrow" w:hAnsi="Arial Narrow"/>
          <w:snapToGrid w:val="0"/>
          <w:sz w:val="18"/>
          <w:szCs w:val="18"/>
        </w:rPr>
        <w:t>s (corrected from $</w:t>
      </w:r>
      <w:r w:rsidR="00EB4495" w:rsidRPr="00EB4495">
        <w:rPr>
          <w:rFonts w:ascii="Arial Narrow" w:hAnsi="Arial Narrow"/>
          <w:snapToGrid w:val="0"/>
          <w:color w:val="000000"/>
          <w:spacing w:val="36"/>
          <w:sz w:val="18"/>
          <w:szCs w:val="18"/>
          <w:shd w:val="solid" w:color="000000" w:fill="000000"/>
          <w:fitText w:val="268" w:id="-1435823864"/>
          <w14:textFill>
            <w14:solidFill>
              <w14:srgbClr w14:val="000000">
                <w14:alpha w14:val="100000"/>
              </w14:srgbClr>
            </w14:solidFill>
          </w14:textFill>
        </w:rPr>
        <w:t xml:space="preserve">|  </w:t>
      </w:r>
      <w:r w:rsidR="00EB4495" w:rsidRPr="00EB4495">
        <w:rPr>
          <w:rFonts w:ascii="Arial Narrow" w:hAnsi="Arial Narrow"/>
          <w:snapToGrid w:val="0"/>
          <w:color w:val="000000"/>
          <w:spacing w:val="2"/>
          <w:sz w:val="18"/>
          <w:szCs w:val="18"/>
          <w:shd w:val="solid" w:color="000000" w:fill="000000"/>
          <w:fitText w:val="268" w:id="-1435823864"/>
          <w14:textFill>
            <w14:solidFill>
              <w14:srgbClr w14:val="000000">
                <w14:alpha w14:val="100000"/>
              </w14:srgbClr>
            </w14:solidFill>
          </w14:textFill>
        </w:rPr>
        <w:t>|</w:t>
      </w:r>
      <w:r w:rsidR="009F1C21" w:rsidRPr="009F1C21">
        <w:rPr>
          <w:rFonts w:ascii="Arial Narrow" w:hAnsi="Arial Narrow"/>
          <w:snapToGrid w:val="0"/>
          <w:sz w:val="18"/>
          <w:szCs w:val="18"/>
        </w:rPr>
        <w:t xml:space="preserve"> to $</w:t>
      </w:r>
      <w:r w:rsidR="00EB4495" w:rsidRPr="00EB4495">
        <w:rPr>
          <w:rFonts w:ascii="Arial Narrow" w:hAnsi="Arial Narrow"/>
          <w:snapToGrid w:val="0"/>
          <w:color w:val="000000"/>
          <w:spacing w:val="36"/>
          <w:sz w:val="18"/>
          <w:szCs w:val="18"/>
          <w:shd w:val="solid" w:color="000000" w:fill="000000"/>
          <w:fitText w:val="268" w:id="-1435823863"/>
          <w14:textFill>
            <w14:solidFill>
              <w14:srgbClr w14:val="000000">
                <w14:alpha w14:val="100000"/>
              </w14:srgbClr>
            </w14:solidFill>
          </w14:textFill>
        </w:rPr>
        <w:t xml:space="preserve">|  </w:t>
      </w:r>
      <w:r w:rsidR="00EB4495" w:rsidRPr="00EB4495">
        <w:rPr>
          <w:rFonts w:ascii="Arial Narrow" w:hAnsi="Arial Narrow"/>
          <w:snapToGrid w:val="0"/>
          <w:color w:val="000000"/>
          <w:spacing w:val="2"/>
          <w:sz w:val="18"/>
          <w:szCs w:val="18"/>
          <w:shd w:val="solid" w:color="000000" w:fill="000000"/>
          <w:fitText w:val="268" w:id="-1435823863"/>
          <w14:textFill>
            <w14:solidFill>
              <w14:srgbClr w14:val="000000">
                <w14:alpha w14:val="100000"/>
              </w14:srgbClr>
            </w14:solidFill>
          </w14:textFill>
        </w:rPr>
        <w:t>|</w:t>
      </w:r>
      <w:r w:rsidR="009F1C21" w:rsidRPr="009F1C21">
        <w:rPr>
          <w:rFonts w:ascii="Arial Narrow" w:hAnsi="Arial Narrow"/>
          <w:snapToGrid w:val="0"/>
          <w:sz w:val="18"/>
          <w:szCs w:val="18"/>
        </w:rPr>
        <w:t xml:space="preserve"> for the oral azacitidine arm and from $</w:t>
      </w:r>
      <w:r w:rsidR="00EB4495" w:rsidRPr="00EB4495">
        <w:rPr>
          <w:rFonts w:ascii="Arial Narrow" w:hAnsi="Arial Narrow"/>
          <w:snapToGrid w:val="0"/>
          <w:color w:val="000000"/>
          <w:spacing w:val="36"/>
          <w:sz w:val="18"/>
          <w:szCs w:val="18"/>
          <w:shd w:val="solid" w:color="000000" w:fill="000000"/>
          <w:fitText w:val="268" w:id="-1435823862"/>
          <w14:textFill>
            <w14:solidFill>
              <w14:srgbClr w14:val="000000">
                <w14:alpha w14:val="100000"/>
              </w14:srgbClr>
            </w14:solidFill>
          </w14:textFill>
        </w:rPr>
        <w:t xml:space="preserve">|  </w:t>
      </w:r>
      <w:r w:rsidR="00EB4495" w:rsidRPr="00EB4495">
        <w:rPr>
          <w:rFonts w:ascii="Arial Narrow" w:hAnsi="Arial Narrow"/>
          <w:snapToGrid w:val="0"/>
          <w:color w:val="000000"/>
          <w:spacing w:val="2"/>
          <w:sz w:val="18"/>
          <w:szCs w:val="18"/>
          <w:shd w:val="solid" w:color="000000" w:fill="000000"/>
          <w:fitText w:val="268" w:id="-1435823862"/>
          <w14:textFill>
            <w14:solidFill>
              <w14:srgbClr w14:val="000000">
                <w14:alpha w14:val="100000"/>
              </w14:srgbClr>
            </w14:solidFill>
          </w14:textFill>
        </w:rPr>
        <w:t>|</w:t>
      </w:r>
      <w:r w:rsidR="009F1C21" w:rsidRPr="009F1C21">
        <w:rPr>
          <w:rFonts w:ascii="Arial Narrow" w:hAnsi="Arial Narrow"/>
          <w:snapToGrid w:val="0"/>
          <w:sz w:val="18"/>
          <w:szCs w:val="18"/>
        </w:rPr>
        <w:t xml:space="preserve"> to $</w:t>
      </w:r>
      <w:r w:rsidR="00EB4495" w:rsidRPr="00EB4495">
        <w:rPr>
          <w:rFonts w:ascii="Arial Narrow" w:hAnsi="Arial Narrow"/>
          <w:snapToGrid w:val="0"/>
          <w:color w:val="000000"/>
          <w:spacing w:val="9"/>
          <w:sz w:val="18"/>
          <w:szCs w:val="18"/>
          <w:shd w:val="solid" w:color="000000" w:fill="000000"/>
          <w:fitText w:val="281" w:id="-1435823861"/>
          <w14:textFill>
            <w14:solidFill>
              <w14:srgbClr w14:val="000000">
                <w14:alpha w14:val="100000"/>
              </w14:srgbClr>
            </w14:solidFill>
          </w14:textFill>
        </w:rPr>
        <w:t>||  |</w:t>
      </w:r>
      <w:r w:rsidR="00EB4495" w:rsidRPr="00EB4495">
        <w:rPr>
          <w:rFonts w:ascii="Arial Narrow" w:hAnsi="Arial Narrow"/>
          <w:snapToGrid w:val="0"/>
          <w:color w:val="000000"/>
          <w:spacing w:val="1"/>
          <w:sz w:val="18"/>
          <w:szCs w:val="18"/>
          <w:shd w:val="solid" w:color="000000" w:fill="000000"/>
          <w:fitText w:val="281" w:id="-1435823861"/>
          <w14:textFill>
            <w14:solidFill>
              <w14:srgbClr w14:val="000000">
                <w14:alpha w14:val="100000"/>
              </w14:srgbClr>
            </w14:solidFill>
          </w14:textFill>
        </w:rPr>
        <w:t>|</w:t>
      </w:r>
      <w:r w:rsidR="009F1C21" w:rsidRPr="009F1C21">
        <w:rPr>
          <w:rFonts w:ascii="Arial Narrow" w:hAnsi="Arial Narrow"/>
          <w:snapToGrid w:val="0"/>
          <w:sz w:val="18"/>
          <w:szCs w:val="18"/>
        </w:rPr>
        <w:t xml:space="preserve"> for the BSC arm)</w:t>
      </w:r>
      <w:r w:rsidR="001C46EE" w:rsidRPr="009F1C21">
        <w:rPr>
          <w:rFonts w:ascii="Arial Narrow" w:hAnsi="Arial Narrow"/>
          <w:snapToGrid w:val="0"/>
          <w:sz w:val="18"/>
          <w:szCs w:val="18"/>
        </w:rPr>
        <w:t>, and subsequent therapies cost</w:t>
      </w:r>
      <w:r w:rsidR="009F1C21" w:rsidRPr="009F1C21">
        <w:rPr>
          <w:rFonts w:ascii="Arial Narrow" w:hAnsi="Arial Narrow"/>
          <w:snapToGrid w:val="0"/>
          <w:sz w:val="18"/>
          <w:szCs w:val="18"/>
        </w:rPr>
        <w:t>s (corrected from $</w:t>
      </w:r>
      <w:r w:rsidR="00EB4495" w:rsidRPr="00EB4495">
        <w:rPr>
          <w:rFonts w:ascii="Arial Narrow" w:hAnsi="Arial Narrow"/>
          <w:snapToGrid w:val="0"/>
          <w:color w:val="000000"/>
          <w:spacing w:val="9"/>
          <w:sz w:val="18"/>
          <w:szCs w:val="18"/>
          <w:shd w:val="solid" w:color="000000" w:fill="000000"/>
          <w:fitText w:val="281" w:id="-1435823860"/>
          <w14:textFill>
            <w14:solidFill>
              <w14:srgbClr w14:val="000000">
                <w14:alpha w14:val="100000"/>
              </w14:srgbClr>
            </w14:solidFill>
          </w14:textFill>
        </w:rPr>
        <w:t>||  |</w:t>
      </w:r>
      <w:r w:rsidR="00EB4495" w:rsidRPr="00EB4495">
        <w:rPr>
          <w:rFonts w:ascii="Arial Narrow" w:hAnsi="Arial Narrow"/>
          <w:snapToGrid w:val="0"/>
          <w:color w:val="000000"/>
          <w:spacing w:val="1"/>
          <w:sz w:val="18"/>
          <w:szCs w:val="18"/>
          <w:shd w:val="solid" w:color="000000" w:fill="000000"/>
          <w:fitText w:val="281" w:id="-1435823860"/>
          <w14:textFill>
            <w14:solidFill>
              <w14:srgbClr w14:val="000000">
                <w14:alpha w14:val="100000"/>
              </w14:srgbClr>
            </w14:solidFill>
          </w14:textFill>
        </w:rPr>
        <w:t>|</w:t>
      </w:r>
      <w:r w:rsidR="009F1C21" w:rsidRPr="009F1C21">
        <w:rPr>
          <w:rFonts w:ascii="Arial Narrow" w:hAnsi="Arial Narrow"/>
          <w:snapToGrid w:val="0"/>
          <w:sz w:val="18"/>
          <w:szCs w:val="18"/>
        </w:rPr>
        <w:t xml:space="preserve"> to $</w:t>
      </w:r>
      <w:r w:rsidR="00EB4495" w:rsidRPr="00EB4495">
        <w:rPr>
          <w:rFonts w:ascii="Arial Narrow" w:hAnsi="Arial Narrow"/>
          <w:snapToGrid w:val="0"/>
          <w:color w:val="000000"/>
          <w:spacing w:val="9"/>
          <w:sz w:val="18"/>
          <w:szCs w:val="18"/>
          <w:shd w:val="solid" w:color="000000" w:fill="000000"/>
          <w:fitText w:val="281" w:id="-1435823859"/>
          <w14:textFill>
            <w14:solidFill>
              <w14:srgbClr w14:val="000000">
                <w14:alpha w14:val="100000"/>
              </w14:srgbClr>
            </w14:solidFill>
          </w14:textFill>
        </w:rPr>
        <w:t>||  |</w:t>
      </w:r>
      <w:r w:rsidR="00EB4495" w:rsidRPr="00EB4495">
        <w:rPr>
          <w:rFonts w:ascii="Arial Narrow" w:hAnsi="Arial Narrow"/>
          <w:snapToGrid w:val="0"/>
          <w:color w:val="000000"/>
          <w:spacing w:val="1"/>
          <w:sz w:val="18"/>
          <w:szCs w:val="18"/>
          <w:shd w:val="solid" w:color="000000" w:fill="000000"/>
          <w:fitText w:val="281" w:id="-1435823859"/>
          <w14:textFill>
            <w14:solidFill>
              <w14:srgbClr w14:val="000000">
                <w14:alpha w14:val="100000"/>
              </w14:srgbClr>
            </w14:solidFill>
          </w14:textFill>
        </w:rPr>
        <w:t>|</w:t>
      </w:r>
      <w:r w:rsidR="009F1C21" w:rsidRPr="009F1C21">
        <w:rPr>
          <w:rFonts w:ascii="Arial Narrow" w:hAnsi="Arial Narrow"/>
          <w:snapToGrid w:val="0"/>
          <w:sz w:val="18"/>
          <w:szCs w:val="18"/>
        </w:rPr>
        <w:t xml:space="preserve"> in the oral azacitidine arm and from $</w:t>
      </w:r>
      <w:r w:rsidR="00EB4495" w:rsidRPr="00EB4495">
        <w:rPr>
          <w:rFonts w:ascii="Arial Narrow" w:hAnsi="Arial Narrow"/>
          <w:snapToGrid w:val="0"/>
          <w:color w:val="000000"/>
          <w:spacing w:val="40"/>
          <w:sz w:val="18"/>
          <w:szCs w:val="18"/>
          <w:shd w:val="solid" w:color="000000" w:fill="000000"/>
          <w:fitText w:val="280" w:id="-1435823858"/>
          <w14:textFill>
            <w14:solidFill>
              <w14:srgbClr w14:val="000000">
                <w14:alpha w14:val="100000"/>
              </w14:srgbClr>
            </w14:solidFill>
          </w14:textFill>
        </w:rPr>
        <w:t xml:space="preserve">|  </w:t>
      </w:r>
      <w:r w:rsidR="00EB4495" w:rsidRPr="00EB4495">
        <w:rPr>
          <w:rFonts w:ascii="Arial Narrow" w:hAnsi="Arial Narrow"/>
          <w:snapToGrid w:val="0"/>
          <w:color w:val="000000"/>
          <w:spacing w:val="2"/>
          <w:sz w:val="18"/>
          <w:szCs w:val="18"/>
          <w:shd w:val="solid" w:color="000000" w:fill="000000"/>
          <w:fitText w:val="280" w:id="-1435823858"/>
          <w14:textFill>
            <w14:solidFill>
              <w14:srgbClr w14:val="000000">
                <w14:alpha w14:val="100000"/>
              </w14:srgbClr>
            </w14:solidFill>
          </w14:textFill>
        </w:rPr>
        <w:t>|</w:t>
      </w:r>
      <w:r w:rsidR="009F1C21" w:rsidRPr="009F1C21">
        <w:rPr>
          <w:rFonts w:ascii="Arial Narrow" w:hAnsi="Arial Narrow"/>
          <w:snapToGrid w:val="0"/>
          <w:sz w:val="18"/>
          <w:szCs w:val="18"/>
        </w:rPr>
        <w:t xml:space="preserve"> to $</w:t>
      </w:r>
      <w:r w:rsidR="00EB4495" w:rsidRPr="00EB4495">
        <w:rPr>
          <w:rFonts w:ascii="Arial Narrow" w:hAnsi="Arial Narrow"/>
          <w:snapToGrid w:val="0"/>
          <w:color w:val="000000"/>
          <w:spacing w:val="40"/>
          <w:sz w:val="18"/>
          <w:szCs w:val="18"/>
          <w:shd w:val="solid" w:color="000000" w:fill="000000"/>
          <w:fitText w:val="280" w:id="-1435823857"/>
          <w14:textFill>
            <w14:solidFill>
              <w14:srgbClr w14:val="000000">
                <w14:alpha w14:val="100000"/>
              </w14:srgbClr>
            </w14:solidFill>
          </w14:textFill>
        </w:rPr>
        <w:t xml:space="preserve">|  </w:t>
      </w:r>
      <w:r w:rsidR="00EB4495" w:rsidRPr="00EB4495">
        <w:rPr>
          <w:rFonts w:ascii="Arial Narrow" w:hAnsi="Arial Narrow"/>
          <w:snapToGrid w:val="0"/>
          <w:color w:val="000000"/>
          <w:spacing w:val="2"/>
          <w:sz w:val="18"/>
          <w:szCs w:val="18"/>
          <w:shd w:val="solid" w:color="000000" w:fill="000000"/>
          <w:fitText w:val="280" w:id="-1435823857"/>
          <w14:textFill>
            <w14:solidFill>
              <w14:srgbClr w14:val="000000">
                <w14:alpha w14:val="100000"/>
              </w14:srgbClr>
            </w14:solidFill>
          </w14:textFill>
        </w:rPr>
        <w:t>|</w:t>
      </w:r>
      <w:r w:rsidR="009F1C21" w:rsidRPr="009F1C21">
        <w:rPr>
          <w:rFonts w:ascii="Arial Narrow" w:hAnsi="Arial Narrow"/>
          <w:snapToGrid w:val="0"/>
          <w:sz w:val="18"/>
          <w:szCs w:val="18"/>
        </w:rPr>
        <w:t xml:space="preserve"> in the BSC arm)</w:t>
      </w:r>
      <w:r w:rsidRPr="009F1C21">
        <w:rPr>
          <w:rFonts w:ascii="Arial Narrow" w:hAnsi="Arial Narrow"/>
          <w:snapToGrid w:val="0"/>
          <w:sz w:val="18"/>
          <w:szCs w:val="18"/>
        </w:rPr>
        <w:t xml:space="preserve"> as per the description</w:t>
      </w:r>
      <w:r w:rsidR="009F1C21" w:rsidRPr="009F1C21">
        <w:rPr>
          <w:rFonts w:ascii="Arial Narrow" w:hAnsi="Arial Narrow"/>
          <w:snapToGrid w:val="0"/>
          <w:sz w:val="18"/>
          <w:szCs w:val="18"/>
        </w:rPr>
        <w:t>s</w:t>
      </w:r>
      <w:r w:rsidRPr="009F1C21">
        <w:rPr>
          <w:rFonts w:ascii="Arial Narrow" w:hAnsi="Arial Narrow"/>
          <w:snapToGrid w:val="0"/>
          <w:sz w:val="18"/>
          <w:szCs w:val="18"/>
        </w:rPr>
        <w:t xml:space="preserve"> in Section 3.6 of the </w:t>
      </w:r>
      <w:r w:rsidR="00C444CF" w:rsidRPr="009F1C21">
        <w:rPr>
          <w:rFonts w:ascii="Arial Narrow" w:hAnsi="Arial Narrow"/>
          <w:snapToGrid w:val="0"/>
          <w:sz w:val="18"/>
          <w:szCs w:val="18"/>
        </w:rPr>
        <w:t>C</w:t>
      </w:r>
      <w:r w:rsidRPr="009F1C21">
        <w:rPr>
          <w:rFonts w:ascii="Arial Narrow" w:hAnsi="Arial Narrow"/>
          <w:snapToGrid w:val="0"/>
          <w:sz w:val="18"/>
          <w:szCs w:val="18"/>
        </w:rPr>
        <w:t>ommentary.</w:t>
      </w:r>
      <w:r w:rsidR="00C70D83" w:rsidRPr="009F1C21">
        <w:rPr>
          <w:rFonts w:ascii="Arial Narrow" w:hAnsi="Arial Narrow"/>
          <w:snapToGrid w:val="0"/>
          <w:sz w:val="18"/>
          <w:szCs w:val="18"/>
        </w:rPr>
        <w:t xml:space="preserve"> The submission’s (uncorrected) base case ICER was $</w:t>
      </w:r>
      <w:r w:rsidR="005E2E9D">
        <w:rPr>
          <w:rFonts w:ascii="Arial Narrow" w:hAnsi="Arial Narrow"/>
          <w:snapToGrid w:val="0"/>
          <w:sz w:val="18"/>
          <w:szCs w:val="18"/>
        </w:rPr>
        <w:t>75,000 to &lt; $95,000</w:t>
      </w:r>
      <w:r w:rsidR="00C70D83" w:rsidRPr="009F1C21">
        <w:rPr>
          <w:rFonts w:ascii="Arial Narrow" w:hAnsi="Arial Narrow"/>
          <w:snapToGrid w:val="0"/>
          <w:sz w:val="18"/>
          <w:szCs w:val="18"/>
        </w:rPr>
        <w:t>/QALY gained.</w:t>
      </w:r>
    </w:p>
    <w:p w14:paraId="6091EF41" w14:textId="7BD6DC3C" w:rsidR="00DA4F1F" w:rsidRDefault="00DA4F1F" w:rsidP="00263163">
      <w:pPr>
        <w:pStyle w:val="PBACTableSource"/>
      </w:pPr>
      <w:r w:rsidRPr="00263163">
        <w:t>a Incorrectly reported as 1.45 in the submission.</w:t>
      </w:r>
    </w:p>
    <w:p w14:paraId="7CCBF4EF" w14:textId="378080DE" w:rsidR="005E2E9D" w:rsidRDefault="005E2E9D" w:rsidP="00263163">
      <w:pPr>
        <w:pStyle w:val="PBACTableSource"/>
      </w:pPr>
    </w:p>
    <w:p w14:paraId="0741E6AB" w14:textId="77777777" w:rsidR="005E2E9D" w:rsidRPr="0014238F" w:rsidRDefault="005E2E9D" w:rsidP="005E2E9D">
      <w:pPr>
        <w:pStyle w:val="TableFigureFooter"/>
        <w:keepNext/>
        <w:spacing w:after="0"/>
        <w:contextualSpacing w:val="0"/>
        <w:rPr>
          <w:i/>
        </w:rPr>
      </w:pPr>
      <w:r w:rsidRPr="0014238F">
        <w:rPr>
          <w:i/>
        </w:rPr>
        <w:t>The redacted values correspond to the following ranges:</w:t>
      </w:r>
    </w:p>
    <w:p w14:paraId="381A55BD" w14:textId="77777777" w:rsidR="005E2E9D" w:rsidRPr="005E2E9D" w:rsidRDefault="005E2E9D" w:rsidP="005E2E9D">
      <w:pPr>
        <w:ind w:right="147"/>
        <w:rPr>
          <w:rFonts w:ascii="Arial Narrow" w:hAnsi="Arial Narrow"/>
          <w:i/>
          <w:snapToGrid w:val="0"/>
          <w:sz w:val="18"/>
          <w:szCs w:val="22"/>
        </w:rPr>
      </w:pPr>
      <w:r w:rsidRPr="005E2E9D">
        <w:rPr>
          <w:rFonts w:ascii="Arial Narrow" w:hAnsi="Arial Narrow"/>
          <w:i/>
          <w:snapToGrid w:val="0"/>
          <w:sz w:val="18"/>
          <w:szCs w:val="22"/>
          <w:vertAlign w:val="superscript"/>
        </w:rPr>
        <w:t>1</w:t>
      </w:r>
      <w:bookmarkStart w:id="70" w:name="_Hlk112839481"/>
      <w:r w:rsidRPr="005E2E9D">
        <w:rPr>
          <w:rFonts w:ascii="Arial Narrow" w:hAnsi="Arial Narrow"/>
          <w:i/>
          <w:snapToGrid w:val="0"/>
          <w:sz w:val="18"/>
          <w:szCs w:val="22"/>
        </w:rPr>
        <w:t xml:space="preserve">$95,000 to &lt; $115,000 </w:t>
      </w:r>
    </w:p>
    <w:bookmarkEnd w:id="70"/>
    <w:p w14:paraId="04659F0A" w14:textId="77777777" w:rsidR="005E2E9D" w:rsidRPr="005E2E9D" w:rsidRDefault="005E2E9D" w:rsidP="005E2E9D">
      <w:pPr>
        <w:ind w:right="147"/>
        <w:rPr>
          <w:rFonts w:ascii="Arial Narrow" w:hAnsi="Arial Narrow"/>
          <w:i/>
          <w:snapToGrid w:val="0"/>
          <w:sz w:val="18"/>
          <w:szCs w:val="22"/>
        </w:rPr>
      </w:pPr>
      <w:r w:rsidRPr="005E2E9D">
        <w:rPr>
          <w:rFonts w:ascii="Arial Narrow" w:hAnsi="Arial Narrow"/>
          <w:i/>
          <w:snapToGrid w:val="0"/>
          <w:sz w:val="18"/>
          <w:szCs w:val="22"/>
          <w:vertAlign w:val="superscript"/>
        </w:rPr>
        <w:t>2</w:t>
      </w:r>
      <w:bookmarkStart w:id="71" w:name="_Hlk112839779"/>
      <w:r w:rsidRPr="005E2E9D">
        <w:rPr>
          <w:rFonts w:ascii="Arial Narrow" w:hAnsi="Arial Narrow"/>
          <w:i/>
          <w:snapToGrid w:val="0"/>
          <w:sz w:val="18"/>
          <w:szCs w:val="22"/>
        </w:rPr>
        <w:t>$115,000 to &lt; $135,000</w:t>
      </w:r>
    </w:p>
    <w:bookmarkEnd w:id="71"/>
    <w:p w14:paraId="27AD10C7" w14:textId="77777777" w:rsidR="005E2E9D" w:rsidRPr="005E2E9D" w:rsidRDefault="005E2E9D" w:rsidP="005E2E9D">
      <w:pPr>
        <w:ind w:right="147"/>
        <w:rPr>
          <w:rFonts w:ascii="Arial Narrow" w:hAnsi="Arial Narrow"/>
          <w:i/>
          <w:snapToGrid w:val="0"/>
          <w:sz w:val="18"/>
          <w:szCs w:val="22"/>
        </w:rPr>
      </w:pPr>
      <w:r w:rsidRPr="005E2E9D">
        <w:rPr>
          <w:rFonts w:ascii="Arial Narrow" w:hAnsi="Arial Narrow"/>
          <w:i/>
          <w:snapToGrid w:val="0"/>
          <w:sz w:val="18"/>
          <w:szCs w:val="22"/>
          <w:vertAlign w:val="superscript"/>
        </w:rPr>
        <w:t>3</w:t>
      </w:r>
      <w:r w:rsidRPr="005E2E9D">
        <w:rPr>
          <w:rFonts w:ascii="Arial Narrow" w:hAnsi="Arial Narrow"/>
          <w:i/>
          <w:snapToGrid w:val="0"/>
          <w:sz w:val="18"/>
          <w:szCs w:val="22"/>
        </w:rPr>
        <w:t xml:space="preserve">$55,000 to &lt; $75,000 </w:t>
      </w:r>
    </w:p>
    <w:p w14:paraId="01FAD907" w14:textId="77777777" w:rsidR="005E2E9D" w:rsidRPr="005E2E9D" w:rsidRDefault="005E2E9D" w:rsidP="005E2E9D">
      <w:pPr>
        <w:ind w:right="147"/>
        <w:rPr>
          <w:rFonts w:ascii="Arial Narrow" w:hAnsi="Arial Narrow"/>
          <w:i/>
          <w:snapToGrid w:val="0"/>
          <w:sz w:val="18"/>
          <w:szCs w:val="22"/>
        </w:rPr>
      </w:pPr>
      <w:r w:rsidRPr="005E2E9D">
        <w:rPr>
          <w:rFonts w:ascii="Arial Narrow" w:hAnsi="Arial Narrow"/>
          <w:i/>
          <w:snapToGrid w:val="0"/>
          <w:sz w:val="18"/>
          <w:szCs w:val="22"/>
          <w:vertAlign w:val="superscript"/>
        </w:rPr>
        <w:t>4</w:t>
      </w:r>
      <w:r w:rsidRPr="005E2E9D">
        <w:rPr>
          <w:rFonts w:ascii="Arial Narrow" w:hAnsi="Arial Narrow"/>
          <w:i/>
          <w:snapToGrid w:val="0"/>
          <w:sz w:val="18"/>
          <w:szCs w:val="22"/>
        </w:rPr>
        <w:t>$75,000 to &lt; $95,000</w:t>
      </w:r>
    </w:p>
    <w:p w14:paraId="57DC8ADB" w14:textId="0F648C41" w:rsidR="005E2E9D" w:rsidRPr="005E2E9D" w:rsidRDefault="005E2E9D" w:rsidP="00263163">
      <w:pPr>
        <w:pStyle w:val="PBACTableSource"/>
      </w:pPr>
    </w:p>
    <w:p w14:paraId="742F16EB" w14:textId="009749E9" w:rsidR="00AC36A2" w:rsidRPr="00C4747F" w:rsidRDefault="00AC36A2" w:rsidP="00AC36A2">
      <w:pPr>
        <w:pStyle w:val="3-BodyText"/>
      </w:pPr>
      <w:r w:rsidRPr="00125D41">
        <w:t xml:space="preserve">The average number of events per patient in QUAZAR compared to the economic model are presented </w:t>
      </w:r>
      <w:r w:rsidRPr="00125D41">
        <w:rPr>
          <w:lang w:val="en-US"/>
        </w:rPr>
        <w:t xml:space="preserve">in </w:t>
      </w:r>
      <w:r w:rsidRPr="00A511A4">
        <w:rPr>
          <w:lang w:val="en-US"/>
        </w:rPr>
        <w:fldChar w:fldCharType="begin" w:fldLock="1"/>
      </w:r>
      <w:r w:rsidRPr="00A511A4">
        <w:rPr>
          <w:lang w:val="en-US"/>
        </w:rPr>
        <w:instrText xml:space="preserve"> REF _Ref100772915 \h </w:instrText>
      </w:r>
      <w:r>
        <w:rPr>
          <w:lang w:val="en-US"/>
        </w:rPr>
        <w:instrText xml:space="preserve"> \* MERGEFORMAT </w:instrText>
      </w:r>
      <w:r w:rsidRPr="00A511A4">
        <w:rPr>
          <w:lang w:val="en-US"/>
        </w:rPr>
      </w:r>
      <w:r w:rsidRPr="00A511A4">
        <w:rPr>
          <w:lang w:val="en-US"/>
        </w:rPr>
        <w:fldChar w:fldCharType="separate"/>
      </w:r>
      <w:r w:rsidR="00602E88" w:rsidRPr="00602E88">
        <w:rPr>
          <w:lang w:val="en-US"/>
        </w:rPr>
        <w:t>Table 14</w:t>
      </w:r>
      <w:r w:rsidRPr="00A511A4">
        <w:rPr>
          <w:lang w:val="en-US"/>
        </w:rPr>
        <w:fldChar w:fldCharType="end"/>
      </w:r>
      <w:r w:rsidRPr="00125D41">
        <w:t>.</w:t>
      </w:r>
    </w:p>
    <w:p w14:paraId="4D8F2923" w14:textId="57EB9BC1" w:rsidR="00AC36A2" w:rsidRDefault="00AC36A2" w:rsidP="00AC36A2">
      <w:pPr>
        <w:pStyle w:val="Caption"/>
        <w:keepNext/>
        <w:spacing w:after="0"/>
        <w:rPr>
          <w:rFonts w:ascii="Arial Narrow" w:hAnsi="Arial Narrow"/>
          <w:color w:val="auto"/>
          <w:sz w:val="20"/>
          <w:szCs w:val="20"/>
        </w:rPr>
      </w:pPr>
      <w:bookmarkStart w:id="72" w:name="_Ref100772915"/>
      <w:r w:rsidRPr="008D12AE">
        <w:rPr>
          <w:rFonts w:ascii="Arial Narrow" w:hAnsi="Arial Narrow"/>
          <w:color w:val="auto"/>
          <w:sz w:val="20"/>
          <w:szCs w:val="20"/>
        </w:rPr>
        <w:t xml:space="preserve">Table </w:t>
      </w:r>
      <w:r>
        <w:rPr>
          <w:rFonts w:ascii="Arial Narrow" w:hAnsi="Arial Narrow"/>
          <w:color w:val="auto"/>
          <w:sz w:val="20"/>
          <w:szCs w:val="20"/>
        </w:rPr>
        <w:fldChar w:fldCharType="begin" w:fldLock="1"/>
      </w:r>
      <w:r>
        <w:rPr>
          <w:rFonts w:ascii="Arial Narrow" w:hAnsi="Arial Narrow"/>
          <w:color w:val="auto"/>
          <w:sz w:val="20"/>
          <w:szCs w:val="20"/>
        </w:rPr>
        <w:instrText xml:space="preserve"> SEQ Table \* ARABIC \s 1 </w:instrText>
      </w:r>
      <w:r>
        <w:rPr>
          <w:rFonts w:ascii="Arial Narrow" w:hAnsi="Arial Narrow"/>
          <w:color w:val="auto"/>
          <w:sz w:val="20"/>
          <w:szCs w:val="20"/>
        </w:rPr>
        <w:fldChar w:fldCharType="separate"/>
      </w:r>
      <w:r w:rsidR="00602E88">
        <w:rPr>
          <w:rFonts w:ascii="Arial Narrow" w:hAnsi="Arial Narrow"/>
          <w:noProof/>
          <w:color w:val="auto"/>
          <w:sz w:val="20"/>
          <w:szCs w:val="20"/>
        </w:rPr>
        <w:t>14</w:t>
      </w:r>
      <w:r>
        <w:rPr>
          <w:rFonts w:ascii="Arial Narrow" w:hAnsi="Arial Narrow"/>
          <w:color w:val="auto"/>
          <w:sz w:val="20"/>
          <w:szCs w:val="20"/>
        </w:rPr>
        <w:fldChar w:fldCharType="end"/>
      </w:r>
      <w:bookmarkEnd w:id="72"/>
      <w:r w:rsidRPr="008D12AE">
        <w:rPr>
          <w:rFonts w:ascii="Arial Narrow" w:hAnsi="Arial Narrow"/>
          <w:color w:val="auto"/>
          <w:sz w:val="20"/>
          <w:szCs w:val="20"/>
        </w:rPr>
        <w:t xml:space="preserve">: </w:t>
      </w:r>
      <w:r w:rsidR="001C46EE">
        <w:rPr>
          <w:rFonts w:ascii="Arial Narrow" w:hAnsi="Arial Narrow"/>
          <w:color w:val="auto"/>
          <w:sz w:val="20"/>
          <w:szCs w:val="20"/>
        </w:rPr>
        <w:t>Mean estimates</w:t>
      </w:r>
      <w:r w:rsidRPr="008D12AE">
        <w:rPr>
          <w:rFonts w:ascii="Arial Narrow" w:hAnsi="Arial Narrow"/>
          <w:color w:val="auto"/>
          <w:sz w:val="20"/>
          <w:szCs w:val="20"/>
        </w:rPr>
        <w:t xml:space="preserve"> in the trial versus the economic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4: Mean estimates in the trial versus the economic model"/>
      </w:tblPr>
      <w:tblGrid>
        <w:gridCol w:w="1554"/>
        <w:gridCol w:w="992"/>
        <w:gridCol w:w="709"/>
        <w:gridCol w:w="851"/>
        <w:gridCol w:w="851"/>
        <w:gridCol w:w="711"/>
        <w:gridCol w:w="851"/>
        <w:gridCol w:w="849"/>
        <w:gridCol w:w="709"/>
        <w:gridCol w:w="940"/>
      </w:tblGrid>
      <w:tr w:rsidR="007063CF" w:rsidRPr="00125D41" w14:paraId="37198B61" w14:textId="77777777" w:rsidTr="00871723">
        <w:trPr>
          <w:trHeight w:val="290"/>
          <w:tblHeader/>
        </w:trPr>
        <w:tc>
          <w:tcPr>
            <w:tcW w:w="862" w:type="pct"/>
            <w:vMerge w:val="restart"/>
            <w:shd w:val="clear" w:color="auto" w:fill="auto"/>
            <w:noWrap/>
            <w:tcMar>
              <w:left w:w="28" w:type="dxa"/>
              <w:right w:w="28" w:type="dxa"/>
            </w:tcMar>
          </w:tcPr>
          <w:p w14:paraId="48DC0025" w14:textId="77777777" w:rsidR="009D4940" w:rsidRPr="00125D41" w:rsidRDefault="009D4940" w:rsidP="00196BB8">
            <w:pPr>
              <w:keepNext/>
              <w:keepLines/>
              <w:jc w:val="left"/>
              <w:rPr>
                <w:rFonts w:ascii="Arial Narrow" w:hAnsi="Arial Narrow" w:cs="Times New Roman"/>
                <w:b/>
                <w:sz w:val="20"/>
                <w:szCs w:val="20"/>
              </w:rPr>
            </w:pPr>
          </w:p>
        </w:tc>
        <w:tc>
          <w:tcPr>
            <w:tcW w:w="1415" w:type="pct"/>
            <w:gridSpan w:val="3"/>
            <w:tcMar>
              <w:left w:w="28" w:type="dxa"/>
              <w:right w:w="28" w:type="dxa"/>
            </w:tcMar>
          </w:tcPr>
          <w:p w14:paraId="3AFE5552" w14:textId="77777777" w:rsidR="009D4940" w:rsidRPr="00125D41" w:rsidRDefault="009D4940" w:rsidP="00196BB8">
            <w:pPr>
              <w:keepNext/>
              <w:keepLines/>
              <w:jc w:val="center"/>
              <w:rPr>
                <w:rFonts w:ascii="Arial Narrow" w:hAnsi="Arial Narrow" w:cs="Times New Roman"/>
                <w:b/>
                <w:sz w:val="20"/>
                <w:szCs w:val="20"/>
              </w:rPr>
            </w:pPr>
            <w:r w:rsidRPr="00125D41">
              <w:rPr>
                <w:rFonts w:ascii="Arial Narrow" w:hAnsi="Arial Narrow" w:cs="Times New Roman"/>
                <w:b/>
                <w:sz w:val="20"/>
                <w:szCs w:val="20"/>
              </w:rPr>
              <w:t>QUAZAR</w:t>
            </w:r>
          </w:p>
          <w:p w14:paraId="4A1C0860" w14:textId="77777777" w:rsidR="009D4940" w:rsidRPr="00125D41" w:rsidRDefault="009D4940" w:rsidP="00196BB8">
            <w:pPr>
              <w:keepNext/>
              <w:keepLines/>
              <w:jc w:val="center"/>
              <w:rPr>
                <w:rFonts w:ascii="Arial Narrow" w:hAnsi="Arial Narrow" w:cs="Times New Roman"/>
                <w:b/>
                <w:sz w:val="20"/>
                <w:szCs w:val="20"/>
              </w:rPr>
            </w:pPr>
            <w:r w:rsidRPr="00125D41">
              <w:rPr>
                <w:rFonts w:ascii="Arial Narrow" w:hAnsi="Arial Narrow" w:cs="Times New Roman"/>
                <w:b/>
                <w:sz w:val="20"/>
                <w:szCs w:val="20"/>
              </w:rPr>
              <w:t>(median follow-up 51.7 months)</w:t>
            </w:r>
          </w:p>
        </w:tc>
        <w:tc>
          <w:tcPr>
            <w:tcW w:w="1338" w:type="pct"/>
            <w:gridSpan w:val="3"/>
            <w:shd w:val="clear" w:color="auto" w:fill="auto"/>
            <w:noWrap/>
            <w:tcMar>
              <w:left w:w="28" w:type="dxa"/>
              <w:right w:w="28" w:type="dxa"/>
            </w:tcMar>
          </w:tcPr>
          <w:p w14:paraId="307A1FB2" w14:textId="77777777" w:rsidR="009D4940" w:rsidRPr="00125D41" w:rsidRDefault="009D4940" w:rsidP="00196BB8">
            <w:pPr>
              <w:keepNext/>
              <w:keepLines/>
              <w:jc w:val="center"/>
              <w:rPr>
                <w:rFonts w:ascii="Arial Narrow" w:hAnsi="Arial Narrow" w:cs="Times New Roman"/>
                <w:b/>
                <w:sz w:val="20"/>
                <w:szCs w:val="20"/>
              </w:rPr>
            </w:pPr>
            <w:r w:rsidRPr="00125D41">
              <w:rPr>
                <w:rFonts w:ascii="Arial Narrow" w:hAnsi="Arial Narrow" w:cs="Times New Roman"/>
                <w:b/>
                <w:sz w:val="20"/>
                <w:szCs w:val="20"/>
              </w:rPr>
              <w:t>Economic model</w:t>
            </w:r>
          </w:p>
          <w:p w14:paraId="581EBAD1" w14:textId="7DE20CC6" w:rsidR="009D4940" w:rsidRPr="00125D41" w:rsidRDefault="009D4940" w:rsidP="00196BB8">
            <w:pPr>
              <w:keepNext/>
              <w:keepLines/>
              <w:jc w:val="center"/>
              <w:rPr>
                <w:rFonts w:ascii="Arial Narrow" w:hAnsi="Arial Narrow" w:cs="Times New Roman"/>
                <w:b/>
                <w:sz w:val="20"/>
                <w:szCs w:val="20"/>
              </w:rPr>
            </w:pPr>
            <w:r w:rsidRPr="00125D41">
              <w:rPr>
                <w:rFonts w:ascii="Arial Narrow" w:hAnsi="Arial Narrow" w:cs="Times New Roman"/>
                <w:b/>
                <w:sz w:val="20"/>
                <w:szCs w:val="20"/>
              </w:rPr>
              <w:t>(</w:t>
            </w:r>
            <w:r>
              <w:rPr>
                <w:rFonts w:ascii="Arial Narrow" w:hAnsi="Arial Narrow" w:cs="Times New Roman"/>
                <w:b/>
                <w:sz w:val="20"/>
                <w:szCs w:val="20"/>
              </w:rPr>
              <w:t>4</w:t>
            </w:r>
            <w:r w:rsidRPr="00125D41">
              <w:rPr>
                <w:rFonts w:ascii="Arial Narrow" w:hAnsi="Arial Narrow" w:cs="Times New Roman"/>
                <w:b/>
                <w:sz w:val="20"/>
                <w:szCs w:val="20"/>
              </w:rPr>
              <w:t xml:space="preserve"> years)</w:t>
            </w:r>
          </w:p>
        </w:tc>
        <w:tc>
          <w:tcPr>
            <w:tcW w:w="1385" w:type="pct"/>
            <w:gridSpan w:val="3"/>
            <w:tcMar>
              <w:left w:w="28" w:type="dxa"/>
              <w:right w:w="28" w:type="dxa"/>
            </w:tcMar>
          </w:tcPr>
          <w:p w14:paraId="2DF1C4E2" w14:textId="77777777" w:rsidR="009D4940" w:rsidRPr="00125D41" w:rsidRDefault="009D4940" w:rsidP="00196BB8">
            <w:pPr>
              <w:keepNext/>
              <w:keepLines/>
              <w:jc w:val="center"/>
              <w:rPr>
                <w:rFonts w:ascii="Arial Narrow" w:hAnsi="Arial Narrow" w:cs="Times New Roman"/>
                <w:b/>
                <w:sz w:val="20"/>
                <w:szCs w:val="20"/>
              </w:rPr>
            </w:pPr>
            <w:r w:rsidRPr="00125D41">
              <w:rPr>
                <w:rFonts w:ascii="Arial Narrow" w:hAnsi="Arial Narrow" w:cs="Times New Roman"/>
                <w:b/>
                <w:sz w:val="20"/>
                <w:szCs w:val="20"/>
              </w:rPr>
              <w:t>Economic model</w:t>
            </w:r>
          </w:p>
          <w:p w14:paraId="2F1AED97" w14:textId="6410F720" w:rsidR="009D4940" w:rsidRPr="00125D41" w:rsidRDefault="009D4940" w:rsidP="00196BB8">
            <w:pPr>
              <w:keepNext/>
              <w:keepLines/>
              <w:jc w:val="center"/>
              <w:rPr>
                <w:rFonts w:ascii="Arial Narrow" w:hAnsi="Arial Narrow" w:cs="Times New Roman"/>
                <w:b/>
                <w:sz w:val="20"/>
                <w:szCs w:val="20"/>
              </w:rPr>
            </w:pPr>
            <w:r w:rsidRPr="00125D41">
              <w:rPr>
                <w:rFonts w:ascii="Arial Narrow" w:hAnsi="Arial Narrow" w:cs="Times New Roman"/>
                <w:b/>
                <w:sz w:val="20"/>
                <w:szCs w:val="20"/>
              </w:rPr>
              <w:t>(</w:t>
            </w:r>
            <w:r>
              <w:rPr>
                <w:rFonts w:ascii="Arial Narrow" w:hAnsi="Arial Narrow" w:cs="Times New Roman"/>
                <w:b/>
                <w:sz w:val="20"/>
                <w:szCs w:val="20"/>
              </w:rPr>
              <w:t>20</w:t>
            </w:r>
            <w:r w:rsidRPr="00125D41">
              <w:rPr>
                <w:rFonts w:ascii="Arial Narrow" w:hAnsi="Arial Narrow" w:cs="Times New Roman"/>
                <w:b/>
                <w:sz w:val="20"/>
                <w:szCs w:val="20"/>
              </w:rPr>
              <w:t xml:space="preserve"> years)</w:t>
            </w:r>
          </w:p>
        </w:tc>
      </w:tr>
      <w:tr w:rsidR="007063CF" w:rsidRPr="00125D41" w14:paraId="1C9A4E40" w14:textId="77777777" w:rsidTr="00871723">
        <w:trPr>
          <w:trHeight w:val="290"/>
        </w:trPr>
        <w:tc>
          <w:tcPr>
            <w:tcW w:w="862" w:type="pct"/>
            <w:vMerge/>
            <w:noWrap/>
            <w:tcMar>
              <w:left w:w="28" w:type="dxa"/>
              <w:right w:w="28" w:type="dxa"/>
            </w:tcMar>
          </w:tcPr>
          <w:p w14:paraId="6A04D3B0" w14:textId="77777777" w:rsidR="009D4940" w:rsidRPr="00125D41" w:rsidRDefault="009D4940" w:rsidP="00196BB8">
            <w:pPr>
              <w:keepNext/>
              <w:keepLines/>
              <w:jc w:val="left"/>
              <w:rPr>
                <w:rFonts w:ascii="Arial Narrow" w:hAnsi="Arial Narrow" w:cs="Times New Roman"/>
                <w:sz w:val="20"/>
                <w:szCs w:val="20"/>
              </w:rPr>
            </w:pPr>
          </w:p>
        </w:tc>
        <w:tc>
          <w:tcPr>
            <w:tcW w:w="550" w:type="pct"/>
            <w:tcMar>
              <w:left w:w="28" w:type="dxa"/>
              <w:right w:w="28" w:type="dxa"/>
            </w:tcMar>
            <w:vAlign w:val="center"/>
          </w:tcPr>
          <w:p w14:paraId="563A03C4" w14:textId="5BC8A1FF" w:rsidR="009D4940" w:rsidRPr="00213149" w:rsidRDefault="009D4940" w:rsidP="00196BB8">
            <w:pPr>
              <w:keepNext/>
              <w:keepLines/>
              <w:jc w:val="center"/>
              <w:rPr>
                <w:rFonts w:ascii="Arial Narrow" w:hAnsi="Arial Narrow" w:cs="Times New Roman"/>
                <w:b/>
                <w:bCs/>
                <w:sz w:val="20"/>
                <w:szCs w:val="20"/>
              </w:rPr>
            </w:pPr>
            <w:r w:rsidRPr="00213149">
              <w:rPr>
                <w:rFonts w:ascii="Arial Narrow" w:hAnsi="Arial Narrow" w:cs="Times New Roman"/>
                <w:b/>
                <w:bCs/>
                <w:sz w:val="20"/>
                <w:szCs w:val="20"/>
              </w:rPr>
              <w:t xml:space="preserve">Oral </w:t>
            </w:r>
            <w:r w:rsidR="00213149">
              <w:rPr>
                <w:rFonts w:ascii="Arial Narrow" w:hAnsi="Arial Narrow" w:cs="Times New Roman"/>
                <w:b/>
                <w:bCs/>
                <w:sz w:val="20"/>
                <w:szCs w:val="20"/>
              </w:rPr>
              <w:t>AZA</w:t>
            </w:r>
          </w:p>
        </w:tc>
        <w:tc>
          <w:tcPr>
            <w:tcW w:w="393" w:type="pct"/>
            <w:noWrap/>
            <w:tcMar>
              <w:left w:w="28" w:type="dxa"/>
              <w:right w:w="28" w:type="dxa"/>
            </w:tcMar>
            <w:vAlign w:val="center"/>
          </w:tcPr>
          <w:p w14:paraId="0AAF6793" w14:textId="17FBAF53" w:rsidR="009D4940" w:rsidRPr="00213149" w:rsidRDefault="001C46EE" w:rsidP="00196BB8">
            <w:pPr>
              <w:keepNext/>
              <w:keepLines/>
              <w:jc w:val="center"/>
              <w:rPr>
                <w:rFonts w:ascii="Arial Narrow" w:hAnsi="Arial Narrow" w:cs="Times New Roman"/>
                <w:b/>
                <w:bCs/>
                <w:sz w:val="20"/>
                <w:szCs w:val="20"/>
              </w:rPr>
            </w:pPr>
            <w:r w:rsidRPr="00213149">
              <w:rPr>
                <w:rFonts w:ascii="Arial Narrow" w:hAnsi="Arial Narrow" w:cs="Times New Roman"/>
                <w:b/>
                <w:bCs/>
                <w:sz w:val="20"/>
                <w:szCs w:val="20"/>
              </w:rPr>
              <w:t>BSC</w:t>
            </w:r>
          </w:p>
        </w:tc>
        <w:tc>
          <w:tcPr>
            <w:tcW w:w="472" w:type="pct"/>
            <w:tcMar>
              <w:left w:w="28" w:type="dxa"/>
              <w:right w:w="28" w:type="dxa"/>
            </w:tcMar>
            <w:vAlign w:val="center"/>
          </w:tcPr>
          <w:p w14:paraId="06251F10" w14:textId="77777777" w:rsidR="009D4940" w:rsidRPr="00213149" w:rsidRDefault="009D4940" w:rsidP="00196BB8">
            <w:pPr>
              <w:keepNext/>
              <w:keepLines/>
              <w:jc w:val="center"/>
              <w:rPr>
                <w:rFonts w:ascii="Arial Narrow" w:hAnsi="Arial Narrow" w:cs="Times New Roman"/>
                <w:b/>
                <w:bCs/>
                <w:sz w:val="20"/>
                <w:szCs w:val="20"/>
              </w:rPr>
            </w:pPr>
            <w:r w:rsidRPr="00213149">
              <w:rPr>
                <w:rFonts w:ascii="Arial Narrow" w:hAnsi="Arial Narrow" w:cs="Times New Roman"/>
                <w:b/>
                <w:bCs/>
                <w:sz w:val="20"/>
                <w:szCs w:val="20"/>
              </w:rPr>
              <w:t>Increment</w:t>
            </w:r>
          </w:p>
        </w:tc>
        <w:tc>
          <w:tcPr>
            <w:tcW w:w="472" w:type="pct"/>
            <w:noWrap/>
            <w:tcMar>
              <w:left w:w="28" w:type="dxa"/>
              <w:right w:w="28" w:type="dxa"/>
            </w:tcMar>
            <w:vAlign w:val="center"/>
          </w:tcPr>
          <w:p w14:paraId="5925662D" w14:textId="2D1E17F9" w:rsidR="009D4940" w:rsidRPr="00213149" w:rsidRDefault="009D4940" w:rsidP="00196BB8">
            <w:pPr>
              <w:keepNext/>
              <w:keepLines/>
              <w:jc w:val="center"/>
              <w:rPr>
                <w:rFonts w:ascii="Arial Narrow" w:hAnsi="Arial Narrow" w:cstheme="minorHAnsi"/>
                <w:b/>
                <w:bCs/>
                <w:sz w:val="20"/>
                <w:szCs w:val="20"/>
              </w:rPr>
            </w:pPr>
            <w:r w:rsidRPr="00213149">
              <w:rPr>
                <w:rFonts w:ascii="Arial Narrow" w:hAnsi="Arial Narrow" w:cs="Times New Roman"/>
                <w:b/>
                <w:bCs/>
                <w:sz w:val="20"/>
                <w:szCs w:val="20"/>
              </w:rPr>
              <w:t xml:space="preserve">Oral </w:t>
            </w:r>
            <w:r w:rsidR="00213149">
              <w:rPr>
                <w:rFonts w:ascii="Arial Narrow" w:hAnsi="Arial Narrow" w:cs="Times New Roman"/>
                <w:b/>
                <w:bCs/>
                <w:sz w:val="20"/>
                <w:szCs w:val="20"/>
              </w:rPr>
              <w:t>AZA</w:t>
            </w:r>
          </w:p>
        </w:tc>
        <w:tc>
          <w:tcPr>
            <w:tcW w:w="394" w:type="pct"/>
            <w:noWrap/>
            <w:tcMar>
              <w:left w:w="28" w:type="dxa"/>
              <w:right w:w="28" w:type="dxa"/>
            </w:tcMar>
            <w:vAlign w:val="center"/>
          </w:tcPr>
          <w:p w14:paraId="0ACDC37D" w14:textId="2D81CE9B" w:rsidR="009D4940" w:rsidRPr="00213149" w:rsidRDefault="001C46EE" w:rsidP="00196BB8">
            <w:pPr>
              <w:keepNext/>
              <w:keepLines/>
              <w:jc w:val="center"/>
              <w:rPr>
                <w:rFonts w:ascii="Arial Narrow" w:hAnsi="Arial Narrow" w:cstheme="minorHAnsi"/>
                <w:b/>
                <w:bCs/>
                <w:sz w:val="20"/>
                <w:szCs w:val="20"/>
              </w:rPr>
            </w:pPr>
            <w:r w:rsidRPr="00213149">
              <w:rPr>
                <w:rFonts w:ascii="Arial Narrow" w:hAnsi="Arial Narrow" w:cs="Times New Roman"/>
                <w:b/>
                <w:bCs/>
                <w:sz w:val="20"/>
                <w:szCs w:val="20"/>
              </w:rPr>
              <w:t>BSC</w:t>
            </w:r>
          </w:p>
        </w:tc>
        <w:tc>
          <w:tcPr>
            <w:tcW w:w="472" w:type="pct"/>
            <w:tcMar>
              <w:left w:w="28" w:type="dxa"/>
              <w:right w:w="28" w:type="dxa"/>
            </w:tcMar>
            <w:vAlign w:val="center"/>
          </w:tcPr>
          <w:p w14:paraId="12D13E8C" w14:textId="77777777" w:rsidR="009D4940" w:rsidRPr="00213149" w:rsidRDefault="009D4940" w:rsidP="00196BB8">
            <w:pPr>
              <w:keepNext/>
              <w:keepLines/>
              <w:jc w:val="center"/>
              <w:rPr>
                <w:rFonts w:ascii="Arial Narrow" w:hAnsi="Arial Narrow" w:cstheme="minorHAnsi"/>
                <w:b/>
                <w:bCs/>
                <w:sz w:val="20"/>
                <w:szCs w:val="20"/>
              </w:rPr>
            </w:pPr>
            <w:r w:rsidRPr="00213149">
              <w:rPr>
                <w:rFonts w:ascii="Arial Narrow" w:hAnsi="Arial Narrow" w:cs="Times New Roman"/>
                <w:b/>
                <w:bCs/>
                <w:sz w:val="20"/>
                <w:szCs w:val="20"/>
              </w:rPr>
              <w:t>Increment</w:t>
            </w:r>
          </w:p>
        </w:tc>
        <w:tc>
          <w:tcPr>
            <w:tcW w:w="471" w:type="pct"/>
            <w:tcMar>
              <w:left w:w="28" w:type="dxa"/>
              <w:right w:w="28" w:type="dxa"/>
            </w:tcMar>
            <w:vAlign w:val="center"/>
          </w:tcPr>
          <w:p w14:paraId="005933D1" w14:textId="3271ED20" w:rsidR="009D4940" w:rsidRPr="00213149" w:rsidRDefault="009D4940" w:rsidP="00196BB8">
            <w:pPr>
              <w:keepNext/>
              <w:keepLines/>
              <w:jc w:val="center"/>
              <w:rPr>
                <w:rFonts w:ascii="Arial Narrow" w:hAnsi="Arial Narrow" w:cs="Times New Roman"/>
                <w:b/>
                <w:bCs/>
                <w:sz w:val="20"/>
                <w:szCs w:val="20"/>
              </w:rPr>
            </w:pPr>
            <w:r w:rsidRPr="00213149">
              <w:rPr>
                <w:rFonts w:ascii="Arial Narrow" w:hAnsi="Arial Narrow" w:cs="Times New Roman"/>
                <w:b/>
                <w:bCs/>
                <w:sz w:val="20"/>
                <w:szCs w:val="20"/>
              </w:rPr>
              <w:t xml:space="preserve">Oral </w:t>
            </w:r>
            <w:r w:rsidR="00213149">
              <w:rPr>
                <w:rFonts w:ascii="Arial Narrow" w:hAnsi="Arial Narrow" w:cs="Times New Roman"/>
                <w:b/>
                <w:bCs/>
                <w:sz w:val="20"/>
                <w:szCs w:val="20"/>
              </w:rPr>
              <w:t>AZA</w:t>
            </w:r>
          </w:p>
        </w:tc>
        <w:tc>
          <w:tcPr>
            <w:tcW w:w="393" w:type="pct"/>
            <w:tcMar>
              <w:left w:w="28" w:type="dxa"/>
              <w:right w:w="28" w:type="dxa"/>
            </w:tcMar>
            <w:vAlign w:val="center"/>
          </w:tcPr>
          <w:p w14:paraId="792579D1" w14:textId="67DFE6C6" w:rsidR="009D4940" w:rsidRPr="00213149" w:rsidRDefault="001C46EE" w:rsidP="00196BB8">
            <w:pPr>
              <w:keepNext/>
              <w:keepLines/>
              <w:jc w:val="center"/>
              <w:rPr>
                <w:rFonts w:ascii="Arial Narrow" w:hAnsi="Arial Narrow" w:cs="Times New Roman"/>
                <w:b/>
                <w:bCs/>
                <w:sz w:val="20"/>
                <w:szCs w:val="20"/>
              </w:rPr>
            </w:pPr>
            <w:r w:rsidRPr="00213149">
              <w:rPr>
                <w:rFonts w:ascii="Arial Narrow" w:hAnsi="Arial Narrow" w:cs="Times New Roman"/>
                <w:b/>
                <w:bCs/>
                <w:sz w:val="20"/>
                <w:szCs w:val="20"/>
              </w:rPr>
              <w:t>BSC</w:t>
            </w:r>
          </w:p>
        </w:tc>
        <w:tc>
          <w:tcPr>
            <w:tcW w:w="521" w:type="pct"/>
            <w:tcMar>
              <w:left w:w="28" w:type="dxa"/>
              <w:right w:w="28" w:type="dxa"/>
            </w:tcMar>
            <w:vAlign w:val="center"/>
          </w:tcPr>
          <w:p w14:paraId="2DBF3D2A" w14:textId="77777777" w:rsidR="009D4940" w:rsidRPr="00213149" w:rsidRDefault="009D4940" w:rsidP="00196BB8">
            <w:pPr>
              <w:keepNext/>
              <w:keepLines/>
              <w:jc w:val="center"/>
              <w:rPr>
                <w:rFonts w:ascii="Arial Narrow" w:hAnsi="Arial Narrow" w:cs="Times New Roman"/>
                <w:b/>
                <w:bCs/>
                <w:sz w:val="20"/>
                <w:szCs w:val="20"/>
              </w:rPr>
            </w:pPr>
            <w:r w:rsidRPr="00213149">
              <w:rPr>
                <w:rFonts w:ascii="Arial Narrow" w:hAnsi="Arial Narrow" w:cs="Times New Roman"/>
                <w:b/>
                <w:bCs/>
                <w:sz w:val="20"/>
                <w:szCs w:val="20"/>
              </w:rPr>
              <w:t>Increment</w:t>
            </w:r>
          </w:p>
        </w:tc>
      </w:tr>
      <w:tr w:rsidR="007063CF" w:rsidRPr="00125D41" w14:paraId="5C18D45C" w14:textId="77777777" w:rsidTr="00871723">
        <w:trPr>
          <w:trHeight w:val="290"/>
        </w:trPr>
        <w:tc>
          <w:tcPr>
            <w:tcW w:w="862" w:type="pct"/>
            <w:noWrap/>
            <w:tcMar>
              <w:left w:w="28" w:type="dxa"/>
              <w:right w:w="28" w:type="dxa"/>
            </w:tcMar>
          </w:tcPr>
          <w:p w14:paraId="66B8A67E" w14:textId="77777777" w:rsidR="009D4940" w:rsidRPr="00125D41" w:rsidRDefault="009D4940" w:rsidP="00196BB8">
            <w:pPr>
              <w:keepNext/>
              <w:keepLines/>
              <w:jc w:val="left"/>
              <w:rPr>
                <w:rFonts w:ascii="Arial Narrow" w:hAnsi="Arial Narrow" w:cs="Times New Roman"/>
                <w:sz w:val="20"/>
                <w:szCs w:val="20"/>
              </w:rPr>
            </w:pPr>
            <w:r w:rsidRPr="00125D41">
              <w:rPr>
                <w:rFonts w:ascii="Arial Narrow" w:hAnsi="Arial Narrow" w:cs="Times New Roman"/>
                <w:sz w:val="20"/>
                <w:szCs w:val="20"/>
              </w:rPr>
              <w:t>RFS (undiscounted)</w:t>
            </w:r>
          </w:p>
        </w:tc>
        <w:tc>
          <w:tcPr>
            <w:tcW w:w="550" w:type="pct"/>
            <w:tcMar>
              <w:left w:w="28" w:type="dxa"/>
              <w:right w:w="28" w:type="dxa"/>
            </w:tcMar>
            <w:vAlign w:val="center"/>
          </w:tcPr>
          <w:p w14:paraId="54D82748" w14:textId="77777777" w:rsidR="009D4940" w:rsidRPr="00125D41" w:rsidRDefault="009D4940" w:rsidP="00196BB8">
            <w:pPr>
              <w:keepNext/>
              <w:keepLines/>
              <w:jc w:val="center"/>
              <w:rPr>
                <w:rFonts w:ascii="Arial Narrow" w:hAnsi="Arial Narrow" w:cs="Times New Roman"/>
                <w:sz w:val="20"/>
                <w:szCs w:val="20"/>
              </w:rPr>
            </w:pPr>
            <w:r w:rsidRPr="00125D41">
              <w:rPr>
                <w:rFonts w:ascii="Arial Narrow" w:hAnsi="Arial Narrow" w:cs="Times New Roman"/>
                <w:sz w:val="20"/>
                <w:szCs w:val="20"/>
              </w:rPr>
              <w:t>0.85</w:t>
            </w:r>
          </w:p>
        </w:tc>
        <w:tc>
          <w:tcPr>
            <w:tcW w:w="393" w:type="pct"/>
            <w:noWrap/>
            <w:tcMar>
              <w:left w:w="28" w:type="dxa"/>
              <w:right w:w="28" w:type="dxa"/>
            </w:tcMar>
            <w:vAlign w:val="center"/>
          </w:tcPr>
          <w:p w14:paraId="0367EA7F" w14:textId="029DE18A" w:rsidR="009D4940" w:rsidRPr="00125D41" w:rsidRDefault="009D4940" w:rsidP="00196BB8">
            <w:pPr>
              <w:keepNext/>
              <w:keepLines/>
              <w:jc w:val="center"/>
              <w:rPr>
                <w:rFonts w:ascii="Arial Narrow" w:hAnsi="Arial Narrow" w:cs="Times New Roman"/>
                <w:sz w:val="20"/>
                <w:szCs w:val="20"/>
              </w:rPr>
            </w:pPr>
            <w:r w:rsidRPr="00125D41">
              <w:rPr>
                <w:rFonts w:ascii="Arial Narrow" w:hAnsi="Arial Narrow" w:cs="Times New Roman"/>
                <w:sz w:val="20"/>
                <w:szCs w:val="20"/>
              </w:rPr>
              <w:t>0.4</w:t>
            </w:r>
            <w:r w:rsidR="00B4284F">
              <w:rPr>
                <w:rFonts w:ascii="Arial Narrow" w:hAnsi="Arial Narrow" w:cs="Times New Roman"/>
                <w:sz w:val="20"/>
                <w:szCs w:val="20"/>
              </w:rPr>
              <w:t>0</w:t>
            </w:r>
          </w:p>
        </w:tc>
        <w:tc>
          <w:tcPr>
            <w:tcW w:w="472" w:type="pct"/>
            <w:shd w:val="clear" w:color="auto" w:fill="auto"/>
            <w:tcMar>
              <w:left w:w="28" w:type="dxa"/>
              <w:right w:w="28" w:type="dxa"/>
            </w:tcMar>
            <w:vAlign w:val="center"/>
          </w:tcPr>
          <w:p w14:paraId="449BCED9" w14:textId="77777777" w:rsidR="009D4940" w:rsidRPr="00125D41" w:rsidRDefault="009D4940" w:rsidP="00196BB8">
            <w:pPr>
              <w:keepNext/>
              <w:keepLines/>
              <w:jc w:val="center"/>
              <w:rPr>
                <w:rFonts w:ascii="Arial Narrow" w:hAnsi="Arial Narrow" w:cs="Calibri"/>
                <w:color w:val="000000"/>
                <w:sz w:val="20"/>
                <w:szCs w:val="20"/>
              </w:rPr>
            </w:pPr>
            <w:r w:rsidRPr="00125D41">
              <w:rPr>
                <w:rFonts w:ascii="Arial Narrow" w:hAnsi="Arial Narrow" w:cstheme="minorHAnsi"/>
                <w:sz w:val="20"/>
                <w:szCs w:val="20"/>
              </w:rPr>
              <w:t>0.45</w:t>
            </w:r>
          </w:p>
        </w:tc>
        <w:tc>
          <w:tcPr>
            <w:tcW w:w="472" w:type="pct"/>
            <w:shd w:val="clear" w:color="auto" w:fill="auto"/>
            <w:noWrap/>
            <w:tcMar>
              <w:left w:w="28" w:type="dxa"/>
              <w:right w:w="28" w:type="dxa"/>
            </w:tcMar>
            <w:vAlign w:val="center"/>
          </w:tcPr>
          <w:p w14:paraId="285B23F7" w14:textId="77777777" w:rsidR="009D4940" w:rsidRPr="00125D41" w:rsidRDefault="009D4940" w:rsidP="00196BB8">
            <w:pPr>
              <w:keepNext/>
              <w:keepLines/>
              <w:jc w:val="center"/>
              <w:rPr>
                <w:rFonts w:ascii="Arial Narrow" w:hAnsi="Arial Narrow" w:cs="Calibri"/>
                <w:color w:val="000000"/>
                <w:sz w:val="20"/>
                <w:szCs w:val="20"/>
              </w:rPr>
            </w:pPr>
            <w:r>
              <w:rPr>
                <w:rFonts w:ascii="Arial Narrow" w:hAnsi="Arial Narrow" w:cs="Calibri"/>
                <w:color w:val="000000"/>
                <w:sz w:val="20"/>
                <w:szCs w:val="20"/>
              </w:rPr>
              <w:t>1.45</w:t>
            </w:r>
          </w:p>
        </w:tc>
        <w:tc>
          <w:tcPr>
            <w:tcW w:w="394" w:type="pct"/>
            <w:shd w:val="clear" w:color="auto" w:fill="auto"/>
            <w:noWrap/>
            <w:tcMar>
              <w:left w:w="28" w:type="dxa"/>
              <w:right w:w="28" w:type="dxa"/>
            </w:tcMar>
            <w:vAlign w:val="center"/>
          </w:tcPr>
          <w:p w14:paraId="4B7F78FF" w14:textId="77777777" w:rsidR="009D4940" w:rsidRPr="00125D41" w:rsidRDefault="009D4940" w:rsidP="00196BB8">
            <w:pPr>
              <w:keepNext/>
              <w:keepLines/>
              <w:jc w:val="center"/>
              <w:rPr>
                <w:rFonts w:ascii="Arial Narrow" w:hAnsi="Arial Narrow" w:cs="Calibri"/>
                <w:color w:val="000000"/>
                <w:sz w:val="20"/>
                <w:szCs w:val="20"/>
              </w:rPr>
            </w:pPr>
            <w:r>
              <w:rPr>
                <w:rFonts w:ascii="Arial Narrow" w:hAnsi="Arial Narrow" w:cs="Calibri"/>
                <w:color w:val="000000"/>
                <w:sz w:val="20"/>
                <w:szCs w:val="20"/>
              </w:rPr>
              <w:t>1.02</w:t>
            </w:r>
          </w:p>
        </w:tc>
        <w:tc>
          <w:tcPr>
            <w:tcW w:w="472" w:type="pct"/>
            <w:shd w:val="clear" w:color="auto" w:fill="auto"/>
            <w:tcMar>
              <w:left w:w="28" w:type="dxa"/>
              <w:right w:w="28" w:type="dxa"/>
            </w:tcMar>
            <w:vAlign w:val="center"/>
          </w:tcPr>
          <w:p w14:paraId="7451A64D" w14:textId="77777777" w:rsidR="009D4940" w:rsidRPr="00125D41" w:rsidRDefault="009D4940" w:rsidP="00196BB8">
            <w:pPr>
              <w:keepNext/>
              <w:keepLines/>
              <w:jc w:val="center"/>
              <w:rPr>
                <w:rFonts w:ascii="Arial Narrow" w:hAnsi="Arial Narrow" w:cs="Calibri"/>
                <w:color w:val="000000"/>
                <w:sz w:val="20"/>
                <w:szCs w:val="20"/>
              </w:rPr>
            </w:pPr>
            <w:r>
              <w:rPr>
                <w:rFonts w:ascii="Arial Narrow" w:hAnsi="Arial Narrow" w:cs="Calibri"/>
                <w:color w:val="000000"/>
                <w:sz w:val="20"/>
                <w:szCs w:val="20"/>
              </w:rPr>
              <w:t>0.42</w:t>
            </w:r>
          </w:p>
        </w:tc>
        <w:tc>
          <w:tcPr>
            <w:tcW w:w="471" w:type="pct"/>
            <w:tcMar>
              <w:left w:w="28" w:type="dxa"/>
              <w:right w:w="28" w:type="dxa"/>
            </w:tcMar>
            <w:vAlign w:val="center"/>
          </w:tcPr>
          <w:p w14:paraId="7B65C5BD" w14:textId="77777777" w:rsidR="009D4940" w:rsidRDefault="009D4940" w:rsidP="00196BB8">
            <w:pPr>
              <w:keepNext/>
              <w:keepLines/>
              <w:jc w:val="center"/>
              <w:rPr>
                <w:rFonts w:ascii="Arial Narrow" w:hAnsi="Arial Narrow" w:cs="Calibri"/>
                <w:color w:val="000000"/>
                <w:sz w:val="20"/>
                <w:szCs w:val="20"/>
              </w:rPr>
            </w:pPr>
            <w:r w:rsidRPr="00125D41">
              <w:rPr>
                <w:rFonts w:ascii="Arial Narrow" w:hAnsi="Arial Narrow" w:cs="Times New Roman"/>
                <w:sz w:val="20"/>
                <w:szCs w:val="20"/>
              </w:rPr>
              <w:t>2.38</w:t>
            </w:r>
          </w:p>
        </w:tc>
        <w:tc>
          <w:tcPr>
            <w:tcW w:w="393" w:type="pct"/>
            <w:tcMar>
              <w:left w:w="28" w:type="dxa"/>
              <w:right w:w="28" w:type="dxa"/>
            </w:tcMar>
            <w:vAlign w:val="center"/>
          </w:tcPr>
          <w:p w14:paraId="0A5FE7EA" w14:textId="77777777" w:rsidR="009D4940" w:rsidRDefault="009D4940" w:rsidP="00196BB8">
            <w:pPr>
              <w:keepNext/>
              <w:keepLines/>
              <w:jc w:val="center"/>
              <w:rPr>
                <w:rFonts w:ascii="Arial Narrow" w:hAnsi="Arial Narrow" w:cs="Calibri"/>
                <w:color w:val="000000"/>
                <w:sz w:val="20"/>
                <w:szCs w:val="20"/>
              </w:rPr>
            </w:pPr>
            <w:r w:rsidRPr="00125D41">
              <w:rPr>
                <w:rFonts w:ascii="Arial Narrow" w:hAnsi="Arial Narrow" w:cs="Times New Roman"/>
                <w:sz w:val="20"/>
                <w:szCs w:val="20"/>
              </w:rPr>
              <w:t>1.61</w:t>
            </w:r>
          </w:p>
        </w:tc>
        <w:tc>
          <w:tcPr>
            <w:tcW w:w="521" w:type="pct"/>
            <w:tcMar>
              <w:left w:w="28" w:type="dxa"/>
              <w:right w:w="28" w:type="dxa"/>
            </w:tcMar>
            <w:vAlign w:val="center"/>
          </w:tcPr>
          <w:p w14:paraId="1C50A00D" w14:textId="77777777" w:rsidR="009D4940" w:rsidRDefault="009D4940" w:rsidP="00196BB8">
            <w:pPr>
              <w:keepNext/>
              <w:keepLines/>
              <w:jc w:val="center"/>
              <w:rPr>
                <w:rFonts w:ascii="Arial Narrow" w:hAnsi="Arial Narrow" w:cs="Calibri"/>
                <w:color w:val="000000"/>
                <w:sz w:val="20"/>
                <w:szCs w:val="20"/>
              </w:rPr>
            </w:pPr>
            <w:r w:rsidRPr="00125D41">
              <w:rPr>
                <w:rFonts w:ascii="Arial Narrow" w:hAnsi="Arial Narrow" w:cstheme="minorHAnsi"/>
                <w:sz w:val="20"/>
                <w:szCs w:val="20"/>
              </w:rPr>
              <w:t>0.77</w:t>
            </w:r>
          </w:p>
        </w:tc>
      </w:tr>
      <w:tr w:rsidR="007063CF" w:rsidRPr="00125D41" w14:paraId="57AE096C" w14:textId="77777777" w:rsidTr="00871723">
        <w:trPr>
          <w:trHeight w:val="290"/>
        </w:trPr>
        <w:tc>
          <w:tcPr>
            <w:tcW w:w="862" w:type="pct"/>
            <w:noWrap/>
            <w:tcMar>
              <w:left w:w="28" w:type="dxa"/>
              <w:right w:w="28" w:type="dxa"/>
            </w:tcMar>
          </w:tcPr>
          <w:p w14:paraId="3F97ABC2" w14:textId="2E4F8D48" w:rsidR="009D4940" w:rsidRPr="00125D41" w:rsidRDefault="009D4940" w:rsidP="00196BB8">
            <w:pPr>
              <w:keepNext/>
              <w:keepLines/>
              <w:jc w:val="left"/>
              <w:rPr>
                <w:rFonts w:ascii="Arial Narrow" w:hAnsi="Arial Narrow" w:cs="Times New Roman"/>
                <w:sz w:val="20"/>
                <w:szCs w:val="20"/>
              </w:rPr>
            </w:pPr>
            <w:r w:rsidRPr="00125D41">
              <w:rPr>
                <w:rFonts w:ascii="Arial Narrow" w:hAnsi="Arial Narrow" w:cs="Times New Roman"/>
                <w:sz w:val="20"/>
                <w:szCs w:val="20"/>
              </w:rPr>
              <w:t>L</w:t>
            </w:r>
            <w:r w:rsidR="00871723">
              <w:rPr>
                <w:rFonts w:ascii="Arial Narrow" w:hAnsi="Arial Narrow" w:cs="Times New Roman"/>
                <w:sz w:val="20"/>
                <w:szCs w:val="20"/>
              </w:rPr>
              <w:t xml:space="preserve">Ys </w:t>
            </w:r>
            <w:r w:rsidRPr="00125D41">
              <w:rPr>
                <w:rFonts w:ascii="Arial Narrow" w:hAnsi="Arial Narrow" w:cs="Times New Roman"/>
                <w:sz w:val="20"/>
                <w:szCs w:val="20"/>
              </w:rPr>
              <w:t>(undiscounted)</w:t>
            </w:r>
          </w:p>
        </w:tc>
        <w:tc>
          <w:tcPr>
            <w:tcW w:w="550" w:type="pct"/>
            <w:tcMar>
              <w:left w:w="28" w:type="dxa"/>
              <w:right w:w="28" w:type="dxa"/>
            </w:tcMar>
            <w:vAlign w:val="center"/>
          </w:tcPr>
          <w:p w14:paraId="38A4FF41" w14:textId="77777777" w:rsidR="009D4940" w:rsidRPr="00125D41" w:rsidRDefault="009D4940" w:rsidP="00196BB8">
            <w:pPr>
              <w:keepNext/>
              <w:keepLines/>
              <w:jc w:val="center"/>
              <w:rPr>
                <w:rFonts w:ascii="Arial Narrow" w:hAnsi="Arial Narrow" w:cs="Times New Roman"/>
                <w:sz w:val="20"/>
                <w:szCs w:val="20"/>
              </w:rPr>
            </w:pPr>
            <w:r w:rsidRPr="00125D41">
              <w:rPr>
                <w:rFonts w:ascii="Arial Narrow" w:hAnsi="Arial Narrow" w:cs="Times New Roman"/>
                <w:sz w:val="20"/>
                <w:szCs w:val="20"/>
              </w:rPr>
              <w:t>2.06</w:t>
            </w:r>
          </w:p>
        </w:tc>
        <w:tc>
          <w:tcPr>
            <w:tcW w:w="393" w:type="pct"/>
            <w:noWrap/>
            <w:tcMar>
              <w:left w:w="28" w:type="dxa"/>
              <w:right w:w="28" w:type="dxa"/>
            </w:tcMar>
            <w:vAlign w:val="center"/>
          </w:tcPr>
          <w:p w14:paraId="2CE128EC" w14:textId="77777777" w:rsidR="009D4940" w:rsidRPr="00125D41" w:rsidRDefault="009D4940" w:rsidP="00196BB8">
            <w:pPr>
              <w:keepNext/>
              <w:keepLines/>
              <w:jc w:val="center"/>
              <w:rPr>
                <w:rFonts w:ascii="Arial Narrow" w:hAnsi="Arial Narrow" w:cs="Times New Roman"/>
                <w:sz w:val="20"/>
                <w:szCs w:val="20"/>
              </w:rPr>
            </w:pPr>
            <w:r w:rsidRPr="00125D41">
              <w:rPr>
                <w:rFonts w:ascii="Arial Narrow" w:hAnsi="Arial Narrow" w:cs="Times New Roman"/>
                <w:sz w:val="20"/>
                <w:szCs w:val="20"/>
              </w:rPr>
              <w:t>1.23</w:t>
            </w:r>
          </w:p>
        </w:tc>
        <w:tc>
          <w:tcPr>
            <w:tcW w:w="472" w:type="pct"/>
            <w:shd w:val="clear" w:color="auto" w:fill="auto"/>
            <w:tcMar>
              <w:left w:w="28" w:type="dxa"/>
              <w:right w:w="28" w:type="dxa"/>
            </w:tcMar>
            <w:vAlign w:val="center"/>
          </w:tcPr>
          <w:p w14:paraId="54EBA413" w14:textId="77777777" w:rsidR="009D4940" w:rsidRPr="00125D41" w:rsidRDefault="009D4940" w:rsidP="00196BB8">
            <w:pPr>
              <w:keepNext/>
              <w:keepLines/>
              <w:jc w:val="center"/>
              <w:rPr>
                <w:rFonts w:ascii="Arial Narrow" w:hAnsi="Arial Narrow" w:cs="Calibri"/>
                <w:color w:val="000000"/>
                <w:sz w:val="20"/>
                <w:szCs w:val="20"/>
              </w:rPr>
            </w:pPr>
            <w:r w:rsidRPr="00125D41">
              <w:rPr>
                <w:rFonts w:ascii="Arial Narrow" w:hAnsi="Arial Narrow" w:cs="Calibri"/>
                <w:color w:val="000000"/>
                <w:sz w:val="20"/>
                <w:szCs w:val="20"/>
              </w:rPr>
              <w:t>0.83</w:t>
            </w:r>
          </w:p>
        </w:tc>
        <w:tc>
          <w:tcPr>
            <w:tcW w:w="472" w:type="pct"/>
            <w:shd w:val="clear" w:color="auto" w:fill="auto"/>
            <w:noWrap/>
            <w:tcMar>
              <w:left w:w="28" w:type="dxa"/>
              <w:right w:w="28" w:type="dxa"/>
            </w:tcMar>
            <w:vAlign w:val="center"/>
          </w:tcPr>
          <w:p w14:paraId="6F024B89" w14:textId="77777777" w:rsidR="009D4940" w:rsidRPr="00125D41" w:rsidRDefault="009D4940" w:rsidP="00196BB8">
            <w:pPr>
              <w:keepNext/>
              <w:keepLines/>
              <w:jc w:val="center"/>
              <w:rPr>
                <w:rFonts w:ascii="Arial Narrow" w:hAnsi="Arial Narrow" w:cs="Calibri"/>
                <w:color w:val="000000"/>
                <w:sz w:val="20"/>
                <w:szCs w:val="20"/>
              </w:rPr>
            </w:pPr>
            <w:r>
              <w:rPr>
                <w:rFonts w:ascii="Arial Narrow" w:hAnsi="Arial Narrow" w:cs="Calibri"/>
                <w:color w:val="000000"/>
                <w:sz w:val="20"/>
                <w:szCs w:val="20"/>
              </w:rPr>
              <w:t>2.27</w:t>
            </w:r>
          </w:p>
        </w:tc>
        <w:tc>
          <w:tcPr>
            <w:tcW w:w="394" w:type="pct"/>
            <w:shd w:val="clear" w:color="auto" w:fill="auto"/>
            <w:noWrap/>
            <w:tcMar>
              <w:left w:w="28" w:type="dxa"/>
              <w:right w:w="28" w:type="dxa"/>
            </w:tcMar>
            <w:vAlign w:val="center"/>
          </w:tcPr>
          <w:p w14:paraId="4618B06B" w14:textId="4DCD4E92" w:rsidR="009D4940" w:rsidRPr="00125D41" w:rsidRDefault="009D4940" w:rsidP="00196BB8">
            <w:pPr>
              <w:keepNext/>
              <w:keepLines/>
              <w:jc w:val="center"/>
              <w:rPr>
                <w:rFonts w:ascii="Arial Narrow" w:hAnsi="Arial Narrow" w:cs="Calibri"/>
                <w:color w:val="000000"/>
                <w:sz w:val="20"/>
                <w:szCs w:val="20"/>
              </w:rPr>
            </w:pPr>
            <w:r>
              <w:rPr>
                <w:rFonts w:ascii="Arial Narrow" w:hAnsi="Arial Narrow" w:cs="Calibri"/>
                <w:color w:val="000000"/>
                <w:sz w:val="20"/>
                <w:szCs w:val="20"/>
              </w:rPr>
              <w:t>1.</w:t>
            </w:r>
            <w:r w:rsidR="008C57FC">
              <w:rPr>
                <w:rFonts w:ascii="Arial Narrow" w:hAnsi="Arial Narrow" w:cs="Calibri"/>
                <w:color w:val="000000"/>
                <w:sz w:val="20"/>
                <w:szCs w:val="20"/>
              </w:rPr>
              <w:t>82</w:t>
            </w:r>
          </w:p>
        </w:tc>
        <w:tc>
          <w:tcPr>
            <w:tcW w:w="472" w:type="pct"/>
            <w:shd w:val="clear" w:color="auto" w:fill="auto"/>
            <w:tcMar>
              <w:left w:w="28" w:type="dxa"/>
              <w:right w:w="28" w:type="dxa"/>
            </w:tcMar>
            <w:vAlign w:val="center"/>
          </w:tcPr>
          <w:p w14:paraId="3C34D735" w14:textId="584C22C9" w:rsidR="009D4940" w:rsidRPr="00125D41" w:rsidRDefault="008C57FC" w:rsidP="00196BB8">
            <w:pPr>
              <w:keepNext/>
              <w:keepLines/>
              <w:jc w:val="center"/>
              <w:rPr>
                <w:rFonts w:ascii="Arial Narrow" w:hAnsi="Arial Narrow" w:cs="Calibri"/>
                <w:color w:val="000000"/>
                <w:sz w:val="20"/>
                <w:szCs w:val="20"/>
              </w:rPr>
            </w:pPr>
            <w:r>
              <w:rPr>
                <w:rFonts w:ascii="Arial Narrow" w:hAnsi="Arial Narrow" w:cs="Calibri"/>
                <w:color w:val="000000"/>
                <w:sz w:val="20"/>
                <w:szCs w:val="20"/>
              </w:rPr>
              <w:t>0.45</w:t>
            </w:r>
          </w:p>
        </w:tc>
        <w:tc>
          <w:tcPr>
            <w:tcW w:w="471" w:type="pct"/>
            <w:tcMar>
              <w:left w:w="28" w:type="dxa"/>
              <w:right w:w="28" w:type="dxa"/>
            </w:tcMar>
            <w:vAlign w:val="center"/>
          </w:tcPr>
          <w:p w14:paraId="5230DA07" w14:textId="77777777" w:rsidR="009D4940" w:rsidRDefault="009D4940" w:rsidP="00196BB8">
            <w:pPr>
              <w:keepNext/>
              <w:keepLines/>
              <w:jc w:val="center"/>
              <w:rPr>
                <w:rFonts w:ascii="Arial Narrow" w:hAnsi="Arial Narrow" w:cs="Calibri"/>
                <w:color w:val="000000"/>
                <w:sz w:val="20"/>
                <w:szCs w:val="20"/>
              </w:rPr>
            </w:pPr>
            <w:r w:rsidRPr="00125D41">
              <w:rPr>
                <w:rFonts w:ascii="Arial Narrow" w:hAnsi="Arial Narrow" w:cs="Calibri"/>
                <w:color w:val="000000"/>
                <w:sz w:val="20"/>
                <w:szCs w:val="20"/>
              </w:rPr>
              <w:t>3.74</w:t>
            </w:r>
          </w:p>
        </w:tc>
        <w:tc>
          <w:tcPr>
            <w:tcW w:w="393" w:type="pct"/>
            <w:tcMar>
              <w:left w:w="28" w:type="dxa"/>
              <w:right w:w="28" w:type="dxa"/>
            </w:tcMar>
            <w:vAlign w:val="center"/>
          </w:tcPr>
          <w:p w14:paraId="37292D37" w14:textId="77777777" w:rsidR="009D4940" w:rsidRDefault="009D4940" w:rsidP="00196BB8">
            <w:pPr>
              <w:keepNext/>
              <w:keepLines/>
              <w:jc w:val="center"/>
              <w:rPr>
                <w:rFonts w:ascii="Arial Narrow" w:hAnsi="Arial Narrow" w:cs="Calibri"/>
                <w:color w:val="000000"/>
                <w:sz w:val="20"/>
                <w:szCs w:val="20"/>
              </w:rPr>
            </w:pPr>
            <w:r w:rsidRPr="00125D41">
              <w:rPr>
                <w:rFonts w:ascii="Arial Narrow" w:hAnsi="Arial Narrow" w:cs="Calibri"/>
                <w:color w:val="000000"/>
                <w:sz w:val="20"/>
                <w:szCs w:val="20"/>
              </w:rPr>
              <w:t>2.95</w:t>
            </w:r>
          </w:p>
        </w:tc>
        <w:tc>
          <w:tcPr>
            <w:tcW w:w="521" w:type="pct"/>
            <w:tcMar>
              <w:left w:w="28" w:type="dxa"/>
              <w:right w:w="28" w:type="dxa"/>
            </w:tcMar>
            <w:vAlign w:val="center"/>
          </w:tcPr>
          <w:p w14:paraId="41B85552" w14:textId="77777777" w:rsidR="009D4940" w:rsidRDefault="009D4940" w:rsidP="00196BB8">
            <w:pPr>
              <w:keepNext/>
              <w:keepLines/>
              <w:jc w:val="center"/>
              <w:rPr>
                <w:rFonts w:ascii="Arial Narrow" w:hAnsi="Arial Narrow" w:cs="Calibri"/>
                <w:color w:val="000000"/>
                <w:sz w:val="20"/>
                <w:szCs w:val="20"/>
              </w:rPr>
            </w:pPr>
            <w:r w:rsidRPr="00125D41">
              <w:rPr>
                <w:rFonts w:ascii="Arial Narrow" w:hAnsi="Arial Narrow" w:cs="Calibri"/>
                <w:color w:val="000000"/>
                <w:sz w:val="20"/>
                <w:szCs w:val="20"/>
              </w:rPr>
              <w:t>0.79</w:t>
            </w:r>
          </w:p>
        </w:tc>
      </w:tr>
    </w:tbl>
    <w:p w14:paraId="7D4F5D6C" w14:textId="77777777" w:rsidR="00AC36A2" w:rsidRPr="00E273D1" w:rsidRDefault="00AC36A2" w:rsidP="00AC36A2">
      <w:pPr>
        <w:suppressLineNumbers/>
        <w:jc w:val="left"/>
        <w:rPr>
          <w:rFonts w:ascii="Arial Narrow" w:eastAsiaTheme="minorHAnsi" w:hAnsi="Arial Narrow" w:cs="Tahoma"/>
          <w:bCs/>
          <w:iCs/>
          <w:color w:val="000000"/>
          <w:sz w:val="18"/>
          <w:szCs w:val="18"/>
          <w:lang w:eastAsia="en-GB"/>
        </w:rPr>
      </w:pPr>
      <w:r w:rsidRPr="00E273D1">
        <w:rPr>
          <w:rFonts w:ascii="Arial Narrow" w:eastAsiaTheme="minorHAnsi" w:hAnsi="Arial Narrow" w:cs="Tahoma"/>
          <w:bCs/>
          <w:iCs/>
          <w:color w:val="000000"/>
          <w:sz w:val="18"/>
          <w:szCs w:val="18"/>
          <w:lang w:eastAsia="en-GB"/>
        </w:rPr>
        <w:t xml:space="preserve">Source: Figure 1, p14, Figure 20, p28 of ‘QUAZAR September 2020 Data cut Survival Analysis Technical Appendix’ of the submission; workbook “Onureg CUA”, worksheet ‘Deterministic results’, ‘Onureg calculations’, ‘No therapy calculations’. </w:t>
      </w:r>
    </w:p>
    <w:p w14:paraId="68BFF609" w14:textId="4902AD26" w:rsidR="00AC36A2" w:rsidRPr="00E273D1" w:rsidRDefault="00AC36A2" w:rsidP="00AC36A2">
      <w:pPr>
        <w:suppressLineNumbers/>
        <w:jc w:val="left"/>
        <w:rPr>
          <w:rFonts w:ascii="Arial Narrow" w:eastAsiaTheme="minorHAnsi" w:hAnsi="Arial Narrow" w:cs="Tahoma"/>
          <w:bCs/>
          <w:iCs/>
          <w:color w:val="000000"/>
          <w:sz w:val="18"/>
          <w:szCs w:val="18"/>
          <w:lang w:eastAsia="en-GB"/>
        </w:rPr>
      </w:pPr>
      <w:r w:rsidRPr="00E273D1">
        <w:rPr>
          <w:rFonts w:ascii="Arial Narrow" w:eastAsiaTheme="minorHAnsi" w:hAnsi="Arial Narrow" w:cs="Tahoma"/>
          <w:bCs/>
          <w:iCs/>
          <w:color w:val="000000"/>
          <w:sz w:val="18"/>
          <w:szCs w:val="18"/>
          <w:lang w:eastAsia="en-GB"/>
        </w:rPr>
        <w:t>Abbreviations:</w:t>
      </w:r>
      <w:r w:rsidR="009B5D5E" w:rsidRPr="009B5D5E">
        <w:t xml:space="preserve"> </w:t>
      </w:r>
      <w:r w:rsidR="00213149" w:rsidRPr="00213149">
        <w:rPr>
          <w:rFonts w:ascii="Arial Narrow" w:hAnsi="Arial Narrow"/>
          <w:sz w:val="18"/>
          <w:szCs w:val="18"/>
        </w:rPr>
        <w:t>AZA = azacitidine;</w:t>
      </w:r>
      <w:r w:rsidR="00213149">
        <w:t xml:space="preserve"> </w:t>
      </w:r>
      <w:r w:rsidR="009B5D5E" w:rsidRPr="009B5D5E">
        <w:rPr>
          <w:rFonts w:ascii="Arial Narrow" w:eastAsiaTheme="minorHAnsi" w:hAnsi="Arial Narrow" w:cs="Tahoma"/>
          <w:bCs/>
          <w:iCs/>
          <w:color w:val="000000"/>
          <w:sz w:val="18"/>
          <w:szCs w:val="18"/>
          <w:lang w:eastAsia="en-GB"/>
        </w:rPr>
        <w:t xml:space="preserve">BSC = best supportive care; </w:t>
      </w:r>
      <w:r w:rsidR="00871723">
        <w:rPr>
          <w:rFonts w:ascii="Arial Narrow" w:eastAsiaTheme="minorHAnsi" w:hAnsi="Arial Narrow" w:cs="Tahoma"/>
          <w:bCs/>
          <w:iCs/>
          <w:color w:val="000000"/>
          <w:sz w:val="18"/>
          <w:szCs w:val="18"/>
          <w:lang w:eastAsia="en-GB"/>
        </w:rPr>
        <w:t xml:space="preserve">LYs = life years; </w:t>
      </w:r>
      <w:r w:rsidRPr="00E273D1">
        <w:rPr>
          <w:rFonts w:ascii="Arial Narrow" w:eastAsiaTheme="minorHAnsi" w:hAnsi="Arial Narrow" w:cs="Tahoma"/>
          <w:bCs/>
          <w:iCs/>
          <w:color w:val="000000"/>
          <w:sz w:val="18"/>
          <w:szCs w:val="18"/>
          <w:lang w:eastAsia="en-GB"/>
        </w:rPr>
        <w:t>RFS = relapse-free survival</w:t>
      </w:r>
    </w:p>
    <w:p w14:paraId="274EB693" w14:textId="77777777" w:rsidR="00AC36A2" w:rsidRPr="00125D41" w:rsidRDefault="00AC36A2" w:rsidP="00213149">
      <w:pPr>
        <w:rPr>
          <w:snapToGrid w:val="0"/>
          <w:lang w:eastAsia="en-US"/>
        </w:rPr>
      </w:pPr>
    </w:p>
    <w:p w14:paraId="114E9D1E" w14:textId="4021C3CC" w:rsidR="003A2BBB" w:rsidRDefault="00AC36A2" w:rsidP="00645591">
      <w:pPr>
        <w:pStyle w:val="3-BodyText"/>
        <w:rPr>
          <w:iCs/>
        </w:rPr>
      </w:pPr>
      <w:r w:rsidRPr="003A2BBB">
        <w:rPr>
          <w:iCs/>
        </w:rPr>
        <w:t>T</w:t>
      </w:r>
      <w:r w:rsidR="003A2BBB">
        <w:rPr>
          <w:iCs/>
        </w:rPr>
        <w:t>he submission’s model estimated that t</w:t>
      </w:r>
      <w:r w:rsidRPr="003A2BBB">
        <w:rPr>
          <w:iCs/>
        </w:rPr>
        <w:t xml:space="preserve">reatment with oral azacitidine </w:t>
      </w:r>
      <w:r w:rsidR="003A2BBB">
        <w:rPr>
          <w:iCs/>
        </w:rPr>
        <w:t>would</w:t>
      </w:r>
      <w:r w:rsidRPr="003A2BBB">
        <w:rPr>
          <w:iCs/>
        </w:rPr>
        <w:t xml:space="preserve"> extend </w:t>
      </w:r>
      <w:r w:rsidR="00722641" w:rsidRPr="003A2BBB">
        <w:rPr>
          <w:iCs/>
        </w:rPr>
        <w:t xml:space="preserve">RFS </w:t>
      </w:r>
      <w:r w:rsidRPr="008A5608">
        <w:rPr>
          <w:iCs/>
        </w:rPr>
        <w:t>by 9.2 months (0.77</w:t>
      </w:r>
      <w:r w:rsidR="000E6572" w:rsidRPr="008A5608">
        <w:rPr>
          <w:rFonts w:cstheme="minorHAnsi"/>
          <w:iCs/>
        </w:rPr>
        <w:t>×</w:t>
      </w:r>
      <w:r w:rsidRPr="008A5608">
        <w:rPr>
          <w:iCs/>
        </w:rPr>
        <w:t>12)</w:t>
      </w:r>
      <w:r w:rsidR="007063CF" w:rsidRPr="008A5608">
        <w:rPr>
          <w:iCs/>
        </w:rPr>
        <w:t xml:space="preserve"> and </w:t>
      </w:r>
      <w:r w:rsidRPr="008A5608">
        <w:rPr>
          <w:iCs/>
        </w:rPr>
        <w:t>add 9.5 months (0.79</w:t>
      </w:r>
      <w:r w:rsidR="000E6572" w:rsidRPr="008A5608">
        <w:rPr>
          <w:rFonts w:cstheme="minorHAnsi"/>
          <w:iCs/>
        </w:rPr>
        <w:t>×</w:t>
      </w:r>
      <w:r w:rsidRPr="008A5608">
        <w:rPr>
          <w:iCs/>
        </w:rPr>
        <w:t>12) to</w:t>
      </w:r>
      <w:r w:rsidRPr="003A2BBB">
        <w:rPr>
          <w:iCs/>
        </w:rPr>
        <w:t xml:space="preserve"> a patients’ lifetime. </w:t>
      </w:r>
      <w:r w:rsidR="003A2BBB" w:rsidRPr="003A2BBB">
        <w:rPr>
          <w:iCs/>
        </w:rPr>
        <w:t>The model estimated that</w:t>
      </w:r>
      <w:r w:rsidR="003A2BBB">
        <w:rPr>
          <w:iCs/>
        </w:rPr>
        <w:t xml:space="preserve"> the average </w:t>
      </w:r>
      <w:r w:rsidR="003A2BBB" w:rsidRPr="007F034A">
        <w:rPr>
          <w:iCs/>
          <w:szCs w:val="22"/>
          <w:lang w:eastAsia="en-US"/>
        </w:rPr>
        <w:t xml:space="preserve">drug cost for oral azacitidine </w:t>
      </w:r>
      <w:r w:rsidR="003A2BBB">
        <w:rPr>
          <w:iCs/>
          <w:szCs w:val="22"/>
          <w:lang w:eastAsia="en-US"/>
        </w:rPr>
        <w:t>would be</w:t>
      </w:r>
      <w:r w:rsidR="003A2BBB" w:rsidRPr="007F034A">
        <w:rPr>
          <w:iCs/>
          <w:szCs w:val="22"/>
          <w:lang w:eastAsia="en-US"/>
        </w:rPr>
        <w:t xml:space="preserve"> $</w:t>
      </w:r>
      <w:r w:rsidR="00EB4495" w:rsidRPr="000F0268">
        <w:rPr>
          <w:iCs/>
          <w:color w:val="000000"/>
          <w:w w:val="15"/>
          <w:szCs w:val="22"/>
          <w:shd w:val="solid" w:color="000000" w:fill="000000"/>
          <w:fitText w:val="-20" w:id="-1435823856"/>
          <w:lang w:eastAsia="en-US"/>
          <w14:textFill>
            <w14:solidFill>
              <w14:srgbClr w14:val="000000">
                <w14:alpha w14:val="100000"/>
              </w14:srgbClr>
            </w14:solidFill>
          </w14:textFill>
        </w:rPr>
        <w:t xml:space="preserve">|  </w:t>
      </w:r>
      <w:r w:rsidR="00EB4495" w:rsidRPr="000F0268">
        <w:rPr>
          <w:iCs/>
          <w:color w:val="000000"/>
          <w:spacing w:val="-69"/>
          <w:w w:val="15"/>
          <w:szCs w:val="22"/>
          <w:shd w:val="solid" w:color="000000" w:fill="000000"/>
          <w:fitText w:val="-20" w:id="-1435823856"/>
          <w:lang w:eastAsia="en-US"/>
          <w14:textFill>
            <w14:solidFill>
              <w14:srgbClr w14:val="000000">
                <w14:alpha w14:val="100000"/>
              </w14:srgbClr>
            </w14:solidFill>
          </w14:textFill>
        </w:rPr>
        <w:t>|</w:t>
      </w:r>
      <w:r w:rsidR="003A2BBB" w:rsidRPr="007F034A">
        <w:rPr>
          <w:iCs/>
          <w:szCs w:val="22"/>
          <w:lang w:eastAsia="en-US"/>
        </w:rPr>
        <w:t xml:space="preserve"> (undiscounted).</w:t>
      </w:r>
    </w:p>
    <w:p w14:paraId="3DCB28DF" w14:textId="3BDD9D60" w:rsidR="000C5C16" w:rsidRPr="007F034A" w:rsidRDefault="000C5C16" w:rsidP="000C5C16">
      <w:pPr>
        <w:pStyle w:val="3-BodyText"/>
        <w:rPr>
          <w:rFonts w:ascii="Arial Narrow" w:hAnsi="Arial Narrow"/>
          <w:b/>
          <w:iCs/>
          <w:sz w:val="20"/>
        </w:rPr>
      </w:pPr>
      <w:r w:rsidRPr="00D23D11">
        <w:t xml:space="preserve">The results of key </w:t>
      </w:r>
      <w:r>
        <w:t xml:space="preserve">univariate / multivariate </w:t>
      </w:r>
      <w:r w:rsidRPr="00D23D11">
        <w:t xml:space="preserve">sensitivity analyses are summarised </w:t>
      </w:r>
      <w:r w:rsidRPr="00A511A4">
        <w:rPr>
          <w:lang w:val="en-US"/>
        </w:rPr>
        <w:t xml:space="preserve">in </w:t>
      </w:r>
      <w:r w:rsidR="0028651C" w:rsidRPr="0028651C">
        <w:rPr>
          <w:rFonts w:cstheme="minorHAnsi"/>
          <w:lang w:val="en-US"/>
        </w:rPr>
        <w:fldChar w:fldCharType="begin" w:fldLock="1"/>
      </w:r>
      <w:r w:rsidR="0028651C" w:rsidRPr="0028651C">
        <w:rPr>
          <w:rFonts w:cstheme="minorHAnsi"/>
          <w:lang w:val="en-US"/>
        </w:rPr>
        <w:instrText xml:space="preserve"> REF _Ref106194874 \h  \* MERGEFORMAT </w:instrText>
      </w:r>
      <w:r w:rsidR="0028651C" w:rsidRPr="0028651C">
        <w:rPr>
          <w:rFonts w:cstheme="minorHAnsi"/>
          <w:lang w:val="en-US"/>
        </w:rPr>
      </w:r>
      <w:r w:rsidR="0028651C" w:rsidRPr="0028651C">
        <w:rPr>
          <w:rFonts w:cstheme="minorHAnsi"/>
          <w:lang w:val="en-US"/>
        </w:rPr>
        <w:fldChar w:fldCharType="separate"/>
      </w:r>
      <w:r w:rsidR="00602E88" w:rsidRPr="00602E88">
        <w:rPr>
          <w:rFonts w:cstheme="minorHAnsi"/>
        </w:rPr>
        <w:t xml:space="preserve">Table </w:t>
      </w:r>
      <w:r w:rsidR="00602E88" w:rsidRPr="00602E88">
        <w:rPr>
          <w:rFonts w:cstheme="minorHAnsi"/>
          <w:noProof/>
        </w:rPr>
        <w:t>15</w:t>
      </w:r>
      <w:r w:rsidR="0028651C" w:rsidRPr="0028651C">
        <w:rPr>
          <w:rFonts w:cstheme="minorHAnsi"/>
          <w:lang w:val="en-US"/>
        </w:rPr>
        <w:fldChar w:fldCharType="end"/>
      </w:r>
      <w:r w:rsidRPr="00A511A4">
        <w:rPr>
          <w:lang w:val="en-US"/>
        </w:rPr>
        <w:t>.</w:t>
      </w:r>
      <w:r w:rsidRPr="007F034A">
        <w:rPr>
          <w:iCs/>
        </w:rPr>
        <w:t xml:space="preserve"> </w:t>
      </w:r>
    </w:p>
    <w:p w14:paraId="55F3E8CC" w14:textId="2C20F5D6" w:rsidR="000C5C16" w:rsidRPr="00E82903" w:rsidRDefault="000C5C16" w:rsidP="000C5C16">
      <w:pPr>
        <w:pStyle w:val="Caption"/>
        <w:keepNext/>
        <w:spacing w:after="0"/>
        <w:rPr>
          <w:rFonts w:ascii="Arial Narrow" w:hAnsi="Arial Narrow"/>
          <w:color w:val="auto"/>
          <w:sz w:val="20"/>
          <w:szCs w:val="20"/>
        </w:rPr>
      </w:pPr>
      <w:bookmarkStart w:id="73" w:name="_Ref106194874"/>
      <w:bookmarkStart w:id="74" w:name="_Toc22897646"/>
      <w:bookmarkStart w:id="75" w:name="_Toc103244685"/>
      <w:r w:rsidRPr="00E82903">
        <w:rPr>
          <w:rFonts w:ascii="Arial Narrow" w:hAnsi="Arial Narrow"/>
          <w:color w:val="auto"/>
          <w:sz w:val="20"/>
          <w:szCs w:val="20"/>
        </w:rPr>
        <w:t xml:space="preserve">Table </w:t>
      </w:r>
      <w:r>
        <w:rPr>
          <w:rFonts w:ascii="Arial Narrow" w:hAnsi="Arial Narrow"/>
          <w:color w:val="auto"/>
          <w:sz w:val="20"/>
          <w:szCs w:val="20"/>
        </w:rPr>
        <w:fldChar w:fldCharType="begin" w:fldLock="1"/>
      </w:r>
      <w:r>
        <w:rPr>
          <w:rFonts w:ascii="Arial Narrow" w:hAnsi="Arial Narrow"/>
          <w:color w:val="auto"/>
          <w:sz w:val="20"/>
          <w:szCs w:val="20"/>
        </w:rPr>
        <w:instrText xml:space="preserve"> SEQ Table \* ARABIC \s 1 </w:instrText>
      </w:r>
      <w:r>
        <w:rPr>
          <w:rFonts w:ascii="Arial Narrow" w:hAnsi="Arial Narrow"/>
          <w:color w:val="auto"/>
          <w:sz w:val="20"/>
          <w:szCs w:val="20"/>
        </w:rPr>
        <w:fldChar w:fldCharType="separate"/>
      </w:r>
      <w:r w:rsidR="00602E88">
        <w:rPr>
          <w:rFonts w:ascii="Arial Narrow" w:hAnsi="Arial Narrow"/>
          <w:noProof/>
          <w:color w:val="auto"/>
          <w:sz w:val="20"/>
          <w:szCs w:val="20"/>
        </w:rPr>
        <w:t>15</w:t>
      </w:r>
      <w:r>
        <w:rPr>
          <w:rFonts w:ascii="Arial Narrow" w:hAnsi="Arial Narrow"/>
          <w:color w:val="auto"/>
          <w:sz w:val="20"/>
          <w:szCs w:val="20"/>
        </w:rPr>
        <w:fldChar w:fldCharType="end"/>
      </w:r>
      <w:bookmarkEnd w:id="73"/>
      <w:r w:rsidRPr="00E82903">
        <w:rPr>
          <w:rFonts w:ascii="Arial Narrow" w:hAnsi="Arial Narrow"/>
          <w:color w:val="auto"/>
          <w:sz w:val="20"/>
          <w:szCs w:val="20"/>
        </w:rPr>
        <w:t>: Key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5: Key sensitivity analyses"/>
      </w:tblPr>
      <w:tblGrid>
        <w:gridCol w:w="4957"/>
        <w:gridCol w:w="992"/>
        <w:gridCol w:w="992"/>
        <w:gridCol w:w="992"/>
        <w:gridCol w:w="1084"/>
      </w:tblGrid>
      <w:tr w:rsidR="000C5C16" w:rsidRPr="00E82903" w14:paraId="65AB866C" w14:textId="77777777" w:rsidTr="00EB4495">
        <w:tc>
          <w:tcPr>
            <w:tcW w:w="2749" w:type="pct"/>
            <w:tcMar>
              <w:left w:w="28" w:type="dxa"/>
              <w:right w:w="28" w:type="dxa"/>
            </w:tcMar>
          </w:tcPr>
          <w:p w14:paraId="0936BA65" w14:textId="77777777" w:rsidR="000C5C16" w:rsidRPr="00263163" w:rsidRDefault="000C5C16" w:rsidP="00AA32D6">
            <w:pPr>
              <w:pStyle w:val="In-tableHeading"/>
              <w:keepLines/>
              <w:jc w:val="center"/>
            </w:pPr>
          </w:p>
        </w:tc>
        <w:tc>
          <w:tcPr>
            <w:tcW w:w="550" w:type="pct"/>
            <w:tcBorders>
              <w:bottom w:val="single" w:sz="4" w:space="0" w:color="auto"/>
            </w:tcBorders>
            <w:tcMar>
              <w:left w:w="28" w:type="dxa"/>
              <w:right w:w="28" w:type="dxa"/>
            </w:tcMar>
          </w:tcPr>
          <w:p w14:paraId="139977D5" w14:textId="754B816E" w:rsidR="000C5C16" w:rsidRPr="00263163" w:rsidRDefault="000C5C16" w:rsidP="00AA32D6">
            <w:pPr>
              <w:keepNext/>
              <w:keepLines/>
              <w:widowControl w:val="0"/>
              <w:jc w:val="center"/>
              <w:rPr>
                <w:rFonts w:ascii="Arial Narrow" w:eastAsiaTheme="majorEastAsia" w:hAnsi="Arial Narrow" w:cs="Times New Roman"/>
                <w:b/>
                <w:sz w:val="20"/>
                <w:szCs w:val="20"/>
                <w:lang w:val="en-US"/>
              </w:rPr>
            </w:pPr>
            <w:r w:rsidRPr="00263163">
              <w:rPr>
                <w:rFonts w:ascii="Arial Narrow" w:eastAsiaTheme="majorEastAsia" w:hAnsi="Arial Narrow" w:cs="Times New Roman"/>
                <w:b/>
                <w:sz w:val="20"/>
                <w:szCs w:val="20"/>
                <w:lang w:val="en-US"/>
              </w:rPr>
              <w:t>Incremental cost</w:t>
            </w:r>
            <w:r w:rsidR="005E2E9D">
              <w:rPr>
                <w:rFonts w:ascii="Arial Narrow" w:eastAsiaTheme="majorEastAsia" w:hAnsi="Arial Narrow" w:cs="Times New Roman"/>
                <w:b/>
                <w:sz w:val="20"/>
                <w:szCs w:val="20"/>
                <w:lang w:val="en-US"/>
              </w:rPr>
              <w:t xml:space="preserve"> ($)</w:t>
            </w:r>
          </w:p>
        </w:tc>
        <w:tc>
          <w:tcPr>
            <w:tcW w:w="550" w:type="pct"/>
            <w:tcMar>
              <w:left w:w="28" w:type="dxa"/>
              <w:right w:w="28" w:type="dxa"/>
            </w:tcMar>
          </w:tcPr>
          <w:p w14:paraId="0196D045" w14:textId="77777777" w:rsidR="000C5C16" w:rsidRPr="00263163" w:rsidRDefault="000C5C16" w:rsidP="00AA32D6">
            <w:pPr>
              <w:keepNext/>
              <w:keepLines/>
              <w:widowControl w:val="0"/>
              <w:jc w:val="center"/>
              <w:rPr>
                <w:rFonts w:ascii="Arial Narrow" w:eastAsiaTheme="majorEastAsia" w:hAnsi="Arial Narrow" w:cs="Times New Roman"/>
                <w:b/>
                <w:sz w:val="20"/>
                <w:szCs w:val="20"/>
                <w:lang w:val="en-US"/>
              </w:rPr>
            </w:pPr>
            <w:r w:rsidRPr="00263163">
              <w:rPr>
                <w:rFonts w:ascii="Arial Narrow" w:eastAsiaTheme="majorEastAsia" w:hAnsi="Arial Narrow" w:cs="Times New Roman"/>
                <w:b/>
                <w:sz w:val="20"/>
                <w:szCs w:val="20"/>
                <w:lang w:val="en-US"/>
              </w:rPr>
              <w:t>Incremental QALY</w:t>
            </w:r>
          </w:p>
        </w:tc>
        <w:tc>
          <w:tcPr>
            <w:tcW w:w="550" w:type="pct"/>
            <w:tcMar>
              <w:left w:w="28" w:type="dxa"/>
              <w:right w:w="28" w:type="dxa"/>
            </w:tcMar>
          </w:tcPr>
          <w:p w14:paraId="11C088CA" w14:textId="6B9E0302" w:rsidR="000C5C16" w:rsidRPr="00263163" w:rsidRDefault="000C5C16" w:rsidP="00AA32D6">
            <w:pPr>
              <w:keepNext/>
              <w:keepLines/>
              <w:widowControl w:val="0"/>
              <w:jc w:val="center"/>
              <w:rPr>
                <w:rFonts w:ascii="Arial Narrow" w:eastAsiaTheme="majorEastAsia" w:hAnsi="Arial Narrow" w:cs="Times New Roman"/>
                <w:b/>
                <w:sz w:val="20"/>
                <w:szCs w:val="20"/>
                <w:lang w:val="en-US"/>
              </w:rPr>
            </w:pPr>
            <w:r w:rsidRPr="00263163">
              <w:rPr>
                <w:rFonts w:ascii="Arial Narrow" w:eastAsiaTheme="majorEastAsia" w:hAnsi="Arial Narrow" w:cs="Times New Roman"/>
                <w:b/>
                <w:sz w:val="20"/>
                <w:szCs w:val="20"/>
                <w:lang w:val="en-US"/>
              </w:rPr>
              <w:t>ICER/QALY</w:t>
            </w:r>
            <w:r w:rsidR="007D3FBC">
              <w:rPr>
                <w:rFonts w:ascii="Arial Narrow" w:eastAsiaTheme="majorEastAsia" w:hAnsi="Arial Narrow" w:cs="Times New Roman"/>
                <w:b/>
                <w:sz w:val="20"/>
                <w:szCs w:val="20"/>
                <w:lang w:val="en-US"/>
              </w:rPr>
              <w:t xml:space="preserve"> ($)</w:t>
            </w:r>
          </w:p>
        </w:tc>
        <w:tc>
          <w:tcPr>
            <w:tcW w:w="601" w:type="pct"/>
            <w:tcMar>
              <w:left w:w="28" w:type="dxa"/>
              <w:right w:w="28" w:type="dxa"/>
            </w:tcMar>
          </w:tcPr>
          <w:p w14:paraId="224C56D2" w14:textId="77777777" w:rsidR="000C5C16" w:rsidRPr="00263163" w:rsidRDefault="000C5C16" w:rsidP="00AA32D6">
            <w:pPr>
              <w:keepNext/>
              <w:keepLines/>
              <w:widowControl w:val="0"/>
              <w:jc w:val="center"/>
              <w:rPr>
                <w:rFonts w:ascii="Arial Narrow" w:eastAsiaTheme="majorEastAsia" w:hAnsi="Arial Narrow" w:cs="Times New Roman"/>
                <w:b/>
                <w:sz w:val="20"/>
                <w:szCs w:val="20"/>
                <w:lang w:val="en-US"/>
              </w:rPr>
            </w:pPr>
            <w:r w:rsidRPr="00263163">
              <w:rPr>
                <w:rFonts w:ascii="Arial Narrow" w:eastAsiaTheme="majorEastAsia" w:hAnsi="Arial Narrow" w:cs="Times New Roman"/>
                <w:b/>
                <w:sz w:val="20"/>
                <w:szCs w:val="20"/>
                <w:lang w:val="en-US"/>
              </w:rPr>
              <w:t xml:space="preserve">% change </w:t>
            </w:r>
          </w:p>
        </w:tc>
      </w:tr>
      <w:tr w:rsidR="000C5C16" w:rsidRPr="00E82903" w14:paraId="20F48E29" w14:textId="77777777" w:rsidTr="00EB4495">
        <w:tc>
          <w:tcPr>
            <w:tcW w:w="2749" w:type="pct"/>
            <w:tcMar>
              <w:left w:w="28" w:type="dxa"/>
              <w:right w:w="28" w:type="dxa"/>
            </w:tcMar>
          </w:tcPr>
          <w:p w14:paraId="0050D469" w14:textId="77777777" w:rsidR="000C5C16" w:rsidRPr="00263163" w:rsidRDefault="000C5C16" w:rsidP="00AA32D6">
            <w:pPr>
              <w:keepNext/>
              <w:keepLines/>
              <w:widowControl w:val="0"/>
              <w:jc w:val="left"/>
              <w:rPr>
                <w:rFonts w:ascii="Arial Narrow" w:eastAsiaTheme="majorEastAsia" w:hAnsi="Arial Narrow" w:cstheme="majorBidi"/>
                <w:b/>
                <w:bCs/>
                <w:sz w:val="20"/>
                <w:szCs w:val="20"/>
              </w:rPr>
            </w:pPr>
            <w:r w:rsidRPr="00263163">
              <w:rPr>
                <w:rFonts w:ascii="Arial Narrow" w:eastAsiaTheme="majorEastAsia" w:hAnsi="Arial Narrow" w:cstheme="majorBidi"/>
                <w:b/>
                <w:bCs/>
                <w:sz w:val="20"/>
                <w:szCs w:val="20"/>
              </w:rPr>
              <w:t>Base case</w:t>
            </w:r>
          </w:p>
        </w:tc>
        <w:tc>
          <w:tcPr>
            <w:tcW w:w="550" w:type="pct"/>
            <w:shd w:val="solid" w:color="000000" w:fill="000000"/>
            <w:tcMar>
              <w:left w:w="28" w:type="dxa"/>
              <w:right w:w="28" w:type="dxa"/>
            </w:tcMar>
          </w:tcPr>
          <w:p w14:paraId="37F182FB" w14:textId="1C71CF1D" w:rsidR="000C5C16" w:rsidRPr="007D3FBC" w:rsidRDefault="00EB4495" w:rsidP="00AA32D6">
            <w:pPr>
              <w:keepNext/>
              <w:keepLines/>
              <w:widowControl w:val="0"/>
              <w:jc w:val="center"/>
              <w:rPr>
                <w:rFonts w:ascii="Arial Narrow" w:eastAsiaTheme="majorEastAsia" w:hAnsi="Arial Narrow" w:cstheme="majorBidi"/>
                <w:b/>
                <w:bCs/>
                <w:sz w:val="20"/>
                <w:szCs w:val="20"/>
                <w:vertAlign w:val="superscript"/>
              </w:rPr>
            </w:pPr>
            <w:r w:rsidRPr="00EB4495">
              <w:rPr>
                <w:rFonts w:ascii="Arial Narrow" w:eastAsiaTheme="majorEastAsia" w:hAnsi="Arial Narrow" w:cstheme="majorBidi" w:hint="eastAsia"/>
                <w:b/>
                <w:bCs/>
                <w:color w:val="000000"/>
                <w:w w:val="27"/>
                <w:sz w:val="20"/>
                <w:szCs w:val="20"/>
                <w:fitText w:val="125" w:id="-1435823872"/>
                <w14:textFill>
                  <w14:solidFill>
                    <w14:srgbClr w14:val="000000">
                      <w14:alpha w14:val="100000"/>
                    </w14:srgbClr>
                  </w14:solidFill>
                </w14:textFill>
              </w:rPr>
              <w:t xml:space="preserve">　</w:t>
            </w:r>
            <w:r w:rsidRPr="00EB4495">
              <w:rPr>
                <w:rFonts w:ascii="Arial Narrow" w:eastAsiaTheme="majorEastAsia" w:hAnsi="Arial Narrow" w:cstheme="majorBidi"/>
                <w:b/>
                <w:bCs/>
                <w:color w:val="000000"/>
                <w:w w:val="27"/>
                <w:sz w:val="20"/>
                <w:szCs w:val="20"/>
                <w:fitText w:val="125" w:id="-1435823872"/>
                <w14:textFill>
                  <w14:solidFill>
                    <w14:srgbClr w14:val="000000">
                      <w14:alpha w14:val="100000"/>
                    </w14:srgbClr>
                  </w14:solidFill>
                </w14:textFill>
              </w:rPr>
              <w:t>|</w:t>
            </w:r>
            <w:r w:rsidRPr="00EB4495">
              <w:rPr>
                <w:rFonts w:ascii="Arial Narrow" w:eastAsiaTheme="majorEastAsia" w:hAnsi="Arial Narrow" w:cstheme="majorBidi" w:hint="eastAsia"/>
                <w:b/>
                <w:bCs/>
                <w:color w:val="000000"/>
                <w:w w:val="27"/>
                <w:sz w:val="20"/>
                <w:szCs w:val="20"/>
                <w:fitText w:val="125" w:id="-1435823872"/>
                <w14:textFill>
                  <w14:solidFill>
                    <w14:srgbClr w14:val="000000">
                      <w14:alpha w14:val="100000"/>
                    </w14:srgbClr>
                  </w14:solidFill>
                </w14:textFill>
              </w:rPr>
              <w:t xml:space="preserve">　</w:t>
            </w:r>
          </w:p>
        </w:tc>
        <w:tc>
          <w:tcPr>
            <w:tcW w:w="550" w:type="pct"/>
            <w:tcMar>
              <w:left w:w="28" w:type="dxa"/>
              <w:right w:w="28" w:type="dxa"/>
            </w:tcMar>
          </w:tcPr>
          <w:p w14:paraId="473AB1EC" w14:textId="77777777" w:rsidR="000C5C16" w:rsidRPr="00263163" w:rsidRDefault="000C5C16" w:rsidP="00AA32D6">
            <w:pPr>
              <w:keepNext/>
              <w:keepLines/>
              <w:widowControl w:val="0"/>
              <w:jc w:val="center"/>
              <w:rPr>
                <w:rFonts w:ascii="Arial Narrow" w:eastAsiaTheme="majorEastAsia" w:hAnsi="Arial Narrow" w:cstheme="majorBidi"/>
                <w:b/>
                <w:bCs/>
                <w:sz w:val="20"/>
                <w:szCs w:val="20"/>
              </w:rPr>
            </w:pPr>
            <w:r w:rsidRPr="00263163">
              <w:rPr>
                <w:rFonts w:ascii="Arial Narrow" w:eastAsiaTheme="majorEastAsia" w:hAnsi="Arial Narrow" w:cstheme="majorBidi"/>
                <w:b/>
                <w:bCs/>
                <w:sz w:val="20"/>
                <w:szCs w:val="20"/>
              </w:rPr>
              <w:t>0.54</w:t>
            </w:r>
          </w:p>
        </w:tc>
        <w:tc>
          <w:tcPr>
            <w:tcW w:w="550" w:type="pct"/>
            <w:tcMar>
              <w:left w:w="28" w:type="dxa"/>
              <w:right w:w="28" w:type="dxa"/>
            </w:tcMar>
          </w:tcPr>
          <w:p w14:paraId="31C891B0" w14:textId="58ACDE03" w:rsidR="000C5C16" w:rsidRPr="00451D77" w:rsidRDefault="00EB4495" w:rsidP="00AA32D6">
            <w:pPr>
              <w:keepNext/>
              <w:keepLines/>
              <w:widowControl w:val="0"/>
              <w:jc w:val="center"/>
              <w:rPr>
                <w:rFonts w:ascii="Arial Narrow" w:eastAsiaTheme="majorEastAsia" w:hAnsi="Arial Narrow" w:cstheme="majorBidi"/>
                <w:b/>
                <w:bCs/>
                <w:sz w:val="20"/>
                <w:szCs w:val="20"/>
              </w:rPr>
            </w:pPr>
            <w:r w:rsidRPr="00EB4495">
              <w:rPr>
                <w:rFonts w:ascii="Arial Narrow" w:eastAsiaTheme="majorEastAsia" w:hAnsi="Arial Narrow" w:cstheme="majorBidi" w:hint="eastAsia"/>
                <w:b/>
                <w:bCs/>
                <w:color w:val="000000"/>
                <w:w w:val="33"/>
                <w:sz w:val="20"/>
                <w:szCs w:val="20"/>
                <w:shd w:val="solid" w:color="000000" w:fill="000000"/>
                <w:fitText w:val="150" w:id="-1435823871"/>
                <w14:textFill>
                  <w14:solidFill>
                    <w14:srgbClr w14:val="000000">
                      <w14:alpha w14:val="100000"/>
                    </w14:srgbClr>
                  </w14:solidFill>
                </w14:textFill>
              </w:rPr>
              <w:t xml:space="preserve">　</w:t>
            </w:r>
            <w:r w:rsidRPr="00EB4495">
              <w:rPr>
                <w:rFonts w:ascii="Arial Narrow" w:eastAsiaTheme="majorEastAsia" w:hAnsi="Arial Narrow" w:cstheme="majorBidi"/>
                <w:b/>
                <w:bCs/>
                <w:color w:val="000000"/>
                <w:w w:val="33"/>
                <w:sz w:val="20"/>
                <w:szCs w:val="20"/>
                <w:shd w:val="solid" w:color="000000" w:fill="000000"/>
                <w:fitText w:val="150" w:id="-1435823871"/>
                <w14:textFill>
                  <w14:solidFill>
                    <w14:srgbClr w14:val="000000">
                      <w14:alpha w14:val="100000"/>
                    </w14:srgbClr>
                  </w14:solidFill>
                </w14:textFill>
              </w:rPr>
              <w:t>|</w:t>
            </w:r>
            <w:r w:rsidRPr="00EB4495">
              <w:rPr>
                <w:rFonts w:ascii="Arial Narrow" w:eastAsiaTheme="majorEastAsia" w:hAnsi="Arial Narrow" w:cstheme="majorBidi" w:hint="eastAsia"/>
                <w:b/>
                <w:bCs/>
                <w:color w:val="000000"/>
                <w:spacing w:val="3"/>
                <w:w w:val="33"/>
                <w:sz w:val="20"/>
                <w:szCs w:val="20"/>
                <w:shd w:val="solid" w:color="000000" w:fill="000000"/>
                <w:fitText w:val="150" w:id="-1435823871"/>
                <w14:textFill>
                  <w14:solidFill>
                    <w14:srgbClr w14:val="000000">
                      <w14:alpha w14:val="100000"/>
                    </w14:srgbClr>
                  </w14:solidFill>
                </w14:textFill>
              </w:rPr>
              <w:t xml:space="preserve">　</w:t>
            </w:r>
            <w:r w:rsidR="00451D77">
              <w:rPr>
                <w:rFonts w:ascii="Arial Narrow" w:eastAsiaTheme="majorEastAsia" w:hAnsi="Arial Narrow" w:cstheme="majorBidi"/>
                <w:b/>
                <w:bCs/>
                <w:sz w:val="20"/>
                <w:szCs w:val="20"/>
                <w:vertAlign w:val="superscript"/>
              </w:rPr>
              <w:t>1</w:t>
            </w:r>
          </w:p>
        </w:tc>
        <w:tc>
          <w:tcPr>
            <w:tcW w:w="601" w:type="pct"/>
            <w:tcMar>
              <w:left w:w="28" w:type="dxa"/>
              <w:right w:w="28" w:type="dxa"/>
            </w:tcMar>
          </w:tcPr>
          <w:p w14:paraId="7689D670" w14:textId="77777777" w:rsidR="000C5C16" w:rsidRPr="00263163" w:rsidRDefault="000C5C16" w:rsidP="00AA32D6">
            <w:pPr>
              <w:keepNext/>
              <w:keepLines/>
              <w:widowControl w:val="0"/>
              <w:jc w:val="center"/>
              <w:rPr>
                <w:rFonts w:ascii="Arial Narrow" w:eastAsiaTheme="majorEastAsia" w:hAnsi="Arial Narrow" w:cstheme="majorBidi"/>
                <w:b/>
                <w:bCs/>
                <w:sz w:val="20"/>
                <w:szCs w:val="20"/>
              </w:rPr>
            </w:pPr>
            <w:r>
              <w:rPr>
                <w:rFonts w:ascii="Arial Narrow" w:eastAsiaTheme="majorEastAsia" w:hAnsi="Arial Narrow" w:cstheme="majorBidi"/>
                <w:b/>
                <w:bCs/>
                <w:sz w:val="20"/>
                <w:szCs w:val="20"/>
              </w:rPr>
              <w:t>-</w:t>
            </w:r>
          </w:p>
        </w:tc>
      </w:tr>
      <w:tr w:rsidR="000C5C16" w:rsidRPr="009F1C21" w14:paraId="1E32E949" w14:textId="77777777" w:rsidTr="00AA32D6">
        <w:tc>
          <w:tcPr>
            <w:tcW w:w="5000" w:type="pct"/>
            <w:gridSpan w:val="5"/>
            <w:tcMar>
              <w:left w:w="28" w:type="dxa"/>
              <w:right w:w="28" w:type="dxa"/>
            </w:tcMar>
            <w:vAlign w:val="center"/>
          </w:tcPr>
          <w:p w14:paraId="60FE7DF4" w14:textId="77777777" w:rsidR="000C5C16" w:rsidRPr="00263163" w:rsidRDefault="000C5C16" w:rsidP="00AA32D6">
            <w:pPr>
              <w:keepNext/>
              <w:keepLines/>
              <w:widowControl w:val="0"/>
              <w:jc w:val="left"/>
              <w:rPr>
                <w:rFonts w:ascii="Arial Narrow" w:eastAsiaTheme="majorEastAsia" w:hAnsi="Arial Narrow" w:cstheme="majorBidi"/>
                <w:b/>
                <w:bCs/>
                <w:sz w:val="20"/>
                <w:szCs w:val="20"/>
              </w:rPr>
            </w:pPr>
            <w:r w:rsidRPr="00263163">
              <w:rPr>
                <w:rFonts w:ascii="Arial Narrow" w:eastAsiaTheme="majorEastAsia" w:hAnsi="Arial Narrow" w:cstheme="majorBidi"/>
                <w:bCs/>
                <w:sz w:val="20"/>
                <w:szCs w:val="20"/>
              </w:rPr>
              <w:t>Discount rate (base case 5% costs and outcomes)</w:t>
            </w:r>
          </w:p>
        </w:tc>
      </w:tr>
      <w:tr w:rsidR="000C5C16" w:rsidRPr="00E82903" w14:paraId="3620CC06" w14:textId="77777777" w:rsidTr="00EB4495">
        <w:trPr>
          <w:trHeight w:val="275"/>
        </w:trPr>
        <w:tc>
          <w:tcPr>
            <w:tcW w:w="2749" w:type="pct"/>
            <w:tcMar>
              <w:left w:w="28" w:type="dxa"/>
              <w:right w:w="28" w:type="dxa"/>
            </w:tcMar>
          </w:tcPr>
          <w:p w14:paraId="222C61B9" w14:textId="77777777" w:rsidR="000C5C16" w:rsidRPr="00263163" w:rsidRDefault="000C5C16" w:rsidP="00AA32D6">
            <w:pPr>
              <w:keepNext/>
              <w:keepLines/>
              <w:widowControl w:val="0"/>
              <w:jc w:val="left"/>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 xml:space="preserve">   0% costs and outcomes</w:t>
            </w:r>
          </w:p>
        </w:tc>
        <w:tc>
          <w:tcPr>
            <w:tcW w:w="550" w:type="pct"/>
            <w:tcBorders>
              <w:bottom w:val="single" w:sz="4" w:space="0" w:color="auto"/>
            </w:tcBorders>
            <w:shd w:val="solid" w:color="000000" w:fill="000000"/>
            <w:tcMar>
              <w:left w:w="28" w:type="dxa"/>
              <w:right w:w="28" w:type="dxa"/>
            </w:tcMar>
          </w:tcPr>
          <w:p w14:paraId="1BADC5A2" w14:textId="09834451" w:rsidR="000C5C16" w:rsidRPr="005E2E9D" w:rsidRDefault="00EB4495" w:rsidP="00AA32D6">
            <w:pPr>
              <w:keepNext/>
              <w:keepLines/>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hint="eastAsia"/>
                <w:bCs/>
                <w:color w:val="000000"/>
                <w:w w:val="16"/>
                <w:sz w:val="20"/>
                <w:szCs w:val="20"/>
                <w:fitText w:val="75" w:id="-1435823870"/>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16"/>
                <w:sz w:val="20"/>
                <w:szCs w:val="20"/>
                <w:fitText w:val="75" w:id="-1435823870"/>
                <w14:textFill>
                  <w14:solidFill>
                    <w14:srgbClr w14:val="000000">
                      <w14:alpha w14:val="100000"/>
                    </w14:srgbClr>
                  </w14:solidFill>
                </w14:textFill>
              </w:rPr>
              <w:t>|</w:t>
            </w:r>
            <w:r w:rsidRPr="00EB4495">
              <w:rPr>
                <w:rFonts w:ascii="Arial Narrow" w:eastAsiaTheme="majorEastAsia" w:hAnsi="Arial Narrow" w:cstheme="majorBidi" w:hint="eastAsia"/>
                <w:bCs/>
                <w:color w:val="000000"/>
                <w:w w:val="16"/>
                <w:sz w:val="20"/>
                <w:szCs w:val="20"/>
                <w:fitText w:val="75" w:id="-1435823870"/>
                <w14:textFill>
                  <w14:solidFill>
                    <w14:srgbClr w14:val="000000">
                      <w14:alpha w14:val="100000"/>
                    </w14:srgbClr>
                  </w14:solidFill>
                </w14:textFill>
              </w:rPr>
              <w:t xml:space="preserve">　</w:t>
            </w:r>
          </w:p>
        </w:tc>
        <w:tc>
          <w:tcPr>
            <w:tcW w:w="550" w:type="pct"/>
            <w:tcMar>
              <w:left w:w="28" w:type="dxa"/>
              <w:right w:w="28" w:type="dxa"/>
            </w:tcMar>
          </w:tcPr>
          <w:p w14:paraId="7483A001" w14:textId="77777777" w:rsidR="000C5C16" w:rsidRPr="00263163" w:rsidRDefault="000C5C16" w:rsidP="00AA32D6">
            <w:pPr>
              <w:keepNext/>
              <w:keepLines/>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0.66</w:t>
            </w:r>
          </w:p>
        </w:tc>
        <w:tc>
          <w:tcPr>
            <w:tcW w:w="550" w:type="pct"/>
            <w:tcMar>
              <w:left w:w="28" w:type="dxa"/>
              <w:right w:w="28" w:type="dxa"/>
            </w:tcMar>
          </w:tcPr>
          <w:p w14:paraId="789E437E" w14:textId="665F1668" w:rsidR="000C5C16" w:rsidRPr="00451D77" w:rsidRDefault="00EB4495" w:rsidP="00AA32D6">
            <w:pPr>
              <w:keepNext/>
              <w:keepLines/>
              <w:widowControl w:val="0"/>
              <w:jc w:val="center"/>
              <w:rPr>
                <w:rFonts w:ascii="Arial Narrow" w:hAnsi="Arial Narrow" w:cs="Times New Roman"/>
                <w:snapToGrid w:val="0"/>
                <w:sz w:val="20"/>
                <w:szCs w:val="20"/>
                <w:highlight w:val="lightGray"/>
                <w:vertAlign w:val="superscript"/>
              </w:rPr>
            </w:pPr>
            <w:r w:rsidRPr="00EB4495">
              <w:rPr>
                <w:rFonts w:ascii="Arial Narrow" w:hAnsi="Arial Narrow" w:cs="Times New Roman" w:hint="eastAsia"/>
                <w:snapToGrid w:val="0"/>
                <w:color w:val="000000"/>
                <w:w w:val="22"/>
                <w:sz w:val="20"/>
                <w:szCs w:val="20"/>
                <w:shd w:val="solid" w:color="000000" w:fill="000000"/>
                <w:fitText w:val="100" w:id="-1435823869"/>
                <w14:textFill>
                  <w14:solidFill>
                    <w14:srgbClr w14:val="000000">
                      <w14:alpha w14:val="100000"/>
                    </w14:srgbClr>
                  </w14:solidFill>
                </w14:textFill>
              </w:rPr>
              <w:t xml:space="preserve">　</w:t>
            </w:r>
            <w:r w:rsidRPr="00EB4495">
              <w:rPr>
                <w:rFonts w:ascii="Arial Narrow" w:hAnsi="Arial Narrow" w:cs="Times New Roman"/>
                <w:snapToGrid w:val="0"/>
                <w:color w:val="000000"/>
                <w:w w:val="22"/>
                <w:sz w:val="20"/>
                <w:szCs w:val="20"/>
                <w:shd w:val="solid" w:color="000000" w:fill="000000"/>
                <w:fitText w:val="100" w:id="-1435823869"/>
                <w14:textFill>
                  <w14:solidFill>
                    <w14:srgbClr w14:val="000000">
                      <w14:alpha w14:val="100000"/>
                    </w14:srgbClr>
                  </w14:solidFill>
                </w14:textFill>
              </w:rPr>
              <w:t>|</w:t>
            </w:r>
            <w:r w:rsidRPr="00EB4495">
              <w:rPr>
                <w:rFonts w:ascii="Arial Narrow" w:hAnsi="Arial Narrow" w:cs="Times New Roman" w:hint="eastAsia"/>
                <w:snapToGrid w:val="0"/>
                <w:color w:val="000000"/>
                <w:spacing w:val="3"/>
                <w:w w:val="22"/>
                <w:sz w:val="20"/>
                <w:szCs w:val="20"/>
                <w:shd w:val="solid" w:color="000000" w:fill="000000"/>
                <w:fitText w:val="100" w:id="-1435823869"/>
                <w14:textFill>
                  <w14:solidFill>
                    <w14:srgbClr w14:val="000000">
                      <w14:alpha w14:val="100000"/>
                    </w14:srgbClr>
                  </w14:solidFill>
                </w14:textFill>
              </w:rPr>
              <w:t xml:space="preserve">　</w:t>
            </w:r>
            <w:r w:rsidR="00451D77" w:rsidRPr="00451D77">
              <w:rPr>
                <w:rFonts w:ascii="Arial Narrow" w:hAnsi="Arial Narrow" w:cs="Times New Roman"/>
                <w:snapToGrid w:val="0"/>
                <w:sz w:val="20"/>
                <w:szCs w:val="20"/>
                <w:vertAlign w:val="superscript"/>
              </w:rPr>
              <w:t>2</w:t>
            </w:r>
          </w:p>
        </w:tc>
        <w:tc>
          <w:tcPr>
            <w:tcW w:w="601" w:type="pct"/>
            <w:tcMar>
              <w:left w:w="28" w:type="dxa"/>
              <w:right w:w="28" w:type="dxa"/>
            </w:tcMar>
            <w:vAlign w:val="center"/>
          </w:tcPr>
          <w:p w14:paraId="6A901FCC" w14:textId="77777777" w:rsidR="000C5C16" w:rsidRPr="00263163" w:rsidRDefault="000C5C16" w:rsidP="00AA32D6">
            <w:pPr>
              <w:keepNext/>
              <w:keepLines/>
              <w:widowControl w:val="0"/>
              <w:jc w:val="center"/>
              <w:rPr>
                <w:rFonts w:ascii="Arial Narrow" w:eastAsiaTheme="majorEastAsia" w:hAnsi="Arial Narrow" w:cstheme="majorBidi"/>
                <w:bCs/>
                <w:sz w:val="20"/>
                <w:szCs w:val="20"/>
              </w:rPr>
            </w:pPr>
            <w:r w:rsidRPr="00263163">
              <w:rPr>
                <w:rFonts w:ascii="Arial Narrow" w:hAnsi="Arial Narrow" w:cs="Calibri"/>
                <w:color w:val="000000"/>
                <w:sz w:val="20"/>
                <w:szCs w:val="20"/>
              </w:rPr>
              <w:t>-17.1%</w:t>
            </w:r>
          </w:p>
        </w:tc>
      </w:tr>
      <w:tr w:rsidR="000C5C16" w:rsidRPr="00E82903" w14:paraId="16DBC9E9" w14:textId="77777777" w:rsidTr="00EB4495">
        <w:trPr>
          <w:trHeight w:val="76"/>
        </w:trPr>
        <w:tc>
          <w:tcPr>
            <w:tcW w:w="2749" w:type="pct"/>
            <w:tcMar>
              <w:left w:w="28" w:type="dxa"/>
              <w:right w:w="28" w:type="dxa"/>
            </w:tcMar>
          </w:tcPr>
          <w:p w14:paraId="233FBFC6" w14:textId="77777777" w:rsidR="000C5C16" w:rsidRPr="00263163" w:rsidRDefault="000C5C16" w:rsidP="00AA32D6">
            <w:pPr>
              <w:keepNext/>
              <w:keepLines/>
              <w:widowControl w:val="0"/>
              <w:jc w:val="left"/>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 xml:space="preserve">   3.5% costs and outcomes</w:t>
            </w:r>
          </w:p>
        </w:tc>
        <w:tc>
          <w:tcPr>
            <w:tcW w:w="550" w:type="pct"/>
            <w:shd w:val="solid" w:color="000000" w:fill="000000"/>
            <w:tcMar>
              <w:left w:w="28" w:type="dxa"/>
              <w:right w:w="28" w:type="dxa"/>
            </w:tcMar>
          </w:tcPr>
          <w:p w14:paraId="5FACCE3E" w14:textId="229FFF70" w:rsidR="000C5C16" w:rsidRPr="005E2E9D" w:rsidRDefault="00EB4495" w:rsidP="00AA32D6">
            <w:pPr>
              <w:keepNext/>
              <w:keepLines/>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hint="eastAsia"/>
                <w:bCs/>
                <w:color w:val="000000"/>
                <w:w w:val="16"/>
                <w:sz w:val="20"/>
                <w:szCs w:val="20"/>
                <w:fitText w:val="75" w:id="-1435823868"/>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16"/>
                <w:sz w:val="20"/>
                <w:szCs w:val="20"/>
                <w:fitText w:val="75" w:id="-1435823868"/>
                <w14:textFill>
                  <w14:solidFill>
                    <w14:srgbClr w14:val="000000">
                      <w14:alpha w14:val="100000"/>
                    </w14:srgbClr>
                  </w14:solidFill>
                </w14:textFill>
              </w:rPr>
              <w:t>|</w:t>
            </w:r>
            <w:r w:rsidRPr="00EB4495">
              <w:rPr>
                <w:rFonts w:ascii="Arial Narrow" w:eastAsiaTheme="majorEastAsia" w:hAnsi="Arial Narrow" w:cstheme="majorBidi" w:hint="eastAsia"/>
                <w:bCs/>
                <w:color w:val="000000"/>
                <w:w w:val="16"/>
                <w:sz w:val="20"/>
                <w:szCs w:val="20"/>
                <w:fitText w:val="75" w:id="-1435823868"/>
                <w14:textFill>
                  <w14:solidFill>
                    <w14:srgbClr w14:val="000000">
                      <w14:alpha w14:val="100000"/>
                    </w14:srgbClr>
                  </w14:solidFill>
                </w14:textFill>
              </w:rPr>
              <w:t xml:space="preserve">　</w:t>
            </w:r>
          </w:p>
        </w:tc>
        <w:tc>
          <w:tcPr>
            <w:tcW w:w="550" w:type="pct"/>
            <w:tcMar>
              <w:left w:w="28" w:type="dxa"/>
              <w:right w:w="28" w:type="dxa"/>
            </w:tcMar>
          </w:tcPr>
          <w:p w14:paraId="03710D06" w14:textId="77777777" w:rsidR="000C5C16" w:rsidRPr="00263163" w:rsidRDefault="000C5C16" w:rsidP="00AA32D6">
            <w:pPr>
              <w:keepNext/>
              <w:keepLines/>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0.47</w:t>
            </w:r>
          </w:p>
        </w:tc>
        <w:tc>
          <w:tcPr>
            <w:tcW w:w="550" w:type="pct"/>
            <w:tcMar>
              <w:left w:w="28" w:type="dxa"/>
              <w:right w:w="28" w:type="dxa"/>
            </w:tcMar>
          </w:tcPr>
          <w:p w14:paraId="230D5342" w14:textId="522B3317" w:rsidR="000C5C16" w:rsidRPr="007D3FBC" w:rsidRDefault="00EB4495" w:rsidP="00AA32D6">
            <w:pPr>
              <w:keepNext/>
              <w:keepLines/>
              <w:widowControl w:val="0"/>
              <w:jc w:val="center"/>
              <w:rPr>
                <w:rFonts w:ascii="Arial Narrow" w:hAnsi="Arial Narrow" w:cs="Times New Roman"/>
                <w:snapToGrid w:val="0"/>
                <w:sz w:val="20"/>
                <w:szCs w:val="20"/>
                <w:highlight w:val="lightGray"/>
              </w:rPr>
            </w:pPr>
            <w:r w:rsidRPr="00EB4495">
              <w:rPr>
                <w:rFonts w:ascii="Arial Narrow" w:eastAsiaTheme="majorEastAsia" w:hAnsi="Arial Narrow" w:cstheme="majorBidi" w:hint="eastAsia"/>
                <w:bCs/>
                <w:color w:val="000000"/>
                <w:w w:val="22"/>
                <w:sz w:val="20"/>
                <w:szCs w:val="20"/>
                <w:shd w:val="solid" w:color="000000" w:fill="000000"/>
                <w:fitText w:val="100" w:id="-1435823867"/>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22"/>
                <w:sz w:val="20"/>
                <w:szCs w:val="20"/>
                <w:shd w:val="solid" w:color="000000" w:fill="000000"/>
                <w:fitText w:val="100" w:id="-1435823867"/>
                <w14:textFill>
                  <w14:solidFill>
                    <w14:srgbClr w14:val="000000">
                      <w14:alpha w14:val="100000"/>
                    </w14:srgbClr>
                  </w14:solidFill>
                </w14:textFill>
              </w:rPr>
              <w:t>|</w:t>
            </w:r>
            <w:r w:rsidRPr="00EB4495">
              <w:rPr>
                <w:rFonts w:ascii="Arial Narrow" w:eastAsiaTheme="majorEastAsia" w:hAnsi="Arial Narrow" w:cstheme="majorBidi" w:hint="eastAsia"/>
                <w:bCs/>
                <w:color w:val="000000"/>
                <w:spacing w:val="3"/>
                <w:w w:val="22"/>
                <w:sz w:val="20"/>
                <w:szCs w:val="20"/>
                <w:shd w:val="solid" w:color="000000" w:fill="000000"/>
                <w:fitText w:val="100" w:id="-1435823867"/>
                <w14:textFill>
                  <w14:solidFill>
                    <w14:srgbClr w14:val="000000">
                      <w14:alpha w14:val="100000"/>
                    </w14:srgbClr>
                  </w14:solidFill>
                </w14:textFill>
              </w:rPr>
              <w:t xml:space="preserve">　</w:t>
            </w:r>
            <w:r w:rsidR="00451D77">
              <w:rPr>
                <w:rFonts w:ascii="Arial Narrow" w:eastAsiaTheme="majorEastAsia" w:hAnsi="Arial Narrow" w:cstheme="majorBidi"/>
                <w:b/>
                <w:bCs/>
                <w:sz w:val="20"/>
                <w:szCs w:val="20"/>
                <w:vertAlign w:val="superscript"/>
              </w:rPr>
              <w:t>1</w:t>
            </w:r>
          </w:p>
        </w:tc>
        <w:tc>
          <w:tcPr>
            <w:tcW w:w="601" w:type="pct"/>
            <w:tcMar>
              <w:left w:w="28" w:type="dxa"/>
              <w:right w:w="28" w:type="dxa"/>
            </w:tcMar>
            <w:vAlign w:val="center"/>
          </w:tcPr>
          <w:p w14:paraId="513FC7AB" w14:textId="77777777" w:rsidR="000C5C16" w:rsidRPr="00263163" w:rsidRDefault="000C5C16" w:rsidP="00AA32D6">
            <w:pPr>
              <w:keepNext/>
              <w:keepLines/>
              <w:widowControl w:val="0"/>
              <w:jc w:val="center"/>
              <w:rPr>
                <w:rFonts w:ascii="Arial Narrow" w:hAnsi="Arial Narrow" w:cs="Calibri"/>
                <w:color w:val="000000"/>
                <w:sz w:val="20"/>
                <w:szCs w:val="20"/>
              </w:rPr>
            </w:pPr>
            <w:r w:rsidRPr="00263163">
              <w:rPr>
                <w:rFonts w:ascii="Arial Narrow" w:hAnsi="Arial Narrow" w:cs="Calibri"/>
                <w:color w:val="000000"/>
                <w:sz w:val="20"/>
                <w:szCs w:val="20"/>
              </w:rPr>
              <w:t>-4.9%</w:t>
            </w:r>
          </w:p>
        </w:tc>
      </w:tr>
      <w:tr w:rsidR="000C5C16" w:rsidRPr="009F1C21" w14:paraId="387D1CCF" w14:textId="77777777" w:rsidTr="00AA32D6">
        <w:tc>
          <w:tcPr>
            <w:tcW w:w="5000" w:type="pct"/>
            <w:gridSpan w:val="5"/>
            <w:tcMar>
              <w:left w:w="28" w:type="dxa"/>
              <w:right w:w="28" w:type="dxa"/>
            </w:tcMar>
          </w:tcPr>
          <w:p w14:paraId="08DD9A82" w14:textId="6EDABDAB" w:rsidR="000C5C16" w:rsidRPr="00263163" w:rsidRDefault="000C5C16" w:rsidP="00AA32D6">
            <w:pPr>
              <w:keepNext/>
              <w:keepLines/>
              <w:jc w:val="left"/>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Time horizon (base case 20 years)</w:t>
            </w:r>
          </w:p>
        </w:tc>
      </w:tr>
      <w:tr w:rsidR="000C5C16" w:rsidRPr="001D395E" w14:paraId="5FB7EACC" w14:textId="77777777" w:rsidTr="00EB4495">
        <w:tc>
          <w:tcPr>
            <w:tcW w:w="2749" w:type="pct"/>
            <w:tcMar>
              <w:left w:w="28" w:type="dxa"/>
              <w:right w:w="28" w:type="dxa"/>
            </w:tcMar>
          </w:tcPr>
          <w:p w14:paraId="7662B20F" w14:textId="28B0F6A4" w:rsidR="000C5C16" w:rsidRPr="00263163" w:rsidRDefault="000C5C16" w:rsidP="00AA32D6">
            <w:pPr>
              <w:keepNext/>
              <w:keepLines/>
              <w:jc w:val="left"/>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 xml:space="preserve">   15 years</w:t>
            </w:r>
          </w:p>
        </w:tc>
        <w:tc>
          <w:tcPr>
            <w:tcW w:w="550" w:type="pct"/>
            <w:shd w:val="solid" w:color="000000" w:fill="000000"/>
            <w:tcMar>
              <w:left w:w="28" w:type="dxa"/>
              <w:right w:w="28" w:type="dxa"/>
            </w:tcMar>
          </w:tcPr>
          <w:p w14:paraId="4355D858" w14:textId="4284EAE4" w:rsidR="000C5C16" w:rsidRPr="00263163" w:rsidRDefault="00EB4495" w:rsidP="00AA32D6">
            <w:pPr>
              <w:keepNext/>
              <w:keepLines/>
              <w:jc w:val="center"/>
              <w:rPr>
                <w:rFonts w:ascii="Arial Narrow" w:eastAsiaTheme="majorEastAsia" w:hAnsi="Arial Narrow" w:cstheme="majorBidi"/>
                <w:bCs/>
                <w:sz w:val="20"/>
                <w:szCs w:val="20"/>
              </w:rPr>
            </w:pPr>
            <w:r w:rsidRPr="00EB4495">
              <w:rPr>
                <w:rFonts w:ascii="Arial Narrow" w:eastAsiaTheme="majorEastAsia" w:hAnsi="Arial Narrow" w:cstheme="majorBidi" w:hint="eastAsia"/>
                <w:bCs/>
                <w:color w:val="000000"/>
                <w:w w:val="16"/>
                <w:sz w:val="20"/>
                <w:szCs w:val="20"/>
                <w:fitText w:val="75" w:id="-1435823866"/>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16"/>
                <w:sz w:val="20"/>
                <w:szCs w:val="20"/>
                <w:fitText w:val="75" w:id="-1435823866"/>
                <w14:textFill>
                  <w14:solidFill>
                    <w14:srgbClr w14:val="000000">
                      <w14:alpha w14:val="100000"/>
                    </w14:srgbClr>
                  </w14:solidFill>
                </w14:textFill>
              </w:rPr>
              <w:t>|</w:t>
            </w:r>
            <w:r w:rsidRPr="00EB4495">
              <w:rPr>
                <w:rFonts w:ascii="Arial Narrow" w:eastAsiaTheme="majorEastAsia" w:hAnsi="Arial Narrow" w:cstheme="majorBidi" w:hint="eastAsia"/>
                <w:bCs/>
                <w:color w:val="000000"/>
                <w:w w:val="16"/>
                <w:sz w:val="20"/>
                <w:szCs w:val="20"/>
                <w:fitText w:val="75" w:id="-1435823866"/>
                <w14:textFill>
                  <w14:solidFill>
                    <w14:srgbClr w14:val="000000">
                      <w14:alpha w14:val="100000"/>
                    </w14:srgbClr>
                  </w14:solidFill>
                </w14:textFill>
              </w:rPr>
              <w:t xml:space="preserve">　</w:t>
            </w:r>
          </w:p>
        </w:tc>
        <w:tc>
          <w:tcPr>
            <w:tcW w:w="550" w:type="pct"/>
            <w:tcMar>
              <w:left w:w="28" w:type="dxa"/>
              <w:right w:w="28" w:type="dxa"/>
            </w:tcMar>
          </w:tcPr>
          <w:p w14:paraId="4F597B37" w14:textId="01EC7C43" w:rsidR="000C5C16" w:rsidRPr="00263163" w:rsidRDefault="000C5C16" w:rsidP="00AA32D6">
            <w:pPr>
              <w:keepNext/>
              <w:keepLines/>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0.53</w:t>
            </w:r>
          </w:p>
        </w:tc>
        <w:tc>
          <w:tcPr>
            <w:tcW w:w="550" w:type="pct"/>
            <w:tcMar>
              <w:left w:w="28" w:type="dxa"/>
              <w:right w:w="28" w:type="dxa"/>
            </w:tcMar>
          </w:tcPr>
          <w:p w14:paraId="36D8BF41" w14:textId="6D1F1AB1" w:rsidR="000C5C16" w:rsidRPr="00263163" w:rsidRDefault="00EB4495" w:rsidP="00AA32D6">
            <w:pPr>
              <w:keepNext/>
              <w:keepLines/>
              <w:jc w:val="center"/>
              <w:rPr>
                <w:rFonts w:ascii="Arial Narrow" w:eastAsiaTheme="majorEastAsia" w:hAnsi="Arial Narrow" w:cstheme="majorBidi"/>
                <w:bCs/>
                <w:sz w:val="20"/>
                <w:szCs w:val="20"/>
              </w:rPr>
            </w:pPr>
            <w:r w:rsidRPr="00EB4495">
              <w:rPr>
                <w:rFonts w:ascii="Arial Narrow" w:eastAsiaTheme="majorEastAsia" w:hAnsi="Arial Narrow" w:cstheme="majorBidi" w:hint="eastAsia"/>
                <w:bCs/>
                <w:color w:val="000000"/>
                <w:w w:val="22"/>
                <w:sz w:val="20"/>
                <w:szCs w:val="20"/>
                <w:shd w:val="solid" w:color="000000" w:fill="000000"/>
                <w:fitText w:val="100" w:id="-1435823865"/>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22"/>
                <w:sz w:val="20"/>
                <w:szCs w:val="20"/>
                <w:shd w:val="solid" w:color="000000" w:fill="000000"/>
                <w:fitText w:val="100" w:id="-1435823865"/>
                <w14:textFill>
                  <w14:solidFill>
                    <w14:srgbClr w14:val="000000">
                      <w14:alpha w14:val="100000"/>
                    </w14:srgbClr>
                  </w14:solidFill>
                </w14:textFill>
              </w:rPr>
              <w:t>|</w:t>
            </w:r>
            <w:r w:rsidRPr="00EB4495">
              <w:rPr>
                <w:rFonts w:ascii="Arial Narrow" w:eastAsiaTheme="majorEastAsia" w:hAnsi="Arial Narrow" w:cstheme="majorBidi" w:hint="eastAsia"/>
                <w:bCs/>
                <w:color w:val="000000"/>
                <w:spacing w:val="3"/>
                <w:w w:val="22"/>
                <w:sz w:val="20"/>
                <w:szCs w:val="20"/>
                <w:shd w:val="solid" w:color="000000" w:fill="000000"/>
                <w:fitText w:val="100" w:id="-1435823865"/>
                <w14:textFill>
                  <w14:solidFill>
                    <w14:srgbClr w14:val="000000">
                      <w14:alpha w14:val="100000"/>
                    </w14:srgbClr>
                  </w14:solidFill>
                </w14:textFill>
              </w:rPr>
              <w:t xml:space="preserve">　</w:t>
            </w:r>
            <w:r w:rsidR="00451D77">
              <w:rPr>
                <w:rFonts w:ascii="Arial Narrow" w:eastAsiaTheme="majorEastAsia" w:hAnsi="Arial Narrow" w:cstheme="majorBidi"/>
                <w:b/>
                <w:bCs/>
                <w:sz w:val="20"/>
                <w:szCs w:val="20"/>
                <w:vertAlign w:val="superscript"/>
              </w:rPr>
              <w:t>1</w:t>
            </w:r>
          </w:p>
        </w:tc>
        <w:tc>
          <w:tcPr>
            <w:tcW w:w="601" w:type="pct"/>
            <w:tcMar>
              <w:left w:w="28" w:type="dxa"/>
              <w:right w:w="28" w:type="dxa"/>
            </w:tcMar>
            <w:vAlign w:val="center"/>
          </w:tcPr>
          <w:p w14:paraId="342DE506" w14:textId="67F6FEE5" w:rsidR="000C5C16" w:rsidRPr="00263163" w:rsidRDefault="000C5C16" w:rsidP="00AA32D6">
            <w:pPr>
              <w:keepNext/>
              <w:keepLines/>
              <w:jc w:val="center"/>
              <w:rPr>
                <w:rFonts w:ascii="Arial Narrow" w:eastAsiaTheme="majorEastAsia" w:hAnsi="Arial Narrow" w:cstheme="majorBidi"/>
                <w:bCs/>
                <w:sz w:val="20"/>
                <w:szCs w:val="20"/>
              </w:rPr>
            </w:pPr>
            <w:r w:rsidRPr="00263163">
              <w:rPr>
                <w:rFonts w:ascii="Arial Narrow" w:hAnsi="Arial Narrow" w:cs="Calibri"/>
                <w:color w:val="000000"/>
                <w:sz w:val="20"/>
                <w:szCs w:val="20"/>
              </w:rPr>
              <w:t>+3.0%</w:t>
            </w:r>
          </w:p>
        </w:tc>
      </w:tr>
      <w:tr w:rsidR="000C5C16" w:rsidRPr="00E82903" w14:paraId="751825DF" w14:textId="77777777" w:rsidTr="00AA32D6">
        <w:tc>
          <w:tcPr>
            <w:tcW w:w="5000" w:type="pct"/>
            <w:gridSpan w:val="5"/>
            <w:tcMar>
              <w:left w:w="28" w:type="dxa"/>
              <w:right w:w="28" w:type="dxa"/>
            </w:tcMar>
            <w:vAlign w:val="center"/>
          </w:tcPr>
          <w:p w14:paraId="2DB78939" w14:textId="77777777" w:rsidR="000C5C16" w:rsidRPr="008A5608" w:rsidRDefault="000C5C16" w:rsidP="00AA32D6">
            <w:pPr>
              <w:keepNext/>
              <w:keepLines/>
              <w:widowControl w:val="0"/>
              <w:jc w:val="left"/>
              <w:rPr>
                <w:rFonts w:ascii="Arial Narrow" w:eastAsiaTheme="majorEastAsia" w:hAnsi="Arial Narrow" w:cstheme="majorBidi"/>
                <w:bCs/>
                <w:sz w:val="20"/>
                <w:szCs w:val="20"/>
              </w:rPr>
            </w:pPr>
            <w:r w:rsidRPr="008A5608">
              <w:rPr>
                <w:rFonts w:ascii="Arial Narrow" w:eastAsiaTheme="majorEastAsia" w:hAnsi="Arial Narrow" w:cstheme="majorBidi"/>
                <w:bCs/>
                <w:sz w:val="20"/>
                <w:szCs w:val="20"/>
              </w:rPr>
              <w:t>Time on treatment (base case censored mean; 18.1 months (20 cycles))</w:t>
            </w:r>
          </w:p>
        </w:tc>
      </w:tr>
      <w:tr w:rsidR="000C5C16" w:rsidRPr="00E82903" w14:paraId="5A54E6B7" w14:textId="77777777" w:rsidTr="00EB4495">
        <w:tc>
          <w:tcPr>
            <w:tcW w:w="2749" w:type="pct"/>
            <w:tcMar>
              <w:left w:w="28" w:type="dxa"/>
              <w:right w:w="28" w:type="dxa"/>
            </w:tcMar>
          </w:tcPr>
          <w:p w14:paraId="3A71D7DE" w14:textId="77777777" w:rsidR="000C5C16" w:rsidRPr="00263163" w:rsidRDefault="000C5C16" w:rsidP="00AA32D6">
            <w:pPr>
              <w:keepNext/>
              <w:keepLines/>
              <w:widowControl w:val="0"/>
              <w:jc w:val="left"/>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 xml:space="preserve">   Time-on-treatment KM curve only</w:t>
            </w:r>
          </w:p>
        </w:tc>
        <w:tc>
          <w:tcPr>
            <w:tcW w:w="550" w:type="pct"/>
            <w:tcBorders>
              <w:bottom w:val="single" w:sz="4" w:space="0" w:color="auto"/>
            </w:tcBorders>
            <w:shd w:val="solid" w:color="000000" w:fill="000000"/>
            <w:tcMar>
              <w:left w:w="28" w:type="dxa"/>
              <w:right w:w="28" w:type="dxa"/>
            </w:tcMar>
          </w:tcPr>
          <w:p w14:paraId="3C73433B" w14:textId="29F80B73" w:rsidR="000C5C16" w:rsidRPr="005E2E9D" w:rsidRDefault="00EB4495" w:rsidP="00AA32D6">
            <w:pPr>
              <w:keepNext/>
              <w:keepLines/>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hint="eastAsia"/>
                <w:bCs/>
                <w:color w:val="000000"/>
                <w:w w:val="16"/>
                <w:sz w:val="20"/>
                <w:szCs w:val="20"/>
                <w:fitText w:val="75" w:id="-1435823864"/>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16"/>
                <w:sz w:val="20"/>
                <w:szCs w:val="20"/>
                <w:fitText w:val="75" w:id="-1435823864"/>
                <w14:textFill>
                  <w14:solidFill>
                    <w14:srgbClr w14:val="000000">
                      <w14:alpha w14:val="100000"/>
                    </w14:srgbClr>
                  </w14:solidFill>
                </w14:textFill>
              </w:rPr>
              <w:t>|</w:t>
            </w:r>
            <w:r w:rsidRPr="00EB4495">
              <w:rPr>
                <w:rFonts w:ascii="Arial Narrow" w:eastAsiaTheme="majorEastAsia" w:hAnsi="Arial Narrow" w:cstheme="majorBidi" w:hint="eastAsia"/>
                <w:bCs/>
                <w:color w:val="000000"/>
                <w:w w:val="16"/>
                <w:sz w:val="20"/>
                <w:szCs w:val="20"/>
                <w:fitText w:val="75" w:id="-1435823864"/>
                <w14:textFill>
                  <w14:solidFill>
                    <w14:srgbClr w14:val="000000">
                      <w14:alpha w14:val="100000"/>
                    </w14:srgbClr>
                  </w14:solidFill>
                </w14:textFill>
              </w:rPr>
              <w:t xml:space="preserve">　</w:t>
            </w:r>
          </w:p>
        </w:tc>
        <w:tc>
          <w:tcPr>
            <w:tcW w:w="550" w:type="pct"/>
            <w:tcMar>
              <w:left w:w="28" w:type="dxa"/>
              <w:right w:w="28" w:type="dxa"/>
            </w:tcMar>
          </w:tcPr>
          <w:p w14:paraId="2CE6F145" w14:textId="77777777" w:rsidR="000C5C16" w:rsidRPr="00263163" w:rsidRDefault="000C5C16" w:rsidP="00AA32D6">
            <w:pPr>
              <w:keepNext/>
              <w:keepLines/>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0.54</w:t>
            </w:r>
          </w:p>
        </w:tc>
        <w:tc>
          <w:tcPr>
            <w:tcW w:w="550" w:type="pct"/>
            <w:tcMar>
              <w:left w:w="28" w:type="dxa"/>
              <w:right w:w="28" w:type="dxa"/>
            </w:tcMar>
          </w:tcPr>
          <w:p w14:paraId="32C2BECE" w14:textId="410957C0" w:rsidR="000C5C16" w:rsidRPr="007D3FBC" w:rsidRDefault="00EB4495" w:rsidP="00AA32D6">
            <w:pPr>
              <w:keepNext/>
              <w:keepLines/>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hint="eastAsia"/>
                <w:bCs/>
                <w:color w:val="000000"/>
                <w:w w:val="22"/>
                <w:sz w:val="20"/>
                <w:szCs w:val="20"/>
                <w:shd w:val="solid" w:color="000000" w:fill="000000"/>
                <w:fitText w:val="100" w:id="-1435823863"/>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22"/>
                <w:sz w:val="20"/>
                <w:szCs w:val="20"/>
                <w:shd w:val="solid" w:color="000000" w:fill="000000"/>
                <w:fitText w:val="100" w:id="-1435823863"/>
                <w14:textFill>
                  <w14:solidFill>
                    <w14:srgbClr w14:val="000000">
                      <w14:alpha w14:val="100000"/>
                    </w14:srgbClr>
                  </w14:solidFill>
                </w14:textFill>
              </w:rPr>
              <w:t>|</w:t>
            </w:r>
            <w:r w:rsidRPr="00EB4495">
              <w:rPr>
                <w:rFonts w:ascii="Arial Narrow" w:eastAsiaTheme="majorEastAsia" w:hAnsi="Arial Narrow" w:cstheme="majorBidi" w:hint="eastAsia"/>
                <w:bCs/>
                <w:color w:val="000000"/>
                <w:spacing w:val="3"/>
                <w:w w:val="22"/>
                <w:sz w:val="20"/>
                <w:szCs w:val="20"/>
                <w:shd w:val="solid" w:color="000000" w:fill="000000"/>
                <w:fitText w:val="100" w:id="-1435823863"/>
                <w14:textFill>
                  <w14:solidFill>
                    <w14:srgbClr w14:val="000000">
                      <w14:alpha w14:val="100000"/>
                    </w14:srgbClr>
                  </w14:solidFill>
                </w14:textFill>
              </w:rPr>
              <w:t xml:space="preserve">　</w:t>
            </w:r>
            <w:r w:rsidR="00451D77">
              <w:rPr>
                <w:rFonts w:ascii="Arial Narrow" w:eastAsiaTheme="majorEastAsia" w:hAnsi="Arial Narrow" w:cstheme="majorBidi"/>
                <w:b/>
                <w:bCs/>
                <w:sz w:val="20"/>
                <w:szCs w:val="20"/>
                <w:vertAlign w:val="superscript"/>
              </w:rPr>
              <w:t>1</w:t>
            </w:r>
          </w:p>
        </w:tc>
        <w:tc>
          <w:tcPr>
            <w:tcW w:w="601" w:type="pct"/>
            <w:tcMar>
              <w:left w:w="28" w:type="dxa"/>
              <w:right w:w="28" w:type="dxa"/>
            </w:tcMar>
            <w:vAlign w:val="center"/>
          </w:tcPr>
          <w:p w14:paraId="741EBD66" w14:textId="77777777" w:rsidR="000C5C16" w:rsidRPr="00263163" w:rsidRDefault="000C5C16" w:rsidP="00AA32D6">
            <w:pPr>
              <w:keepNext/>
              <w:keepLines/>
              <w:widowControl w:val="0"/>
              <w:jc w:val="center"/>
              <w:rPr>
                <w:rFonts w:ascii="Arial Narrow" w:eastAsiaTheme="majorEastAsia" w:hAnsi="Arial Narrow" w:cstheme="majorBidi"/>
                <w:bCs/>
                <w:sz w:val="20"/>
                <w:szCs w:val="20"/>
              </w:rPr>
            </w:pPr>
            <w:r w:rsidRPr="00263163">
              <w:rPr>
                <w:rFonts w:ascii="Arial Narrow" w:hAnsi="Arial Narrow" w:cs="Calibri"/>
                <w:color w:val="000000"/>
                <w:sz w:val="20"/>
                <w:szCs w:val="20"/>
              </w:rPr>
              <w:t>+18.9%</w:t>
            </w:r>
          </w:p>
        </w:tc>
      </w:tr>
      <w:tr w:rsidR="000C5C16" w:rsidRPr="00E82903" w14:paraId="3528FBD0" w14:textId="77777777" w:rsidTr="00EB4495">
        <w:tc>
          <w:tcPr>
            <w:tcW w:w="2749" w:type="pct"/>
            <w:tcMar>
              <w:left w:w="28" w:type="dxa"/>
              <w:right w:w="28" w:type="dxa"/>
            </w:tcMar>
          </w:tcPr>
          <w:p w14:paraId="0623F3A5" w14:textId="5001DEC9" w:rsidR="000C5C16" w:rsidRPr="00263163" w:rsidRDefault="000C5C16" w:rsidP="00AA32D6">
            <w:pPr>
              <w:keepNext/>
              <w:keepLines/>
              <w:widowControl w:val="0"/>
              <w:jc w:val="left"/>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 xml:space="preserve">   Time on treatment based on median RFS (10.2 months or 11.09 cycles; median duration of RFS in the azacitidine arm of QUAZAR) </w:t>
            </w:r>
          </w:p>
        </w:tc>
        <w:tc>
          <w:tcPr>
            <w:tcW w:w="550" w:type="pct"/>
            <w:shd w:val="solid" w:color="000000" w:fill="000000"/>
            <w:tcMar>
              <w:left w:w="28" w:type="dxa"/>
              <w:right w:w="28" w:type="dxa"/>
            </w:tcMar>
            <w:vAlign w:val="center"/>
          </w:tcPr>
          <w:p w14:paraId="2C46A967" w14:textId="77C5387D" w:rsidR="000C5C16" w:rsidRPr="005E2E9D" w:rsidRDefault="00EB4495" w:rsidP="00AA32D6">
            <w:pPr>
              <w:keepNext/>
              <w:keepLines/>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hint="eastAsia"/>
                <w:bCs/>
                <w:color w:val="000000"/>
                <w:w w:val="16"/>
                <w:sz w:val="20"/>
                <w:szCs w:val="20"/>
                <w:fitText w:val="75" w:id="-1435823862"/>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16"/>
                <w:sz w:val="20"/>
                <w:szCs w:val="20"/>
                <w:fitText w:val="75" w:id="-1435823862"/>
                <w14:textFill>
                  <w14:solidFill>
                    <w14:srgbClr w14:val="000000">
                      <w14:alpha w14:val="100000"/>
                    </w14:srgbClr>
                  </w14:solidFill>
                </w14:textFill>
              </w:rPr>
              <w:t>|</w:t>
            </w:r>
            <w:r w:rsidRPr="00EB4495">
              <w:rPr>
                <w:rFonts w:ascii="Arial Narrow" w:eastAsiaTheme="majorEastAsia" w:hAnsi="Arial Narrow" w:cstheme="majorBidi" w:hint="eastAsia"/>
                <w:bCs/>
                <w:color w:val="000000"/>
                <w:w w:val="16"/>
                <w:sz w:val="20"/>
                <w:szCs w:val="20"/>
                <w:fitText w:val="75" w:id="-1435823862"/>
                <w14:textFill>
                  <w14:solidFill>
                    <w14:srgbClr w14:val="000000">
                      <w14:alpha w14:val="100000"/>
                    </w14:srgbClr>
                  </w14:solidFill>
                </w14:textFill>
              </w:rPr>
              <w:t xml:space="preserve">　</w:t>
            </w:r>
          </w:p>
        </w:tc>
        <w:tc>
          <w:tcPr>
            <w:tcW w:w="550" w:type="pct"/>
            <w:tcMar>
              <w:left w:w="28" w:type="dxa"/>
              <w:right w:w="28" w:type="dxa"/>
            </w:tcMar>
            <w:vAlign w:val="center"/>
          </w:tcPr>
          <w:p w14:paraId="2DDDB18E" w14:textId="77777777" w:rsidR="000C5C16" w:rsidRPr="00263163" w:rsidRDefault="000C5C16" w:rsidP="00AA32D6">
            <w:pPr>
              <w:keepNext/>
              <w:keepLines/>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0.54</w:t>
            </w:r>
          </w:p>
        </w:tc>
        <w:tc>
          <w:tcPr>
            <w:tcW w:w="550" w:type="pct"/>
            <w:tcMar>
              <w:left w:w="28" w:type="dxa"/>
              <w:right w:w="28" w:type="dxa"/>
            </w:tcMar>
            <w:vAlign w:val="center"/>
          </w:tcPr>
          <w:p w14:paraId="2CF165F6" w14:textId="41D42EE4" w:rsidR="000C5C16" w:rsidRPr="00451D77" w:rsidRDefault="00EB4495" w:rsidP="00AA32D6">
            <w:pPr>
              <w:keepNext/>
              <w:keepLines/>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hint="eastAsia"/>
                <w:bCs/>
                <w:color w:val="000000"/>
                <w:w w:val="22"/>
                <w:sz w:val="20"/>
                <w:szCs w:val="20"/>
                <w:shd w:val="solid" w:color="000000" w:fill="000000"/>
                <w:fitText w:val="100" w:id="-1435823861"/>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22"/>
                <w:sz w:val="20"/>
                <w:szCs w:val="20"/>
                <w:shd w:val="solid" w:color="000000" w:fill="000000"/>
                <w:fitText w:val="100" w:id="-1435823861"/>
                <w14:textFill>
                  <w14:solidFill>
                    <w14:srgbClr w14:val="000000">
                      <w14:alpha w14:val="100000"/>
                    </w14:srgbClr>
                  </w14:solidFill>
                </w14:textFill>
              </w:rPr>
              <w:t>|</w:t>
            </w:r>
            <w:r w:rsidRPr="00EB4495">
              <w:rPr>
                <w:rFonts w:ascii="Arial Narrow" w:eastAsiaTheme="majorEastAsia" w:hAnsi="Arial Narrow" w:cstheme="majorBidi" w:hint="eastAsia"/>
                <w:bCs/>
                <w:color w:val="000000"/>
                <w:spacing w:val="3"/>
                <w:w w:val="22"/>
                <w:sz w:val="20"/>
                <w:szCs w:val="20"/>
                <w:shd w:val="solid" w:color="000000" w:fill="000000"/>
                <w:fitText w:val="100" w:id="-1435823861"/>
                <w14:textFill>
                  <w14:solidFill>
                    <w14:srgbClr w14:val="000000">
                      <w14:alpha w14:val="100000"/>
                    </w14:srgbClr>
                  </w14:solidFill>
                </w14:textFill>
              </w:rPr>
              <w:t xml:space="preserve">　</w:t>
            </w:r>
            <w:r w:rsidR="00451D77" w:rsidRPr="00451D77">
              <w:rPr>
                <w:rFonts w:ascii="Arial Narrow" w:eastAsiaTheme="majorEastAsia" w:hAnsi="Arial Narrow" w:cstheme="majorBidi"/>
                <w:bCs/>
                <w:sz w:val="20"/>
                <w:szCs w:val="20"/>
                <w:vertAlign w:val="superscript"/>
              </w:rPr>
              <w:t>3</w:t>
            </w:r>
          </w:p>
        </w:tc>
        <w:tc>
          <w:tcPr>
            <w:tcW w:w="601" w:type="pct"/>
            <w:tcMar>
              <w:left w:w="28" w:type="dxa"/>
              <w:right w:w="28" w:type="dxa"/>
            </w:tcMar>
            <w:vAlign w:val="center"/>
          </w:tcPr>
          <w:p w14:paraId="43E14BE2" w14:textId="77777777" w:rsidR="000C5C16" w:rsidRPr="00263163" w:rsidRDefault="000C5C16" w:rsidP="00AA32D6">
            <w:pPr>
              <w:keepNext/>
              <w:keepLines/>
              <w:widowControl w:val="0"/>
              <w:jc w:val="center"/>
              <w:rPr>
                <w:rFonts w:ascii="Arial Narrow" w:eastAsiaTheme="majorEastAsia" w:hAnsi="Arial Narrow" w:cstheme="majorBidi"/>
                <w:bCs/>
                <w:sz w:val="20"/>
                <w:szCs w:val="20"/>
              </w:rPr>
            </w:pPr>
            <w:r w:rsidRPr="00263163">
              <w:rPr>
                <w:rFonts w:ascii="Arial Narrow" w:hAnsi="Arial Narrow" w:cs="Calibri"/>
                <w:color w:val="000000"/>
                <w:sz w:val="20"/>
                <w:szCs w:val="20"/>
              </w:rPr>
              <w:t>-39.7%</w:t>
            </w:r>
          </w:p>
        </w:tc>
      </w:tr>
      <w:tr w:rsidR="000C5C16" w:rsidRPr="009F1C21" w14:paraId="43FE3FFD" w14:textId="77777777" w:rsidTr="00AA32D6">
        <w:tc>
          <w:tcPr>
            <w:tcW w:w="5000" w:type="pct"/>
            <w:gridSpan w:val="5"/>
            <w:tcMar>
              <w:left w:w="28" w:type="dxa"/>
              <w:right w:w="28" w:type="dxa"/>
            </w:tcMar>
            <w:vAlign w:val="center"/>
          </w:tcPr>
          <w:p w14:paraId="005124D2" w14:textId="77777777" w:rsidR="000C5C16" w:rsidRPr="00263163" w:rsidRDefault="000C5C16" w:rsidP="00AA32D6">
            <w:pPr>
              <w:keepNext/>
              <w:keepLines/>
              <w:widowControl w:val="0"/>
              <w:jc w:val="left"/>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 xml:space="preserve">Utility (base case </w:t>
            </w:r>
            <w:r w:rsidRPr="008A5608">
              <w:rPr>
                <w:rFonts w:ascii="Arial Narrow" w:eastAsiaTheme="majorEastAsia" w:hAnsi="Arial Narrow" w:cstheme="majorBidi"/>
                <w:bCs/>
                <w:sz w:val="20"/>
                <w:szCs w:val="20"/>
              </w:rPr>
              <w:t>relapse-free: 0.833 (</w:t>
            </w:r>
            <w:r w:rsidRPr="00263163">
              <w:rPr>
                <w:rFonts w:ascii="Arial Narrow" w:eastAsiaTheme="majorEastAsia" w:hAnsi="Arial Narrow" w:cstheme="majorBidi"/>
                <w:bCs/>
                <w:sz w:val="20"/>
                <w:szCs w:val="20"/>
              </w:rPr>
              <w:t>QUAZAR), relapse: 0.51 (Joshi et al. 2019)</w:t>
            </w:r>
          </w:p>
        </w:tc>
      </w:tr>
      <w:tr w:rsidR="000C5C16" w:rsidRPr="00E82903" w14:paraId="1E2A49C6" w14:textId="77777777" w:rsidTr="00EB4495">
        <w:tc>
          <w:tcPr>
            <w:tcW w:w="2749" w:type="pct"/>
            <w:tcMar>
              <w:left w:w="28" w:type="dxa"/>
              <w:right w:w="28" w:type="dxa"/>
            </w:tcMar>
          </w:tcPr>
          <w:p w14:paraId="0BE9B37E" w14:textId="77777777" w:rsidR="000C5C16" w:rsidRPr="00263163" w:rsidRDefault="000C5C16" w:rsidP="00AA32D6">
            <w:pPr>
              <w:keepNext/>
              <w:keepLines/>
              <w:widowControl w:val="0"/>
              <w:jc w:val="left"/>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 xml:space="preserve">   Relapse </w:t>
            </w:r>
            <w:r w:rsidRPr="008A5608">
              <w:rPr>
                <w:rFonts w:ascii="Arial Narrow" w:eastAsiaTheme="majorEastAsia" w:hAnsi="Arial Narrow" w:cstheme="majorBidi"/>
                <w:bCs/>
                <w:sz w:val="20"/>
                <w:szCs w:val="20"/>
              </w:rPr>
              <w:t>free: 0.849</w:t>
            </w:r>
            <w:r w:rsidRPr="00263163">
              <w:rPr>
                <w:rFonts w:ascii="Arial Narrow" w:eastAsiaTheme="majorEastAsia" w:hAnsi="Arial Narrow" w:cstheme="majorBidi"/>
                <w:bCs/>
                <w:sz w:val="20"/>
                <w:szCs w:val="20"/>
              </w:rPr>
              <w:t xml:space="preserve"> (QUAZAR mean relapse free utility)</w:t>
            </w:r>
          </w:p>
        </w:tc>
        <w:tc>
          <w:tcPr>
            <w:tcW w:w="550" w:type="pct"/>
            <w:tcBorders>
              <w:bottom w:val="single" w:sz="4" w:space="0" w:color="auto"/>
            </w:tcBorders>
            <w:shd w:val="solid" w:color="000000" w:fill="000000"/>
            <w:tcMar>
              <w:left w:w="28" w:type="dxa"/>
              <w:right w:w="28" w:type="dxa"/>
            </w:tcMar>
            <w:vAlign w:val="center"/>
          </w:tcPr>
          <w:p w14:paraId="1F979DD3" w14:textId="1DA7C43C" w:rsidR="000C5C16" w:rsidRPr="005E2E9D" w:rsidRDefault="00EB4495" w:rsidP="00AA32D6">
            <w:pPr>
              <w:keepNext/>
              <w:keepLines/>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hint="eastAsia"/>
                <w:bCs/>
                <w:color w:val="000000"/>
                <w:w w:val="16"/>
                <w:sz w:val="20"/>
                <w:szCs w:val="20"/>
                <w:fitText w:val="75" w:id="-1435823860"/>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16"/>
                <w:sz w:val="20"/>
                <w:szCs w:val="20"/>
                <w:fitText w:val="75" w:id="-1435823860"/>
                <w14:textFill>
                  <w14:solidFill>
                    <w14:srgbClr w14:val="000000">
                      <w14:alpha w14:val="100000"/>
                    </w14:srgbClr>
                  </w14:solidFill>
                </w14:textFill>
              </w:rPr>
              <w:t>|</w:t>
            </w:r>
            <w:r w:rsidRPr="00EB4495">
              <w:rPr>
                <w:rFonts w:ascii="Arial Narrow" w:eastAsiaTheme="majorEastAsia" w:hAnsi="Arial Narrow" w:cstheme="majorBidi" w:hint="eastAsia"/>
                <w:bCs/>
                <w:color w:val="000000"/>
                <w:w w:val="16"/>
                <w:sz w:val="20"/>
                <w:szCs w:val="20"/>
                <w:fitText w:val="75" w:id="-1435823860"/>
                <w14:textFill>
                  <w14:solidFill>
                    <w14:srgbClr w14:val="000000">
                      <w14:alpha w14:val="100000"/>
                    </w14:srgbClr>
                  </w14:solidFill>
                </w14:textFill>
              </w:rPr>
              <w:t xml:space="preserve">　</w:t>
            </w:r>
          </w:p>
        </w:tc>
        <w:tc>
          <w:tcPr>
            <w:tcW w:w="550" w:type="pct"/>
            <w:tcMar>
              <w:left w:w="28" w:type="dxa"/>
              <w:right w:w="28" w:type="dxa"/>
            </w:tcMar>
            <w:vAlign w:val="center"/>
          </w:tcPr>
          <w:p w14:paraId="168E7235" w14:textId="77777777" w:rsidR="000C5C16" w:rsidRPr="00263163" w:rsidRDefault="000C5C16" w:rsidP="00AA32D6">
            <w:pPr>
              <w:keepNext/>
              <w:keepLines/>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0.58</w:t>
            </w:r>
          </w:p>
        </w:tc>
        <w:tc>
          <w:tcPr>
            <w:tcW w:w="550" w:type="pct"/>
            <w:tcMar>
              <w:left w:w="28" w:type="dxa"/>
              <w:right w:w="28" w:type="dxa"/>
            </w:tcMar>
            <w:vAlign w:val="center"/>
          </w:tcPr>
          <w:p w14:paraId="71C02AD3" w14:textId="270FFBB1" w:rsidR="000C5C16" w:rsidRPr="007D3FBC" w:rsidRDefault="00EB4495" w:rsidP="00AA32D6">
            <w:pPr>
              <w:keepNext/>
              <w:keepLines/>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hint="eastAsia"/>
                <w:bCs/>
                <w:color w:val="000000"/>
                <w:w w:val="22"/>
                <w:sz w:val="20"/>
                <w:szCs w:val="20"/>
                <w:shd w:val="solid" w:color="000000" w:fill="000000"/>
                <w:fitText w:val="100" w:id="-1435823859"/>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22"/>
                <w:sz w:val="20"/>
                <w:szCs w:val="20"/>
                <w:shd w:val="solid" w:color="000000" w:fill="000000"/>
                <w:fitText w:val="100" w:id="-1435823859"/>
                <w14:textFill>
                  <w14:solidFill>
                    <w14:srgbClr w14:val="000000">
                      <w14:alpha w14:val="100000"/>
                    </w14:srgbClr>
                  </w14:solidFill>
                </w14:textFill>
              </w:rPr>
              <w:t>|</w:t>
            </w:r>
            <w:r w:rsidRPr="00EB4495">
              <w:rPr>
                <w:rFonts w:ascii="Arial Narrow" w:eastAsiaTheme="majorEastAsia" w:hAnsi="Arial Narrow" w:cstheme="majorBidi" w:hint="eastAsia"/>
                <w:bCs/>
                <w:color w:val="000000"/>
                <w:spacing w:val="3"/>
                <w:w w:val="22"/>
                <w:sz w:val="20"/>
                <w:szCs w:val="20"/>
                <w:shd w:val="solid" w:color="000000" w:fill="000000"/>
                <w:fitText w:val="100" w:id="-1435823859"/>
                <w14:textFill>
                  <w14:solidFill>
                    <w14:srgbClr w14:val="000000">
                      <w14:alpha w14:val="100000"/>
                    </w14:srgbClr>
                  </w14:solidFill>
                </w14:textFill>
              </w:rPr>
              <w:t xml:space="preserve">　</w:t>
            </w:r>
            <w:r w:rsidR="00451D77" w:rsidRPr="00451D77">
              <w:rPr>
                <w:rFonts w:ascii="Arial Narrow" w:hAnsi="Arial Narrow" w:cs="Times New Roman"/>
                <w:snapToGrid w:val="0"/>
                <w:sz w:val="20"/>
                <w:szCs w:val="20"/>
                <w:vertAlign w:val="superscript"/>
              </w:rPr>
              <w:t>2</w:t>
            </w:r>
          </w:p>
        </w:tc>
        <w:tc>
          <w:tcPr>
            <w:tcW w:w="601" w:type="pct"/>
            <w:tcMar>
              <w:left w:w="28" w:type="dxa"/>
              <w:right w:w="28" w:type="dxa"/>
            </w:tcMar>
            <w:vAlign w:val="center"/>
          </w:tcPr>
          <w:p w14:paraId="7437DD1B" w14:textId="77777777" w:rsidR="000C5C16" w:rsidRPr="00263163" w:rsidRDefault="000C5C16" w:rsidP="00AA32D6">
            <w:pPr>
              <w:keepNext/>
              <w:keepLines/>
              <w:widowControl w:val="0"/>
              <w:jc w:val="center"/>
              <w:rPr>
                <w:rFonts w:ascii="Arial Narrow" w:eastAsiaTheme="majorEastAsia" w:hAnsi="Arial Narrow" w:cstheme="majorBidi"/>
                <w:bCs/>
                <w:sz w:val="20"/>
                <w:szCs w:val="20"/>
              </w:rPr>
            </w:pPr>
            <w:r w:rsidRPr="00263163">
              <w:rPr>
                <w:rFonts w:ascii="Arial Narrow" w:hAnsi="Arial Narrow" w:cs="Calibri"/>
                <w:color w:val="000000"/>
                <w:sz w:val="20"/>
                <w:szCs w:val="20"/>
              </w:rPr>
              <w:t>-6.3%</w:t>
            </w:r>
          </w:p>
        </w:tc>
      </w:tr>
      <w:tr w:rsidR="000C5C16" w:rsidRPr="00E82903" w14:paraId="3BD47147" w14:textId="77777777" w:rsidTr="00EB4495">
        <w:tc>
          <w:tcPr>
            <w:tcW w:w="2749" w:type="pct"/>
            <w:tcMar>
              <w:left w:w="28" w:type="dxa"/>
              <w:right w:w="28" w:type="dxa"/>
            </w:tcMar>
          </w:tcPr>
          <w:p w14:paraId="575CF93C" w14:textId="77777777" w:rsidR="000C5C16" w:rsidRPr="00263163" w:rsidRDefault="000C5C16" w:rsidP="00AA32D6">
            <w:pPr>
              <w:keepNext/>
              <w:keepLines/>
              <w:widowControl w:val="0"/>
              <w:jc w:val="left"/>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 xml:space="preserve">   Relapse: 0.62 (Stein et al. 2019)</w:t>
            </w:r>
          </w:p>
        </w:tc>
        <w:tc>
          <w:tcPr>
            <w:tcW w:w="550" w:type="pct"/>
            <w:shd w:val="solid" w:color="000000" w:fill="000000"/>
            <w:tcMar>
              <w:left w:w="28" w:type="dxa"/>
              <w:right w:w="28" w:type="dxa"/>
            </w:tcMar>
          </w:tcPr>
          <w:p w14:paraId="24D25781" w14:textId="699A5E1D" w:rsidR="000C5C16" w:rsidRPr="005E2E9D" w:rsidRDefault="00EB4495" w:rsidP="00AA32D6">
            <w:pPr>
              <w:keepNext/>
              <w:keepLines/>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hint="eastAsia"/>
                <w:bCs/>
                <w:color w:val="000000"/>
                <w:w w:val="16"/>
                <w:sz w:val="20"/>
                <w:szCs w:val="20"/>
                <w:fitText w:val="75" w:id="-1435823858"/>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16"/>
                <w:sz w:val="20"/>
                <w:szCs w:val="20"/>
                <w:fitText w:val="75" w:id="-1435823858"/>
                <w14:textFill>
                  <w14:solidFill>
                    <w14:srgbClr w14:val="000000">
                      <w14:alpha w14:val="100000"/>
                    </w14:srgbClr>
                  </w14:solidFill>
                </w14:textFill>
              </w:rPr>
              <w:t>|</w:t>
            </w:r>
            <w:r w:rsidRPr="00EB4495">
              <w:rPr>
                <w:rFonts w:ascii="Arial Narrow" w:eastAsiaTheme="majorEastAsia" w:hAnsi="Arial Narrow" w:cstheme="majorBidi" w:hint="eastAsia"/>
                <w:bCs/>
                <w:color w:val="000000"/>
                <w:w w:val="16"/>
                <w:sz w:val="20"/>
                <w:szCs w:val="20"/>
                <w:fitText w:val="75" w:id="-1435823858"/>
                <w14:textFill>
                  <w14:solidFill>
                    <w14:srgbClr w14:val="000000">
                      <w14:alpha w14:val="100000"/>
                    </w14:srgbClr>
                  </w14:solidFill>
                </w14:textFill>
              </w:rPr>
              <w:t xml:space="preserve">　</w:t>
            </w:r>
          </w:p>
        </w:tc>
        <w:tc>
          <w:tcPr>
            <w:tcW w:w="550" w:type="pct"/>
            <w:tcMar>
              <w:left w:w="28" w:type="dxa"/>
              <w:right w:w="28" w:type="dxa"/>
            </w:tcMar>
          </w:tcPr>
          <w:p w14:paraId="3473A823" w14:textId="77777777" w:rsidR="000C5C16" w:rsidRPr="00263163" w:rsidRDefault="000C5C16" w:rsidP="00AA32D6">
            <w:pPr>
              <w:keepNext/>
              <w:keepLines/>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0.55</w:t>
            </w:r>
          </w:p>
        </w:tc>
        <w:tc>
          <w:tcPr>
            <w:tcW w:w="550" w:type="pct"/>
            <w:tcMar>
              <w:left w:w="28" w:type="dxa"/>
              <w:right w:w="28" w:type="dxa"/>
            </w:tcMar>
          </w:tcPr>
          <w:p w14:paraId="54060A00" w14:textId="76C7F2D3" w:rsidR="000C5C16" w:rsidRPr="007D3FBC" w:rsidRDefault="00EB4495" w:rsidP="00AA32D6">
            <w:pPr>
              <w:keepNext/>
              <w:keepLines/>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hint="eastAsia"/>
                <w:bCs/>
                <w:color w:val="000000"/>
                <w:w w:val="22"/>
                <w:sz w:val="20"/>
                <w:szCs w:val="20"/>
                <w:shd w:val="solid" w:color="000000" w:fill="000000"/>
                <w:fitText w:val="100" w:id="-1435823857"/>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22"/>
                <w:sz w:val="20"/>
                <w:szCs w:val="20"/>
                <w:shd w:val="solid" w:color="000000" w:fill="000000"/>
                <w:fitText w:val="100" w:id="-1435823857"/>
                <w14:textFill>
                  <w14:solidFill>
                    <w14:srgbClr w14:val="000000">
                      <w14:alpha w14:val="100000"/>
                    </w14:srgbClr>
                  </w14:solidFill>
                </w14:textFill>
              </w:rPr>
              <w:t>|</w:t>
            </w:r>
            <w:r w:rsidRPr="00EB4495">
              <w:rPr>
                <w:rFonts w:ascii="Arial Narrow" w:eastAsiaTheme="majorEastAsia" w:hAnsi="Arial Narrow" w:cstheme="majorBidi" w:hint="eastAsia"/>
                <w:bCs/>
                <w:color w:val="000000"/>
                <w:spacing w:val="3"/>
                <w:w w:val="22"/>
                <w:sz w:val="20"/>
                <w:szCs w:val="20"/>
                <w:shd w:val="solid" w:color="000000" w:fill="000000"/>
                <w:fitText w:val="100" w:id="-1435823857"/>
                <w14:textFill>
                  <w14:solidFill>
                    <w14:srgbClr w14:val="000000">
                      <w14:alpha w14:val="100000"/>
                    </w14:srgbClr>
                  </w14:solidFill>
                </w14:textFill>
              </w:rPr>
              <w:t xml:space="preserve">　</w:t>
            </w:r>
            <w:r w:rsidR="00451D77">
              <w:rPr>
                <w:rFonts w:ascii="Arial Narrow" w:eastAsiaTheme="majorEastAsia" w:hAnsi="Arial Narrow" w:cstheme="majorBidi"/>
                <w:b/>
                <w:bCs/>
                <w:sz w:val="20"/>
                <w:szCs w:val="20"/>
                <w:vertAlign w:val="superscript"/>
              </w:rPr>
              <w:t>1</w:t>
            </w:r>
          </w:p>
        </w:tc>
        <w:tc>
          <w:tcPr>
            <w:tcW w:w="601" w:type="pct"/>
            <w:shd w:val="clear" w:color="auto" w:fill="auto"/>
            <w:tcMar>
              <w:left w:w="28" w:type="dxa"/>
              <w:right w:w="28" w:type="dxa"/>
            </w:tcMar>
            <w:vAlign w:val="center"/>
          </w:tcPr>
          <w:p w14:paraId="06BA8030" w14:textId="77777777" w:rsidR="000C5C16" w:rsidRPr="00263163" w:rsidRDefault="000C5C16" w:rsidP="00AA32D6">
            <w:pPr>
              <w:keepNext/>
              <w:keepLines/>
              <w:widowControl w:val="0"/>
              <w:jc w:val="center"/>
              <w:rPr>
                <w:rFonts w:ascii="Arial Narrow" w:eastAsiaTheme="majorEastAsia" w:hAnsi="Arial Narrow" w:cstheme="majorBidi"/>
                <w:bCs/>
                <w:sz w:val="20"/>
                <w:szCs w:val="20"/>
              </w:rPr>
            </w:pPr>
            <w:r w:rsidRPr="00263163">
              <w:rPr>
                <w:rFonts w:ascii="Arial Narrow" w:hAnsi="Arial Narrow" w:cs="Calibri"/>
                <w:color w:val="000000"/>
                <w:sz w:val="20"/>
                <w:szCs w:val="20"/>
              </w:rPr>
              <w:t>-0.4%</w:t>
            </w:r>
          </w:p>
        </w:tc>
      </w:tr>
      <w:tr w:rsidR="000C5C16" w:rsidRPr="009F1C21" w14:paraId="0E10CA90" w14:textId="77777777" w:rsidTr="00AA32D6">
        <w:tc>
          <w:tcPr>
            <w:tcW w:w="5000" w:type="pct"/>
            <w:gridSpan w:val="5"/>
            <w:tcMar>
              <w:left w:w="28" w:type="dxa"/>
              <w:right w:w="28" w:type="dxa"/>
            </w:tcMar>
            <w:vAlign w:val="center"/>
          </w:tcPr>
          <w:p w14:paraId="600A8157" w14:textId="77777777" w:rsidR="000C5C16" w:rsidRPr="00263163" w:rsidRDefault="000C5C16" w:rsidP="00AA32D6">
            <w:pPr>
              <w:keepNext/>
              <w:keepLines/>
              <w:widowControl w:val="0"/>
              <w:jc w:val="left"/>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Extrapolation (base case RFS: log-logistic; OS: log-normal extrapolation)</w:t>
            </w:r>
          </w:p>
        </w:tc>
      </w:tr>
      <w:tr w:rsidR="000C5C16" w:rsidRPr="00E82903" w14:paraId="62FDC83A" w14:textId="77777777" w:rsidTr="00EB4495">
        <w:tc>
          <w:tcPr>
            <w:tcW w:w="2749" w:type="pct"/>
            <w:tcMar>
              <w:left w:w="28" w:type="dxa"/>
              <w:right w:w="28" w:type="dxa"/>
            </w:tcMar>
          </w:tcPr>
          <w:p w14:paraId="3537B5A1" w14:textId="77777777" w:rsidR="000C5C16" w:rsidRPr="00263163" w:rsidRDefault="000C5C16" w:rsidP="00AA32D6">
            <w:pPr>
              <w:keepNext/>
              <w:keepLines/>
              <w:widowControl w:val="0"/>
              <w:jc w:val="left"/>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 xml:space="preserve">   RFS: log-normal (next best fit AIC and BIC)</w:t>
            </w:r>
          </w:p>
        </w:tc>
        <w:tc>
          <w:tcPr>
            <w:tcW w:w="550" w:type="pct"/>
            <w:tcBorders>
              <w:bottom w:val="single" w:sz="4" w:space="0" w:color="auto"/>
            </w:tcBorders>
            <w:shd w:val="solid" w:color="000000" w:fill="000000"/>
            <w:tcMar>
              <w:left w:w="28" w:type="dxa"/>
              <w:right w:w="28" w:type="dxa"/>
            </w:tcMar>
          </w:tcPr>
          <w:p w14:paraId="353FA79F" w14:textId="27020035" w:rsidR="000C5C16" w:rsidRPr="005E2E9D" w:rsidRDefault="00EB4495" w:rsidP="00AA32D6">
            <w:pPr>
              <w:keepNext/>
              <w:keepLines/>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hint="eastAsia"/>
                <w:bCs/>
                <w:color w:val="000000"/>
                <w:w w:val="16"/>
                <w:sz w:val="20"/>
                <w:szCs w:val="20"/>
                <w:fitText w:val="75" w:id="-1435823856"/>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16"/>
                <w:sz w:val="20"/>
                <w:szCs w:val="20"/>
                <w:fitText w:val="75" w:id="-1435823856"/>
                <w14:textFill>
                  <w14:solidFill>
                    <w14:srgbClr w14:val="000000">
                      <w14:alpha w14:val="100000"/>
                    </w14:srgbClr>
                  </w14:solidFill>
                </w14:textFill>
              </w:rPr>
              <w:t>|</w:t>
            </w:r>
            <w:r w:rsidRPr="00EB4495">
              <w:rPr>
                <w:rFonts w:ascii="Arial Narrow" w:eastAsiaTheme="majorEastAsia" w:hAnsi="Arial Narrow" w:cstheme="majorBidi" w:hint="eastAsia"/>
                <w:bCs/>
                <w:color w:val="000000"/>
                <w:w w:val="16"/>
                <w:sz w:val="20"/>
                <w:szCs w:val="20"/>
                <w:fitText w:val="75" w:id="-1435823856"/>
                <w14:textFill>
                  <w14:solidFill>
                    <w14:srgbClr w14:val="000000">
                      <w14:alpha w14:val="100000"/>
                    </w14:srgbClr>
                  </w14:solidFill>
                </w14:textFill>
              </w:rPr>
              <w:t xml:space="preserve">　</w:t>
            </w:r>
          </w:p>
        </w:tc>
        <w:tc>
          <w:tcPr>
            <w:tcW w:w="550" w:type="pct"/>
            <w:tcMar>
              <w:left w:w="28" w:type="dxa"/>
              <w:right w:w="28" w:type="dxa"/>
            </w:tcMar>
          </w:tcPr>
          <w:p w14:paraId="660E5933" w14:textId="77777777" w:rsidR="000C5C16" w:rsidRPr="00263163" w:rsidRDefault="000C5C16" w:rsidP="00AA32D6">
            <w:pPr>
              <w:keepNext/>
              <w:keepLines/>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0.57</w:t>
            </w:r>
          </w:p>
        </w:tc>
        <w:tc>
          <w:tcPr>
            <w:tcW w:w="550" w:type="pct"/>
            <w:tcMar>
              <w:left w:w="28" w:type="dxa"/>
              <w:right w:w="28" w:type="dxa"/>
            </w:tcMar>
          </w:tcPr>
          <w:p w14:paraId="4F80DC95" w14:textId="412A6973" w:rsidR="000C5C16" w:rsidRPr="007D3FBC" w:rsidRDefault="00EB4495" w:rsidP="00AA32D6">
            <w:pPr>
              <w:keepNext/>
              <w:keepLines/>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hint="eastAsia"/>
                <w:bCs/>
                <w:color w:val="000000"/>
                <w:w w:val="22"/>
                <w:sz w:val="20"/>
                <w:szCs w:val="20"/>
                <w:shd w:val="solid" w:color="000000" w:fill="000000"/>
                <w:fitText w:val="100" w:id="-1435823872"/>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22"/>
                <w:sz w:val="20"/>
                <w:szCs w:val="20"/>
                <w:shd w:val="solid" w:color="000000" w:fill="000000"/>
                <w:fitText w:val="100" w:id="-1435823872"/>
                <w14:textFill>
                  <w14:solidFill>
                    <w14:srgbClr w14:val="000000">
                      <w14:alpha w14:val="100000"/>
                    </w14:srgbClr>
                  </w14:solidFill>
                </w14:textFill>
              </w:rPr>
              <w:t>|</w:t>
            </w:r>
            <w:r w:rsidRPr="00EB4495">
              <w:rPr>
                <w:rFonts w:ascii="Arial Narrow" w:eastAsiaTheme="majorEastAsia" w:hAnsi="Arial Narrow" w:cstheme="majorBidi" w:hint="eastAsia"/>
                <w:bCs/>
                <w:color w:val="000000"/>
                <w:spacing w:val="3"/>
                <w:w w:val="22"/>
                <w:sz w:val="20"/>
                <w:szCs w:val="20"/>
                <w:shd w:val="solid" w:color="000000" w:fill="000000"/>
                <w:fitText w:val="100" w:id="-1435823872"/>
                <w14:textFill>
                  <w14:solidFill>
                    <w14:srgbClr w14:val="000000">
                      <w14:alpha w14:val="100000"/>
                    </w14:srgbClr>
                  </w14:solidFill>
                </w14:textFill>
              </w:rPr>
              <w:t xml:space="preserve">　</w:t>
            </w:r>
            <w:r w:rsidR="00451D77">
              <w:rPr>
                <w:rFonts w:ascii="Arial Narrow" w:eastAsiaTheme="majorEastAsia" w:hAnsi="Arial Narrow" w:cstheme="majorBidi"/>
                <w:b/>
                <w:bCs/>
                <w:sz w:val="20"/>
                <w:szCs w:val="20"/>
                <w:vertAlign w:val="superscript"/>
              </w:rPr>
              <w:t>1</w:t>
            </w:r>
          </w:p>
        </w:tc>
        <w:tc>
          <w:tcPr>
            <w:tcW w:w="601" w:type="pct"/>
            <w:shd w:val="clear" w:color="auto" w:fill="auto"/>
            <w:tcMar>
              <w:left w:w="28" w:type="dxa"/>
              <w:right w:w="28" w:type="dxa"/>
            </w:tcMar>
          </w:tcPr>
          <w:p w14:paraId="1D9B1EEA" w14:textId="77777777" w:rsidR="000C5C16" w:rsidRPr="00263163" w:rsidRDefault="000C5C16" w:rsidP="00AA32D6">
            <w:pPr>
              <w:keepNext/>
              <w:keepLines/>
              <w:widowControl w:val="0"/>
              <w:jc w:val="center"/>
              <w:rPr>
                <w:rFonts w:ascii="Arial Narrow" w:eastAsiaTheme="majorEastAsia" w:hAnsi="Arial Narrow" w:cstheme="majorBidi"/>
                <w:bCs/>
                <w:sz w:val="20"/>
                <w:szCs w:val="20"/>
              </w:rPr>
            </w:pPr>
            <w:r w:rsidRPr="00263163">
              <w:rPr>
                <w:rFonts w:ascii="Arial Narrow" w:hAnsi="Arial Narrow" w:cs="Calibri"/>
                <w:color w:val="000000"/>
                <w:sz w:val="20"/>
                <w:szCs w:val="20"/>
              </w:rPr>
              <w:t>-4.5%</w:t>
            </w:r>
          </w:p>
        </w:tc>
      </w:tr>
      <w:tr w:rsidR="000C5C16" w:rsidRPr="00E82903" w14:paraId="20FDD591" w14:textId="77777777" w:rsidTr="00EB4495">
        <w:tc>
          <w:tcPr>
            <w:tcW w:w="2749" w:type="pct"/>
            <w:tcMar>
              <w:left w:w="28" w:type="dxa"/>
              <w:right w:w="28" w:type="dxa"/>
            </w:tcMar>
          </w:tcPr>
          <w:p w14:paraId="3CF75560" w14:textId="77777777" w:rsidR="000C5C16" w:rsidRPr="00263163" w:rsidRDefault="000C5C16" w:rsidP="00AA32D6">
            <w:pPr>
              <w:keepNext/>
              <w:keepLines/>
              <w:widowControl w:val="0"/>
              <w:jc w:val="left"/>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 xml:space="preserve">   OS: log-logistic (next best fit AIC and BIC)</w:t>
            </w:r>
          </w:p>
        </w:tc>
        <w:tc>
          <w:tcPr>
            <w:tcW w:w="550" w:type="pct"/>
            <w:shd w:val="solid" w:color="000000" w:fill="000000"/>
            <w:tcMar>
              <w:left w:w="28" w:type="dxa"/>
              <w:right w:w="28" w:type="dxa"/>
            </w:tcMar>
          </w:tcPr>
          <w:p w14:paraId="77932AD3" w14:textId="4CB53483" w:rsidR="000C5C16" w:rsidRPr="005E2E9D" w:rsidRDefault="00EB4495" w:rsidP="00AA32D6">
            <w:pPr>
              <w:keepNext/>
              <w:keepLines/>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hint="eastAsia"/>
                <w:bCs/>
                <w:color w:val="000000"/>
                <w:w w:val="16"/>
                <w:sz w:val="20"/>
                <w:szCs w:val="20"/>
                <w:fitText w:val="75" w:id="-1435823871"/>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16"/>
                <w:sz w:val="20"/>
                <w:szCs w:val="20"/>
                <w:fitText w:val="75" w:id="-1435823871"/>
                <w14:textFill>
                  <w14:solidFill>
                    <w14:srgbClr w14:val="000000">
                      <w14:alpha w14:val="100000"/>
                    </w14:srgbClr>
                  </w14:solidFill>
                </w14:textFill>
              </w:rPr>
              <w:t>|</w:t>
            </w:r>
            <w:r w:rsidRPr="00EB4495">
              <w:rPr>
                <w:rFonts w:ascii="Arial Narrow" w:eastAsiaTheme="majorEastAsia" w:hAnsi="Arial Narrow" w:cstheme="majorBidi" w:hint="eastAsia"/>
                <w:bCs/>
                <w:color w:val="000000"/>
                <w:w w:val="16"/>
                <w:sz w:val="20"/>
                <w:szCs w:val="20"/>
                <w:fitText w:val="75" w:id="-1435823871"/>
                <w14:textFill>
                  <w14:solidFill>
                    <w14:srgbClr w14:val="000000">
                      <w14:alpha w14:val="100000"/>
                    </w14:srgbClr>
                  </w14:solidFill>
                </w14:textFill>
              </w:rPr>
              <w:t xml:space="preserve">　</w:t>
            </w:r>
          </w:p>
        </w:tc>
        <w:tc>
          <w:tcPr>
            <w:tcW w:w="550" w:type="pct"/>
            <w:tcMar>
              <w:left w:w="28" w:type="dxa"/>
              <w:right w:w="28" w:type="dxa"/>
            </w:tcMar>
          </w:tcPr>
          <w:p w14:paraId="63DED085" w14:textId="77777777" w:rsidR="000C5C16" w:rsidRPr="00263163" w:rsidRDefault="000C5C16" w:rsidP="00AA32D6">
            <w:pPr>
              <w:keepNext/>
              <w:keepLines/>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0.50</w:t>
            </w:r>
          </w:p>
        </w:tc>
        <w:tc>
          <w:tcPr>
            <w:tcW w:w="550" w:type="pct"/>
            <w:tcMar>
              <w:left w:w="28" w:type="dxa"/>
              <w:right w:w="28" w:type="dxa"/>
            </w:tcMar>
          </w:tcPr>
          <w:p w14:paraId="75F25F7F" w14:textId="66D06E82" w:rsidR="000C5C16" w:rsidRPr="007D3FBC" w:rsidRDefault="00EB4495" w:rsidP="00AA32D6">
            <w:pPr>
              <w:keepNext/>
              <w:keepLines/>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hint="eastAsia"/>
                <w:bCs/>
                <w:color w:val="000000"/>
                <w:w w:val="22"/>
                <w:sz w:val="20"/>
                <w:szCs w:val="20"/>
                <w:shd w:val="solid" w:color="000000" w:fill="000000"/>
                <w:fitText w:val="100" w:id="-1435823870"/>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22"/>
                <w:sz w:val="20"/>
                <w:szCs w:val="20"/>
                <w:shd w:val="solid" w:color="000000" w:fill="000000"/>
                <w:fitText w:val="100" w:id="-1435823870"/>
                <w14:textFill>
                  <w14:solidFill>
                    <w14:srgbClr w14:val="000000">
                      <w14:alpha w14:val="100000"/>
                    </w14:srgbClr>
                  </w14:solidFill>
                </w14:textFill>
              </w:rPr>
              <w:t>|</w:t>
            </w:r>
            <w:r w:rsidRPr="00EB4495">
              <w:rPr>
                <w:rFonts w:ascii="Arial Narrow" w:eastAsiaTheme="majorEastAsia" w:hAnsi="Arial Narrow" w:cstheme="majorBidi" w:hint="eastAsia"/>
                <w:bCs/>
                <w:color w:val="000000"/>
                <w:spacing w:val="3"/>
                <w:w w:val="22"/>
                <w:sz w:val="20"/>
                <w:szCs w:val="20"/>
                <w:shd w:val="solid" w:color="000000" w:fill="000000"/>
                <w:fitText w:val="100" w:id="-1435823870"/>
                <w14:textFill>
                  <w14:solidFill>
                    <w14:srgbClr w14:val="000000">
                      <w14:alpha w14:val="100000"/>
                    </w14:srgbClr>
                  </w14:solidFill>
                </w14:textFill>
              </w:rPr>
              <w:t xml:space="preserve">　</w:t>
            </w:r>
            <w:r w:rsidR="00451D77">
              <w:rPr>
                <w:rFonts w:ascii="Arial Narrow" w:eastAsiaTheme="majorEastAsia" w:hAnsi="Arial Narrow" w:cstheme="majorBidi"/>
                <w:b/>
                <w:bCs/>
                <w:sz w:val="20"/>
                <w:szCs w:val="20"/>
                <w:vertAlign w:val="superscript"/>
              </w:rPr>
              <w:t>1</w:t>
            </w:r>
          </w:p>
        </w:tc>
        <w:tc>
          <w:tcPr>
            <w:tcW w:w="601" w:type="pct"/>
            <w:shd w:val="clear" w:color="auto" w:fill="auto"/>
            <w:tcMar>
              <w:left w:w="28" w:type="dxa"/>
              <w:right w:w="28" w:type="dxa"/>
            </w:tcMar>
          </w:tcPr>
          <w:p w14:paraId="6E467B87" w14:textId="77777777" w:rsidR="000C5C16" w:rsidRPr="00263163" w:rsidRDefault="000C5C16" w:rsidP="00AA32D6">
            <w:pPr>
              <w:keepNext/>
              <w:keepLines/>
              <w:widowControl w:val="0"/>
              <w:jc w:val="center"/>
              <w:rPr>
                <w:rFonts w:ascii="Arial Narrow" w:eastAsiaTheme="majorEastAsia" w:hAnsi="Arial Narrow" w:cstheme="majorBidi"/>
                <w:bCs/>
                <w:sz w:val="20"/>
                <w:szCs w:val="20"/>
              </w:rPr>
            </w:pPr>
            <w:r w:rsidRPr="00263163">
              <w:rPr>
                <w:rFonts w:ascii="Arial Narrow" w:hAnsi="Arial Narrow" w:cs="Calibri"/>
                <w:color w:val="000000"/>
                <w:sz w:val="20"/>
                <w:szCs w:val="20"/>
              </w:rPr>
              <w:t>+6.5%</w:t>
            </w:r>
          </w:p>
        </w:tc>
      </w:tr>
      <w:tr w:rsidR="000C5C16" w:rsidRPr="009F1C21" w14:paraId="4F3BB163" w14:textId="77777777" w:rsidTr="00AA32D6">
        <w:tc>
          <w:tcPr>
            <w:tcW w:w="5000" w:type="pct"/>
            <w:gridSpan w:val="5"/>
            <w:tcMar>
              <w:left w:w="28" w:type="dxa"/>
              <w:right w:w="28" w:type="dxa"/>
            </w:tcMar>
          </w:tcPr>
          <w:p w14:paraId="44F6E854" w14:textId="77777777" w:rsidR="000C5C16" w:rsidRPr="00263163" w:rsidRDefault="000C5C16" w:rsidP="00AA32D6">
            <w:pPr>
              <w:keepNext/>
              <w:keepLines/>
              <w:widowControl w:val="0"/>
              <w:jc w:val="left"/>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Extrapolation point (base case OS: 69 cycles; RFS: 35 cycles)</w:t>
            </w:r>
            <w:r w:rsidRPr="00263163">
              <w:rPr>
                <w:rFonts w:ascii="Arial Narrow" w:hAnsi="Arial Narrow" w:cs="Calibri"/>
                <w:color w:val="000000"/>
                <w:sz w:val="20"/>
                <w:szCs w:val="20"/>
              </w:rPr>
              <w:t> </w:t>
            </w:r>
          </w:p>
        </w:tc>
      </w:tr>
      <w:tr w:rsidR="000C5C16" w:rsidRPr="00E82903" w14:paraId="032F2AC6" w14:textId="77777777" w:rsidTr="00EB4495">
        <w:tc>
          <w:tcPr>
            <w:tcW w:w="2749" w:type="pct"/>
            <w:tcMar>
              <w:left w:w="28" w:type="dxa"/>
              <w:right w:w="28" w:type="dxa"/>
            </w:tcMar>
          </w:tcPr>
          <w:p w14:paraId="4010F8C2" w14:textId="77777777" w:rsidR="000C5C16" w:rsidRPr="00263163" w:rsidRDefault="000C5C16" w:rsidP="00AA32D6">
            <w:pPr>
              <w:keepNext/>
              <w:keepLines/>
              <w:widowControl w:val="0"/>
              <w:jc w:val="left"/>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 xml:space="preserve">   OS and RFS: 1 cycle</w:t>
            </w:r>
          </w:p>
        </w:tc>
        <w:tc>
          <w:tcPr>
            <w:tcW w:w="550" w:type="pct"/>
            <w:tcBorders>
              <w:bottom w:val="single" w:sz="4" w:space="0" w:color="auto"/>
            </w:tcBorders>
            <w:shd w:val="solid" w:color="000000" w:fill="000000"/>
            <w:tcMar>
              <w:left w:w="28" w:type="dxa"/>
              <w:right w:w="28" w:type="dxa"/>
            </w:tcMar>
          </w:tcPr>
          <w:p w14:paraId="6624037D" w14:textId="0065FFE0" w:rsidR="000C5C16" w:rsidRPr="005E2E9D" w:rsidRDefault="00EB4495" w:rsidP="00AA32D6">
            <w:pPr>
              <w:keepNext/>
              <w:keepLines/>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hint="eastAsia"/>
                <w:bCs/>
                <w:color w:val="000000"/>
                <w:w w:val="16"/>
                <w:sz w:val="20"/>
                <w:szCs w:val="20"/>
                <w:fitText w:val="75" w:id="-1435823869"/>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16"/>
                <w:sz w:val="20"/>
                <w:szCs w:val="20"/>
                <w:fitText w:val="75" w:id="-1435823869"/>
                <w14:textFill>
                  <w14:solidFill>
                    <w14:srgbClr w14:val="000000">
                      <w14:alpha w14:val="100000"/>
                    </w14:srgbClr>
                  </w14:solidFill>
                </w14:textFill>
              </w:rPr>
              <w:t>|</w:t>
            </w:r>
            <w:r w:rsidRPr="00EB4495">
              <w:rPr>
                <w:rFonts w:ascii="Arial Narrow" w:eastAsiaTheme="majorEastAsia" w:hAnsi="Arial Narrow" w:cstheme="majorBidi" w:hint="eastAsia"/>
                <w:bCs/>
                <w:color w:val="000000"/>
                <w:w w:val="16"/>
                <w:sz w:val="20"/>
                <w:szCs w:val="20"/>
                <w:fitText w:val="75" w:id="-1435823869"/>
                <w14:textFill>
                  <w14:solidFill>
                    <w14:srgbClr w14:val="000000">
                      <w14:alpha w14:val="100000"/>
                    </w14:srgbClr>
                  </w14:solidFill>
                </w14:textFill>
              </w:rPr>
              <w:t xml:space="preserve">　</w:t>
            </w:r>
          </w:p>
        </w:tc>
        <w:tc>
          <w:tcPr>
            <w:tcW w:w="550" w:type="pct"/>
            <w:tcMar>
              <w:left w:w="28" w:type="dxa"/>
              <w:right w:w="28" w:type="dxa"/>
            </w:tcMar>
          </w:tcPr>
          <w:p w14:paraId="0EA6CA86" w14:textId="77777777" w:rsidR="000C5C16" w:rsidRPr="00263163" w:rsidRDefault="000C5C16" w:rsidP="00AA32D6">
            <w:pPr>
              <w:keepNext/>
              <w:keepLines/>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0.56</w:t>
            </w:r>
          </w:p>
        </w:tc>
        <w:tc>
          <w:tcPr>
            <w:tcW w:w="550" w:type="pct"/>
            <w:tcMar>
              <w:left w:w="28" w:type="dxa"/>
              <w:right w:w="28" w:type="dxa"/>
            </w:tcMar>
          </w:tcPr>
          <w:p w14:paraId="2FB430AD" w14:textId="4F3EA4A1" w:rsidR="000C5C16" w:rsidRPr="007D3FBC" w:rsidRDefault="00EB4495" w:rsidP="00AA32D6">
            <w:pPr>
              <w:keepNext/>
              <w:keepLines/>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hint="eastAsia"/>
                <w:bCs/>
                <w:color w:val="000000"/>
                <w:w w:val="22"/>
                <w:sz w:val="20"/>
                <w:szCs w:val="20"/>
                <w:shd w:val="solid" w:color="000000" w:fill="000000"/>
                <w:fitText w:val="100" w:id="-1435823868"/>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22"/>
                <w:sz w:val="20"/>
                <w:szCs w:val="20"/>
                <w:shd w:val="solid" w:color="000000" w:fill="000000"/>
                <w:fitText w:val="100" w:id="-1435823868"/>
                <w14:textFill>
                  <w14:solidFill>
                    <w14:srgbClr w14:val="000000">
                      <w14:alpha w14:val="100000"/>
                    </w14:srgbClr>
                  </w14:solidFill>
                </w14:textFill>
              </w:rPr>
              <w:t>|</w:t>
            </w:r>
            <w:r w:rsidRPr="00EB4495">
              <w:rPr>
                <w:rFonts w:ascii="Arial Narrow" w:eastAsiaTheme="majorEastAsia" w:hAnsi="Arial Narrow" w:cstheme="majorBidi" w:hint="eastAsia"/>
                <w:bCs/>
                <w:color w:val="000000"/>
                <w:spacing w:val="3"/>
                <w:w w:val="22"/>
                <w:sz w:val="20"/>
                <w:szCs w:val="20"/>
                <w:shd w:val="solid" w:color="000000" w:fill="000000"/>
                <w:fitText w:val="100" w:id="-1435823868"/>
                <w14:textFill>
                  <w14:solidFill>
                    <w14:srgbClr w14:val="000000">
                      <w14:alpha w14:val="100000"/>
                    </w14:srgbClr>
                  </w14:solidFill>
                </w14:textFill>
              </w:rPr>
              <w:t xml:space="preserve">　</w:t>
            </w:r>
            <w:r w:rsidR="00451D77">
              <w:rPr>
                <w:rFonts w:ascii="Arial Narrow" w:eastAsiaTheme="majorEastAsia" w:hAnsi="Arial Narrow" w:cstheme="majorBidi"/>
                <w:b/>
                <w:bCs/>
                <w:sz w:val="20"/>
                <w:szCs w:val="20"/>
                <w:vertAlign w:val="superscript"/>
              </w:rPr>
              <w:t>1</w:t>
            </w:r>
          </w:p>
        </w:tc>
        <w:tc>
          <w:tcPr>
            <w:tcW w:w="601" w:type="pct"/>
            <w:shd w:val="clear" w:color="auto" w:fill="auto"/>
            <w:tcMar>
              <w:left w:w="28" w:type="dxa"/>
              <w:right w:w="28" w:type="dxa"/>
            </w:tcMar>
            <w:vAlign w:val="center"/>
          </w:tcPr>
          <w:p w14:paraId="2EBC26F4" w14:textId="77777777" w:rsidR="000C5C16" w:rsidRPr="00263163" w:rsidRDefault="000C5C16" w:rsidP="00AA32D6">
            <w:pPr>
              <w:keepNext/>
              <w:keepLines/>
              <w:widowControl w:val="0"/>
              <w:jc w:val="center"/>
              <w:rPr>
                <w:rFonts w:ascii="Arial Narrow" w:eastAsiaTheme="majorEastAsia" w:hAnsi="Arial Narrow" w:cstheme="majorBidi"/>
                <w:bCs/>
                <w:sz w:val="20"/>
                <w:szCs w:val="20"/>
              </w:rPr>
            </w:pPr>
            <w:r w:rsidRPr="00263163">
              <w:rPr>
                <w:rFonts w:ascii="Arial Narrow" w:hAnsi="Arial Narrow" w:cs="Calibri"/>
                <w:color w:val="000000"/>
                <w:sz w:val="20"/>
                <w:szCs w:val="20"/>
              </w:rPr>
              <w:t>-3.0%</w:t>
            </w:r>
          </w:p>
        </w:tc>
      </w:tr>
      <w:tr w:rsidR="000C5C16" w:rsidRPr="00E82903" w14:paraId="2DE94E3E" w14:textId="77777777" w:rsidTr="00EB4495">
        <w:tc>
          <w:tcPr>
            <w:tcW w:w="2749" w:type="pct"/>
            <w:tcMar>
              <w:left w:w="28" w:type="dxa"/>
              <w:right w:w="28" w:type="dxa"/>
            </w:tcMar>
          </w:tcPr>
          <w:p w14:paraId="43889006" w14:textId="77777777" w:rsidR="000C5C16" w:rsidRPr="00263163" w:rsidRDefault="000C5C16" w:rsidP="00AA32D6">
            <w:pPr>
              <w:keepNext/>
              <w:keepLines/>
              <w:widowControl w:val="0"/>
              <w:jc w:val="left"/>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 xml:space="preserve">   OS: 55 cycles (median OS follow up)</w:t>
            </w:r>
          </w:p>
        </w:tc>
        <w:tc>
          <w:tcPr>
            <w:tcW w:w="550" w:type="pct"/>
            <w:shd w:val="solid" w:color="000000" w:fill="000000"/>
            <w:tcMar>
              <w:left w:w="28" w:type="dxa"/>
              <w:right w:w="28" w:type="dxa"/>
            </w:tcMar>
          </w:tcPr>
          <w:p w14:paraId="690A0275" w14:textId="6541F6EA" w:rsidR="000C5C16" w:rsidRPr="005E2E9D" w:rsidRDefault="00EB4495" w:rsidP="00AA32D6">
            <w:pPr>
              <w:keepNext/>
              <w:keepLines/>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hint="eastAsia"/>
                <w:bCs/>
                <w:color w:val="000000"/>
                <w:w w:val="16"/>
                <w:sz w:val="20"/>
                <w:szCs w:val="20"/>
                <w:fitText w:val="75" w:id="-1435823867"/>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16"/>
                <w:sz w:val="20"/>
                <w:szCs w:val="20"/>
                <w:fitText w:val="75" w:id="-1435823867"/>
                <w14:textFill>
                  <w14:solidFill>
                    <w14:srgbClr w14:val="000000">
                      <w14:alpha w14:val="100000"/>
                    </w14:srgbClr>
                  </w14:solidFill>
                </w14:textFill>
              </w:rPr>
              <w:t>|</w:t>
            </w:r>
            <w:r w:rsidRPr="00EB4495">
              <w:rPr>
                <w:rFonts w:ascii="Arial Narrow" w:eastAsiaTheme="majorEastAsia" w:hAnsi="Arial Narrow" w:cstheme="majorBidi" w:hint="eastAsia"/>
                <w:bCs/>
                <w:color w:val="000000"/>
                <w:w w:val="16"/>
                <w:sz w:val="20"/>
                <w:szCs w:val="20"/>
                <w:fitText w:val="75" w:id="-1435823867"/>
                <w14:textFill>
                  <w14:solidFill>
                    <w14:srgbClr w14:val="000000">
                      <w14:alpha w14:val="100000"/>
                    </w14:srgbClr>
                  </w14:solidFill>
                </w14:textFill>
              </w:rPr>
              <w:t xml:space="preserve">　</w:t>
            </w:r>
          </w:p>
        </w:tc>
        <w:tc>
          <w:tcPr>
            <w:tcW w:w="550" w:type="pct"/>
            <w:tcMar>
              <w:left w:w="28" w:type="dxa"/>
              <w:right w:w="28" w:type="dxa"/>
            </w:tcMar>
          </w:tcPr>
          <w:p w14:paraId="400D2FE6" w14:textId="77777777" w:rsidR="000C5C16" w:rsidRPr="00263163" w:rsidRDefault="000C5C16" w:rsidP="00AA32D6">
            <w:pPr>
              <w:keepNext/>
              <w:keepLines/>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0.50</w:t>
            </w:r>
          </w:p>
        </w:tc>
        <w:tc>
          <w:tcPr>
            <w:tcW w:w="550" w:type="pct"/>
            <w:tcMar>
              <w:left w:w="28" w:type="dxa"/>
              <w:right w:w="28" w:type="dxa"/>
            </w:tcMar>
          </w:tcPr>
          <w:p w14:paraId="54F36BE3" w14:textId="379A53C0" w:rsidR="000C5C16" w:rsidRPr="007D3FBC" w:rsidRDefault="00EB4495" w:rsidP="00AA32D6">
            <w:pPr>
              <w:keepNext/>
              <w:keepLines/>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hint="eastAsia"/>
                <w:bCs/>
                <w:color w:val="000000"/>
                <w:w w:val="22"/>
                <w:sz w:val="20"/>
                <w:szCs w:val="20"/>
                <w:shd w:val="solid" w:color="000000" w:fill="000000"/>
                <w:fitText w:val="100" w:id="-1435823866"/>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22"/>
                <w:sz w:val="20"/>
                <w:szCs w:val="20"/>
                <w:shd w:val="solid" w:color="000000" w:fill="000000"/>
                <w:fitText w:val="100" w:id="-1435823866"/>
                <w14:textFill>
                  <w14:solidFill>
                    <w14:srgbClr w14:val="000000">
                      <w14:alpha w14:val="100000"/>
                    </w14:srgbClr>
                  </w14:solidFill>
                </w14:textFill>
              </w:rPr>
              <w:t>|</w:t>
            </w:r>
            <w:r w:rsidRPr="00EB4495">
              <w:rPr>
                <w:rFonts w:ascii="Arial Narrow" w:eastAsiaTheme="majorEastAsia" w:hAnsi="Arial Narrow" w:cstheme="majorBidi" w:hint="eastAsia"/>
                <w:bCs/>
                <w:color w:val="000000"/>
                <w:spacing w:val="3"/>
                <w:w w:val="22"/>
                <w:sz w:val="20"/>
                <w:szCs w:val="20"/>
                <w:shd w:val="solid" w:color="000000" w:fill="000000"/>
                <w:fitText w:val="100" w:id="-1435823866"/>
                <w14:textFill>
                  <w14:solidFill>
                    <w14:srgbClr w14:val="000000">
                      <w14:alpha w14:val="100000"/>
                    </w14:srgbClr>
                  </w14:solidFill>
                </w14:textFill>
              </w:rPr>
              <w:t xml:space="preserve">　</w:t>
            </w:r>
            <w:r w:rsidR="00451D77">
              <w:rPr>
                <w:rFonts w:ascii="Arial Narrow" w:eastAsiaTheme="majorEastAsia" w:hAnsi="Arial Narrow" w:cstheme="majorBidi"/>
                <w:b/>
                <w:bCs/>
                <w:sz w:val="20"/>
                <w:szCs w:val="20"/>
                <w:vertAlign w:val="superscript"/>
              </w:rPr>
              <w:t>1</w:t>
            </w:r>
          </w:p>
        </w:tc>
        <w:tc>
          <w:tcPr>
            <w:tcW w:w="601" w:type="pct"/>
            <w:shd w:val="clear" w:color="auto" w:fill="auto"/>
            <w:tcMar>
              <w:left w:w="28" w:type="dxa"/>
              <w:right w:w="28" w:type="dxa"/>
            </w:tcMar>
          </w:tcPr>
          <w:p w14:paraId="197EBB6F" w14:textId="77777777" w:rsidR="000C5C16" w:rsidRPr="00263163" w:rsidRDefault="000C5C16" w:rsidP="00AA32D6">
            <w:pPr>
              <w:keepNext/>
              <w:keepLines/>
              <w:widowControl w:val="0"/>
              <w:jc w:val="center"/>
              <w:rPr>
                <w:rFonts w:ascii="Arial Narrow" w:eastAsiaTheme="majorEastAsia" w:hAnsi="Arial Narrow" w:cstheme="majorBidi"/>
                <w:bCs/>
                <w:sz w:val="20"/>
                <w:szCs w:val="20"/>
              </w:rPr>
            </w:pPr>
            <w:r w:rsidRPr="00263163">
              <w:rPr>
                <w:rFonts w:ascii="Arial Narrow" w:hAnsi="Arial Narrow" w:cs="Calibri"/>
                <w:color w:val="000000"/>
                <w:sz w:val="20"/>
                <w:szCs w:val="20"/>
              </w:rPr>
              <w:t>+8.0%</w:t>
            </w:r>
          </w:p>
        </w:tc>
      </w:tr>
      <w:tr w:rsidR="000C5C16" w:rsidRPr="009F1C21" w14:paraId="3662090E" w14:textId="77777777" w:rsidTr="00AA32D6">
        <w:tc>
          <w:tcPr>
            <w:tcW w:w="5000" w:type="pct"/>
            <w:gridSpan w:val="5"/>
            <w:tcMar>
              <w:left w:w="28" w:type="dxa"/>
              <w:right w:w="28" w:type="dxa"/>
            </w:tcMar>
            <w:vAlign w:val="center"/>
          </w:tcPr>
          <w:p w14:paraId="6A6B6DD9" w14:textId="77777777" w:rsidR="000C5C16" w:rsidRPr="00263163" w:rsidDel="005B79E9" w:rsidRDefault="000C5C16" w:rsidP="00AA32D6">
            <w:pPr>
              <w:keepNext/>
              <w:keepLines/>
              <w:widowControl w:val="0"/>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Cost of HSCT (base case based on autologous HSCT AR-DRG R06 = $21,087.42)</w:t>
            </w:r>
          </w:p>
        </w:tc>
      </w:tr>
      <w:tr w:rsidR="000C5C16" w:rsidRPr="00E82903" w14:paraId="5BCA1BE0" w14:textId="77777777" w:rsidTr="00EB4495">
        <w:tc>
          <w:tcPr>
            <w:tcW w:w="2749" w:type="pct"/>
            <w:tcMar>
              <w:left w:w="28" w:type="dxa"/>
              <w:right w:w="28" w:type="dxa"/>
            </w:tcMar>
          </w:tcPr>
          <w:p w14:paraId="6A023526" w14:textId="77777777" w:rsidR="000C5C16" w:rsidRPr="00263163" w:rsidRDefault="000C5C16" w:rsidP="00AA32D6">
            <w:pPr>
              <w:keepNext/>
              <w:keepLines/>
              <w:widowControl w:val="0"/>
              <w:jc w:val="left"/>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 xml:space="preserve">   Cost of HSCT based on allogenic HSCT, weighted average AR-RDG R05A and R05B = $123,956</w:t>
            </w:r>
          </w:p>
        </w:tc>
        <w:tc>
          <w:tcPr>
            <w:tcW w:w="550" w:type="pct"/>
            <w:shd w:val="solid" w:color="000000" w:fill="000000"/>
            <w:tcMar>
              <w:left w:w="28" w:type="dxa"/>
              <w:right w:w="28" w:type="dxa"/>
            </w:tcMar>
            <w:vAlign w:val="center"/>
          </w:tcPr>
          <w:p w14:paraId="71BDF58D" w14:textId="35BD0BDF" w:rsidR="000C5C16" w:rsidRPr="00263163" w:rsidRDefault="00EB4495" w:rsidP="00AA32D6">
            <w:pPr>
              <w:keepNext/>
              <w:keepLines/>
              <w:widowControl w:val="0"/>
              <w:jc w:val="center"/>
              <w:rPr>
                <w:rFonts w:ascii="Arial Narrow" w:eastAsiaTheme="majorEastAsia" w:hAnsi="Arial Narrow" w:cstheme="majorBidi"/>
                <w:bCs/>
                <w:sz w:val="20"/>
                <w:szCs w:val="20"/>
              </w:rPr>
            </w:pPr>
            <w:r w:rsidRPr="00EB4495">
              <w:rPr>
                <w:rFonts w:ascii="Arial Narrow" w:eastAsiaTheme="majorEastAsia" w:hAnsi="Arial Narrow" w:cstheme="majorBidi" w:hint="eastAsia"/>
                <w:bCs/>
                <w:color w:val="000000"/>
                <w:w w:val="16"/>
                <w:sz w:val="20"/>
                <w:szCs w:val="20"/>
                <w:fitText w:val="75" w:id="-1435823865"/>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16"/>
                <w:sz w:val="20"/>
                <w:szCs w:val="20"/>
                <w:fitText w:val="75" w:id="-1435823865"/>
                <w14:textFill>
                  <w14:solidFill>
                    <w14:srgbClr w14:val="000000">
                      <w14:alpha w14:val="100000"/>
                    </w14:srgbClr>
                  </w14:solidFill>
                </w14:textFill>
              </w:rPr>
              <w:t>|</w:t>
            </w:r>
            <w:r w:rsidRPr="00EB4495">
              <w:rPr>
                <w:rFonts w:ascii="Arial Narrow" w:eastAsiaTheme="majorEastAsia" w:hAnsi="Arial Narrow" w:cstheme="majorBidi" w:hint="eastAsia"/>
                <w:bCs/>
                <w:color w:val="000000"/>
                <w:w w:val="16"/>
                <w:sz w:val="20"/>
                <w:szCs w:val="20"/>
                <w:fitText w:val="75" w:id="-1435823865"/>
                <w14:textFill>
                  <w14:solidFill>
                    <w14:srgbClr w14:val="000000">
                      <w14:alpha w14:val="100000"/>
                    </w14:srgbClr>
                  </w14:solidFill>
                </w14:textFill>
              </w:rPr>
              <w:t xml:space="preserve">　</w:t>
            </w:r>
          </w:p>
        </w:tc>
        <w:tc>
          <w:tcPr>
            <w:tcW w:w="550" w:type="pct"/>
            <w:tcMar>
              <w:left w:w="28" w:type="dxa"/>
              <w:right w:w="28" w:type="dxa"/>
            </w:tcMar>
            <w:vAlign w:val="center"/>
          </w:tcPr>
          <w:p w14:paraId="1F822101" w14:textId="77777777" w:rsidR="000C5C16" w:rsidRPr="00263163" w:rsidRDefault="000C5C16" w:rsidP="00AA32D6">
            <w:pPr>
              <w:keepNext/>
              <w:keepLines/>
              <w:widowControl w:val="0"/>
              <w:jc w:val="center"/>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0.54</w:t>
            </w:r>
          </w:p>
        </w:tc>
        <w:tc>
          <w:tcPr>
            <w:tcW w:w="550" w:type="pct"/>
            <w:tcMar>
              <w:left w:w="28" w:type="dxa"/>
              <w:right w:w="28" w:type="dxa"/>
            </w:tcMar>
            <w:vAlign w:val="center"/>
          </w:tcPr>
          <w:p w14:paraId="5E38E3BA" w14:textId="1D993F5C" w:rsidR="000C5C16" w:rsidRPr="00263163" w:rsidRDefault="00EB4495" w:rsidP="00AA32D6">
            <w:pPr>
              <w:keepNext/>
              <w:keepLines/>
              <w:widowControl w:val="0"/>
              <w:jc w:val="center"/>
              <w:rPr>
                <w:rFonts w:ascii="Arial Narrow" w:eastAsiaTheme="majorEastAsia" w:hAnsi="Arial Narrow" w:cstheme="majorBidi"/>
                <w:bCs/>
                <w:sz w:val="20"/>
                <w:szCs w:val="20"/>
              </w:rPr>
            </w:pPr>
            <w:r w:rsidRPr="00EB4495">
              <w:rPr>
                <w:rFonts w:ascii="Arial Narrow" w:eastAsiaTheme="majorEastAsia" w:hAnsi="Arial Narrow" w:cstheme="majorBidi" w:hint="eastAsia"/>
                <w:bCs/>
                <w:color w:val="000000"/>
                <w:w w:val="22"/>
                <w:sz w:val="20"/>
                <w:szCs w:val="20"/>
                <w:shd w:val="solid" w:color="000000" w:fill="000000"/>
                <w:fitText w:val="100" w:id="-1435823864"/>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22"/>
                <w:sz w:val="20"/>
                <w:szCs w:val="20"/>
                <w:shd w:val="solid" w:color="000000" w:fill="000000"/>
                <w:fitText w:val="100" w:id="-1435823864"/>
                <w14:textFill>
                  <w14:solidFill>
                    <w14:srgbClr w14:val="000000">
                      <w14:alpha w14:val="100000"/>
                    </w14:srgbClr>
                  </w14:solidFill>
                </w14:textFill>
              </w:rPr>
              <w:t>|</w:t>
            </w:r>
            <w:r w:rsidRPr="00EB4495">
              <w:rPr>
                <w:rFonts w:ascii="Arial Narrow" w:eastAsiaTheme="majorEastAsia" w:hAnsi="Arial Narrow" w:cstheme="majorBidi" w:hint="eastAsia"/>
                <w:bCs/>
                <w:color w:val="000000"/>
                <w:spacing w:val="3"/>
                <w:w w:val="22"/>
                <w:sz w:val="20"/>
                <w:szCs w:val="20"/>
                <w:shd w:val="solid" w:color="000000" w:fill="000000"/>
                <w:fitText w:val="100" w:id="-1435823864"/>
                <w14:textFill>
                  <w14:solidFill>
                    <w14:srgbClr w14:val="000000">
                      <w14:alpha w14:val="100000"/>
                    </w14:srgbClr>
                  </w14:solidFill>
                </w14:textFill>
              </w:rPr>
              <w:t xml:space="preserve">　</w:t>
            </w:r>
            <w:r w:rsidR="00451D77" w:rsidRPr="00451D77">
              <w:rPr>
                <w:rFonts w:ascii="Arial Narrow" w:hAnsi="Arial Narrow" w:cs="Times New Roman"/>
                <w:snapToGrid w:val="0"/>
                <w:sz w:val="20"/>
                <w:szCs w:val="20"/>
                <w:vertAlign w:val="superscript"/>
              </w:rPr>
              <w:t>2</w:t>
            </w:r>
          </w:p>
        </w:tc>
        <w:tc>
          <w:tcPr>
            <w:tcW w:w="601" w:type="pct"/>
            <w:shd w:val="clear" w:color="auto" w:fill="auto"/>
            <w:tcMar>
              <w:left w:w="28" w:type="dxa"/>
              <w:right w:w="28" w:type="dxa"/>
            </w:tcMar>
            <w:vAlign w:val="center"/>
          </w:tcPr>
          <w:p w14:paraId="47853188" w14:textId="77777777" w:rsidR="000C5C16" w:rsidRPr="00263163" w:rsidRDefault="000C5C16" w:rsidP="00AA32D6">
            <w:pPr>
              <w:keepNext/>
              <w:keepLines/>
              <w:widowControl w:val="0"/>
              <w:jc w:val="center"/>
              <w:rPr>
                <w:rFonts w:ascii="Arial Narrow" w:hAnsi="Arial Narrow" w:cs="Calibri"/>
                <w:color w:val="000000"/>
                <w:sz w:val="20"/>
                <w:szCs w:val="20"/>
              </w:rPr>
            </w:pPr>
            <w:r w:rsidRPr="00263163">
              <w:rPr>
                <w:rFonts w:ascii="Arial Narrow" w:eastAsiaTheme="majorEastAsia" w:hAnsi="Arial Narrow" w:cstheme="majorBidi"/>
                <w:bCs/>
                <w:sz w:val="20"/>
                <w:szCs w:val="20"/>
              </w:rPr>
              <w:t>-17.6%</w:t>
            </w:r>
          </w:p>
        </w:tc>
      </w:tr>
      <w:tr w:rsidR="000C5C16" w:rsidRPr="009F1C21" w14:paraId="4D9CE8B1" w14:textId="77777777" w:rsidTr="00AA32D6">
        <w:tc>
          <w:tcPr>
            <w:tcW w:w="5000" w:type="pct"/>
            <w:gridSpan w:val="5"/>
            <w:tcMar>
              <w:left w:w="28" w:type="dxa"/>
              <w:right w:w="28" w:type="dxa"/>
            </w:tcMar>
            <w:vAlign w:val="center"/>
          </w:tcPr>
          <w:p w14:paraId="739C48AC" w14:textId="77777777" w:rsidR="000C5C16" w:rsidRPr="00263163" w:rsidDel="005B79E9" w:rsidRDefault="000C5C16" w:rsidP="00AA32D6">
            <w:pPr>
              <w:keepNext/>
              <w:keepLines/>
              <w:widowControl w:val="0"/>
              <w:rPr>
                <w:rFonts w:ascii="Arial Narrow" w:eastAsiaTheme="majorEastAsia" w:hAnsi="Arial Narrow" w:cstheme="majorBidi"/>
                <w:bCs/>
                <w:sz w:val="20"/>
                <w:szCs w:val="20"/>
              </w:rPr>
            </w:pPr>
            <w:r w:rsidRPr="00263163">
              <w:rPr>
                <w:rFonts w:ascii="Arial Narrow" w:eastAsiaTheme="majorEastAsia" w:hAnsi="Arial Narrow" w:cstheme="majorBidi"/>
                <w:bCs/>
                <w:sz w:val="20"/>
                <w:szCs w:val="20"/>
              </w:rPr>
              <w:t>HSCT rates per arm (base case 6.3% oral azacitidine, 13.7% BSC)</w:t>
            </w:r>
          </w:p>
        </w:tc>
      </w:tr>
      <w:tr w:rsidR="000C5C16" w:rsidRPr="0078756A" w14:paraId="556F8DFB" w14:textId="77777777" w:rsidTr="00EB4495">
        <w:tc>
          <w:tcPr>
            <w:tcW w:w="2749" w:type="pct"/>
            <w:tcMar>
              <w:left w:w="28" w:type="dxa"/>
              <w:right w:w="28" w:type="dxa"/>
            </w:tcMar>
          </w:tcPr>
          <w:p w14:paraId="1797B208" w14:textId="0A42E535" w:rsidR="000C5C16" w:rsidRPr="0003220F" w:rsidRDefault="000C5C16" w:rsidP="00AA32D6">
            <w:pPr>
              <w:keepNext/>
              <w:keepLines/>
              <w:widowControl w:val="0"/>
              <w:jc w:val="left"/>
              <w:rPr>
                <w:rFonts w:ascii="Arial Narrow" w:eastAsiaTheme="majorEastAsia" w:hAnsi="Arial Narrow" w:cstheme="majorBidi"/>
                <w:bCs/>
                <w:sz w:val="20"/>
                <w:szCs w:val="20"/>
              </w:rPr>
            </w:pPr>
            <w:r w:rsidRPr="0003220F">
              <w:rPr>
                <w:rFonts w:ascii="Arial Narrow" w:eastAsiaTheme="majorEastAsia" w:hAnsi="Arial Narrow" w:cstheme="majorBidi"/>
                <w:bCs/>
                <w:sz w:val="20"/>
                <w:szCs w:val="20"/>
              </w:rPr>
              <w:t xml:space="preserve">   13.7% HSCT rate in both arms</w:t>
            </w:r>
            <w:r w:rsidR="0003220F" w:rsidRPr="0003220F">
              <w:rPr>
                <w:rFonts w:ascii="Arial Narrow" w:eastAsiaTheme="majorEastAsia" w:hAnsi="Arial Narrow" w:cstheme="majorBidi"/>
                <w:bCs/>
                <w:sz w:val="20"/>
                <w:szCs w:val="20"/>
              </w:rPr>
              <w:t>*</w:t>
            </w:r>
          </w:p>
        </w:tc>
        <w:tc>
          <w:tcPr>
            <w:tcW w:w="550" w:type="pct"/>
            <w:shd w:val="solid" w:color="000000" w:fill="000000"/>
            <w:tcMar>
              <w:left w:w="28" w:type="dxa"/>
              <w:right w:w="28" w:type="dxa"/>
            </w:tcMar>
          </w:tcPr>
          <w:p w14:paraId="3195ADAE" w14:textId="58940504" w:rsidR="000C5C16" w:rsidRPr="0003220F" w:rsidRDefault="00EB4495" w:rsidP="00AA32D6">
            <w:pPr>
              <w:keepNext/>
              <w:keepLines/>
              <w:widowControl w:val="0"/>
              <w:jc w:val="center"/>
              <w:rPr>
                <w:rFonts w:ascii="Arial Narrow" w:eastAsiaTheme="majorEastAsia" w:hAnsi="Arial Narrow" w:cstheme="majorBidi"/>
                <w:bCs/>
                <w:sz w:val="20"/>
                <w:szCs w:val="20"/>
              </w:rPr>
            </w:pPr>
            <w:r w:rsidRPr="00EB4495">
              <w:rPr>
                <w:rFonts w:ascii="Arial Narrow" w:eastAsiaTheme="majorEastAsia" w:hAnsi="Arial Narrow" w:cstheme="majorBidi" w:hint="eastAsia"/>
                <w:bCs/>
                <w:color w:val="000000"/>
                <w:w w:val="16"/>
                <w:sz w:val="20"/>
                <w:szCs w:val="20"/>
                <w:fitText w:val="75" w:id="-1435823863"/>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16"/>
                <w:sz w:val="20"/>
                <w:szCs w:val="20"/>
                <w:fitText w:val="75" w:id="-1435823863"/>
                <w14:textFill>
                  <w14:solidFill>
                    <w14:srgbClr w14:val="000000">
                      <w14:alpha w14:val="100000"/>
                    </w14:srgbClr>
                  </w14:solidFill>
                </w14:textFill>
              </w:rPr>
              <w:t>|</w:t>
            </w:r>
            <w:r w:rsidRPr="00EB4495">
              <w:rPr>
                <w:rFonts w:ascii="Arial Narrow" w:eastAsiaTheme="majorEastAsia" w:hAnsi="Arial Narrow" w:cstheme="majorBidi" w:hint="eastAsia"/>
                <w:bCs/>
                <w:color w:val="000000"/>
                <w:w w:val="16"/>
                <w:sz w:val="20"/>
                <w:szCs w:val="20"/>
                <w:fitText w:val="75" w:id="-1435823863"/>
                <w14:textFill>
                  <w14:solidFill>
                    <w14:srgbClr w14:val="000000">
                      <w14:alpha w14:val="100000"/>
                    </w14:srgbClr>
                  </w14:solidFill>
                </w14:textFill>
              </w:rPr>
              <w:t xml:space="preserve">　</w:t>
            </w:r>
          </w:p>
        </w:tc>
        <w:tc>
          <w:tcPr>
            <w:tcW w:w="550" w:type="pct"/>
            <w:tcMar>
              <w:left w:w="28" w:type="dxa"/>
              <w:right w:w="28" w:type="dxa"/>
            </w:tcMar>
          </w:tcPr>
          <w:p w14:paraId="5634BEB5" w14:textId="77777777" w:rsidR="000C5C16" w:rsidRPr="00056953" w:rsidRDefault="000C5C16" w:rsidP="00AA32D6">
            <w:pPr>
              <w:keepNext/>
              <w:keepLines/>
              <w:widowControl w:val="0"/>
              <w:jc w:val="center"/>
              <w:rPr>
                <w:rFonts w:ascii="Arial Narrow" w:eastAsiaTheme="majorEastAsia" w:hAnsi="Arial Narrow" w:cstheme="majorBidi"/>
                <w:bCs/>
                <w:sz w:val="20"/>
                <w:szCs w:val="20"/>
              </w:rPr>
            </w:pPr>
            <w:r w:rsidRPr="00056953">
              <w:rPr>
                <w:rFonts w:ascii="Arial Narrow" w:eastAsiaTheme="majorEastAsia" w:hAnsi="Arial Narrow" w:cstheme="majorBidi"/>
                <w:bCs/>
                <w:sz w:val="20"/>
                <w:szCs w:val="20"/>
              </w:rPr>
              <w:t>0.54</w:t>
            </w:r>
          </w:p>
        </w:tc>
        <w:tc>
          <w:tcPr>
            <w:tcW w:w="550" w:type="pct"/>
            <w:tcMar>
              <w:left w:w="28" w:type="dxa"/>
              <w:right w:w="28" w:type="dxa"/>
            </w:tcMar>
          </w:tcPr>
          <w:p w14:paraId="4084FF12" w14:textId="1FEFCF03" w:rsidR="000C5C16" w:rsidRPr="00056953" w:rsidRDefault="00EB4495" w:rsidP="00AA32D6">
            <w:pPr>
              <w:keepNext/>
              <w:keepLines/>
              <w:widowControl w:val="0"/>
              <w:jc w:val="center"/>
              <w:rPr>
                <w:rFonts w:ascii="Arial Narrow" w:eastAsiaTheme="majorEastAsia" w:hAnsi="Arial Narrow" w:cstheme="majorBidi"/>
                <w:bCs/>
                <w:sz w:val="20"/>
                <w:szCs w:val="20"/>
              </w:rPr>
            </w:pPr>
            <w:r w:rsidRPr="00EB4495">
              <w:rPr>
                <w:rFonts w:ascii="Arial Narrow" w:eastAsiaTheme="majorEastAsia" w:hAnsi="Arial Narrow" w:cstheme="majorBidi" w:hint="eastAsia"/>
                <w:bCs/>
                <w:color w:val="000000"/>
                <w:w w:val="22"/>
                <w:sz w:val="20"/>
                <w:szCs w:val="20"/>
                <w:shd w:val="solid" w:color="000000" w:fill="000000"/>
                <w:fitText w:val="100" w:id="-1435823862"/>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22"/>
                <w:sz w:val="20"/>
                <w:szCs w:val="20"/>
                <w:shd w:val="solid" w:color="000000" w:fill="000000"/>
                <w:fitText w:val="100" w:id="-1435823862"/>
                <w14:textFill>
                  <w14:solidFill>
                    <w14:srgbClr w14:val="000000">
                      <w14:alpha w14:val="100000"/>
                    </w14:srgbClr>
                  </w14:solidFill>
                </w14:textFill>
              </w:rPr>
              <w:t>|</w:t>
            </w:r>
            <w:r w:rsidRPr="00EB4495">
              <w:rPr>
                <w:rFonts w:ascii="Arial Narrow" w:eastAsiaTheme="majorEastAsia" w:hAnsi="Arial Narrow" w:cstheme="majorBidi" w:hint="eastAsia"/>
                <w:bCs/>
                <w:color w:val="000000"/>
                <w:spacing w:val="3"/>
                <w:w w:val="22"/>
                <w:sz w:val="20"/>
                <w:szCs w:val="20"/>
                <w:shd w:val="solid" w:color="000000" w:fill="000000"/>
                <w:fitText w:val="100" w:id="-1435823862"/>
                <w14:textFill>
                  <w14:solidFill>
                    <w14:srgbClr w14:val="000000">
                      <w14:alpha w14:val="100000"/>
                    </w14:srgbClr>
                  </w14:solidFill>
                </w14:textFill>
              </w:rPr>
              <w:t xml:space="preserve">　</w:t>
            </w:r>
            <w:r w:rsidR="00451D77">
              <w:rPr>
                <w:rFonts w:ascii="Arial Narrow" w:eastAsiaTheme="majorEastAsia" w:hAnsi="Arial Narrow" w:cstheme="majorBidi"/>
                <w:b/>
                <w:bCs/>
                <w:sz w:val="20"/>
                <w:szCs w:val="20"/>
                <w:vertAlign w:val="superscript"/>
              </w:rPr>
              <w:t>1</w:t>
            </w:r>
          </w:p>
        </w:tc>
        <w:tc>
          <w:tcPr>
            <w:tcW w:w="601" w:type="pct"/>
            <w:tcMar>
              <w:left w:w="28" w:type="dxa"/>
              <w:right w:w="28" w:type="dxa"/>
            </w:tcMar>
          </w:tcPr>
          <w:p w14:paraId="493A1CCC" w14:textId="77777777" w:rsidR="000C5C16" w:rsidRPr="00056953" w:rsidRDefault="000C5C16" w:rsidP="00AA32D6">
            <w:pPr>
              <w:keepNext/>
              <w:keepLines/>
              <w:widowControl w:val="0"/>
              <w:jc w:val="center"/>
              <w:rPr>
                <w:rFonts w:ascii="Arial Narrow" w:eastAsiaTheme="majorEastAsia" w:hAnsi="Arial Narrow" w:cstheme="majorBidi"/>
                <w:bCs/>
                <w:sz w:val="20"/>
                <w:szCs w:val="20"/>
              </w:rPr>
            </w:pPr>
            <w:r w:rsidRPr="00056953">
              <w:rPr>
                <w:rFonts w:ascii="Arial Narrow" w:eastAsiaTheme="majorEastAsia" w:hAnsi="Arial Narrow" w:cstheme="majorBidi"/>
                <w:bCs/>
                <w:sz w:val="20"/>
                <w:szCs w:val="20"/>
              </w:rPr>
              <w:t>+3.8%</w:t>
            </w:r>
          </w:p>
        </w:tc>
      </w:tr>
      <w:tr w:rsidR="000C5C16" w:rsidRPr="00E82903" w14:paraId="1AB46062" w14:textId="77777777" w:rsidTr="00AA32D6">
        <w:tc>
          <w:tcPr>
            <w:tcW w:w="4399" w:type="pct"/>
            <w:gridSpan w:val="4"/>
            <w:tcMar>
              <w:left w:w="28" w:type="dxa"/>
              <w:right w:w="28" w:type="dxa"/>
            </w:tcMar>
          </w:tcPr>
          <w:p w14:paraId="33A6C827" w14:textId="77777777" w:rsidR="000C5C16" w:rsidRPr="00056953" w:rsidRDefault="000C5C16" w:rsidP="00AA32D6">
            <w:pPr>
              <w:keepNext/>
              <w:keepLines/>
              <w:widowControl w:val="0"/>
              <w:jc w:val="left"/>
              <w:rPr>
                <w:rFonts w:ascii="Arial Narrow" w:eastAsiaTheme="majorEastAsia" w:hAnsi="Arial Narrow" w:cs="Times New Roman"/>
                <w:b/>
                <w:sz w:val="20"/>
                <w:szCs w:val="20"/>
                <w:lang w:val="en-US"/>
              </w:rPr>
            </w:pPr>
            <w:r w:rsidRPr="00056953">
              <w:rPr>
                <w:rFonts w:ascii="Arial Narrow" w:eastAsiaTheme="majorEastAsia" w:hAnsi="Arial Narrow" w:cs="Times New Roman"/>
                <w:b/>
                <w:sz w:val="20"/>
                <w:szCs w:val="20"/>
                <w:lang w:val="en-US"/>
              </w:rPr>
              <w:t>Multivariate analysis</w:t>
            </w:r>
          </w:p>
        </w:tc>
        <w:tc>
          <w:tcPr>
            <w:tcW w:w="601" w:type="pct"/>
            <w:tcMar>
              <w:left w:w="28" w:type="dxa"/>
              <w:right w:w="28" w:type="dxa"/>
            </w:tcMar>
          </w:tcPr>
          <w:p w14:paraId="20593E36" w14:textId="77777777" w:rsidR="000C5C16" w:rsidRPr="00056953" w:rsidRDefault="000C5C16" w:rsidP="00AA32D6">
            <w:pPr>
              <w:keepNext/>
              <w:keepLines/>
              <w:widowControl w:val="0"/>
              <w:jc w:val="left"/>
              <w:rPr>
                <w:rFonts w:ascii="Arial Narrow" w:eastAsiaTheme="majorEastAsia" w:hAnsi="Arial Narrow" w:cs="Times New Roman"/>
                <w:b/>
                <w:sz w:val="20"/>
                <w:szCs w:val="20"/>
                <w:lang w:val="en-US"/>
              </w:rPr>
            </w:pPr>
          </w:p>
        </w:tc>
      </w:tr>
      <w:tr w:rsidR="000C5C16" w:rsidRPr="00E82903" w14:paraId="1F53931A" w14:textId="77777777" w:rsidTr="00EB4495">
        <w:tc>
          <w:tcPr>
            <w:tcW w:w="2749" w:type="pct"/>
            <w:tcMar>
              <w:left w:w="28" w:type="dxa"/>
              <w:right w:w="28" w:type="dxa"/>
            </w:tcMar>
          </w:tcPr>
          <w:p w14:paraId="14E23D03" w14:textId="4847EC59" w:rsidR="000C5C16" w:rsidRPr="0003220F" w:rsidRDefault="000C5C16" w:rsidP="00AA32D6">
            <w:pPr>
              <w:keepNext/>
              <w:keepLines/>
              <w:widowControl w:val="0"/>
              <w:jc w:val="left"/>
              <w:rPr>
                <w:rFonts w:ascii="Arial Narrow" w:eastAsiaTheme="majorEastAsia" w:hAnsi="Arial Narrow" w:cstheme="majorBidi"/>
                <w:bCs/>
                <w:sz w:val="20"/>
                <w:szCs w:val="20"/>
              </w:rPr>
            </w:pPr>
            <w:r w:rsidRPr="0003220F">
              <w:rPr>
                <w:rFonts w:ascii="Arial Narrow" w:eastAsiaTheme="majorEastAsia" w:hAnsi="Arial Narrow" w:cstheme="majorBidi"/>
                <w:bCs/>
                <w:sz w:val="20"/>
                <w:szCs w:val="20"/>
              </w:rPr>
              <w:t>Cost of HSCT based on allogenic HSCT ($123,956); and 13.7% HSCT rate in both arms</w:t>
            </w:r>
            <w:r w:rsidR="0003220F" w:rsidRPr="0003220F">
              <w:rPr>
                <w:rFonts w:ascii="Arial Narrow" w:eastAsiaTheme="majorEastAsia" w:hAnsi="Arial Narrow" w:cstheme="majorBidi"/>
                <w:bCs/>
                <w:sz w:val="20"/>
                <w:szCs w:val="20"/>
              </w:rPr>
              <w:t>*</w:t>
            </w:r>
          </w:p>
        </w:tc>
        <w:tc>
          <w:tcPr>
            <w:tcW w:w="550" w:type="pct"/>
            <w:tcBorders>
              <w:bottom w:val="single" w:sz="4" w:space="0" w:color="auto"/>
            </w:tcBorders>
            <w:shd w:val="solid" w:color="000000" w:fill="000000"/>
            <w:tcMar>
              <w:left w:w="28" w:type="dxa"/>
              <w:right w:w="28" w:type="dxa"/>
            </w:tcMar>
            <w:vAlign w:val="center"/>
          </w:tcPr>
          <w:p w14:paraId="464B526A" w14:textId="24C5F210" w:rsidR="000C5C16" w:rsidRPr="0003220F" w:rsidRDefault="00EB4495" w:rsidP="00AA32D6">
            <w:pPr>
              <w:keepNext/>
              <w:keepLines/>
              <w:widowControl w:val="0"/>
              <w:jc w:val="center"/>
              <w:rPr>
                <w:rFonts w:ascii="Arial Narrow" w:eastAsiaTheme="majorEastAsia" w:hAnsi="Arial Narrow" w:cstheme="majorBidi"/>
                <w:bCs/>
                <w:sz w:val="20"/>
                <w:szCs w:val="20"/>
              </w:rPr>
            </w:pPr>
            <w:r w:rsidRPr="00EB4495">
              <w:rPr>
                <w:rFonts w:ascii="Arial Narrow" w:eastAsiaTheme="majorEastAsia" w:hAnsi="Arial Narrow" w:cstheme="majorBidi" w:hint="eastAsia"/>
                <w:bCs/>
                <w:color w:val="000000"/>
                <w:w w:val="16"/>
                <w:sz w:val="20"/>
                <w:szCs w:val="20"/>
                <w:fitText w:val="75" w:id="-1435823861"/>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16"/>
                <w:sz w:val="20"/>
                <w:szCs w:val="20"/>
                <w:fitText w:val="75" w:id="-1435823861"/>
                <w14:textFill>
                  <w14:solidFill>
                    <w14:srgbClr w14:val="000000">
                      <w14:alpha w14:val="100000"/>
                    </w14:srgbClr>
                  </w14:solidFill>
                </w14:textFill>
              </w:rPr>
              <w:t>|</w:t>
            </w:r>
            <w:r w:rsidRPr="00EB4495">
              <w:rPr>
                <w:rFonts w:ascii="Arial Narrow" w:eastAsiaTheme="majorEastAsia" w:hAnsi="Arial Narrow" w:cstheme="majorBidi" w:hint="eastAsia"/>
                <w:bCs/>
                <w:color w:val="000000"/>
                <w:w w:val="16"/>
                <w:sz w:val="20"/>
                <w:szCs w:val="20"/>
                <w:fitText w:val="75" w:id="-1435823861"/>
                <w14:textFill>
                  <w14:solidFill>
                    <w14:srgbClr w14:val="000000">
                      <w14:alpha w14:val="100000"/>
                    </w14:srgbClr>
                  </w14:solidFill>
                </w14:textFill>
              </w:rPr>
              <w:t xml:space="preserve">　</w:t>
            </w:r>
          </w:p>
        </w:tc>
        <w:tc>
          <w:tcPr>
            <w:tcW w:w="550" w:type="pct"/>
            <w:tcMar>
              <w:left w:w="28" w:type="dxa"/>
              <w:right w:w="28" w:type="dxa"/>
            </w:tcMar>
            <w:vAlign w:val="center"/>
          </w:tcPr>
          <w:p w14:paraId="52A57A6F" w14:textId="202D9030" w:rsidR="000C5C16" w:rsidRPr="00056953" w:rsidRDefault="000C5C16" w:rsidP="00AA32D6">
            <w:pPr>
              <w:keepNext/>
              <w:keepLines/>
              <w:widowControl w:val="0"/>
              <w:jc w:val="center"/>
              <w:rPr>
                <w:rFonts w:ascii="Arial Narrow" w:eastAsiaTheme="majorEastAsia" w:hAnsi="Arial Narrow" w:cstheme="majorBidi"/>
                <w:bCs/>
                <w:sz w:val="20"/>
                <w:szCs w:val="20"/>
              </w:rPr>
            </w:pPr>
            <w:r w:rsidRPr="00056953">
              <w:rPr>
                <w:rFonts w:ascii="Arial Narrow" w:eastAsiaTheme="majorEastAsia" w:hAnsi="Arial Narrow" w:cstheme="majorBidi"/>
                <w:bCs/>
                <w:sz w:val="20"/>
                <w:szCs w:val="20"/>
              </w:rPr>
              <w:t>0.5</w:t>
            </w:r>
            <w:r w:rsidR="0003220F" w:rsidRPr="00056953">
              <w:rPr>
                <w:rFonts w:ascii="Arial Narrow" w:eastAsiaTheme="majorEastAsia" w:hAnsi="Arial Narrow" w:cstheme="majorBidi"/>
                <w:bCs/>
                <w:sz w:val="20"/>
                <w:szCs w:val="20"/>
              </w:rPr>
              <w:t>4</w:t>
            </w:r>
          </w:p>
        </w:tc>
        <w:tc>
          <w:tcPr>
            <w:tcW w:w="550" w:type="pct"/>
            <w:tcMar>
              <w:left w:w="28" w:type="dxa"/>
              <w:right w:w="28" w:type="dxa"/>
            </w:tcMar>
            <w:vAlign w:val="center"/>
          </w:tcPr>
          <w:p w14:paraId="3156CA91" w14:textId="47ADDEA2" w:rsidR="000C5C16" w:rsidRPr="007D3FBC" w:rsidRDefault="00EB4495" w:rsidP="00AA32D6">
            <w:pPr>
              <w:keepNext/>
              <w:keepLines/>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hint="eastAsia"/>
                <w:bCs/>
                <w:color w:val="000000"/>
                <w:w w:val="22"/>
                <w:sz w:val="20"/>
                <w:szCs w:val="20"/>
                <w:shd w:val="solid" w:color="000000" w:fill="000000"/>
                <w:fitText w:val="100" w:id="-1435823860"/>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22"/>
                <w:sz w:val="20"/>
                <w:szCs w:val="20"/>
                <w:shd w:val="solid" w:color="000000" w:fill="000000"/>
                <w:fitText w:val="100" w:id="-1435823860"/>
                <w14:textFill>
                  <w14:solidFill>
                    <w14:srgbClr w14:val="000000">
                      <w14:alpha w14:val="100000"/>
                    </w14:srgbClr>
                  </w14:solidFill>
                </w14:textFill>
              </w:rPr>
              <w:t>|</w:t>
            </w:r>
            <w:r w:rsidRPr="00EB4495">
              <w:rPr>
                <w:rFonts w:ascii="Arial Narrow" w:eastAsiaTheme="majorEastAsia" w:hAnsi="Arial Narrow" w:cstheme="majorBidi" w:hint="eastAsia"/>
                <w:bCs/>
                <w:color w:val="000000"/>
                <w:spacing w:val="3"/>
                <w:w w:val="22"/>
                <w:sz w:val="20"/>
                <w:szCs w:val="20"/>
                <w:shd w:val="solid" w:color="000000" w:fill="000000"/>
                <w:fitText w:val="100" w:id="-1435823860"/>
                <w14:textFill>
                  <w14:solidFill>
                    <w14:srgbClr w14:val="000000">
                      <w14:alpha w14:val="100000"/>
                    </w14:srgbClr>
                  </w14:solidFill>
                </w14:textFill>
              </w:rPr>
              <w:t xml:space="preserve">　</w:t>
            </w:r>
            <w:r w:rsidR="00451D77">
              <w:rPr>
                <w:rFonts w:ascii="Arial Narrow" w:eastAsiaTheme="majorEastAsia" w:hAnsi="Arial Narrow" w:cstheme="majorBidi"/>
                <w:b/>
                <w:bCs/>
                <w:sz w:val="20"/>
                <w:szCs w:val="20"/>
                <w:vertAlign w:val="superscript"/>
              </w:rPr>
              <w:t>1</w:t>
            </w:r>
          </w:p>
        </w:tc>
        <w:tc>
          <w:tcPr>
            <w:tcW w:w="601" w:type="pct"/>
            <w:tcMar>
              <w:left w:w="28" w:type="dxa"/>
              <w:right w:w="28" w:type="dxa"/>
            </w:tcMar>
            <w:vAlign w:val="center"/>
          </w:tcPr>
          <w:p w14:paraId="69A5F923" w14:textId="77777777" w:rsidR="000C5C16" w:rsidRPr="00056953" w:rsidRDefault="000C5C16" w:rsidP="00AA32D6">
            <w:pPr>
              <w:keepNext/>
              <w:keepLines/>
              <w:widowControl w:val="0"/>
              <w:jc w:val="center"/>
              <w:rPr>
                <w:rFonts w:ascii="Arial Narrow" w:eastAsiaTheme="majorEastAsia" w:hAnsi="Arial Narrow" w:cstheme="majorBidi"/>
                <w:bCs/>
                <w:sz w:val="20"/>
                <w:szCs w:val="20"/>
              </w:rPr>
            </w:pPr>
            <w:r w:rsidRPr="00056953">
              <w:rPr>
                <w:rFonts w:ascii="Arial Narrow" w:eastAsiaTheme="majorEastAsia" w:hAnsi="Arial Narrow" w:cstheme="majorBidi"/>
                <w:bCs/>
                <w:sz w:val="20"/>
                <w:szCs w:val="20"/>
              </w:rPr>
              <w:t>+3.8%</w:t>
            </w:r>
          </w:p>
        </w:tc>
      </w:tr>
      <w:tr w:rsidR="000C5C16" w:rsidRPr="0010205E" w14:paraId="2C96E533" w14:textId="77777777" w:rsidTr="00EB4495">
        <w:tc>
          <w:tcPr>
            <w:tcW w:w="2749" w:type="pct"/>
            <w:tcMar>
              <w:left w:w="28" w:type="dxa"/>
              <w:right w:w="28" w:type="dxa"/>
            </w:tcMar>
          </w:tcPr>
          <w:p w14:paraId="643F08B0" w14:textId="51A85FB2" w:rsidR="000C5C16" w:rsidRPr="0010205E" w:rsidRDefault="000C5C16" w:rsidP="00AA32D6">
            <w:pPr>
              <w:keepNext/>
              <w:keepLines/>
              <w:widowControl w:val="0"/>
              <w:jc w:val="left"/>
              <w:rPr>
                <w:rFonts w:ascii="Arial Narrow" w:eastAsiaTheme="majorEastAsia" w:hAnsi="Arial Narrow" w:cstheme="majorBidi"/>
                <w:bCs/>
                <w:sz w:val="20"/>
                <w:szCs w:val="20"/>
              </w:rPr>
            </w:pPr>
            <w:r w:rsidRPr="0010205E">
              <w:rPr>
                <w:rFonts w:ascii="Arial Narrow" w:eastAsiaTheme="majorEastAsia" w:hAnsi="Arial Narrow" w:cstheme="majorBidi"/>
                <w:bCs/>
                <w:sz w:val="20"/>
                <w:szCs w:val="20"/>
              </w:rPr>
              <w:t>Oral azacitidine DPMQ (max quantity 14) = $</w:t>
            </w:r>
            <w:r w:rsidR="00EB4495" w:rsidRPr="00EB4495">
              <w:rPr>
                <w:rFonts w:ascii="Arial Narrow" w:eastAsiaTheme="majorEastAsia" w:hAnsi="Arial Narrow" w:cstheme="majorBidi"/>
                <w:bCs/>
                <w:color w:val="000000"/>
                <w:spacing w:val="51"/>
                <w:sz w:val="20"/>
                <w:szCs w:val="20"/>
                <w:shd w:val="solid" w:color="000000" w:fill="000000"/>
                <w:fitText w:val="325" w:id="-1435823616"/>
                <w14:textFill>
                  <w14:solidFill>
                    <w14:srgbClr w14:val="000000">
                      <w14:alpha w14:val="100000"/>
                    </w14:srgbClr>
                  </w14:solidFill>
                </w14:textFill>
              </w:rPr>
              <w:t>|||</w:t>
            </w:r>
            <w:r w:rsidR="00EB4495" w:rsidRPr="00EB4495">
              <w:rPr>
                <w:rFonts w:ascii="Arial Narrow" w:eastAsiaTheme="majorEastAsia" w:hAnsi="Arial Narrow" w:cstheme="majorBidi"/>
                <w:bCs/>
                <w:color w:val="000000"/>
                <w:spacing w:val="2"/>
                <w:sz w:val="20"/>
                <w:szCs w:val="20"/>
                <w:shd w:val="solid" w:color="000000" w:fill="000000"/>
                <w:fitText w:val="325" w:id="-1435823616"/>
                <w14:textFill>
                  <w14:solidFill>
                    <w14:srgbClr w14:val="000000">
                      <w14:alpha w14:val="100000"/>
                    </w14:srgbClr>
                  </w14:solidFill>
                </w14:textFill>
              </w:rPr>
              <w:t>|</w:t>
            </w:r>
            <w:r w:rsidRPr="0010205E">
              <w:rPr>
                <w:rFonts w:ascii="Arial Narrow" w:eastAsiaTheme="majorEastAsia" w:hAnsi="Arial Narrow" w:cstheme="majorBidi"/>
                <w:bCs/>
                <w:sz w:val="20"/>
                <w:szCs w:val="20"/>
              </w:rPr>
              <w:t xml:space="preserve">; </w:t>
            </w:r>
            <w:r w:rsidRPr="0010205E">
              <w:rPr>
                <w:rFonts w:ascii="Arial Narrow" w:eastAsiaTheme="majorEastAsia" w:hAnsi="Arial Narrow" w:cstheme="majorBidi"/>
                <w:bCs/>
                <w:sz w:val="20"/>
                <w:szCs w:val="20"/>
              </w:rPr>
              <w:br/>
              <w:t>DOT based on ToT KM curve;</w:t>
            </w:r>
          </w:p>
          <w:p w14:paraId="613D2346" w14:textId="77777777" w:rsidR="000C5C16" w:rsidRPr="0010205E" w:rsidRDefault="000C5C16" w:rsidP="00AA32D6">
            <w:pPr>
              <w:keepNext/>
              <w:keepLines/>
              <w:widowControl w:val="0"/>
              <w:jc w:val="left"/>
              <w:rPr>
                <w:rFonts w:ascii="Arial Narrow" w:eastAsiaTheme="majorEastAsia" w:hAnsi="Arial Narrow" w:cstheme="majorBidi"/>
                <w:bCs/>
                <w:sz w:val="20"/>
                <w:szCs w:val="20"/>
              </w:rPr>
            </w:pPr>
            <w:r w:rsidRPr="0010205E">
              <w:rPr>
                <w:rFonts w:ascii="Arial Narrow" w:eastAsiaTheme="majorEastAsia" w:hAnsi="Arial Narrow" w:cstheme="majorBidi"/>
                <w:bCs/>
                <w:sz w:val="20"/>
                <w:szCs w:val="20"/>
              </w:rPr>
              <w:t>Extrapolation of OS curve from 55 cycles (median follow-up); and</w:t>
            </w:r>
          </w:p>
          <w:p w14:paraId="017F1E62" w14:textId="77777777" w:rsidR="000C5C16" w:rsidRPr="0010205E" w:rsidRDefault="000C5C16" w:rsidP="00AA32D6">
            <w:pPr>
              <w:keepNext/>
              <w:keepLines/>
              <w:widowControl w:val="0"/>
              <w:jc w:val="left"/>
              <w:rPr>
                <w:rFonts w:ascii="Arial Narrow" w:eastAsiaTheme="majorEastAsia" w:hAnsi="Arial Narrow" w:cstheme="majorBidi"/>
                <w:bCs/>
                <w:sz w:val="20"/>
                <w:szCs w:val="20"/>
              </w:rPr>
            </w:pPr>
            <w:r w:rsidRPr="0010205E">
              <w:rPr>
                <w:rFonts w:ascii="Arial Narrow" w:eastAsiaTheme="majorEastAsia" w:hAnsi="Arial Narrow" w:cstheme="majorBidi"/>
                <w:bCs/>
                <w:sz w:val="20"/>
                <w:szCs w:val="20"/>
              </w:rPr>
              <w:t>Cost of HSCT based on allogenic HSCT ($123,956)</w:t>
            </w:r>
          </w:p>
        </w:tc>
        <w:tc>
          <w:tcPr>
            <w:tcW w:w="550" w:type="pct"/>
            <w:tcBorders>
              <w:bottom w:val="single" w:sz="4" w:space="0" w:color="auto"/>
            </w:tcBorders>
            <w:shd w:val="solid" w:color="000000" w:fill="000000"/>
            <w:tcMar>
              <w:left w:w="28" w:type="dxa"/>
              <w:right w:w="28" w:type="dxa"/>
            </w:tcMar>
            <w:vAlign w:val="center"/>
          </w:tcPr>
          <w:p w14:paraId="04BD42F0" w14:textId="4E0F8E08" w:rsidR="000C5C16" w:rsidRPr="0010205E" w:rsidRDefault="00EB4495" w:rsidP="00AA32D6">
            <w:pPr>
              <w:keepNext/>
              <w:keepLines/>
              <w:widowControl w:val="0"/>
              <w:jc w:val="center"/>
              <w:rPr>
                <w:rFonts w:ascii="Arial Narrow" w:eastAsiaTheme="majorEastAsia" w:hAnsi="Arial Narrow" w:cstheme="majorBidi"/>
                <w:bCs/>
                <w:sz w:val="20"/>
                <w:szCs w:val="20"/>
              </w:rPr>
            </w:pPr>
            <w:r w:rsidRPr="00EB4495">
              <w:rPr>
                <w:rFonts w:ascii="Arial Narrow" w:eastAsiaTheme="majorEastAsia" w:hAnsi="Arial Narrow" w:cstheme="majorBidi" w:hint="eastAsia"/>
                <w:bCs/>
                <w:color w:val="000000"/>
                <w:w w:val="16"/>
                <w:sz w:val="20"/>
                <w:szCs w:val="20"/>
                <w:fitText w:val="75" w:id="-1435823615"/>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16"/>
                <w:sz w:val="20"/>
                <w:szCs w:val="20"/>
                <w:fitText w:val="75" w:id="-1435823615"/>
                <w14:textFill>
                  <w14:solidFill>
                    <w14:srgbClr w14:val="000000">
                      <w14:alpha w14:val="100000"/>
                    </w14:srgbClr>
                  </w14:solidFill>
                </w14:textFill>
              </w:rPr>
              <w:t>|</w:t>
            </w:r>
            <w:r w:rsidRPr="00EB4495">
              <w:rPr>
                <w:rFonts w:ascii="Arial Narrow" w:eastAsiaTheme="majorEastAsia" w:hAnsi="Arial Narrow" w:cstheme="majorBidi" w:hint="eastAsia"/>
                <w:bCs/>
                <w:color w:val="000000"/>
                <w:w w:val="16"/>
                <w:sz w:val="20"/>
                <w:szCs w:val="20"/>
                <w:fitText w:val="75" w:id="-1435823615"/>
                <w14:textFill>
                  <w14:solidFill>
                    <w14:srgbClr w14:val="000000">
                      <w14:alpha w14:val="100000"/>
                    </w14:srgbClr>
                  </w14:solidFill>
                </w14:textFill>
              </w:rPr>
              <w:t xml:space="preserve">　</w:t>
            </w:r>
          </w:p>
        </w:tc>
        <w:tc>
          <w:tcPr>
            <w:tcW w:w="550" w:type="pct"/>
            <w:tcMar>
              <w:left w:w="28" w:type="dxa"/>
              <w:right w:w="28" w:type="dxa"/>
            </w:tcMar>
            <w:vAlign w:val="center"/>
          </w:tcPr>
          <w:p w14:paraId="6BBDA08A" w14:textId="77777777" w:rsidR="000C5C16" w:rsidRPr="0010205E" w:rsidRDefault="000C5C16" w:rsidP="00AA32D6">
            <w:pPr>
              <w:keepNext/>
              <w:keepLines/>
              <w:widowControl w:val="0"/>
              <w:jc w:val="center"/>
              <w:rPr>
                <w:rFonts w:ascii="Arial Narrow" w:eastAsiaTheme="majorEastAsia" w:hAnsi="Arial Narrow" w:cstheme="majorBidi"/>
                <w:bCs/>
                <w:sz w:val="20"/>
                <w:szCs w:val="20"/>
              </w:rPr>
            </w:pPr>
            <w:r w:rsidRPr="0010205E">
              <w:rPr>
                <w:rFonts w:ascii="Arial Narrow" w:eastAsiaTheme="majorEastAsia" w:hAnsi="Arial Narrow" w:cstheme="majorBidi"/>
                <w:bCs/>
                <w:sz w:val="20"/>
                <w:szCs w:val="20"/>
              </w:rPr>
              <w:t>0.50</w:t>
            </w:r>
          </w:p>
        </w:tc>
        <w:tc>
          <w:tcPr>
            <w:tcW w:w="550" w:type="pct"/>
            <w:tcMar>
              <w:left w:w="28" w:type="dxa"/>
              <w:right w:w="28" w:type="dxa"/>
            </w:tcMar>
            <w:vAlign w:val="center"/>
          </w:tcPr>
          <w:p w14:paraId="64C4D20A" w14:textId="3F19928A" w:rsidR="000C5C16" w:rsidRPr="007D3FBC" w:rsidRDefault="00EB4495" w:rsidP="00AA32D6">
            <w:pPr>
              <w:keepNext/>
              <w:keepLines/>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hint="eastAsia"/>
                <w:bCs/>
                <w:color w:val="000000"/>
                <w:w w:val="22"/>
                <w:sz w:val="20"/>
                <w:szCs w:val="20"/>
                <w:shd w:val="solid" w:color="000000" w:fill="000000"/>
                <w:fitText w:val="100" w:id="-1435823614"/>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22"/>
                <w:sz w:val="20"/>
                <w:szCs w:val="20"/>
                <w:shd w:val="solid" w:color="000000" w:fill="000000"/>
                <w:fitText w:val="100" w:id="-1435823614"/>
                <w14:textFill>
                  <w14:solidFill>
                    <w14:srgbClr w14:val="000000">
                      <w14:alpha w14:val="100000"/>
                    </w14:srgbClr>
                  </w14:solidFill>
                </w14:textFill>
              </w:rPr>
              <w:t>|</w:t>
            </w:r>
            <w:r w:rsidRPr="00EB4495">
              <w:rPr>
                <w:rFonts w:ascii="Arial Narrow" w:eastAsiaTheme="majorEastAsia" w:hAnsi="Arial Narrow" w:cstheme="majorBidi" w:hint="eastAsia"/>
                <w:bCs/>
                <w:color w:val="000000"/>
                <w:spacing w:val="3"/>
                <w:w w:val="22"/>
                <w:sz w:val="20"/>
                <w:szCs w:val="20"/>
                <w:shd w:val="solid" w:color="000000" w:fill="000000"/>
                <w:fitText w:val="100" w:id="-1435823614"/>
                <w14:textFill>
                  <w14:solidFill>
                    <w14:srgbClr w14:val="000000">
                      <w14:alpha w14:val="100000"/>
                    </w14:srgbClr>
                  </w14:solidFill>
                </w14:textFill>
              </w:rPr>
              <w:t xml:space="preserve">　</w:t>
            </w:r>
            <w:r w:rsidR="00451D77">
              <w:rPr>
                <w:rFonts w:ascii="Arial Narrow" w:eastAsiaTheme="majorEastAsia" w:hAnsi="Arial Narrow" w:cstheme="majorBidi"/>
                <w:b/>
                <w:bCs/>
                <w:sz w:val="20"/>
                <w:szCs w:val="20"/>
                <w:vertAlign w:val="superscript"/>
              </w:rPr>
              <w:t>1</w:t>
            </w:r>
          </w:p>
        </w:tc>
        <w:tc>
          <w:tcPr>
            <w:tcW w:w="601" w:type="pct"/>
            <w:tcMar>
              <w:left w:w="28" w:type="dxa"/>
              <w:right w:w="28" w:type="dxa"/>
            </w:tcMar>
            <w:vAlign w:val="center"/>
          </w:tcPr>
          <w:p w14:paraId="6DBAA69E" w14:textId="5D7138D1" w:rsidR="000C5C16" w:rsidRPr="0010205E" w:rsidRDefault="006D75CB" w:rsidP="00AA32D6">
            <w:pPr>
              <w:keepNext/>
              <w:keepLines/>
              <w:widowControl w:val="0"/>
              <w:jc w:val="center"/>
              <w:rPr>
                <w:rFonts w:ascii="Arial Narrow" w:eastAsiaTheme="majorEastAsia" w:hAnsi="Arial Narrow" w:cstheme="majorBidi"/>
                <w:bCs/>
                <w:sz w:val="20"/>
                <w:szCs w:val="20"/>
              </w:rPr>
            </w:pPr>
            <w:r w:rsidRPr="0010205E">
              <w:rPr>
                <w:rFonts w:ascii="Arial Narrow" w:eastAsiaTheme="majorEastAsia" w:hAnsi="Arial Narrow" w:cstheme="majorBidi"/>
                <w:bCs/>
                <w:sz w:val="20"/>
                <w:szCs w:val="20"/>
              </w:rPr>
              <w:t>+</w:t>
            </w:r>
            <w:r w:rsidR="000C5C16" w:rsidRPr="0010205E">
              <w:rPr>
                <w:rFonts w:ascii="Arial Narrow" w:eastAsiaTheme="majorEastAsia" w:hAnsi="Arial Narrow" w:cstheme="majorBidi"/>
                <w:bCs/>
                <w:sz w:val="20"/>
                <w:szCs w:val="20"/>
              </w:rPr>
              <w:t>12%</w:t>
            </w:r>
          </w:p>
        </w:tc>
      </w:tr>
      <w:tr w:rsidR="000C5C16" w:rsidRPr="0010205E" w14:paraId="04A0CCBA" w14:textId="77777777" w:rsidTr="00EB4495">
        <w:tc>
          <w:tcPr>
            <w:tcW w:w="2749" w:type="pct"/>
            <w:tcMar>
              <w:left w:w="28" w:type="dxa"/>
              <w:right w:w="28" w:type="dxa"/>
            </w:tcMar>
          </w:tcPr>
          <w:p w14:paraId="33E39B49" w14:textId="3F948E82" w:rsidR="000C5C16" w:rsidRPr="0010205E" w:rsidRDefault="000C5C16" w:rsidP="00AA32D6">
            <w:pPr>
              <w:keepNext/>
              <w:keepLines/>
              <w:widowControl w:val="0"/>
              <w:jc w:val="left"/>
              <w:rPr>
                <w:rFonts w:ascii="Arial Narrow" w:eastAsiaTheme="majorEastAsia" w:hAnsi="Arial Narrow" w:cstheme="majorBidi"/>
                <w:bCs/>
                <w:sz w:val="20"/>
                <w:szCs w:val="20"/>
              </w:rPr>
            </w:pPr>
            <w:r w:rsidRPr="0010205E">
              <w:rPr>
                <w:rFonts w:ascii="Arial Narrow" w:eastAsiaTheme="majorEastAsia" w:hAnsi="Arial Narrow" w:cstheme="majorBidi"/>
                <w:bCs/>
                <w:sz w:val="20"/>
                <w:szCs w:val="20"/>
              </w:rPr>
              <w:t>Oral azacitidine DPMQ (max quantity 14) = $</w:t>
            </w:r>
            <w:r w:rsidR="00EB4495" w:rsidRPr="00EB4495">
              <w:rPr>
                <w:rFonts w:ascii="Arial Narrow" w:eastAsiaTheme="majorEastAsia" w:hAnsi="Arial Narrow" w:cstheme="majorBidi"/>
                <w:bCs/>
                <w:color w:val="000000"/>
                <w:spacing w:val="51"/>
                <w:sz w:val="20"/>
                <w:szCs w:val="20"/>
                <w:shd w:val="solid" w:color="000000" w:fill="000000"/>
                <w:fitText w:val="325" w:id="-1435823613"/>
                <w14:textFill>
                  <w14:solidFill>
                    <w14:srgbClr w14:val="000000">
                      <w14:alpha w14:val="100000"/>
                    </w14:srgbClr>
                  </w14:solidFill>
                </w14:textFill>
              </w:rPr>
              <w:t>|||</w:t>
            </w:r>
            <w:r w:rsidR="00EB4495" w:rsidRPr="00EB4495">
              <w:rPr>
                <w:rFonts w:ascii="Arial Narrow" w:eastAsiaTheme="majorEastAsia" w:hAnsi="Arial Narrow" w:cstheme="majorBidi"/>
                <w:bCs/>
                <w:color w:val="000000"/>
                <w:spacing w:val="2"/>
                <w:sz w:val="20"/>
                <w:szCs w:val="20"/>
                <w:shd w:val="solid" w:color="000000" w:fill="000000"/>
                <w:fitText w:val="325" w:id="-1435823613"/>
                <w14:textFill>
                  <w14:solidFill>
                    <w14:srgbClr w14:val="000000">
                      <w14:alpha w14:val="100000"/>
                    </w14:srgbClr>
                  </w14:solidFill>
                </w14:textFill>
              </w:rPr>
              <w:t>|</w:t>
            </w:r>
            <w:r w:rsidRPr="0010205E">
              <w:rPr>
                <w:rFonts w:ascii="Arial Narrow" w:eastAsiaTheme="majorEastAsia" w:hAnsi="Arial Narrow" w:cstheme="majorBidi"/>
                <w:bCs/>
                <w:sz w:val="20"/>
                <w:szCs w:val="20"/>
              </w:rPr>
              <w:t xml:space="preserve">; </w:t>
            </w:r>
            <w:r w:rsidRPr="0010205E">
              <w:rPr>
                <w:rFonts w:ascii="Arial Narrow" w:eastAsiaTheme="majorEastAsia" w:hAnsi="Arial Narrow" w:cstheme="majorBidi"/>
                <w:bCs/>
                <w:sz w:val="20"/>
                <w:szCs w:val="20"/>
              </w:rPr>
              <w:br/>
              <w:t>DOT based on ToT KM curve;</w:t>
            </w:r>
          </w:p>
          <w:p w14:paraId="3DC91D7B" w14:textId="77777777" w:rsidR="000C5C16" w:rsidRPr="0010205E" w:rsidRDefault="000C5C16" w:rsidP="00AA32D6">
            <w:pPr>
              <w:keepNext/>
              <w:keepLines/>
              <w:widowControl w:val="0"/>
              <w:jc w:val="left"/>
              <w:rPr>
                <w:rFonts w:ascii="Arial Narrow" w:eastAsiaTheme="majorEastAsia" w:hAnsi="Arial Narrow" w:cstheme="majorBidi"/>
                <w:bCs/>
                <w:sz w:val="20"/>
                <w:szCs w:val="20"/>
              </w:rPr>
            </w:pPr>
            <w:r w:rsidRPr="0010205E">
              <w:rPr>
                <w:rFonts w:ascii="Arial Narrow" w:eastAsiaTheme="majorEastAsia" w:hAnsi="Arial Narrow" w:cstheme="majorBidi"/>
                <w:bCs/>
                <w:sz w:val="20"/>
                <w:szCs w:val="20"/>
              </w:rPr>
              <w:t>Extrapolation of OS curve from 55 cycles (median follow-up);</w:t>
            </w:r>
          </w:p>
          <w:p w14:paraId="677CC8FB" w14:textId="77777777" w:rsidR="000C5C16" w:rsidRPr="0010205E" w:rsidRDefault="000C5C16" w:rsidP="00AA32D6">
            <w:pPr>
              <w:keepNext/>
              <w:keepLines/>
              <w:widowControl w:val="0"/>
              <w:jc w:val="left"/>
              <w:rPr>
                <w:rFonts w:ascii="Arial Narrow" w:eastAsiaTheme="majorEastAsia" w:hAnsi="Arial Narrow" w:cstheme="majorBidi"/>
                <w:bCs/>
                <w:sz w:val="20"/>
                <w:szCs w:val="20"/>
              </w:rPr>
            </w:pPr>
            <w:r w:rsidRPr="0010205E">
              <w:rPr>
                <w:rFonts w:ascii="Arial Narrow" w:eastAsiaTheme="majorEastAsia" w:hAnsi="Arial Narrow" w:cstheme="majorBidi"/>
                <w:bCs/>
                <w:sz w:val="20"/>
                <w:szCs w:val="20"/>
              </w:rPr>
              <w:t>Cost of HSCT based on allogenic HSCT ($123,956); and</w:t>
            </w:r>
          </w:p>
          <w:p w14:paraId="39372218" w14:textId="77777777" w:rsidR="000C5C16" w:rsidRPr="0010205E" w:rsidRDefault="000C5C16" w:rsidP="00AA32D6">
            <w:pPr>
              <w:keepNext/>
              <w:keepLines/>
              <w:widowControl w:val="0"/>
              <w:jc w:val="left"/>
              <w:rPr>
                <w:rFonts w:ascii="Arial Narrow" w:eastAsiaTheme="majorEastAsia" w:hAnsi="Arial Narrow" w:cstheme="majorBidi"/>
                <w:bCs/>
                <w:sz w:val="20"/>
                <w:szCs w:val="20"/>
              </w:rPr>
            </w:pPr>
            <w:r w:rsidRPr="0010205E">
              <w:rPr>
                <w:rFonts w:ascii="Arial Narrow" w:eastAsiaTheme="majorEastAsia" w:hAnsi="Arial Narrow" w:cstheme="majorBidi"/>
                <w:bCs/>
                <w:sz w:val="20"/>
                <w:szCs w:val="20"/>
              </w:rPr>
              <w:t>13.7% HSCT rate in both arms</w:t>
            </w:r>
          </w:p>
        </w:tc>
        <w:tc>
          <w:tcPr>
            <w:tcW w:w="550" w:type="pct"/>
            <w:shd w:val="solid" w:color="000000" w:fill="000000"/>
            <w:tcMar>
              <w:left w:w="28" w:type="dxa"/>
              <w:right w:w="28" w:type="dxa"/>
            </w:tcMar>
            <w:vAlign w:val="center"/>
          </w:tcPr>
          <w:p w14:paraId="1323D58D" w14:textId="11174EA3" w:rsidR="000C5C16" w:rsidRPr="0010205E" w:rsidRDefault="00EB4495" w:rsidP="00AA32D6">
            <w:pPr>
              <w:keepNext/>
              <w:keepLines/>
              <w:widowControl w:val="0"/>
              <w:jc w:val="center"/>
              <w:rPr>
                <w:rFonts w:ascii="Arial Narrow" w:eastAsiaTheme="majorEastAsia" w:hAnsi="Arial Narrow" w:cstheme="majorBidi"/>
                <w:bCs/>
                <w:sz w:val="20"/>
                <w:szCs w:val="20"/>
              </w:rPr>
            </w:pPr>
            <w:r w:rsidRPr="00EB4495">
              <w:rPr>
                <w:rFonts w:ascii="Arial Narrow" w:eastAsiaTheme="majorEastAsia" w:hAnsi="Arial Narrow" w:cstheme="majorBidi" w:hint="eastAsia"/>
                <w:bCs/>
                <w:color w:val="000000"/>
                <w:w w:val="16"/>
                <w:sz w:val="20"/>
                <w:szCs w:val="20"/>
                <w:fitText w:val="75" w:id="-1435823612"/>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16"/>
                <w:sz w:val="20"/>
                <w:szCs w:val="20"/>
                <w:fitText w:val="75" w:id="-1435823612"/>
                <w14:textFill>
                  <w14:solidFill>
                    <w14:srgbClr w14:val="000000">
                      <w14:alpha w14:val="100000"/>
                    </w14:srgbClr>
                  </w14:solidFill>
                </w14:textFill>
              </w:rPr>
              <w:t>|</w:t>
            </w:r>
            <w:r w:rsidRPr="00EB4495">
              <w:rPr>
                <w:rFonts w:ascii="Arial Narrow" w:eastAsiaTheme="majorEastAsia" w:hAnsi="Arial Narrow" w:cstheme="majorBidi" w:hint="eastAsia"/>
                <w:bCs/>
                <w:color w:val="000000"/>
                <w:w w:val="16"/>
                <w:sz w:val="20"/>
                <w:szCs w:val="20"/>
                <w:fitText w:val="75" w:id="-1435823612"/>
                <w14:textFill>
                  <w14:solidFill>
                    <w14:srgbClr w14:val="000000">
                      <w14:alpha w14:val="100000"/>
                    </w14:srgbClr>
                  </w14:solidFill>
                </w14:textFill>
              </w:rPr>
              <w:t xml:space="preserve">　</w:t>
            </w:r>
          </w:p>
        </w:tc>
        <w:tc>
          <w:tcPr>
            <w:tcW w:w="550" w:type="pct"/>
            <w:tcMar>
              <w:left w:w="28" w:type="dxa"/>
              <w:right w:w="28" w:type="dxa"/>
            </w:tcMar>
            <w:vAlign w:val="center"/>
          </w:tcPr>
          <w:p w14:paraId="60C44C1A" w14:textId="77777777" w:rsidR="000C5C16" w:rsidRPr="0010205E" w:rsidRDefault="000C5C16" w:rsidP="00AA32D6">
            <w:pPr>
              <w:keepNext/>
              <w:keepLines/>
              <w:widowControl w:val="0"/>
              <w:jc w:val="center"/>
              <w:rPr>
                <w:rFonts w:ascii="Arial Narrow" w:eastAsiaTheme="majorEastAsia" w:hAnsi="Arial Narrow" w:cstheme="majorBidi"/>
                <w:bCs/>
                <w:sz w:val="20"/>
                <w:szCs w:val="20"/>
              </w:rPr>
            </w:pPr>
            <w:r w:rsidRPr="0010205E">
              <w:rPr>
                <w:rFonts w:ascii="Arial Narrow" w:eastAsiaTheme="majorEastAsia" w:hAnsi="Arial Narrow" w:cstheme="majorBidi"/>
                <w:bCs/>
                <w:sz w:val="20"/>
                <w:szCs w:val="20"/>
              </w:rPr>
              <w:t>0.50</w:t>
            </w:r>
          </w:p>
        </w:tc>
        <w:tc>
          <w:tcPr>
            <w:tcW w:w="550" w:type="pct"/>
            <w:tcMar>
              <w:left w:w="28" w:type="dxa"/>
              <w:right w:w="28" w:type="dxa"/>
            </w:tcMar>
            <w:vAlign w:val="center"/>
          </w:tcPr>
          <w:p w14:paraId="65A85F07" w14:textId="67103850" w:rsidR="000C5C16" w:rsidRPr="00451D77" w:rsidRDefault="00EB4495" w:rsidP="00AA32D6">
            <w:pPr>
              <w:keepNext/>
              <w:keepLines/>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hint="eastAsia"/>
                <w:bCs/>
                <w:color w:val="000000"/>
                <w:w w:val="22"/>
                <w:sz w:val="20"/>
                <w:szCs w:val="20"/>
                <w:shd w:val="solid" w:color="000000" w:fill="000000"/>
                <w:fitText w:val="100" w:id="-1435823611"/>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22"/>
                <w:sz w:val="20"/>
                <w:szCs w:val="20"/>
                <w:shd w:val="solid" w:color="000000" w:fill="000000"/>
                <w:fitText w:val="100" w:id="-1435823611"/>
                <w14:textFill>
                  <w14:solidFill>
                    <w14:srgbClr w14:val="000000">
                      <w14:alpha w14:val="100000"/>
                    </w14:srgbClr>
                  </w14:solidFill>
                </w14:textFill>
              </w:rPr>
              <w:t>|</w:t>
            </w:r>
            <w:r w:rsidRPr="00EB4495">
              <w:rPr>
                <w:rFonts w:ascii="Arial Narrow" w:eastAsiaTheme="majorEastAsia" w:hAnsi="Arial Narrow" w:cstheme="majorBidi" w:hint="eastAsia"/>
                <w:bCs/>
                <w:color w:val="000000"/>
                <w:spacing w:val="3"/>
                <w:w w:val="22"/>
                <w:sz w:val="20"/>
                <w:szCs w:val="20"/>
                <w:shd w:val="solid" w:color="000000" w:fill="000000"/>
                <w:fitText w:val="100" w:id="-1435823611"/>
                <w14:textFill>
                  <w14:solidFill>
                    <w14:srgbClr w14:val="000000">
                      <w14:alpha w14:val="100000"/>
                    </w14:srgbClr>
                  </w14:solidFill>
                </w14:textFill>
              </w:rPr>
              <w:t xml:space="preserve">　</w:t>
            </w:r>
            <w:r w:rsidR="00451D77" w:rsidRPr="00451D77">
              <w:rPr>
                <w:rFonts w:ascii="Arial Narrow" w:eastAsiaTheme="majorEastAsia" w:hAnsi="Arial Narrow" w:cstheme="majorBidi"/>
                <w:bCs/>
                <w:sz w:val="20"/>
                <w:szCs w:val="20"/>
                <w:vertAlign w:val="superscript"/>
              </w:rPr>
              <w:t>4</w:t>
            </w:r>
          </w:p>
        </w:tc>
        <w:tc>
          <w:tcPr>
            <w:tcW w:w="601" w:type="pct"/>
            <w:tcMar>
              <w:left w:w="28" w:type="dxa"/>
              <w:right w:w="28" w:type="dxa"/>
            </w:tcMar>
            <w:vAlign w:val="center"/>
          </w:tcPr>
          <w:p w14:paraId="07528ABB" w14:textId="77777777" w:rsidR="000C5C16" w:rsidRPr="0010205E" w:rsidRDefault="000C5C16" w:rsidP="00AA32D6">
            <w:pPr>
              <w:keepNext/>
              <w:keepLines/>
              <w:widowControl w:val="0"/>
              <w:jc w:val="center"/>
              <w:rPr>
                <w:rFonts w:ascii="Arial Narrow" w:eastAsiaTheme="majorEastAsia" w:hAnsi="Arial Narrow" w:cstheme="majorBidi"/>
                <w:bCs/>
                <w:sz w:val="20"/>
                <w:szCs w:val="20"/>
              </w:rPr>
            </w:pPr>
            <w:r w:rsidRPr="0010205E">
              <w:rPr>
                <w:rFonts w:ascii="Arial Narrow" w:eastAsiaTheme="majorEastAsia" w:hAnsi="Arial Narrow" w:cstheme="majorBidi"/>
                <w:bCs/>
                <w:sz w:val="20"/>
                <w:szCs w:val="20"/>
              </w:rPr>
              <w:t>+35%</w:t>
            </w:r>
          </w:p>
        </w:tc>
      </w:tr>
      <w:tr w:rsidR="00FD37B6" w:rsidRPr="00FD37B6" w14:paraId="25A11DB7" w14:textId="77777777" w:rsidTr="00FD37B6">
        <w:tc>
          <w:tcPr>
            <w:tcW w:w="5000" w:type="pct"/>
            <w:gridSpan w:val="5"/>
            <w:tcMar>
              <w:left w:w="28" w:type="dxa"/>
              <w:right w:w="28" w:type="dxa"/>
            </w:tcMar>
          </w:tcPr>
          <w:p w14:paraId="5716ED79" w14:textId="6289352B" w:rsidR="00FD37B6" w:rsidRPr="00FD37B6" w:rsidRDefault="00FD37B6" w:rsidP="00FD37B6">
            <w:pPr>
              <w:keepNext/>
              <w:keepLines/>
              <w:widowControl w:val="0"/>
              <w:jc w:val="left"/>
              <w:rPr>
                <w:rFonts w:ascii="Arial Narrow" w:eastAsiaTheme="majorEastAsia" w:hAnsi="Arial Narrow" w:cstheme="majorBidi"/>
                <w:b/>
                <w:sz w:val="20"/>
                <w:szCs w:val="20"/>
              </w:rPr>
            </w:pPr>
            <w:r w:rsidRPr="00FD37B6">
              <w:rPr>
                <w:rFonts w:ascii="Arial Narrow" w:eastAsiaTheme="majorEastAsia" w:hAnsi="Arial Narrow" w:cstheme="majorBidi"/>
                <w:b/>
                <w:sz w:val="20"/>
                <w:szCs w:val="20"/>
              </w:rPr>
              <w:t>ESC suggested base case</w:t>
            </w:r>
          </w:p>
        </w:tc>
      </w:tr>
      <w:tr w:rsidR="00FD37B6" w:rsidRPr="0010205E" w14:paraId="1870D63E" w14:textId="77777777" w:rsidTr="00EB4495">
        <w:tc>
          <w:tcPr>
            <w:tcW w:w="2749" w:type="pct"/>
            <w:tcMar>
              <w:left w:w="28" w:type="dxa"/>
              <w:right w:w="28" w:type="dxa"/>
            </w:tcMar>
          </w:tcPr>
          <w:p w14:paraId="30FDB865" w14:textId="22B6D0EF" w:rsidR="00FD37B6" w:rsidRDefault="00FD37B6" w:rsidP="00376AEF">
            <w:pPr>
              <w:keepNext/>
              <w:keepLines/>
              <w:widowControl w:val="0"/>
              <w:jc w:val="left"/>
              <w:rPr>
                <w:rFonts w:ascii="Arial Narrow" w:eastAsiaTheme="majorEastAsia" w:hAnsi="Arial Narrow" w:cstheme="majorBidi"/>
                <w:bCs/>
                <w:sz w:val="20"/>
                <w:szCs w:val="20"/>
              </w:rPr>
            </w:pPr>
            <w:r>
              <w:rPr>
                <w:rFonts w:ascii="Arial Narrow" w:eastAsiaTheme="majorEastAsia" w:hAnsi="Arial Narrow" w:cstheme="majorBidi"/>
                <w:bCs/>
                <w:sz w:val="20"/>
                <w:szCs w:val="20"/>
              </w:rPr>
              <w:t>Oral azacitidine DPMQ (max quantity 14) = $</w:t>
            </w:r>
            <w:r w:rsidR="00EB4495" w:rsidRPr="00EB4495">
              <w:rPr>
                <w:rFonts w:ascii="Arial Narrow" w:eastAsiaTheme="majorEastAsia" w:hAnsi="Arial Narrow" w:cstheme="majorBidi"/>
                <w:bCs/>
                <w:color w:val="000000"/>
                <w:spacing w:val="51"/>
                <w:sz w:val="20"/>
                <w:szCs w:val="20"/>
                <w:shd w:val="solid" w:color="000000" w:fill="000000"/>
                <w:fitText w:val="325" w:id="-1435823610"/>
                <w14:textFill>
                  <w14:solidFill>
                    <w14:srgbClr w14:val="000000">
                      <w14:alpha w14:val="100000"/>
                    </w14:srgbClr>
                  </w14:solidFill>
                </w14:textFill>
              </w:rPr>
              <w:t>|||</w:t>
            </w:r>
            <w:r w:rsidR="00EB4495" w:rsidRPr="00EB4495">
              <w:rPr>
                <w:rFonts w:ascii="Arial Narrow" w:eastAsiaTheme="majorEastAsia" w:hAnsi="Arial Narrow" w:cstheme="majorBidi"/>
                <w:bCs/>
                <w:color w:val="000000"/>
                <w:spacing w:val="2"/>
                <w:sz w:val="20"/>
                <w:szCs w:val="20"/>
                <w:shd w:val="solid" w:color="000000" w:fill="000000"/>
                <w:fitText w:val="325" w:id="-1435823610"/>
                <w14:textFill>
                  <w14:solidFill>
                    <w14:srgbClr w14:val="000000">
                      <w14:alpha w14:val="100000"/>
                    </w14:srgbClr>
                  </w14:solidFill>
                </w14:textFill>
              </w:rPr>
              <w:t>|</w:t>
            </w:r>
            <w:r>
              <w:rPr>
                <w:rFonts w:ascii="Arial Narrow" w:eastAsiaTheme="majorEastAsia" w:hAnsi="Arial Narrow" w:cstheme="majorBidi"/>
                <w:bCs/>
                <w:sz w:val="20"/>
                <w:szCs w:val="20"/>
              </w:rPr>
              <w:t>;</w:t>
            </w:r>
          </w:p>
          <w:p w14:paraId="1097B60A" w14:textId="77777777" w:rsidR="00FD37B6" w:rsidRDefault="00FD37B6" w:rsidP="00376AEF">
            <w:pPr>
              <w:keepNext/>
              <w:keepLines/>
              <w:widowControl w:val="0"/>
              <w:jc w:val="left"/>
              <w:rPr>
                <w:rFonts w:ascii="Arial Narrow" w:eastAsiaTheme="majorEastAsia" w:hAnsi="Arial Narrow" w:cstheme="majorBidi"/>
                <w:bCs/>
                <w:sz w:val="20"/>
                <w:szCs w:val="20"/>
              </w:rPr>
            </w:pPr>
            <w:r>
              <w:rPr>
                <w:rFonts w:ascii="Arial Narrow" w:eastAsiaTheme="majorEastAsia" w:hAnsi="Arial Narrow" w:cstheme="majorBidi"/>
                <w:bCs/>
                <w:sz w:val="20"/>
                <w:szCs w:val="20"/>
              </w:rPr>
              <w:t xml:space="preserve">Cost of HSCT based on allogenic HSCT ($123,956); </w:t>
            </w:r>
          </w:p>
          <w:p w14:paraId="272F4BB7" w14:textId="77777777" w:rsidR="00FD37B6" w:rsidRDefault="00FD37B6" w:rsidP="00376AEF">
            <w:pPr>
              <w:keepNext/>
              <w:keepLines/>
              <w:widowControl w:val="0"/>
              <w:jc w:val="left"/>
              <w:rPr>
                <w:rFonts w:ascii="Arial Narrow" w:eastAsiaTheme="majorEastAsia" w:hAnsi="Arial Narrow" w:cstheme="majorBidi"/>
                <w:bCs/>
                <w:sz w:val="20"/>
                <w:szCs w:val="20"/>
              </w:rPr>
            </w:pPr>
            <w:r>
              <w:rPr>
                <w:rFonts w:ascii="Arial Narrow" w:eastAsiaTheme="majorEastAsia" w:hAnsi="Arial Narrow" w:cstheme="majorBidi"/>
                <w:bCs/>
                <w:sz w:val="20"/>
                <w:szCs w:val="20"/>
              </w:rPr>
              <w:t>Treatment specific utility values for relapse free survival (</w:t>
            </w:r>
            <w:r w:rsidRPr="008A5608">
              <w:rPr>
                <w:rFonts w:ascii="Arial Narrow" w:eastAsiaTheme="majorEastAsia" w:hAnsi="Arial Narrow" w:cstheme="majorBidi"/>
                <w:bCs/>
                <w:sz w:val="20"/>
                <w:szCs w:val="20"/>
              </w:rPr>
              <w:t>azacitidine = 0.846; BSC = 0.853);</w:t>
            </w:r>
          </w:p>
          <w:p w14:paraId="5C787A27" w14:textId="77777777" w:rsidR="00FD37B6" w:rsidRDefault="00FD37B6" w:rsidP="00376AEF">
            <w:pPr>
              <w:keepNext/>
              <w:keepLines/>
              <w:widowControl w:val="0"/>
              <w:jc w:val="left"/>
              <w:rPr>
                <w:rFonts w:ascii="Arial Narrow" w:eastAsiaTheme="majorEastAsia" w:hAnsi="Arial Narrow" w:cstheme="majorBidi"/>
                <w:bCs/>
                <w:sz w:val="20"/>
                <w:szCs w:val="20"/>
              </w:rPr>
            </w:pPr>
            <w:r>
              <w:rPr>
                <w:rFonts w:ascii="Arial Narrow" w:eastAsiaTheme="majorEastAsia" w:hAnsi="Arial Narrow" w:cstheme="majorBidi"/>
                <w:bCs/>
                <w:sz w:val="20"/>
                <w:szCs w:val="20"/>
              </w:rPr>
              <w:t>DOT based on ToT KM curve; and</w:t>
            </w:r>
          </w:p>
          <w:p w14:paraId="14F31FBC" w14:textId="77777777" w:rsidR="00FD37B6" w:rsidRDefault="00FD37B6" w:rsidP="00376AEF">
            <w:pPr>
              <w:keepNext/>
              <w:keepLines/>
              <w:widowControl w:val="0"/>
              <w:jc w:val="left"/>
              <w:rPr>
                <w:rFonts w:ascii="Arial Narrow" w:eastAsiaTheme="majorEastAsia" w:hAnsi="Arial Narrow" w:cstheme="majorBidi"/>
                <w:bCs/>
                <w:sz w:val="20"/>
                <w:szCs w:val="20"/>
              </w:rPr>
            </w:pPr>
            <w:r>
              <w:rPr>
                <w:rFonts w:ascii="Arial Narrow" w:eastAsiaTheme="majorEastAsia" w:hAnsi="Arial Narrow" w:cstheme="majorBidi"/>
                <w:bCs/>
                <w:sz w:val="20"/>
                <w:szCs w:val="20"/>
              </w:rPr>
              <w:t>Extrapolation of OS curve from 55 cycles (median follow-up)</w:t>
            </w:r>
          </w:p>
        </w:tc>
        <w:tc>
          <w:tcPr>
            <w:tcW w:w="550" w:type="pct"/>
            <w:shd w:val="solid" w:color="000000" w:fill="000000"/>
            <w:tcMar>
              <w:left w:w="28" w:type="dxa"/>
              <w:right w:w="28" w:type="dxa"/>
            </w:tcMar>
            <w:vAlign w:val="center"/>
          </w:tcPr>
          <w:p w14:paraId="4E15228C" w14:textId="3C9966C8" w:rsidR="00FD37B6" w:rsidRDefault="00EB4495" w:rsidP="00376AEF">
            <w:pPr>
              <w:keepNext/>
              <w:keepLines/>
              <w:widowControl w:val="0"/>
              <w:jc w:val="center"/>
              <w:rPr>
                <w:rFonts w:ascii="Arial Narrow" w:eastAsiaTheme="majorEastAsia" w:hAnsi="Arial Narrow" w:cstheme="majorBidi"/>
                <w:bCs/>
                <w:sz w:val="20"/>
                <w:szCs w:val="20"/>
              </w:rPr>
            </w:pPr>
            <w:r w:rsidRPr="00EB4495">
              <w:rPr>
                <w:rFonts w:ascii="Arial Narrow" w:eastAsiaTheme="majorEastAsia" w:hAnsi="Arial Narrow" w:cstheme="majorBidi" w:hint="eastAsia"/>
                <w:bCs/>
                <w:color w:val="000000"/>
                <w:w w:val="16"/>
                <w:sz w:val="20"/>
                <w:szCs w:val="20"/>
                <w:fitText w:val="75" w:id="-1435823609"/>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16"/>
                <w:sz w:val="20"/>
                <w:szCs w:val="20"/>
                <w:fitText w:val="75" w:id="-1435823609"/>
                <w14:textFill>
                  <w14:solidFill>
                    <w14:srgbClr w14:val="000000">
                      <w14:alpha w14:val="100000"/>
                    </w14:srgbClr>
                  </w14:solidFill>
                </w14:textFill>
              </w:rPr>
              <w:t>|</w:t>
            </w:r>
            <w:r w:rsidRPr="00EB4495">
              <w:rPr>
                <w:rFonts w:ascii="Arial Narrow" w:eastAsiaTheme="majorEastAsia" w:hAnsi="Arial Narrow" w:cstheme="majorBidi" w:hint="eastAsia"/>
                <w:bCs/>
                <w:color w:val="000000"/>
                <w:w w:val="16"/>
                <w:sz w:val="20"/>
                <w:szCs w:val="20"/>
                <w:fitText w:val="75" w:id="-1435823609"/>
                <w14:textFill>
                  <w14:solidFill>
                    <w14:srgbClr w14:val="000000">
                      <w14:alpha w14:val="100000"/>
                    </w14:srgbClr>
                  </w14:solidFill>
                </w14:textFill>
              </w:rPr>
              <w:t xml:space="preserve">　</w:t>
            </w:r>
          </w:p>
        </w:tc>
        <w:tc>
          <w:tcPr>
            <w:tcW w:w="550" w:type="pct"/>
            <w:tcMar>
              <w:left w:w="28" w:type="dxa"/>
              <w:right w:w="28" w:type="dxa"/>
            </w:tcMar>
            <w:vAlign w:val="center"/>
          </w:tcPr>
          <w:p w14:paraId="1BDB37FE" w14:textId="637F7914" w:rsidR="00FD37B6" w:rsidRDefault="00FD37B6" w:rsidP="00376AEF">
            <w:pPr>
              <w:keepNext/>
              <w:keepLines/>
              <w:widowControl w:val="0"/>
              <w:jc w:val="center"/>
              <w:rPr>
                <w:rFonts w:ascii="Arial Narrow" w:eastAsiaTheme="majorEastAsia" w:hAnsi="Arial Narrow" w:cstheme="majorBidi"/>
                <w:bCs/>
                <w:sz w:val="20"/>
                <w:szCs w:val="20"/>
              </w:rPr>
            </w:pPr>
            <w:r>
              <w:rPr>
                <w:rFonts w:ascii="Arial Narrow" w:eastAsiaTheme="majorEastAsia" w:hAnsi="Arial Narrow" w:cstheme="majorBidi"/>
                <w:bCs/>
                <w:sz w:val="20"/>
                <w:szCs w:val="20"/>
              </w:rPr>
              <w:t>0.5</w:t>
            </w:r>
            <w:r w:rsidR="003F6796">
              <w:rPr>
                <w:rFonts w:ascii="Arial Narrow" w:eastAsiaTheme="majorEastAsia" w:hAnsi="Arial Narrow" w:cstheme="majorBidi"/>
                <w:bCs/>
                <w:sz w:val="20"/>
                <w:szCs w:val="20"/>
              </w:rPr>
              <w:t>0</w:t>
            </w:r>
          </w:p>
        </w:tc>
        <w:tc>
          <w:tcPr>
            <w:tcW w:w="550" w:type="pct"/>
            <w:tcMar>
              <w:left w:w="28" w:type="dxa"/>
              <w:right w:w="28" w:type="dxa"/>
            </w:tcMar>
            <w:vAlign w:val="center"/>
          </w:tcPr>
          <w:p w14:paraId="43FFCAAA" w14:textId="6DA0516E" w:rsidR="00FD37B6" w:rsidRDefault="00EB4495" w:rsidP="00376AEF">
            <w:pPr>
              <w:keepNext/>
              <w:keepLines/>
              <w:widowControl w:val="0"/>
              <w:jc w:val="center"/>
              <w:rPr>
                <w:rFonts w:ascii="Arial Narrow" w:eastAsiaTheme="majorEastAsia" w:hAnsi="Arial Narrow" w:cstheme="majorBidi"/>
                <w:bCs/>
                <w:sz w:val="20"/>
                <w:szCs w:val="20"/>
              </w:rPr>
            </w:pPr>
            <w:r w:rsidRPr="00EB4495">
              <w:rPr>
                <w:rFonts w:ascii="Arial Narrow" w:eastAsiaTheme="majorEastAsia" w:hAnsi="Arial Narrow" w:cstheme="majorBidi" w:hint="eastAsia"/>
                <w:bCs/>
                <w:color w:val="000000"/>
                <w:w w:val="22"/>
                <w:sz w:val="20"/>
                <w:szCs w:val="20"/>
                <w:shd w:val="solid" w:color="000000" w:fill="000000"/>
                <w:fitText w:val="100" w:id="-1435823608"/>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22"/>
                <w:sz w:val="20"/>
                <w:szCs w:val="20"/>
                <w:shd w:val="solid" w:color="000000" w:fill="000000"/>
                <w:fitText w:val="100" w:id="-1435823608"/>
                <w14:textFill>
                  <w14:solidFill>
                    <w14:srgbClr w14:val="000000">
                      <w14:alpha w14:val="100000"/>
                    </w14:srgbClr>
                  </w14:solidFill>
                </w14:textFill>
              </w:rPr>
              <w:t>|</w:t>
            </w:r>
            <w:r w:rsidRPr="00EB4495">
              <w:rPr>
                <w:rFonts w:ascii="Arial Narrow" w:eastAsiaTheme="majorEastAsia" w:hAnsi="Arial Narrow" w:cstheme="majorBidi" w:hint="eastAsia"/>
                <w:bCs/>
                <w:color w:val="000000"/>
                <w:spacing w:val="3"/>
                <w:w w:val="22"/>
                <w:sz w:val="20"/>
                <w:szCs w:val="20"/>
                <w:shd w:val="solid" w:color="000000" w:fill="000000"/>
                <w:fitText w:val="100" w:id="-1435823608"/>
                <w14:textFill>
                  <w14:solidFill>
                    <w14:srgbClr w14:val="000000">
                      <w14:alpha w14:val="100000"/>
                    </w14:srgbClr>
                  </w14:solidFill>
                </w14:textFill>
              </w:rPr>
              <w:t xml:space="preserve">　</w:t>
            </w:r>
            <w:r w:rsidR="00451D77">
              <w:rPr>
                <w:rFonts w:ascii="Arial Narrow" w:eastAsiaTheme="majorEastAsia" w:hAnsi="Arial Narrow" w:cstheme="majorBidi"/>
                <w:b/>
                <w:bCs/>
                <w:sz w:val="20"/>
                <w:szCs w:val="20"/>
                <w:vertAlign w:val="superscript"/>
              </w:rPr>
              <w:t>1</w:t>
            </w:r>
          </w:p>
        </w:tc>
        <w:tc>
          <w:tcPr>
            <w:tcW w:w="601" w:type="pct"/>
            <w:tcMar>
              <w:left w:w="28" w:type="dxa"/>
              <w:right w:w="28" w:type="dxa"/>
            </w:tcMar>
            <w:vAlign w:val="center"/>
          </w:tcPr>
          <w:p w14:paraId="470EA8DC" w14:textId="767C8E53" w:rsidR="00FD37B6" w:rsidRDefault="00FD37B6" w:rsidP="00376AEF">
            <w:pPr>
              <w:keepNext/>
              <w:keepLines/>
              <w:widowControl w:val="0"/>
              <w:jc w:val="center"/>
              <w:rPr>
                <w:rFonts w:ascii="Arial Narrow" w:eastAsiaTheme="majorEastAsia" w:hAnsi="Arial Narrow" w:cstheme="majorBidi"/>
                <w:bCs/>
                <w:sz w:val="20"/>
                <w:szCs w:val="20"/>
              </w:rPr>
            </w:pPr>
            <w:r>
              <w:rPr>
                <w:rFonts w:ascii="Arial Narrow" w:eastAsiaTheme="majorEastAsia" w:hAnsi="Arial Narrow" w:cstheme="majorBidi"/>
                <w:bCs/>
                <w:sz w:val="20"/>
                <w:szCs w:val="20"/>
              </w:rPr>
              <w:t>+</w:t>
            </w:r>
            <w:r w:rsidR="003F6796">
              <w:rPr>
                <w:rFonts w:ascii="Arial Narrow" w:eastAsiaTheme="majorEastAsia" w:hAnsi="Arial Narrow" w:cstheme="majorBidi"/>
                <w:bCs/>
                <w:sz w:val="20"/>
                <w:szCs w:val="20"/>
              </w:rPr>
              <w:t>11.1</w:t>
            </w:r>
            <w:r>
              <w:rPr>
                <w:rFonts w:ascii="Arial Narrow" w:eastAsiaTheme="majorEastAsia" w:hAnsi="Arial Narrow" w:cstheme="majorBidi"/>
                <w:bCs/>
                <w:sz w:val="20"/>
                <w:szCs w:val="20"/>
              </w:rPr>
              <w:t>%</w:t>
            </w:r>
          </w:p>
        </w:tc>
      </w:tr>
      <w:tr w:rsidR="00B73F4A" w:rsidRPr="008812B5" w14:paraId="2978BD98" w14:textId="77777777" w:rsidTr="00B73F4A">
        <w:tc>
          <w:tcPr>
            <w:tcW w:w="5000" w:type="pct"/>
            <w:gridSpan w:val="5"/>
            <w:tcMar>
              <w:left w:w="28" w:type="dxa"/>
              <w:right w:w="28" w:type="dxa"/>
            </w:tcMar>
          </w:tcPr>
          <w:p w14:paraId="1FDE2D33" w14:textId="2651205A" w:rsidR="00B73F4A" w:rsidRPr="008812B5" w:rsidRDefault="00B73F4A" w:rsidP="00B73F4A">
            <w:pPr>
              <w:keepNext/>
              <w:keepLines/>
              <w:widowControl w:val="0"/>
              <w:jc w:val="left"/>
              <w:rPr>
                <w:rFonts w:ascii="Arial Narrow" w:eastAsiaTheme="majorEastAsia" w:hAnsi="Arial Narrow" w:cstheme="majorBidi"/>
                <w:b/>
                <w:sz w:val="20"/>
                <w:szCs w:val="20"/>
              </w:rPr>
            </w:pPr>
            <w:r w:rsidRPr="008812B5">
              <w:rPr>
                <w:rFonts w:ascii="Arial Narrow" w:eastAsiaTheme="majorEastAsia" w:hAnsi="Arial Narrow" w:cstheme="majorBidi"/>
                <w:b/>
                <w:sz w:val="20"/>
                <w:szCs w:val="20"/>
              </w:rPr>
              <w:t xml:space="preserve">Pre-PBAC response base case </w:t>
            </w:r>
          </w:p>
        </w:tc>
      </w:tr>
      <w:tr w:rsidR="008812B5" w:rsidRPr="0010205E" w14:paraId="58BC8009" w14:textId="77777777" w:rsidTr="00EB4495">
        <w:tc>
          <w:tcPr>
            <w:tcW w:w="2749" w:type="pct"/>
            <w:tcMar>
              <w:left w:w="28" w:type="dxa"/>
              <w:right w:w="28" w:type="dxa"/>
            </w:tcMar>
          </w:tcPr>
          <w:p w14:paraId="1D51F8BE" w14:textId="4523CC2C" w:rsidR="008812B5" w:rsidRDefault="00B73F4A" w:rsidP="00AA32D6">
            <w:pPr>
              <w:keepNext/>
              <w:keepLines/>
              <w:widowControl w:val="0"/>
              <w:jc w:val="left"/>
              <w:rPr>
                <w:rFonts w:ascii="Arial Narrow" w:eastAsiaTheme="majorEastAsia" w:hAnsi="Arial Narrow" w:cstheme="majorBidi"/>
                <w:bCs/>
                <w:sz w:val="20"/>
                <w:szCs w:val="20"/>
              </w:rPr>
            </w:pPr>
            <w:r>
              <w:rPr>
                <w:rFonts w:ascii="Arial Narrow" w:eastAsiaTheme="majorEastAsia" w:hAnsi="Arial Narrow" w:cstheme="majorBidi"/>
                <w:bCs/>
                <w:sz w:val="20"/>
                <w:szCs w:val="20"/>
              </w:rPr>
              <w:t>Oral azacitidine DPMQ (max quantity 14) = $</w:t>
            </w:r>
            <w:r w:rsidR="00EB4495" w:rsidRPr="00EB4495">
              <w:rPr>
                <w:rFonts w:ascii="Arial Narrow" w:eastAsiaTheme="majorEastAsia" w:hAnsi="Arial Narrow" w:cstheme="majorBidi"/>
                <w:bCs/>
                <w:color w:val="000000"/>
                <w:spacing w:val="51"/>
                <w:sz w:val="20"/>
                <w:szCs w:val="20"/>
                <w:shd w:val="solid" w:color="000000" w:fill="000000"/>
                <w:fitText w:val="325" w:id="-1435823607"/>
                <w14:textFill>
                  <w14:solidFill>
                    <w14:srgbClr w14:val="000000">
                      <w14:alpha w14:val="100000"/>
                    </w14:srgbClr>
                  </w14:solidFill>
                </w14:textFill>
              </w:rPr>
              <w:t>|||</w:t>
            </w:r>
            <w:r w:rsidR="00EB4495" w:rsidRPr="00EB4495">
              <w:rPr>
                <w:rFonts w:ascii="Arial Narrow" w:eastAsiaTheme="majorEastAsia" w:hAnsi="Arial Narrow" w:cstheme="majorBidi"/>
                <w:bCs/>
                <w:color w:val="000000"/>
                <w:spacing w:val="2"/>
                <w:sz w:val="20"/>
                <w:szCs w:val="20"/>
                <w:shd w:val="solid" w:color="000000" w:fill="000000"/>
                <w:fitText w:val="325" w:id="-1435823607"/>
                <w14:textFill>
                  <w14:solidFill>
                    <w14:srgbClr w14:val="000000">
                      <w14:alpha w14:val="100000"/>
                    </w14:srgbClr>
                  </w14:solidFill>
                </w14:textFill>
              </w:rPr>
              <w:t>|</w:t>
            </w:r>
            <w:r>
              <w:rPr>
                <w:rFonts w:ascii="Arial Narrow" w:eastAsiaTheme="majorEastAsia" w:hAnsi="Arial Narrow" w:cstheme="majorBidi"/>
                <w:bCs/>
                <w:sz w:val="20"/>
                <w:szCs w:val="20"/>
              </w:rPr>
              <w:t>;</w:t>
            </w:r>
          </w:p>
          <w:p w14:paraId="4B139EE1" w14:textId="77777777" w:rsidR="00B73F4A" w:rsidRDefault="00B73F4A" w:rsidP="00AA32D6">
            <w:pPr>
              <w:keepNext/>
              <w:keepLines/>
              <w:widowControl w:val="0"/>
              <w:jc w:val="left"/>
              <w:rPr>
                <w:rFonts w:ascii="Arial Narrow" w:eastAsiaTheme="majorEastAsia" w:hAnsi="Arial Narrow" w:cstheme="majorBidi"/>
                <w:bCs/>
                <w:sz w:val="20"/>
                <w:szCs w:val="20"/>
              </w:rPr>
            </w:pPr>
            <w:r>
              <w:rPr>
                <w:rFonts w:ascii="Arial Narrow" w:eastAsiaTheme="majorEastAsia" w:hAnsi="Arial Narrow" w:cstheme="majorBidi"/>
                <w:bCs/>
                <w:sz w:val="20"/>
                <w:szCs w:val="20"/>
              </w:rPr>
              <w:t>Cost of HSCT based on allogenic HSCT ($123,956); and</w:t>
            </w:r>
          </w:p>
          <w:p w14:paraId="4F903B4B" w14:textId="588BE2F2" w:rsidR="00B73F4A" w:rsidRPr="0010205E" w:rsidRDefault="00B73F4A" w:rsidP="00AA32D6">
            <w:pPr>
              <w:keepNext/>
              <w:keepLines/>
              <w:widowControl w:val="0"/>
              <w:jc w:val="left"/>
              <w:rPr>
                <w:rFonts w:ascii="Arial Narrow" w:eastAsiaTheme="majorEastAsia" w:hAnsi="Arial Narrow" w:cstheme="majorBidi"/>
                <w:bCs/>
                <w:sz w:val="20"/>
                <w:szCs w:val="20"/>
              </w:rPr>
            </w:pPr>
            <w:r>
              <w:rPr>
                <w:rFonts w:ascii="Arial Narrow" w:eastAsiaTheme="majorEastAsia" w:hAnsi="Arial Narrow" w:cstheme="majorBidi"/>
                <w:bCs/>
                <w:sz w:val="20"/>
                <w:szCs w:val="20"/>
              </w:rPr>
              <w:t>Treatment specific utility values for relapse free survival (</w:t>
            </w:r>
            <w:r w:rsidRPr="008A5608">
              <w:rPr>
                <w:rFonts w:ascii="Arial Narrow" w:eastAsiaTheme="majorEastAsia" w:hAnsi="Arial Narrow" w:cstheme="majorBidi"/>
                <w:bCs/>
                <w:sz w:val="20"/>
                <w:szCs w:val="20"/>
              </w:rPr>
              <w:t>azacitidine = 0.846; BSC = 0.853)</w:t>
            </w:r>
          </w:p>
        </w:tc>
        <w:tc>
          <w:tcPr>
            <w:tcW w:w="550" w:type="pct"/>
            <w:shd w:val="solid" w:color="000000" w:fill="000000"/>
            <w:tcMar>
              <w:left w:w="28" w:type="dxa"/>
              <w:right w:w="28" w:type="dxa"/>
            </w:tcMar>
            <w:vAlign w:val="center"/>
          </w:tcPr>
          <w:p w14:paraId="6B3F7CA4" w14:textId="0C8DB730" w:rsidR="008812B5" w:rsidRPr="005E2E9D" w:rsidRDefault="00EB4495" w:rsidP="00AA32D6">
            <w:pPr>
              <w:keepNext/>
              <w:keepLines/>
              <w:widowControl w:val="0"/>
              <w:jc w:val="center"/>
              <w:rPr>
                <w:rFonts w:ascii="Arial Narrow" w:eastAsiaTheme="majorEastAsia" w:hAnsi="Arial Narrow" w:cstheme="majorBidi"/>
                <w:bCs/>
                <w:sz w:val="20"/>
                <w:szCs w:val="20"/>
                <w:highlight w:val="lightGray"/>
              </w:rPr>
            </w:pPr>
            <w:r w:rsidRPr="00EB4495">
              <w:rPr>
                <w:rFonts w:ascii="Arial Narrow" w:eastAsiaTheme="majorEastAsia" w:hAnsi="Arial Narrow" w:cstheme="majorBidi" w:hint="eastAsia"/>
                <w:bCs/>
                <w:color w:val="000000"/>
                <w:w w:val="16"/>
                <w:sz w:val="20"/>
                <w:szCs w:val="20"/>
                <w:fitText w:val="75" w:id="-1435823606"/>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16"/>
                <w:sz w:val="20"/>
                <w:szCs w:val="20"/>
                <w:fitText w:val="75" w:id="-1435823606"/>
                <w14:textFill>
                  <w14:solidFill>
                    <w14:srgbClr w14:val="000000">
                      <w14:alpha w14:val="100000"/>
                    </w14:srgbClr>
                  </w14:solidFill>
                </w14:textFill>
              </w:rPr>
              <w:t>|</w:t>
            </w:r>
            <w:r w:rsidRPr="00EB4495">
              <w:rPr>
                <w:rFonts w:ascii="Arial Narrow" w:eastAsiaTheme="majorEastAsia" w:hAnsi="Arial Narrow" w:cstheme="majorBidi" w:hint="eastAsia"/>
                <w:bCs/>
                <w:color w:val="000000"/>
                <w:w w:val="16"/>
                <w:sz w:val="20"/>
                <w:szCs w:val="20"/>
                <w:fitText w:val="75" w:id="-1435823606"/>
                <w14:textFill>
                  <w14:solidFill>
                    <w14:srgbClr w14:val="000000">
                      <w14:alpha w14:val="100000"/>
                    </w14:srgbClr>
                  </w14:solidFill>
                </w14:textFill>
              </w:rPr>
              <w:t xml:space="preserve">　</w:t>
            </w:r>
          </w:p>
        </w:tc>
        <w:tc>
          <w:tcPr>
            <w:tcW w:w="550" w:type="pct"/>
            <w:tcMar>
              <w:left w:w="28" w:type="dxa"/>
              <w:right w:w="28" w:type="dxa"/>
            </w:tcMar>
            <w:vAlign w:val="center"/>
          </w:tcPr>
          <w:p w14:paraId="7D9D9BF5" w14:textId="4707869C" w:rsidR="008812B5" w:rsidRPr="0010205E" w:rsidRDefault="00B73F4A" w:rsidP="00AA32D6">
            <w:pPr>
              <w:keepNext/>
              <w:keepLines/>
              <w:widowControl w:val="0"/>
              <w:jc w:val="center"/>
              <w:rPr>
                <w:rFonts w:ascii="Arial Narrow" w:eastAsiaTheme="majorEastAsia" w:hAnsi="Arial Narrow" w:cstheme="majorBidi"/>
                <w:bCs/>
                <w:sz w:val="20"/>
                <w:szCs w:val="20"/>
              </w:rPr>
            </w:pPr>
            <w:r>
              <w:rPr>
                <w:rFonts w:ascii="Arial Narrow" w:eastAsiaTheme="majorEastAsia" w:hAnsi="Arial Narrow" w:cstheme="majorBidi"/>
                <w:bCs/>
                <w:sz w:val="20"/>
                <w:szCs w:val="20"/>
              </w:rPr>
              <w:t>0.54</w:t>
            </w:r>
          </w:p>
        </w:tc>
        <w:tc>
          <w:tcPr>
            <w:tcW w:w="550" w:type="pct"/>
            <w:tcMar>
              <w:left w:w="28" w:type="dxa"/>
              <w:right w:w="28" w:type="dxa"/>
            </w:tcMar>
            <w:vAlign w:val="center"/>
          </w:tcPr>
          <w:p w14:paraId="2274F3ED" w14:textId="162CC0C6" w:rsidR="008812B5" w:rsidRPr="0010205E" w:rsidRDefault="00EB4495" w:rsidP="00AA32D6">
            <w:pPr>
              <w:keepNext/>
              <w:keepLines/>
              <w:widowControl w:val="0"/>
              <w:jc w:val="center"/>
              <w:rPr>
                <w:rFonts w:ascii="Arial Narrow" w:eastAsiaTheme="majorEastAsia" w:hAnsi="Arial Narrow" w:cstheme="majorBidi"/>
                <w:bCs/>
                <w:sz w:val="20"/>
                <w:szCs w:val="20"/>
              </w:rPr>
            </w:pPr>
            <w:r w:rsidRPr="00EB4495">
              <w:rPr>
                <w:rFonts w:ascii="Arial Narrow" w:eastAsiaTheme="majorEastAsia" w:hAnsi="Arial Narrow" w:cstheme="majorBidi" w:hint="eastAsia"/>
                <w:bCs/>
                <w:color w:val="000000"/>
                <w:w w:val="22"/>
                <w:sz w:val="20"/>
                <w:szCs w:val="20"/>
                <w:shd w:val="solid" w:color="000000" w:fill="000000"/>
                <w:fitText w:val="100" w:id="-1435823605"/>
                <w14:textFill>
                  <w14:solidFill>
                    <w14:srgbClr w14:val="000000">
                      <w14:alpha w14:val="100000"/>
                    </w14:srgbClr>
                  </w14:solidFill>
                </w14:textFill>
              </w:rPr>
              <w:t xml:space="preserve">　</w:t>
            </w:r>
            <w:r w:rsidRPr="00EB4495">
              <w:rPr>
                <w:rFonts w:ascii="Arial Narrow" w:eastAsiaTheme="majorEastAsia" w:hAnsi="Arial Narrow" w:cstheme="majorBidi"/>
                <w:bCs/>
                <w:color w:val="000000"/>
                <w:w w:val="22"/>
                <w:sz w:val="20"/>
                <w:szCs w:val="20"/>
                <w:shd w:val="solid" w:color="000000" w:fill="000000"/>
                <w:fitText w:val="100" w:id="-1435823605"/>
                <w14:textFill>
                  <w14:solidFill>
                    <w14:srgbClr w14:val="000000">
                      <w14:alpha w14:val="100000"/>
                    </w14:srgbClr>
                  </w14:solidFill>
                </w14:textFill>
              </w:rPr>
              <w:t>|</w:t>
            </w:r>
            <w:r w:rsidRPr="00EB4495">
              <w:rPr>
                <w:rFonts w:ascii="Arial Narrow" w:eastAsiaTheme="majorEastAsia" w:hAnsi="Arial Narrow" w:cstheme="majorBidi" w:hint="eastAsia"/>
                <w:bCs/>
                <w:color w:val="000000"/>
                <w:spacing w:val="3"/>
                <w:w w:val="22"/>
                <w:sz w:val="20"/>
                <w:szCs w:val="20"/>
                <w:shd w:val="solid" w:color="000000" w:fill="000000"/>
                <w:fitText w:val="100" w:id="-1435823605"/>
                <w14:textFill>
                  <w14:solidFill>
                    <w14:srgbClr w14:val="000000">
                      <w14:alpha w14:val="100000"/>
                    </w14:srgbClr>
                  </w14:solidFill>
                </w14:textFill>
              </w:rPr>
              <w:t xml:space="preserve">　</w:t>
            </w:r>
            <w:r w:rsidR="00451D77" w:rsidRPr="00451D77">
              <w:rPr>
                <w:rFonts w:ascii="Arial Narrow" w:hAnsi="Arial Narrow" w:cs="Times New Roman"/>
                <w:snapToGrid w:val="0"/>
                <w:sz w:val="20"/>
                <w:szCs w:val="20"/>
                <w:vertAlign w:val="superscript"/>
              </w:rPr>
              <w:t>2</w:t>
            </w:r>
          </w:p>
        </w:tc>
        <w:tc>
          <w:tcPr>
            <w:tcW w:w="601" w:type="pct"/>
            <w:tcMar>
              <w:left w:w="28" w:type="dxa"/>
              <w:right w:w="28" w:type="dxa"/>
            </w:tcMar>
            <w:vAlign w:val="center"/>
          </w:tcPr>
          <w:p w14:paraId="7BBE908E" w14:textId="7929F053" w:rsidR="008812B5" w:rsidRPr="0010205E" w:rsidRDefault="00B73F4A" w:rsidP="00AA32D6">
            <w:pPr>
              <w:keepNext/>
              <w:keepLines/>
              <w:widowControl w:val="0"/>
              <w:jc w:val="center"/>
              <w:rPr>
                <w:rFonts w:ascii="Arial Narrow" w:eastAsiaTheme="majorEastAsia" w:hAnsi="Arial Narrow" w:cstheme="majorBidi"/>
                <w:bCs/>
                <w:sz w:val="20"/>
                <w:szCs w:val="20"/>
              </w:rPr>
            </w:pPr>
            <w:r>
              <w:rPr>
                <w:rFonts w:ascii="Arial Narrow" w:eastAsiaTheme="majorEastAsia" w:hAnsi="Arial Narrow" w:cstheme="majorBidi"/>
                <w:bCs/>
                <w:sz w:val="20"/>
                <w:szCs w:val="20"/>
              </w:rPr>
              <w:t>-16.3%</w:t>
            </w:r>
          </w:p>
        </w:tc>
      </w:tr>
    </w:tbl>
    <w:p w14:paraId="27DAB62B" w14:textId="03CDAE73" w:rsidR="000C5C16" w:rsidRPr="00D277B1" w:rsidRDefault="000C5C16" w:rsidP="000C5C16">
      <w:pPr>
        <w:spacing w:after="120"/>
        <w:contextualSpacing/>
        <w:rPr>
          <w:rFonts w:ascii="Arial Narrow" w:hAnsi="Arial Narrow"/>
          <w:snapToGrid w:val="0"/>
          <w:sz w:val="18"/>
          <w:szCs w:val="18"/>
        </w:rPr>
      </w:pPr>
      <w:r w:rsidRPr="00D277B1">
        <w:rPr>
          <w:rFonts w:ascii="Arial Narrow" w:hAnsi="Arial Narrow"/>
          <w:snapToGrid w:val="0"/>
          <w:sz w:val="18"/>
          <w:szCs w:val="18"/>
        </w:rPr>
        <w:t>Source: Tables 83,</w:t>
      </w:r>
      <w:r w:rsidR="00E5131A">
        <w:rPr>
          <w:rFonts w:ascii="Arial Narrow" w:hAnsi="Arial Narrow"/>
          <w:snapToGrid w:val="0"/>
          <w:sz w:val="18"/>
          <w:szCs w:val="18"/>
        </w:rPr>
        <w:t xml:space="preserve"> </w:t>
      </w:r>
      <w:r w:rsidRPr="00D277B1">
        <w:rPr>
          <w:rFonts w:ascii="Arial Narrow" w:hAnsi="Arial Narrow"/>
          <w:snapToGrid w:val="0"/>
          <w:sz w:val="18"/>
          <w:szCs w:val="18"/>
        </w:rPr>
        <w:t>84,</w:t>
      </w:r>
      <w:r w:rsidR="00E5131A">
        <w:rPr>
          <w:rFonts w:ascii="Arial Narrow" w:hAnsi="Arial Narrow"/>
          <w:snapToGrid w:val="0"/>
          <w:sz w:val="18"/>
          <w:szCs w:val="18"/>
        </w:rPr>
        <w:t xml:space="preserve"> </w:t>
      </w:r>
      <w:r w:rsidRPr="00D277B1">
        <w:rPr>
          <w:rFonts w:ascii="Arial Narrow" w:hAnsi="Arial Narrow"/>
          <w:snapToGrid w:val="0"/>
          <w:sz w:val="18"/>
          <w:szCs w:val="18"/>
        </w:rPr>
        <w:t>85</w:t>
      </w:r>
      <w:r>
        <w:rPr>
          <w:rFonts w:ascii="Arial Narrow" w:hAnsi="Arial Narrow"/>
          <w:snapToGrid w:val="0"/>
          <w:sz w:val="18"/>
          <w:szCs w:val="18"/>
        </w:rPr>
        <w:t xml:space="preserve"> and </w:t>
      </w:r>
      <w:r w:rsidRPr="00D277B1">
        <w:rPr>
          <w:rFonts w:ascii="Arial Narrow" w:hAnsi="Arial Narrow"/>
          <w:snapToGrid w:val="0"/>
          <w:sz w:val="18"/>
          <w:szCs w:val="18"/>
        </w:rPr>
        <w:t>86, pp133-137 of the submission.</w:t>
      </w:r>
    </w:p>
    <w:p w14:paraId="0C8B44C0" w14:textId="0C523DFC" w:rsidR="000C5C16" w:rsidRDefault="000C5C16" w:rsidP="00BC31C0">
      <w:pPr>
        <w:pStyle w:val="TableFigureFooter"/>
      </w:pPr>
      <w:r w:rsidRPr="00D277B1">
        <w:t xml:space="preserve">Abbreviations: </w:t>
      </w:r>
      <w:r w:rsidRPr="001C46EE">
        <w:t>AIC = Akaike’s Information Criteria; BIC = Bayesian Information Criteria</w:t>
      </w:r>
      <w:r>
        <w:t>; BSC = best supportive care; DOT = duration of treatment;</w:t>
      </w:r>
      <w:r w:rsidR="006D75CB">
        <w:t xml:space="preserve"> DPMQ = dispensed price for maximum quantity;</w:t>
      </w:r>
      <w:r>
        <w:t xml:space="preserve"> H</w:t>
      </w:r>
      <w:r w:rsidRPr="00D277B1">
        <w:t xml:space="preserve">SCT = </w:t>
      </w:r>
      <w:r w:rsidRPr="00AE57EB">
        <w:t>haematopoietic stem</w:t>
      </w:r>
      <w:r>
        <w:t xml:space="preserve"> </w:t>
      </w:r>
      <w:r w:rsidRPr="00D277B1">
        <w:t>cell transplant</w:t>
      </w:r>
      <w:r>
        <w:t xml:space="preserve">ation; </w:t>
      </w:r>
      <w:r w:rsidRPr="00D277B1">
        <w:t xml:space="preserve">ICER = incremental cost effectiveness ratio; </w:t>
      </w:r>
      <w:r>
        <w:t>KM = Kaplan</w:t>
      </w:r>
      <w:r w:rsidR="000E6572">
        <w:t>–</w:t>
      </w:r>
      <w:r>
        <w:t xml:space="preserve">Meier; </w:t>
      </w:r>
      <w:r w:rsidRPr="00D277B1">
        <w:t>OS = overall survival; RFS = relapse free survival; QALY = quality adjusted life years</w:t>
      </w:r>
      <w:r>
        <w:t>; ToT = time on treatment.</w:t>
      </w:r>
    </w:p>
    <w:p w14:paraId="419BA15A" w14:textId="6183E06D" w:rsidR="00451D77" w:rsidRDefault="0003220F" w:rsidP="00BC31C0">
      <w:pPr>
        <w:pStyle w:val="TableFigureFooter"/>
        <w:jc w:val="left"/>
      </w:pPr>
      <w:r w:rsidRPr="0010205E">
        <w:t>* ICERs are the same</w:t>
      </w:r>
      <w:r w:rsidR="0095133D" w:rsidRPr="0010205E">
        <w:t xml:space="preserve"> (</w:t>
      </w:r>
      <w:r w:rsidR="00451D77" w:rsidRPr="00451D77">
        <w:t>$75,000 to &lt; $95,000</w:t>
      </w:r>
      <w:r w:rsidR="0095133D" w:rsidRPr="0010205E">
        <w:t>/QALY gained)</w:t>
      </w:r>
      <w:r w:rsidRPr="0010205E">
        <w:t xml:space="preserve"> as the cost of HSCT is modelled as a once off, up-front cost</w:t>
      </w:r>
      <w:r w:rsidR="005C001A">
        <w:br/>
      </w:r>
    </w:p>
    <w:p w14:paraId="5943A8FE" w14:textId="77777777" w:rsidR="00451D77" w:rsidRPr="00BC31C0" w:rsidRDefault="00451D77" w:rsidP="00BC31C0">
      <w:pPr>
        <w:pStyle w:val="TableFigureFooter"/>
        <w:rPr>
          <w:i/>
          <w:iCs/>
        </w:rPr>
      </w:pPr>
      <w:r w:rsidRPr="00BC31C0">
        <w:rPr>
          <w:i/>
          <w:iCs/>
        </w:rPr>
        <w:t>The redacted values correspond to the following ranges:</w:t>
      </w:r>
    </w:p>
    <w:p w14:paraId="62BA1C33" w14:textId="77777777" w:rsidR="00451D77" w:rsidRPr="00BC31C0" w:rsidRDefault="00451D77" w:rsidP="00BC31C0">
      <w:pPr>
        <w:pStyle w:val="TableFigureFooter"/>
        <w:rPr>
          <w:i/>
          <w:iCs/>
        </w:rPr>
      </w:pPr>
      <w:r w:rsidRPr="00BC31C0">
        <w:rPr>
          <w:i/>
          <w:iCs/>
          <w:vertAlign w:val="superscript"/>
        </w:rPr>
        <w:t>1</w:t>
      </w:r>
      <w:r w:rsidRPr="00BC31C0">
        <w:rPr>
          <w:i/>
          <w:iCs/>
        </w:rPr>
        <w:t>$75,000 to &lt; $95,000</w:t>
      </w:r>
    </w:p>
    <w:p w14:paraId="0D246363" w14:textId="77777777" w:rsidR="00451D77" w:rsidRPr="00BC31C0" w:rsidRDefault="00451D77" w:rsidP="00BC31C0">
      <w:pPr>
        <w:pStyle w:val="TableFigureFooter"/>
        <w:rPr>
          <w:i/>
          <w:iCs/>
        </w:rPr>
      </w:pPr>
      <w:r w:rsidRPr="00BC31C0">
        <w:rPr>
          <w:i/>
          <w:iCs/>
          <w:vertAlign w:val="superscript"/>
        </w:rPr>
        <w:t>2</w:t>
      </w:r>
      <w:r w:rsidRPr="00BC31C0">
        <w:rPr>
          <w:i/>
          <w:iCs/>
        </w:rPr>
        <w:t xml:space="preserve">$55,000 to &lt; $75,000 </w:t>
      </w:r>
    </w:p>
    <w:p w14:paraId="4C46DA29" w14:textId="77777777" w:rsidR="00451D77" w:rsidRPr="00BC31C0" w:rsidRDefault="00451D77" w:rsidP="00BC31C0">
      <w:pPr>
        <w:pStyle w:val="TableFigureFooter"/>
        <w:rPr>
          <w:i/>
          <w:iCs/>
        </w:rPr>
      </w:pPr>
      <w:r w:rsidRPr="00BC31C0">
        <w:rPr>
          <w:i/>
          <w:iCs/>
          <w:vertAlign w:val="superscript"/>
        </w:rPr>
        <w:t>3</w:t>
      </w:r>
      <w:r w:rsidRPr="00BC31C0">
        <w:rPr>
          <w:i/>
          <w:iCs/>
        </w:rPr>
        <w:t>$45,000 to &lt; $55,000</w:t>
      </w:r>
    </w:p>
    <w:p w14:paraId="65E69088" w14:textId="11804410" w:rsidR="00451D77" w:rsidRPr="00BC31C0" w:rsidRDefault="00451D77" w:rsidP="00BC31C0">
      <w:pPr>
        <w:pStyle w:val="TableFigureFooter"/>
        <w:rPr>
          <w:i/>
          <w:iCs/>
        </w:rPr>
      </w:pPr>
      <w:r w:rsidRPr="00BC31C0">
        <w:rPr>
          <w:i/>
          <w:iCs/>
          <w:vertAlign w:val="superscript"/>
        </w:rPr>
        <w:t>4</w:t>
      </w:r>
      <w:r w:rsidRPr="00BC31C0">
        <w:rPr>
          <w:i/>
          <w:iCs/>
        </w:rPr>
        <w:t>$95,000 to &lt; $115,000</w:t>
      </w:r>
    </w:p>
    <w:bookmarkEnd w:id="74"/>
    <w:bookmarkEnd w:id="75"/>
    <w:p w14:paraId="4C46DEF8" w14:textId="4C6A80A6" w:rsidR="000C5C16" w:rsidRDefault="000C5C16" w:rsidP="000C5C16">
      <w:pPr>
        <w:pStyle w:val="3-BodyText"/>
      </w:pPr>
      <w:r w:rsidRPr="007F034A">
        <w:t>The model was sensitive to specification of time on treatment, and the cost of and proportions of patients receiving a HSCT.</w:t>
      </w:r>
    </w:p>
    <w:p w14:paraId="33085D87" w14:textId="73D27727" w:rsidR="008812B5" w:rsidRPr="0010205E" w:rsidRDefault="008812B5" w:rsidP="008812B5">
      <w:pPr>
        <w:pStyle w:val="3-BodyText"/>
      </w:pPr>
      <w:r w:rsidRPr="0010205E">
        <w:t>The ESC considered that a revised model should allow the incorporation of treatment specific utility values that are based on the QUAZAR trial data for the relapse free health state. In addition, the ESC considered that a more appropriate base case</w:t>
      </w:r>
      <w:r w:rsidR="00543F4D">
        <w:t xml:space="preserve"> would</w:t>
      </w:r>
      <w:r w:rsidRPr="0010205E">
        <w:t>:</w:t>
      </w:r>
    </w:p>
    <w:p w14:paraId="62F8C60E" w14:textId="6C31F865" w:rsidR="008812B5" w:rsidRPr="0010205E" w:rsidRDefault="00543F4D" w:rsidP="008812B5">
      <w:pPr>
        <w:pStyle w:val="3-BodyText"/>
        <w:numPr>
          <w:ilvl w:val="1"/>
          <w:numId w:val="20"/>
        </w:numPr>
        <w:ind w:left="1077" w:hanging="357"/>
      </w:pPr>
      <w:r>
        <w:t>a</w:t>
      </w:r>
      <w:r w:rsidR="008812B5" w:rsidRPr="0010205E">
        <w:t>ppl</w:t>
      </w:r>
      <w:r>
        <w:t>y</w:t>
      </w:r>
      <w:r w:rsidR="008812B5" w:rsidRPr="0010205E">
        <w:t xml:space="preserve"> a maximum quantity of 14 tablets (rather than 21, as per the PSCR); </w:t>
      </w:r>
    </w:p>
    <w:p w14:paraId="7CD2E1E5" w14:textId="40E554B1" w:rsidR="008812B5" w:rsidRPr="0010205E" w:rsidRDefault="008812B5" w:rsidP="008812B5">
      <w:pPr>
        <w:pStyle w:val="3-BodyText"/>
        <w:numPr>
          <w:ilvl w:val="1"/>
          <w:numId w:val="20"/>
        </w:numPr>
        <w:ind w:left="1077" w:hanging="357"/>
      </w:pPr>
      <w:r w:rsidRPr="0010205E">
        <w:t>appl</w:t>
      </w:r>
      <w:r w:rsidR="00543F4D">
        <w:t>y</w:t>
      </w:r>
      <w:r w:rsidRPr="0010205E">
        <w:t xml:space="preserve"> </w:t>
      </w:r>
      <w:r w:rsidR="00E5131A">
        <w:t>Kaplan–Meier</w:t>
      </w:r>
      <w:r w:rsidRPr="0010205E">
        <w:t xml:space="preserve"> time on treatment data from QUAZAR to the oral azacitidine and BSC arms;</w:t>
      </w:r>
    </w:p>
    <w:p w14:paraId="41311417" w14:textId="7D51DCC4" w:rsidR="008812B5" w:rsidRPr="0010205E" w:rsidRDefault="00ED249F" w:rsidP="008812B5">
      <w:pPr>
        <w:pStyle w:val="3-BodyText"/>
        <w:numPr>
          <w:ilvl w:val="1"/>
          <w:numId w:val="20"/>
        </w:numPr>
        <w:ind w:left="1077" w:hanging="357"/>
      </w:pPr>
      <w:r>
        <w:t>e</w:t>
      </w:r>
      <w:r w:rsidR="008812B5" w:rsidRPr="0010205E">
        <w:t>xtrapolate the OS curves from the median follow-up point; and</w:t>
      </w:r>
    </w:p>
    <w:p w14:paraId="12DC809D" w14:textId="488F5539" w:rsidR="008812B5" w:rsidRPr="0010205E" w:rsidRDefault="008812B5" w:rsidP="008812B5">
      <w:pPr>
        <w:pStyle w:val="3-BodyText"/>
        <w:numPr>
          <w:ilvl w:val="1"/>
          <w:numId w:val="20"/>
        </w:numPr>
        <w:ind w:left="1077" w:hanging="357"/>
      </w:pPr>
      <w:r w:rsidRPr="0010205E">
        <w:t>appl</w:t>
      </w:r>
      <w:r w:rsidR="00543F4D">
        <w:t>y</w:t>
      </w:r>
      <w:r w:rsidRPr="0010205E">
        <w:t xml:space="preserve"> the corrected cost of allogenic HSCT.</w:t>
      </w:r>
    </w:p>
    <w:p w14:paraId="0477B5F2" w14:textId="46878A3B" w:rsidR="00FD37B6" w:rsidRDefault="008812B5" w:rsidP="00FD37B6">
      <w:pPr>
        <w:pStyle w:val="3-BodyText"/>
      </w:pPr>
      <w:r>
        <w:t xml:space="preserve">The pre-PBAC response </w:t>
      </w:r>
      <w:r w:rsidR="00FD37B6">
        <w:t xml:space="preserve">presented a revised base case which applied a maximum quantity of 14 tablets, applied the corrected cost of allogenic HSCT and incorporated treatment specific utility values based on </w:t>
      </w:r>
      <w:r w:rsidR="00871723">
        <w:t xml:space="preserve">the </w:t>
      </w:r>
      <w:r w:rsidR="00FD37B6">
        <w:t xml:space="preserve">QUAZAR </w:t>
      </w:r>
      <w:r w:rsidR="00871723">
        <w:t xml:space="preserve">trial </w:t>
      </w:r>
      <w:r w:rsidR="00FD37B6">
        <w:t xml:space="preserve">for the relapse free health state. This resulted in an ICER of </w:t>
      </w:r>
      <w:r w:rsidR="00334471" w:rsidRPr="00334471">
        <w:t>$55,000</w:t>
      </w:r>
      <w:r w:rsidR="001923C0">
        <w:t> </w:t>
      </w:r>
      <w:r w:rsidR="00334471" w:rsidRPr="00334471">
        <w:t>to</w:t>
      </w:r>
      <w:r w:rsidR="001923C0">
        <w:t> </w:t>
      </w:r>
      <w:r w:rsidR="00334471" w:rsidRPr="00334471">
        <w:t>&lt;</w:t>
      </w:r>
      <w:r w:rsidR="001923C0">
        <w:t> </w:t>
      </w:r>
      <w:r w:rsidR="00334471" w:rsidRPr="00334471">
        <w:t xml:space="preserve">$75,000 </w:t>
      </w:r>
      <w:r w:rsidR="00FD37B6">
        <w:t xml:space="preserve">per QALY. If </w:t>
      </w:r>
      <w:r w:rsidR="00E5131A">
        <w:t>Kaplan–Meier</w:t>
      </w:r>
      <w:r w:rsidR="00FD37B6">
        <w:t xml:space="preserve"> time on treatment data w</w:t>
      </w:r>
      <w:r w:rsidR="003A2BBB">
        <w:t>ere</w:t>
      </w:r>
      <w:r w:rsidR="00FD37B6">
        <w:t xml:space="preserve"> also applied and OS curves extrapolated from the median follow-up point</w:t>
      </w:r>
      <w:r w:rsidR="009B65BD">
        <w:t xml:space="preserve"> as recommended by ESC</w:t>
      </w:r>
      <w:r w:rsidR="00FD37B6">
        <w:t xml:space="preserve">, the ICER increased to </w:t>
      </w:r>
      <w:r w:rsidR="00334471" w:rsidRPr="00334471">
        <w:t>$75,000</w:t>
      </w:r>
      <w:r w:rsidR="001923C0">
        <w:t> </w:t>
      </w:r>
      <w:r w:rsidR="00334471" w:rsidRPr="00334471">
        <w:t>to</w:t>
      </w:r>
      <w:r w:rsidR="001923C0">
        <w:t> </w:t>
      </w:r>
      <w:r w:rsidR="00334471" w:rsidRPr="00334471">
        <w:t>&lt;</w:t>
      </w:r>
      <w:r w:rsidR="001923C0">
        <w:t> </w:t>
      </w:r>
      <w:r w:rsidR="00334471" w:rsidRPr="00334471">
        <w:t>$95,000</w:t>
      </w:r>
      <w:r w:rsidR="00334A4F">
        <w:t xml:space="preserve"> </w:t>
      </w:r>
      <w:r w:rsidR="00722E9D">
        <w:t>per QALY</w:t>
      </w:r>
      <w:r w:rsidR="000907F4">
        <w:rPr>
          <w:rStyle w:val="FootnoteReference"/>
        </w:rPr>
        <w:footnoteReference w:id="1"/>
      </w:r>
      <w:r w:rsidR="00722E9D">
        <w:t>.</w:t>
      </w:r>
    </w:p>
    <w:p w14:paraId="001415D5" w14:textId="71D41A0A" w:rsidR="00795B5B" w:rsidRPr="00602E88" w:rsidRDefault="00795B5B" w:rsidP="00FD37B6">
      <w:pPr>
        <w:pStyle w:val="3-BodyText"/>
      </w:pPr>
      <w:r w:rsidRPr="00602E88">
        <w:t xml:space="preserve">The PBAC noted that the costs of </w:t>
      </w:r>
      <w:r w:rsidR="00153537" w:rsidRPr="00602E88">
        <w:rPr>
          <w:lang w:val="en-GB"/>
        </w:rPr>
        <w:t xml:space="preserve">post-relapse dose escalation </w:t>
      </w:r>
      <w:r w:rsidR="001201F5" w:rsidRPr="00602E88">
        <w:rPr>
          <w:lang w:val="en-GB"/>
        </w:rPr>
        <w:t xml:space="preserve">for </w:t>
      </w:r>
      <w:r w:rsidR="001201F5" w:rsidRPr="00602E88">
        <w:t>patients identified with blasts between 5 and 15% did not appear to be included in the economic model</w:t>
      </w:r>
      <w:r w:rsidRPr="00602E88">
        <w:t xml:space="preserve">. </w:t>
      </w:r>
    </w:p>
    <w:p w14:paraId="40F6DBD5" w14:textId="77777777" w:rsidR="000C5C16" w:rsidRPr="00E875E3" w:rsidRDefault="000C5C16" w:rsidP="006D75CB">
      <w:pPr>
        <w:pStyle w:val="4-SubsectionHeading"/>
        <w:rPr>
          <w:rStyle w:val="CommentReference"/>
          <w:rFonts w:asciiTheme="minorHAnsi" w:hAnsiTheme="minorHAnsi"/>
          <w:b/>
          <w:sz w:val="28"/>
          <w:szCs w:val="36"/>
        </w:rPr>
      </w:pPr>
      <w:r>
        <w:t xml:space="preserve">Drug </w:t>
      </w:r>
      <w:r w:rsidRPr="00E875E3">
        <w:t>cost/patient/</w:t>
      </w:r>
      <w:r>
        <w:t>course</w:t>
      </w:r>
    </w:p>
    <w:p w14:paraId="595C3EDD" w14:textId="22F9B92E" w:rsidR="000C5C16" w:rsidRPr="006D75CB" w:rsidRDefault="000C5C16" w:rsidP="000E6572">
      <w:pPr>
        <w:keepNext/>
        <w:keepLines/>
        <w:rPr>
          <w:rStyle w:val="CommentReference"/>
          <w:szCs w:val="24"/>
        </w:rPr>
      </w:pPr>
      <w:bookmarkStart w:id="76" w:name="_Ref110864244"/>
      <w:r w:rsidRPr="006D75CB">
        <w:rPr>
          <w:rStyle w:val="CommentReference"/>
          <w:szCs w:val="24"/>
        </w:rPr>
        <w:t xml:space="preserve">Table </w:t>
      </w:r>
      <w:r w:rsidRPr="006D75CB">
        <w:rPr>
          <w:rStyle w:val="CommentReference"/>
          <w:szCs w:val="24"/>
        </w:rPr>
        <w:fldChar w:fldCharType="begin" w:fldLock="1"/>
      </w:r>
      <w:r w:rsidRPr="006D75CB">
        <w:rPr>
          <w:rStyle w:val="CommentReference"/>
          <w:szCs w:val="24"/>
        </w:rPr>
        <w:instrText xml:space="preserve"> SEQ Table \* ARABIC \s 1 </w:instrText>
      </w:r>
      <w:r w:rsidRPr="006D75CB">
        <w:rPr>
          <w:rStyle w:val="CommentReference"/>
          <w:szCs w:val="24"/>
        </w:rPr>
        <w:fldChar w:fldCharType="separate"/>
      </w:r>
      <w:r w:rsidR="00602E88">
        <w:rPr>
          <w:rStyle w:val="CommentReference"/>
          <w:noProof/>
          <w:szCs w:val="24"/>
        </w:rPr>
        <w:t>16</w:t>
      </w:r>
      <w:r w:rsidRPr="006D75CB">
        <w:rPr>
          <w:rStyle w:val="CommentReference"/>
          <w:szCs w:val="24"/>
        </w:rPr>
        <w:fldChar w:fldCharType="end"/>
      </w:r>
      <w:bookmarkEnd w:id="76"/>
      <w:r w:rsidRPr="006D75CB">
        <w:rPr>
          <w:rStyle w:val="CommentReference"/>
          <w:szCs w:val="24"/>
        </w:rPr>
        <w:t>: Drug cost per patient for oral azacitidine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6: Drug cost per patient for oral azacitidine"/>
      </w:tblPr>
      <w:tblGrid>
        <w:gridCol w:w="2122"/>
        <w:gridCol w:w="2267"/>
        <w:gridCol w:w="2552"/>
        <w:gridCol w:w="2076"/>
      </w:tblGrid>
      <w:tr w:rsidR="000C5C16" w:rsidRPr="00E2771E" w14:paraId="41E69083" w14:textId="77777777" w:rsidTr="00AA32D6">
        <w:trPr>
          <w:cantSplit/>
          <w:tblHeader/>
          <w:jc w:val="center"/>
        </w:trPr>
        <w:tc>
          <w:tcPr>
            <w:tcW w:w="1177" w:type="pct"/>
            <w:shd w:val="clear" w:color="auto" w:fill="auto"/>
            <w:vAlign w:val="center"/>
          </w:tcPr>
          <w:p w14:paraId="42E47EE0" w14:textId="77777777" w:rsidR="000C5C16" w:rsidRPr="00E2771E" w:rsidRDefault="000C5C16" w:rsidP="000E6572">
            <w:pPr>
              <w:pStyle w:val="In-tableHeading"/>
              <w:keepLines/>
              <w:jc w:val="center"/>
            </w:pPr>
          </w:p>
        </w:tc>
        <w:tc>
          <w:tcPr>
            <w:tcW w:w="1257" w:type="pct"/>
            <w:shd w:val="clear" w:color="auto" w:fill="auto"/>
            <w:vAlign w:val="center"/>
          </w:tcPr>
          <w:p w14:paraId="52E42201" w14:textId="77777777" w:rsidR="000C5C16" w:rsidRPr="00F65EAA" w:rsidRDefault="000C5C16" w:rsidP="000E6572">
            <w:pPr>
              <w:pStyle w:val="In-tableHeading"/>
              <w:keepLines/>
              <w:jc w:val="center"/>
            </w:pPr>
            <w:r w:rsidRPr="00F65EAA">
              <w:t>Trial</w:t>
            </w:r>
            <w:r>
              <w:t xml:space="preserve"> </w:t>
            </w:r>
            <w:r w:rsidRPr="00F65EAA">
              <w:t>dos</w:t>
            </w:r>
            <w:r>
              <w:t>e</w:t>
            </w:r>
            <w:r w:rsidRPr="00F65EAA">
              <w:t xml:space="preserve"> and duration</w:t>
            </w:r>
          </w:p>
        </w:tc>
        <w:tc>
          <w:tcPr>
            <w:tcW w:w="1415" w:type="pct"/>
            <w:shd w:val="clear" w:color="auto" w:fill="auto"/>
            <w:vAlign w:val="center"/>
          </w:tcPr>
          <w:p w14:paraId="14F956E9" w14:textId="77777777" w:rsidR="000C5C16" w:rsidRPr="00E2771E" w:rsidRDefault="000C5C16" w:rsidP="000E6572">
            <w:pPr>
              <w:pStyle w:val="In-tableHeading"/>
              <w:keepLines/>
              <w:jc w:val="center"/>
            </w:pPr>
            <w:r>
              <w:t>Model</w:t>
            </w:r>
          </w:p>
        </w:tc>
        <w:tc>
          <w:tcPr>
            <w:tcW w:w="1151" w:type="pct"/>
            <w:shd w:val="clear" w:color="auto" w:fill="auto"/>
            <w:vAlign w:val="center"/>
          </w:tcPr>
          <w:p w14:paraId="3C87D441" w14:textId="77777777" w:rsidR="000C5C16" w:rsidRPr="00E2771E" w:rsidRDefault="000C5C16" w:rsidP="000E6572">
            <w:pPr>
              <w:pStyle w:val="In-tableHeading"/>
              <w:keepLines/>
              <w:jc w:val="center"/>
            </w:pPr>
            <w:r>
              <w:t>Financial estimates</w:t>
            </w:r>
          </w:p>
        </w:tc>
      </w:tr>
      <w:tr w:rsidR="000C5C16" w:rsidRPr="00E2771E" w14:paraId="0C88E722" w14:textId="77777777" w:rsidTr="00AA32D6">
        <w:trPr>
          <w:cantSplit/>
          <w:jc w:val="center"/>
        </w:trPr>
        <w:tc>
          <w:tcPr>
            <w:tcW w:w="1177" w:type="pct"/>
            <w:shd w:val="clear" w:color="auto" w:fill="auto"/>
            <w:vAlign w:val="center"/>
          </w:tcPr>
          <w:p w14:paraId="4542D5B2" w14:textId="77777777" w:rsidR="000C5C16" w:rsidRPr="001F5BDA" w:rsidRDefault="000C5C16" w:rsidP="000E6572">
            <w:pPr>
              <w:pStyle w:val="TableText0"/>
              <w:keepLines/>
              <w:rPr>
                <w:lang w:val="en-US"/>
              </w:rPr>
            </w:pPr>
            <w:r w:rsidRPr="001F5BDA">
              <w:rPr>
                <w:lang w:val="en-US"/>
              </w:rPr>
              <w:t>Mean dose</w:t>
            </w:r>
          </w:p>
        </w:tc>
        <w:tc>
          <w:tcPr>
            <w:tcW w:w="1257" w:type="pct"/>
            <w:shd w:val="clear" w:color="auto" w:fill="auto"/>
            <w:vAlign w:val="center"/>
          </w:tcPr>
          <w:p w14:paraId="300CDAEB" w14:textId="77777777" w:rsidR="000C5C16" w:rsidRPr="008A5608" w:rsidRDefault="000C5C16" w:rsidP="000E6572">
            <w:pPr>
              <w:pStyle w:val="TableText0"/>
              <w:keepLines/>
              <w:jc w:val="center"/>
              <w:rPr>
                <w:bCs w:val="0"/>
                <w:lang w:val="en-US"/>
              </w:rPr>
            </w:pPr>
            <w:r w:rsidRPr="008A5608">
              <w:rPr>
                <w:bCs w:val="0"/>
                <w:lang w:val="en-US"/>
              </w:rPr>
              <w:t>285.6 mg</w:t>
            </w:r>
            <w:r w:rsidRPr="008A5608">
              <w:rPr>
                <w:bCs w:val="0"/>
                <w:vertAlign w:val="superscript"/>
                <w:lang w:val="en-US"/>
              </w:rPr>
              <w:t>a</w:t>
            </w:r>
            <w:r w:rsidRPr="008A5608">
              <w:rPr>
                <w:bCs w:val="0"/>
                <w:lang w:val="en-US"/>
              </w:rPr>
              <w:t xml:space="preserve"> per day </w:t>
            </w:r>
            <w:r w:rsidRPr="008A5608">
              <w:rPr>
                <w:bCs w:val="0"/>
                <w:lang w:val="en-US"/>
              </w:rPr>
              <w:br/>
              <w:t>(14 days/28 day cycle)</w:t>
            </w:r>
          </w:p>
        </w:tc>
        <w:tc>
          <w:tcPr>
            <w:tcW w:w="1415" w:type="pct"/>
            <w:shd w:val="clear" w:color="auto" w:fill="auto"/>
            <w:vAlign w:val="center"/>
          </w:tcPr>
          <w:p w14:paraId="78372742" w14:textId="77777777" w:rsidR="000C5C16" w:rsidRPr="008A5608" w:rsidRDefault="000C5C16" w:rsidP="000E6572">
            <w:pPr>
              <w:pStyle w:val="TableText0"/>
              <w:keepLines/>
              <w:jc w:val="center"/>
              <w:rPr>
                <w:bCs w:val="0"/>
                <w:lang w:val="en-US"/>
              </w:rPr>
            </w:pPr>
            <w:r w:rsidRPr="008A5608">
              <w:rPr>
                <w:bCs w:val="0"/>
                <w:lang w:val="en-US"/>
              </w:rPr>
              <w:t>269 mg</w:t>
            </w:r>
            <w:r w:rsidRPr="008A5608">
              <w:rPr>
                <w:bCs w:val="0"/>
                <w:vertAlign w:val="superscript"/>
                <w:lang w:val="en-US"/>
              </w:rPr>
              <w:t>b</w:t>
            </w:r>
            <w:r w:rsidRPr="008A5608">
              <w:rPr>
                <w:bCs w:val="0"/>
                <w:lang w:val="en-US"/>
              </w:rPr>
              <w:t xml:space="preserve"> per day </w:t>
            </w:r>
            <w:r w:rsidRPr="008A5608">
              <w:rPr>
                <w:bCs w:val="0"/>
                <w:lang w:val="en-US"/>
              </w:rPr>
              <w:br/>
              <w:t>(14 days/28 day cycle)</w:t>
            </w:r>
          </w:p>
        </w:tc>
        <w:tc>
          <w:tcPr>
            <w:tcW w:w="1151" w:type="pct"/>
            <w:shd w:val="clear" w:color="auto" w:fill="auto"/>
            <w:vAlign w:val="center"/>
          </w:tcPr>
          <w:p w14:paraId="76EA1086" w14:textId="77777777" w:rsidR="000C5C16" w:rsidRPr="00D84530" w:rsidRDefault="000C5C16" w:rsidP="000E6572">
            <w:pPr>
              <w:pStyle w:val="TableText0"/>
              <w:keepLines/>
              <w:jc w:val="center"/>
              <w:rPr>
                <w:bCs w:val="0"/>
                <w:lang w:val="en-US"/>
              </w:rPr>
            </w:pPr>
            <w:r w:rsidRPr="00D84530">
              <w:rPr>
                <w:bCs w:val="0"/>
                <w:lang w:val="en-US"/>
              </w:rPr>
              <w:t>300 mg</w:t>
            </w:r>
            <w:r>
              <w:rPr>
                <w:bCs w:val="0"/>
                <w:lang w:val="en-US"/>
              </w:rPr>
              <w:t>/200 mg</w:t>
            </w:r>
            <w:r w:rsidRPr="00D84530">
              <w:rPr>
                <w:bCs w:val="0"/>
                <w:lang w:val="en-US"/>
              </w:rPr>
              <w:t xml:space="preserve"> </w:t>
            </w:r>
          </w:p>
        </w:tc>
      </w:tr>
      <w:tr w:rsidR="000C5C16" w:rsidRPr="00E2771E" w14:paraId="560F4B2D" w14:textId="77777777" w:rsidTr="00AA32D6">
        <w:trPr>
          <w:cantSplit/>
          <w:jc w:val="center"/>
        </w:trPr>
        <w:tc>
          <w:tcPr>
            <w:tcW w:w="1177" w:type="pct"/>
            <w:shd w:val="clear" w:color="auto" w:fill="auto"/>
            <w:vAlign w:val="center"/>
          </w:tcPr>
          <w:p w14:paraId="7B17BFF7" w14:textId="77777777" w:rsidR="000C5C16" w:rsidRPr="001F5BDA" w:rsidRDefault="000C5C16" w:rsidP="000E6572">
            <w:pPr>
              <w:pStyle w:val="TableText0"/>
              <w:keepLines/>
              <w:rPr>
                <w:lang w:val="en-US"/>
              </w:rPr>
            </w:pPr>
            <w:r w:rsidRPr="001F5BDA">
              <w:rPr>
                <w:lang w:val="en-US"/>
              </w:rPr>
              <w:t>Mean duration</w:t>
            </w:r>
          </w:p>
        </w:tc>
        <w:tc>
          <w:tcPr>
            <w:tcW w:w="1257" w:type="pct"/>
            <w:shd w:val="clear" w:color="auto" w:fill="auto"/>
            <w:vAlign w:val="center"/>
          </w:tcPr>
          <w:p w14:paraId="592C64E9" w14:textId="77777777" w:rsidR="000C5C16" w:rsidRPr="008A5608" w:rsidRDefault="000C5C16" w:rsidP="000E6572">
            <w:pPr>
              <w:pStyle w:val="TableText0"/>
              <w:keepLines/>
              <w:jc w:val="center"/>
              <w:rPr>
                <w:bCs w:val="0"/>
                <w:lang w:val="en-US"/>
              </w:rPr>
            </w:pPr>
            <w:r w:rsidRPr="008A5608">
              <w:rPr>
                <w:bCs w:val="0"/>
                <w:lang w:val="en-US"/>
              </w:rPr>
              <w:t>18.1 months</w:t>
            </w:r>
          </w:p>
          <w:p w14:paraId="172813FE" w14:textId="77777777" w:rsidR="000C5C16" w:rsidRPr="008A5608" w:rsidRDefault="000C5C16" w:rsidP="000E6572">
            <w:pPr>
              <w:pStyle w:val="TableText0"/>
              <w:keepLines/>
              <w:jc w:val="center"/>
              <w:rPr>
                <w:bCs w:val="0"/>
                <w:lang w:val="en-US"/>
              </w:rPr>
            </w:pPr>
            <w:r w:rsidRPr="008A5608">
              <w:rPr>
                <w:bCs w:val="0"/>
                <w:lang w:val="en-US"/>
              </w:rPr>
              <w:t>19.8 cycles</w:t>
            </w:r>
            <w:r w:rsidRPr="008A5608">
              <w:rPr>
                <w:bCs w:val="0"/>
                <w:vertAlign w:val="superscript"/>
                <w:lang w:val="en-US"/>
              </w:rPr>
              <w:t>c</w:t>
            </w:r>
          </w:p>
        </w:tc>
        <w:tc>
          <w:tcPr>
            <w:tcW w:w="1415" w:type="pct"/>
            <w:shd w:val="clear" w:color="auto" w:fill="auto"/>
            <w:vAlign w:val="center"/>
          </w:tcPr>
          <w:p w14:paraId="7793A67A" w14:textId="77777777" w:rsidR="000C5C16" w:rsidRPr="008A5608" w:rsidRDefault="000C5C16" w:rsidP="000E6572">
            <w:pPr>
              <w:pStyle w:val="TableText0"/>
              <w:keepLines/>
              <w:jc w:val="center"/>
              <w:rPr>
                <w:bCs w:val="0"/>
                <w:lang w:val="en-US"/>
              </w:rPr>
            </w:pPr>
            <w:r w:rsidRPr="008A5608">
              <w:rPr>
                <w:bCs w:val="0"/>
                <w:lang w:val="en-US"/>
              </w:rPr>
              <w:t xml:space="preserve">18.1 months </w:t>
            </w:r>
          </w:p>
          <w:p w14:paraId="766680CA" w14:textId="77777777" w:rsidR="000C5C16" w:rsidRPr="008A5608" w:rsidRDefault="000C5C16" w:rsidP="000E6572">
            <w:pPr>
              <w:pStyle w:val="TableText0"/>
              <w:keepLines/>
              <w:jc w:val="center"/>
              <w:rPr>
                <w:bCs w:val="0"/>
                <w:lang w:val="en-US"/>
              </w:rPr>
            </w:pPr>
            <w:r w:rsidRPr="008A5608">
              <w:rPr>
                <w:bCs w:val="0"/>
                <w:lang w:val="en-US"/>
              </w:rPr>
              <w:t>19.68 cycles</w:t>
            </w:r>
            <w:r w:rsidRPr="008A5608">
              <w:rPr>
                <w:bCs w:val="0"/>
                <w:vertAlign w:val="superscript"/>
                <w:lang w:val="en-US"/>
              </w:rPr>
              <w:t>d</w:t>
            </w:r>
            <w:r w:rsidRPr="008A5608">
              <w:rPr>
                <w:bCs w:val="0"/>
                <w:lang w:val="en-US"/>
              </w:rPr>
              <w:t xml:space="preserve">, </w:t>
            </w:r>
            <w:r w:rsidRPr="008A5608">
              <w:rPr>
                <w:bCs w:val="0"/>
                <w:lang w:val="en-US"/>
              </w:rPr>
              <w:br/>
              <w:t>adjustment factor for RFS = 0.81</w:t>
            </w:r>
            <w:r w:rsidRPr="008A5608">
              <w:rPr>
                <w:bCs w:val="0"/>
                <w:vertAlign w:val="superscript"/>
                <w:lang w:val="en-US"/>
              </w:rPr>
              <w:t>e</w:t>
            </w:r>
          </w:p>
        </w:tc>
        <w:tc>
          <w:tcPr>
            <w:tcW w:w="1151" w:type="pct"/>
            <w:shd w:val="clear" w:color="auto" w:fill="auto"/>
            <w:vAlign w:val="center"/>
          </w:tcPr>
          <w:p w14:paraId="5567C9EE" w14:textId="77777777" w:rsidR="000C5C16" w:rsidRPr="008A5608" w:rsidRDefault="000C5C16" w:rsidP="000E6572">
            <w:pPr>
              <w:pStyle w:val="TableText0"/>
              <w:keepLines/>
              <w:jc w:val="center"/>
              <w:rPr>
                <w:bCs w:val="0"/>
                <w:lang w:val="en-US"/>
              </w:rPr>
            </w:pPr>
            <w:r w:rsidRPr="008A5608">
              <w:rPr>
                <w:bCs w:val="0"/>
                <w:lang w:val="en-US"/>
              </w:rPr>
              <w:t xml:space="preserve">18.1 months </w:t>
            </w:r>
          </w:p>
          <w:p w14:paraId="09BA95BE" w14:textId="322884B7" w:rsidR="000C5C16" w:rsidRPr="008A5608" w:rsidRDefault="000820DB" w:rsidP="000E6572">
            <w:pPr>
              <w:pStyle w:val="TableText0"/>
              <w:keepLines/>
              <w:jc w:val="center"/>
              <w:rPr>
                <w:bCs w:val="0"/>
                <w:lang w:val="en-US"/>
              </w:rPr>
            </w:pPr>
            <w:r w:rsidRPr="008A5608">
              <w:rPr>
                <w:bCs w:val="0"/>
                <w:lang w:val="en-US"/>
              </w:rPr>
              <w:t>17.6</w:t>
            </w:r>
            <w:r w:rsidR="000C5C16" w:rsidRPr="008A5608">
              <w:rPr>
                <w:bCs w:val="0"/>
                <w:lang w:val="en-US"/>
              </w:rPr>
              <w:t xml:space="preserve"> scripts</w:t>
            </w:r>
            <w:r w:rsidR="000C5C16" w:rsidRPr="008A5608">
              <w:rPr>
                <w:bCs w:val="0"/>
                <w:vertAlign w:val="superscript"/>
                <w:lang w:val="en-US"/>
              </w:rPr>
              <w:t>f</w:t>
            </w:r>
          </w:p>
        </w:tc>
      </w:tr>
      <w:tr w:rsidR="000C5C16" w:rsidRPr="00E2771E" w14:paraId="2F0E9A68" w14:textId="77777777" w:rsidTr="00AA32D6">
        <w:trPr>
          <w:cantSplit/>
          <w:jc w:val="center"/>
        </w:trPr>
        <w:tc>
          <w:tcPr>
            <w:tcW w:w="1177" w:type="pct"/>
            <w:shd w:val="clear" w:color="auto" w:fill="auto"/>
            <w:vAlign w:val="center"/>
          </w:tcPr>
          <w:p w14:paraId="23C3DD2F" w14:textId="77777777" w:rsidR="000C5C16" w:rsidRPr="00E2771E" w:rsidRDefault="000C5C16" w:rsidP="000E6572">
            <w:pPr>
              <w:pStyle w:val="TableText0"/>
              <w:keepLines/>
              <w:rPr>
                <w:lang w:val="en-US"/>
              </w:rPr>
            </w:pPr>
            <w:r>
              <w:rPr>
                <w:lang w:val="en-US"/>
              </w:rPr>
              <w:t>Cost/patient/28-day cycle</w:t>
            </w:r>
          </w:p>
        </w:tc>
        <w:tc>
          <w:tcPr>
            <w:tcW w:w="1257" w:type="pct"/>
            <w:shd w:val="clear" w:color="auto" w:fill="auto"/>
            <w:vAlign w:val="center"/>
          </w:tcPr>
          <w:p w14:paraId="2C0913C4" w14:textId="1ED7C5DA" w:rsidR="000C5C16" w:rsidRPr="00D84530" w:rsidRDefault="000C5C16" w:rsidP="000E6572">
            <w:pPr>
              <w:pStyle w:val="TableText0"/>
              <w:keepLines/>
              <w:jc w:val="center"/>
              <w:rPr>
                <w:bCs w:val="0"/>
                <w:lang w:val="en-US"/>
              </w:rPr>
            </w:pPr>
            <w:r w:rsidRPr="00D84530">
              <w:rPr>
                <w:bCs w:val="0"/>
                <w:lang w:val="en-US"/>
              </w:rPr>
              <w:t>$</w:t>
            </w:r>
            <w:r w:rsidR="00EB4495" w:rsidRPr="00EB4495">
              <w:rPr>
                <w:bCs w:val="0"/>
                <w:color w:val="000000"/>
                <w:shd w:val="solid" w:color="000000" w:fill="000000"/>
                <w:lang w:val="en-US"/>
                <w14:textFill>
                  <w14:solidFill>
                    <w14:srgbClr w14:val="000000">
                      <w14:alpha w14:val="100000"/>
                    </w14:srgbClr>
                  </w14:solidFill>
                </w14:textFill>
              </w:rPr>
              <w:t>|</w:t>
            </w:r>
            <w:r>
              <w:rPr>
                <w:bCs w:val="0"/>
                <w:vertAlign w:val="superscript"/>
                <w:lang w:val="en-US"/>
              </w:rPr>
              <w:t>g</w:t>
            </w:r>
          </w:p>
        </w:tc>
        <w:tc>
          <w:tcPr>
            <w:tcW w:w="1415" w:type="pct"/>
            <w:shd w:val="clear" w:color="auto" w:fill="auto"/>
            <w:vAlign w:val="center"/>
          </w:tcPr>
          <w:p w14:paraId="734808D0" w14:textId="36AE11AC" w:rsidR="000C5C16" w:rsidRPr="00D84530" w:rsidRDefault="000C5C16" w:rsidP="000E6572">
            <w:pPr>
              <w:pStyle w:val="TableText0"/>
              <w:keepLines/>
              <w:jc w:val="center"/>
              <w:rPr>
                <w:bCs w:val="0"/>
                <w:lang w:val="en-US"/>
              </w:rPr>
            </w:pPr>
            <w:r w:rsidRPr="00D84530">
              <w:rPr>
                <w:bCs w:val="0"/>
                <w:lang w:val="en-US"/>
              </w:rPr>
              <w:t>$</w:t>
            </w:r>
            <w:r w:rsidR="00EB4495" w:rsidRPr="00EB4495">
              <w:rPr>
                <w:bCs w:val="0"/>
                <w:color w:val="000000"/>
                <w:shd w:val="solid" w:color="000000" w:fill="000000"/>
                <w:lang w:val="en-US"/>
                <w14:textFill>
                  <w14:solidFill>
                    <w14:srgbClr w14:val="000000">
                      <w14:alpha w14:val="100000"/>
                    </w14:srgbClr>
                  </w14:solidFill>
                </w14:textFill>
              </w:rPr>
              <w:t>|</w:t>
            </w:r>
            <w:r>
              <w:rPr>
                <w:bCs w:val="0"/>
                <w:vertAlign w:val="superscript"/>
                <w:lang w:val="en-US"/>
              </w:rPr>
              <w:t>g</w:t>
            </w:r>
          </w:p>
        </w:tc>
        <w:tc>
          <w:tcPr>
            <w:tcW w:w="1151" w:type="pct"/>
            <w:shd w:val="clear" w:color="auto" w:fill="auto"/>
            <w:vAlign w:val="center"/>
          </w:tcPr>
          <w:p w14:paraId="2D86FFC3" w14:textId="1B1942D3" w:rsidR="000C5C16" w:rsidRPr="00D84530" w:rsidRDefault="000C5C16" w:rsidP="000E6572">
            <w:pPr>
              <w:pStyle w:val="TableText0"/>
              <w:keepLines/>
              <w:jc w:val="center"/>
              <w:rPr>
                <w:bCs w:val="0"/>
                <w:lang w:val="en-US"/>
              </w:rPr>
            </w:pPr>
            <w:r w:rsidRPr="00D84530">
              <w:rPr>
                <w:bCs w:val="0"/>
                <w:lang w:val="en-US"/>
              </w:rPr>
              <w:t xml:space="preserve">DPMQ: </w:t>
            </w:r>
            <w:r>
              <w:rPr>
                <w:bCs w:val="0"/>
                <w:lang w:val="en-US"/>
              </w:rPr>
              <w:br/>
            </w:r>
            <w:r w:rsidRPr="00D84530">
              <w:rPr>
                <w:bCs w:val="0"/>
                <w:lang w:val="en-US"/>
              </w:rPr>
              <w:t>$</w:t>
            </w:r>
            <w:r w:rsidR="00EB4495" w:rsidRPr="000F0268">
              <w:rPr>
                <w:rFonts w:hint="eastAsia"/>
                <w:bCs w:val="0"/>
                <w:color w:val="000000"/>
                <w:w w:val="15"/>
                <w:shd w:val="solid" w:color="000000" w:fill="000000"/>
                <w:fitText w:val="12" w:id="-1435823604"/>
                <w:lang w:val="en-US"/>
                <w14:textFill>
                  <w14:solidFill>
                    <w14:srgbClr w14:val="000000">
                      <w14:alpha w14:val="100000"/>
                    </w14:srgbClr>
                  </w14:solidFill>
                </w14:textFill>
              </w:rPr>
              <w:t xml:space="preserve">　</w:t>
            </w:r>
            <w:r w:rsidR="00EB4495" w:rsidRPr="000F0268">
              <w:rPr>
                <w:bCs w:val="0"/>
                <w:color w:val="000000"/>
                <w:w w:val="15"/>
                <w:shd w:val="solid" w:color="000000" w:fill="000000"/>
                <w:fitText w:val="12" w:id="-1435823604"/>
                <w:lang w:val="en-US"/>
                <w14:textFill>
                  <w14:solidFill>
                    <w14:srgbClr w14:val="000000">
                      <w14:alpha w14:val="100000"/>
                    </w14:srgbClr>
                  </w14:solidFill>
                </w14:textFill>
              </w:rPr>
              <w:t>|</w:t>
            </w:r>
            <w:r w:rsidR="00EB4495" w:rsidRPr="000F0268">
              <w:rPr>
                <w:rFonts w:hint="eastAsia"/>
                <w:bCs w:val="0"/>
                <w:color w:val="000000"/>
                <w:spacing w:val="-53"/>
                <w:w w:val="15"/>
                <w:shd w:val="solid" w:color="000000" w:fill="000000"/>
                <w:fitText w:val="12" w:id="-1435823604"/>
                <w:lang w:val="en-US"/>
                <w14:textFill>
                  <w14:solidFill>
                    <w14:srgbClr w14:val="000000">
                      <w14:alpha w14:val="100000"/>
                    </w14:srgbClr>
                  </w14:solidFill>
                </w14:textFill>
              </w:rPr>
              <w:t xml:space="preserve">　</w:t>
            </w:r>
            <w:r>
              <w:rPr>
                <w:bCs w:val="0"/>
                <w:lang w:val="en-US"/>
              </w:rPr>
              <w:t xml:space="preserve"> (per script)</w:t>
            </w:r>
          </w:p>
        </w:tc>
      </w:tr>
      <w:tr w:rsidR="000C5C16" w:rsidRPr="00E2771E" w14:paraId="7442CD38" w14:textId="77777777" w:rsidTr="00AA32D6">
        <w:trPr>
          <w:cantSplit/>
          <w:jc w:val="center"/>
        </w:trPr>
        <w:tc>
          <w:tcPr>
            <w:tcW w:w="1177" w:type="pct"/>
            <w:shd w:val="clear" w:color="auto" w:fill="auto"/>
            <w:vAlign w:val="center"/>
          </w:tcPr>
          <w:p w14:paraId="5E4654F5" w14:textId="77777777" w:rsidR="000C5C16" w:rsidRPr="00E2771E" w:rsidRDefault="000C5C16" w:rsidP="000E6572">
            <w:pPr>
              <w:pStyle w:val="TableText0"/>
              <w:keepLines/>
              <w:rPr>
                <w:lang w:val="en-US"/>
              </w:rPr>
            </w:pPr>
            <w:r>
              <w:rPr>
                <w:lang w:val="en-US"/>
              </w:rPr>
              <w:t>Cost/patient/course</w:t>
            </w:r>
          </w:p>
        </w:tc>
        <w:tc>
          <w:tcPr>
            <w:tcW w:w="1257" w:type="pct"/>
            <w:shd w:val="clear" w:color="auto" w:fill="auto"/>
            <w:vAlign w:val="center"/>
          </w:tcPr>
          <w:p w14:paraId="4B36184A" w14:textId="6A89D97D" w:rsidR="000C5C16" w:rsidRPr="00D84530" w:rsidRDefault="000C5C16" w:rsidP="000E6572">
            <w:pPr>
              <w:pStyle w:val="TableText0"/>
              <w:keepLines/>
              <w:jc w:val="center"/>
              <w:rPr>
                <w:bCs w:val="0"/>
                <w:lang w:val="en-US"/>
              </w:rPr>
            </w:pPr>
            <w:r w:rsidRPr="00D84530">
              <w:rPr>
                <w:bCs w:val="0"/>
                <w:lang w:val="en-US"/>
              </w:rPr>
              <w:t>$</w:t>
            </w:r>
            <w:r w:rsidR="00EB4495" w:rsidRPr="00EB4495">
              <w:rPr>
                <w:bCs w:val="0"/>
                <w:color w:val="000000"/>
                <w:shd w:val="solid" w:color="000000" w:fill="000000"/>
                <w:lang w:val="en-US"/>
                <w14:textFill>
                  <w14:solidFill>
                    <w14:srgbClr w14:val="000000">
                      <w14:alpha w14:val="100000"/>
                    </w14:srgbClr>
                  </w14:solidFill>
                </w14:textFill>
              </w:rPr>
              <w:t>|</w:t>
            </w:r>
          </w:p>
        </w:tc>
        <w:tc>
          <w:tcPr>
            <w:tcW w:w="1415" w:type="pct"/>
            <w:shd w:val="clear" w:color="auto" w:fill="auto"/>
            <w:vAlign w:val="center"/>
          </w:tcPr>
          <w:p w14:paraId="754EAE30" w14:textId="4AB30C5C" w:rsidR="000C5C16" w:rsidRPr="00D84530" w:rsidRDefault="000C5C16" w:rsidP="000E6572">
            <w:pPr>
              <w:pStyle w:val="TableText0"/>
              <w:keepLines/>
              <w:jc w:val="center"/>
              <w:rPr>
                <w:bCs w:val="0"/>
                <w:lang w:val="en-US"/>
              </w:rPr>
            </w:pPr>
            <w:r w:rsidRPr="00D84530">
              <w:rPr>
                <w:bCs w:val="0"/>
                <w:lang w:val="en-US"/>
              </w:rPr>
              <w:t>$</w:t>
            </w:r>
            <w:r w:rsidR="00EB4495" w:rsidRPr="00EB4495">
              <w:rPr>
                <w:bCs w:val="0"/>
                <w:color w:val="000000"/>
                <w:shd w:val="solid" w:color="000000" w:fill="000000"/>
                <w:lang w:val="en-US"/>
                <w14:textFill>
                  <w14:solidFill>
                    <w14:srgbClr w14:val="000000">
                      <w14:alpha w14:val="100000"/>
                    </w14:srgbClr>
                  </w14:solidFill>
                </w14:textFill>
              </w:rPr>
              <w:t>|</w:t>
            </w:r>
            <w:r>
              <w:rPr>
                <w:bCs w:val="0"/>
                <w:vertAlign w:val="superscript"/>
                <w:lang w:val="en-US"/>
              </w:rPr>
              <w:t>h</w:t>
            </w:r>
          </w:p>
        </w:tc>
        <w:tc>
          <w:tcPr>
            <w:tcW w:w="1151" w:type="pct"/>
            <w:shd w:val="clear" w:color="auto" w:fill="auto"/>
            <w:vAlign w:val="center"/>
          </w:tcPr>
          <w:p w14:paraId="667D6970" w14:textId="01E07CE2" w:rsidR="000C5C16" w:rsidRPr="00D84530" w:rsidRDefault="000C5C16" w:rsidP="000E6572">
            <w:pPr>
              <w:pStyle w:val="TableText0"/>
              <w:keepLines/>
              <w:jc w:val="center"/>
              <w:rPr>
                <w:bCs w:val="0"/>
                <w:lang w:val="en-US"/>
              </w:rPr>
            </w:pPr>
            <w:r>
              <w:rPr>
                <w:bCs w:val="0"/>
                <w:lang w:val="en-US"/>
              </w:rPr>
              <w:t>$</w:t>
            </w:r>
            <w:r w:rsidR="00EB4495" w:rsidRPr="00EB4495">
              <w:rPr>
                <w:bCs w:val="0"/>
                <w:color w:val="000000"/>
                <w:shd w:val="solid" w:color="000000" w:fill="000000"/>
                <w:lang w:val="en-US"/>
                <w14:textFill>
                  <w14:solidFill>
                    <w14:srgbClr w14:val="000000">
                      <w14:alpha w14:val="100000"/>
                    </w14:srgbClr>
                  </w14:solidFill>
                </w14:textFill>
              </w:rPr>
              <w:t>|</w:t>
            </w:r>
          </w:p>
        </w:tc>
      </w:tr>
    </w:tbl>
    <w:p w14:paraId="41C7CDE3" w14:textId="77777777" w:rsidR="000C5C16" w:rsidRDefault="000C5C16" w:rsidP="000E6572">
      <w:pPr>
        <w:pStyle w:val="TableFooter"/>
        <w:keepNext/>
        <w:keepLines/>
      </w:pPr>
      <w:r w:rsidRPr="007F1017">
        <w:t>Source:</w:t>
      </w:r>
      <w:r>
        <w:t xml:space="preserve"> Table 37, p59; workbook “Onureg CUA’ worksheet “Efficacy’ cell D237, worksheet ‘Drug Cost’, cells D8 and J31, of the submission. Compiled during evaluation</w:t>
      </w:r>
      <w:r w:rsidDel="00CE4C9D">
        <w:t xml:space="preserve"> </w:t>
      </w:r>
    </w:p>
    <w:p w14:paraId="293250B6" w14:textId="77777777" w:rsidR="000C5C16" w:rsidRDefault="000C5C16" w:rsidP="000E6572">
      <w:pPr>
        <w:pStyle w:val="TableFooter"/>
        <w:keepNext/>
        <w:keepLines/>
      </w:pPr>
      <w:r>
        <w:t>Abbreviation: DPMQ = dispensed price per maximum quantity; RFS = relapse free survival.</w:t>
      </w:r>
    </w:p>
    <w:p w14:paraId="19CD48BE" w14:textId="77777777" w:rsidR="000C5C16" w:rsidRDefault="000C5C16" w:rsidP="000E6572">
      <w:pPr>
        <w:pStyle w:val="TableFooter"/>
        <w:keepNext/>
        <w:keepLines/>
      </w:pPr>
      <w:r>
        <w:t>a: The mean dose as reported in QUAZAR CSR</w:t>
      </w:r>
    </w:p>
    <w:p w14:paraId="736C4E47" w14:textId="77777777" w:rsidR="000C5C16" w:rsidRPr="008A5608" w:rsidRDefault="000C5C16" w:rsidP="000E6572">
      <w:pPr>
        <w:pStyle w:val="TableFooter"/>
        <w:keepNext/>
        <w:keepLines/>
      </w:pPr>
      <w:r>
        <w:t xml:space="preserve">b: The mean dose used in </w:t>
      </w:r>
      <w:r w:rsidRPr="008A5608">
        <w:t>the economic model is equal to 300 mg * 89.6% (relative dose intensity as reported in QUAZAR CSR)</w:t>
      </w:r>
    </w:p>
    <w:p w14:paraId="1D03EEE9" w14:textId="77777777" w:rsidR="000C5C16" w:rsidRPr="008A5608" w:rsidRDefault="000C5C16" w:rsidP="000E6572">
      <w:pPr>
        <w:pStyle w:val="TableFooter"/>
        <w:keepNext/>
        <w:keepLines/>
      </w:pPr>
      <w:r w:rsidRPr="008A5608">
        <w:t>c: Mean number of cycles as reported in QUAZAR CSR</w:t>
      </w:r>
    </w:p>
    <w:p w14:paraId="3AF11086" w14:textId="77777777" w:rsidR="000C5C16" w:rsidRPr="008A5608" w:rsidRDefault="000C5C16" w:rsidP="000E6572">
      <w:pPr>
        <w:pStyle w:val="TableFooter"/>
        <w:keepNext/>
        <w:keepLines/>
      </w:pPr>
      <w:r w:rsidRPr="008A5608">
        <w:t>d: Mean number of cycles used in the economic model based on mean number of months (18.1), estimated as 19.68 (=18.1*(365.25/12)/28)</w:t>
      </w:r>
    </w:p>
    <w:p w14:paraId="4D13C124" w14:textId="77777777" w:rsidR="000C5C16" w:rsidRPr="008A5608" w:rsidRDefault="000C5C16" w:rsidP="000E6572">
      <w:pPr>
        <w:pStyle w:val="TableFooter"/>
        <w:keepNext/>
        <w:keepLines/>
      </w:pPr>
      <w:r w:rsidRPr="008A5608">
        <w:t>e: The RFS adjustment factor represents the proportion of patients who were relapse free in each cycle up to the censored mean duration of treatment of 18.1 months, as applied in the model</w:t>
      </w:r>
    </w:p>
    <w:p w14:paraId="09E56177" w14:textId="77777777" w:rsidR="000C5C16" w:rsidRDefault="000C5C16" w:rsidP="000E6572">
      <w:pPr>
        <w:pStyle w:val="TableFooter"/>
        <w:keepNext/>
        <w:keepLines/>
      </w:pPr>
      <w:r w:rsidRPr="008A5608">
        <w:t>f: The script numbers were estimated based on 18.1 months of treatment and 89.6%</w:t>
      </w:r>
      <w:r>
        <w:t xml:space="preserve"> compliance rate.</w:t>
      </w:r>
    </w:p>
    <w:p w14:paraId="3FD8CE79" w14:textId="6722F456" w:rsidR="000C5C16" w:rsidRDefault="000C5C16" w:rsidP="000E6572">
      <w:pPr>
        <w:pStyle w:val="TableFooter"/>
        <w:keepNext/>
        <w:keepLines/>
      </w:pPr>
      <w:r>
        <w:t>g: DPMQ per 300 mg dose is $</w:t>
      </w:r>
      <w:r w:rsidR="00EB4495" w:rsidRPr="00EB4495">
        <w:rPr>
          <w:color w:val="000000"/>
          <w:spacing w:val="40"/>
          <w:shd w:val="solid" w:color="000000" w:fill="000000"/>
          <w:fitText w:val="280" w:id="-1435823603"/>
          <w14:textFill>
            <w14:solidFill>
              <w14:srgbClr w14:val="000000">
                <w14:alpha w14:val="100000"/>
              </w14:srgbClr>
            </w14:solidFill>
          </w14:textFill>
        </w:rPr>
        <w:t xml:space="preserve">|  </w:t>
      </w:r>
      <w:r w:rsidR="00EB4495" w:rsidRPr="00EB4495">
        <w:rPr>
          <w:color w:val="000000"/>
          <w:spacing w:val="2"/>
          <w:shd w:val="solid" w:color="000000" w:fill="000000"/>
          <w:fitText w:val="280" w:id="-1435823603"/>
          <w14:textFill>
            <w14:solidFill>
              <w14:srgbClr w14:val="000000">
                <w14:alpha w14:val="100000"/>
              </w14:srgbClr>
            </w14:solidFill>
          </w14:textFill>
        </w:rPr>
        <w:t>|</w:t>
      </w:r>
      <w:r>
        <w:t xml:space="preserve"> (=DPMQ: $</w:t>
      </w:r>
      <w:r w:rsidR="00EB4495" w:rsidRPr="00EB4495">
        <w:rPr>
          <w:color w:val="000000"/>
          <w:spacing w:val="9"/>
          <w:shd w:val="solid" w:color="000000" w:fill="000000"/>
          <w:fitText w:val="281" w:id="-1435823602"/>
          <w14:textFill>
            <w14:solidFill>
              <w14:srgbClr w14:val="000000">
                <w14:alpha w14:val="100000"/>
              </w14:srgbClr>
            </w14:solidFill>
          </w14:textFill>
        </w:rPr>
        <w:t>||  |</w:t>
      </w:r>
      <w:r w:rsidR="00EB4495" w:rsidRPr="00EB4495">
        <w:rPr>
          <w:color w:val="000000"/>
          <w:spacing w:val="1"/>
          <w:shd w:val="solid" w:color="000000" w:fill="000000"/>
          <w:fitText w:val="281" w:id="-1435823602"/>
          <w14:textFill>
            <w14:solidFill>
              <w14:srgbClr w14:val="000000">
                <w14:alpha w14:val="100000"/>
              </w14:srgbClr>
            </w14:solidFill>
          </w14:textFill>
        </w:rPr>
        <w:t>|</w:t>
      </w:r>
      <w:r>
        <w:t>/21(max quantity units). The cost per cycle was based on assuming 14 days of treatment in each cycle, with the cost per dose multiplied by the number of doses per unit (=mean dose/300 mg)</w:t>
      </w:r>
    </w:p>
    <w:p w14:paraId="7B75D34B" w14:textId="19EF1C8F" w:rsidR="000C5C16" w:rsidRDefault="000C5C16" w:rsidP="000E6572">
      <w:pPr>
        <w:pStyle w:val="TableFooter"/>
        <w:keepNext/>
        <w:keepLines/>
      </w:pPr>
      <w:r>
        <w:t xml:space="preserve">h: In the economic model an additional RFS adjustment factor of 0.81 is applied given the application in the model of a censored mean treatment duration, resulting in a lower cost per patient. </w:t>
      </w:r>
    </w:p>
    <w:p w14:paraId="7237CE31" w14:textId="77777777" w:rsidR="000C5C16" w:rsidRPr="00C9624D" w:rsidRDefault="000C5C16" w:rsidP="006D75CB">
      <w:pPr>
        <w:pStyle w:val="4-SubsectionHeading"/>
      </w:pPr>
      <w:r w:rsidRPr="00C9624D">
        <w:t>Estimated PBS usage &amp; financial implications</w:t>
      </w:r>
    </w:p>
    <w:p w14:paraId="2BCBA758" w14:textId="5459D770" w:rsidR="006D75CB" w:rsidRPr="006D75CB" w:rsidRDefault="000C5C16" w:rsidP="00AC36A2">
      <w:pPr>
        <w:pStyle w:val="3-BodyText"/>
      </w:pPr>
      <w:r>
        <w:t xml:space="preserve">This submission </w:t>
      </w:r>
      <w:r w:rsidR="00213149">
        <w:t>was not</w:t>
      </w:r>
      <w:r>
        <w:t xml:space="preserve"> considered by DUSC</w:t>
      </w:r>
      <w:r w:rsidRPr="00B50DB8">
        <w:rPr>
          <w:color w:val="0070C0"/>
        </w:rPr>
        <w:t>.</w:t>
      </w:r>
    </w:p>
    <w:p w14:paraId="797CDD90" w14:textId="218FFC38" w:rsidR="00AC36A2" w:rsidRPr="00D43004" w:rsidRDefault="00AC36A2" w:rsidP="00AC36A2">
      <w:pPr>
        <w:pStyle w:val="3-BodyText"/>
      </w:pPr>
      <w:r w:rsidRPr="00957777">
        <w:t xml:space="preserve">The submission presented an epidemiological approach to estimate the utilisation and financial impact of </w:t>
      </w:r>
      <w:r w:rsidR="009D15AF">
        <w:t>the proposed listing</w:t>
      </w:r>
      <w:r w:rsidRPr="00574DA8">
        <w:t>.</w:t>
      </w:r>
    </w:p>
    <w:p w14:paraId="464CCA8F" w14:textId="01DB3E8F" w:rsidR="00AC36A2" w:rsidRPr="00E70A60" w:rsidRDefault="00AC36A2" w:rsidP="00AC36A2">
      <w:pPr>
        <w:pStyle w:val="3-BodyText"/>
      </w:pPr>
      <w:r>
        <w:t xml:space="preserve">There </w:t>
      </w:r>
      <w:r w:rsidR="00B73646">
        <w:t xml:space="preserve">was </w:t>
      </w:r>
      <w:r>
        <w:t xml:space="preserve">some uncertainty with the estimation of </w:t>
      </w:r>
      <w:r w:rsidR="00E845D5">
        <w:t xml:space="preserve">the </w:t>
      </w:r>
      <w:r>
        <w:t xml:space="preserve">proportion of patients that would achieve CR/CRi. </w:t>
      </w:r>
      <w:r w:rsidRPr="007F034A">
        <w:rPr>
          <w:iCs/>
        </w:rPr>
        <w:t>The number of patients may be overestimated</w:t>
      </w:r>
      <w:r w:rsidR="008043F4" w:rsidRPr="007F034A">
        <w:rPr>
          <w:iCs/>
        </w:rPr>
        <w:t xml:space="preserve">, details </w:t>
      </w:r>
      <w:r w:rsidR="00DD3B3A" w:rsidRPr="007F034A">
        <w:rPr>
          <w:iCs/>
        </w:rPr>
        <w:t xml:space="preserve">are </w:t>
      </w:r>
      <w:r w:rsidR="008043F4" w:rsidRPr="007F034A">
        <w:rPr>
          <w:rFonts w:cstheme="minorHAnsi"/>
          <w:iCs/>
        </w:rPr>
        <w:t xml:space="preserve">presented in </w:t>
      </w:r>
      <w:r w:rsidR="00B73646" w:rsidRPr="007F034A">
        <w:rPr>
          <w:rFonts w:cstheme="minorHAnsi"/>
          <w:iCs/>
        </w:rPr>
        <w:fldChar w:fldCharType="begin" w:fldLock="1"/>
      </w:r>
      <w:r w:rsidR="00B73646" w:rsidRPr="007F034A">
        <w:rPr>
          <w:rFonts w:cstheme="minorHAnsi"/>
          <w:iCs/>
        </w:rPr>
        <w:instrText xml:space="preserve"> REF _Ref100772828 \h  \* MERGEFORMAT </w:instrText>
      </w:r>
      <w:r w:rsidR="00B73646" w:rsidRPr="007F034A">
        <w:rPr>
          <w:rFonts w:cstheme="minorHAnsi"/>
          <w:iCs/>
        </w:rPr>
      </w:r>
      <w:r w:rsidR="00B73646" w:rsidRPr="007F034A">
        <w:rPr>
          <w:rFonts w:cstheme="minorHAnsi"/>
          <w:iCs/>
        </w:rPr>
        <w:fldChar w:fldCharType="separate"/>
      </w:r>
      <w:r w:rsidR="00602E88" w:rsidRPr="00602E88">
        <w:rPr>
          <w:rFonts w:cstheme="minorHAnsi"/>
          <w:iCs/>
        </w:rPr>
        <w:t xml:space="preserve">Table </w:t>
      </w:r>
      <w:r w:rsidR="00602E88" w:rsidRPr="00602E88">
        <w:rPr>
          <w:rFonts w:cstheme="minorHAnsi"/>
          <w:iCs/>
          <w:noProof/>
        </w:rPr>
        <w:t>17</w:t>
      </w:r>
      <w:r w:rsidR="00B73646" w:rsidRPr="007F034A">
        <w:rPr>
          <w:rFonts w:cstheme="minorHAnsi"/>
          <w:iCs/>
        </w:rPr>
        <w:fldChar w:fldCharType="end"/>
      </w:r>
      <w:r w:rsidRPr="007F034A">
        <w:rPr>
          <w:rFonts w:cstheme="minorHAnsi"/>
          <w:iCs/>
        </w:rPr>
        <w:t>.</w:t>
      </w:r>
    </w:p>
    <w:p w14:paraId="25A406EC" w14:textId="2970BDD9" w:rsidR="00AC36A2" w:rsidRPr="0057235A" w:rsidRDefault="00AC36A2" w:rsidP="00114B24">
      <w:pPr>
        <w:pStyle w:val="Caption"/>
        <w:spacing w:after="0"/>
        <w:rPr>
          <w:rFonts w:ascii="Arial Narrow" w:hAnsi="Arial Narrow"/>
          <w:color w:val="auto"/>
          <w:sz w:val="20"/>
          <w:szCs w:val="20"/>
        </w:rPr>
      </w:pPr>
      <w:bookmarkStart w:id="77" w:name="_Ref100772828"/>
      <w:bookmarkStart w:id="78" w:name="_Ref101445856"/>
      <w:r w:rsidRPr="0057235A">
        <w:rPr>
          <w:rFonts w:ascii="Arial Narrow" w:hAnsi="Arial Narrow"/>
          <w:color w:val="auto"/>
          <w:sz w:val="20"/>
          <w:szCs w:val="20"/>
        </w:rPr>
        <w:t xml:space="preserve">Table </w:t>
      </w:r>
      <w:r>
        <w:rPr>
          <w:rFonts w:ascii="Arial Narrow" w:hAnsi="Arial Narrow"/>
          <w:color w:val="auto"/>
          <w:sz w:val="20"/>
          <w:szCs w:val="20"/>
        </w:rPr>
        <w:fldChar w:fldCharType="begin" w:fldLock="1"/>
      </w:r>
      <w:r>
        <w:rPr>
          <w:rFonts w:ascii="Arial Narrow" w:hAnsi="Arial Narrow"/>
          <w:color w:val="auto"/>
          <w:sz w:val="20"/>
          <w:szCs w:val="20"/>
        </w:rPr>
        <w:instrText xml:space="preserve"> SEQ Table \* ARABIC \s 1 </w:instrText>
      </w:r>
      <w:r>
        <w:rPr>
          <w:rFonts w:ascii="Arial Narrow" w:hAnsi="Arial Narrow"/>
          <w:color w:val="auto"/>
          <w:sz w:val="20"/>
          <w:szCs w:val="20"/>
        </w:rPr>
        <w:fldChar w:fldCharType="separate"/>
      </w:r>
      <w:r w:rsidR="00602E88">
        <w:rPr>
          <w:rFonts w:ascii="Arial Narrow" w:hAnsi="Arial Narrow"/>
          <w:noProof/>
          <w:color w:val="auto"/>
          <w:sz w:val="20"/>
          <w:szCs w:val="20"/>
        </w:rPr>
        <w:t>17</w:t>
      </w:r>
      <w:r>
        <w:rPr>
          <w:rFonts w:ascii="Arial Narrow" w:hAnsi="Arial Narrow"/>
          <w:color w:val="auto"/>
          <w:sz w:val="20"/>
          <w:szCs w:val="20"/>
        </w:rPr>
        <w:fldChar w:fldCharType="end"/>
      </w:r>
      <w:bookmarkEnd w:id="77"/>
      <w:r w:rsidRPr="0057235A">
        <w:rPr>
          <w:rFonts w:ascii="Arial Narrow" w:hAnsi="Arial Narrow"/>
          <w:color w:val="auto"/>
          <w:sz w:val="20"/>
          <w:szCs w:val="20"/>
        </w:rPr>
        <w:t>: Key inputs for financial estimates</w:t>
      </w:r>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Key inputs for financial estimates"/>
      </w:tblPr>
      <w:tblGrid>
        <w:gridCol w:w="1713"/>
        <w:gridCol w:w="3668"/>
        <w:gridCol w:w="3636"/>
      </w:tblGrid>
      <w:tr w:rsidR="00AC36A2" w:rsidRPr="003D1DE4" w14:paraId="302E88DF" w14:textId="77777777" w:rsidTr="000E6572">
        <w:trPr>
          <w:cantSplit/>
          <w:tblHeader/>
        </w:trPr>
        <w:tc>
          <w:tcPr>
            <w:tcW w:w="950" w:type="pct"/>
            <w:shd w:val="clear" w:color="auto" w:fill="auto"/>
            <w:vAlign w:val="center"/>
          </w:tcPr>
          <w:p w14:paraId="20AA3FA9" w14:textId="77777777" w:rsidR="00AC36A2" w:rsidRPr="003D1DE4" w:rsidRDefault="00AC36A2" w:rsidP="00114B24">
            <w:pPr>
              <w:pStyle w:val="In-tableHeading"/>
              <w:keepNext w:val="0"/>
              <w:widowControl w:val="0"/>
            </w:pPr>
            <w:r>
              <w:t>Parameter</w:t>
            </w:r>
          </w:p>
        </w:tc>
        <w:tc>
          <w:tcPr>
            <w:tcW w:w="2034" w:type="pct"/>
            <w:shd w:val="clear" w:color="auto" w:fill="auto"/>
            <w:vAlign w:val="center"/>
          </w:tcPr>
          <w:p w14:paraId="3E590B83" w14:textId="77777777" w:rsidR="00AC36A2" w:rsidRPr="003D1DE4" w:rsidRDefault="00AC36A2" w:rsidP="00114B24">
            <w:pPr>
              <w:pStyle w:val="In-tableHeading"/>
              <w:keepNext w:val="0"/>
              <w:widowControl w:val="0"/>
            </w:pPr>
            <w:r>
              <w:t>Value applied and source</w:t>
            </w:r>
          </w:p>
        </w:tc>
        <w:tc>
          <w:tcPr>
            <w:tcW w:w="2016" w:type="pct"/>
            <w:shd w:val="clear" w:color="auto" w:fill="auto"/>
            <w:vAlign w:val="center"/>
          </w:tcPr>
          <w:p w14:paraId="791B879D" w14:textId="77777777" w:rsidR="00AC36A2" w:rsidRPr="003D1DE4" w:rsidRDefault="00AC36A2" w:rsidP="00114B24">
            <w:pPr>
              <w:pStyle w:val="In-tableHeading"/>
              <w:keepNext w:val="0"/>
              <w:widowControl w:val="0"/>
            </w:pPr>
            <w:r>
              <w:t>Comment</w:t>
            </w:r>
          </w:p>
        </w:tc>
      </w:tr>
      <w:tr w:rsidR="00AC36A2" w:rsidRPr="00E2771E" w14:paraId="1B5FB4C9" w14:textId="77777777" w:rsidTr="000E6572">
        <w:trPr>
          <w:cantSplit/>
        </w:trPr>
        <w:tc>
          <w:tcPr>
            <w:tcW w:w="950" w:type="pct"/>
            <w:shd w:val="clear" w:color="auto" w:fill="auto"/>
            <w:vAlign w:val="center"/>
          </w:tcPr>
          <w:p w14:paraId="0445B027" w14:textId="77777777" w:rsidR="00AC36A2" w:rsidRPr="0010205E" w:rsidRDefault="00AC36A2" w:rsidP="00114B24">
            <w:pPr>
              <w:pStyle w:val="TableText0"/>
              <w:keepNext w:val="0"/>
              <w:widowControl w:val="0"/>
              <w:rPr>
                <w:lang w:val="en-US"/>
              </w:rPr>
            </w:pPr>
            <w:r w:rsidRPr="0010205E">
              <w:rPr>
                <w:lang w:val="en-US"/>
              </w:rPr>
              <w:t>Incidence population</w:t>
            </w:r>
          </w:p>
        </w:tc>
        <w:tc>
          <w:tcPr>
            <w:tcW w:w="2034" w:type="pct"/>
            <w:shd w:val="clear" w:color="auto" w:fill="auto"/>
            <w:vAlign w:val="center"/>
          </w:tcPr>
          <w:p w14:paraId="0083732E" w14:textId="2E8B6718" w:rsidR="00AC36A2" w:rsidRPr="0010205E" w:rsidRDefault="001C46EE" w:rsidP="00114B24">
            <w:pPr>
              <w:pStyle w:val="TableText0"/>
              <w:keepNext w:val="0"/>
              <w:widowControl w:val="0"/>
              <w:rPr>
                <w:lang w:val="en-US"/>
              </w:rPr>
            </w:pPr>
            <w:r w:rsidRPr="0010205E">
              <w:rPr>
                <w:lang w:val="en-US"/>
              </w:rPr>
              <w:t>Based on a ratio of projected incident AML patients and Australian population</w:t>
            </w:r>
            <w:r w:rsidR="007F0EB7" w:rsidRPr="0010205E">
              <w:rPr>
                <w:lang w:val="en-US"/>
              </w:rPr>
              <w:t>.</w:t>
            </w:r>
            <w:r w:rsidR="00D93FAA" w:rsidRPr="0010205E">
              <w:rPr>
                <w:lang w:val="en-US"/>
              </w:rPr>
              <w:t xml:space="preserve"> </w:t>
            </w:r>
            <w:r w:rsidR="007F0EB7" w:rsidRPr="0010205E">
              <w:rPr>
                <w:lang w:val="en-US"/>
              </w:rPr>
              <w:t>E</w:t>
            </w:r>
            <w:r w:rsidR="00AC36A2" w:rsidRPr="0010205E">
              <w:rPr>
                <w:lang w:val="en-US"/>
              </w:rPr>
              <w:t xml:space="preserve">stimated incidence </w:t>
            </w:r>
            <w:r w:rsidRPr="0010205E">
              <w:rPr>
                <w:lang w:val="en-US"/>
              </w:rPr>
              <w:t>was approximately</w:t>
            </w:r>
            <w:r w:rsidR="00AC36A2" w:rsidRPr="0010205E">
              <w:rPr>
                <w:lang w:val="en-US"/>
              </w:rPr>
              <w:t xml:space="preserve"> 0.043% based on </w:t>
            </w:r>
            <w:r w:rsidR="00AC36A2" w:rsidRPr="0010205E">
              <w:rPr>
                <w:szCs w:val="20"/>
              </w:rPr>
              <w:t>Australian Cancer Incidence and Mortality Book, specific for AML (AIHW 2021). Linear projection based on data from 1982-2017.</w:t>
            </w:r>
          </w:p>
        </w:tc>
        <w:tc>
          <w:tcPr>
            <w:tcW w:w="2016" w:type="pct"/>
            <w:shd w:val="clear" w:color="auto" w:fill="auto"/>
            <w:vAlign w:val="center"/>
          </w:tcPr>
          <w:p w14:paraId="4DE6693A" w14:textId="65D42616" w:rsidR="00AC36A2" w:rsidRPr="0010205E" w:rsidRDefault="007542BA" w:rsidP="00114B24">
            <w:pPr>
              <w:pStyle w:val="TableText0"/>
              <w:keepNext w:val="0"/>
              <w:widowControl w:val="0"/>
              <w:rPr>
                <w:lang w:val="en-US"/>
              </w:rPr>
            </w:pPr>
            <w:r>
              <w:rPr>
                <w:lang w:val="en-US"/>
              </w:rPr>
              <w:t>-</w:t>
            </w:r>
          </w:p>
        </w:tc>
      </w:tr>
      <w:tr w:rsidR="00AC36A2" w:rsidRPr="007F034A" w14:paraId="6A4C48ED" w14:textId="77777777" w:rsidTr="000E6572">
        <w:trPr>
          <w:cantSplit/>
        </w:trPr>
        <w:tc>
          <w:tcPr>
            <w:tcW w:w="950" w:type="pct"/>
            <w:vAlign w:val="center"/>
          </w:tcPr>
          <w:p w14:paraId="41A73260" w14:textId="77777777" w:rsidR="00AC36A2" w:rsidRPr="0010205E" w:rsidRDefault="00AC36A2" w:rsidP="00114B24">
            <w:pPr>
              <w:pStyle w:val="TableText0"/>
              <w:keepNext w:val="0"/>
              <w:widowControl w:val="0"/>
              <w:rPr>
                <w:lang w:val="en-US"/>
              </w:rPr>
            </w:pPr>
            <w:r w:rsidRPr="0010205E">
              <w:rPr>
                <w:szCs w:val="20"/>
              </w:rPr>
              <w:t>Proportion treated with intensive chemotherapy</w:t>
            </w:r>
          </w:p>
        </w:tc>
        <w:tc>
          <w:tcPr>
            <w:tcW w:w="2034" w:type="pct"/>
            <w:shd w:val="clear" w:color="auto" w:fill="auto"/>
            <w:vAlign w:val="center"/>
          </w:tcPr>
          <w:p w14:paraId="46445EEC" w14:textId="01FAC021" w:rsidR="00AC36A2" w:rsidRPr="0010205E" w:rsidRDefault="00AC36A2" w:rsidP="00114B24">
            <w:pPr>
              <w:pStyle w:val="TableText0"/>
              <w:keepNext w:val="0"/>
              <w:widowControl w:val="0"/>
              <w:rPr>
                <w:lang w:val="en-US"/>
              </w:rPr>
            </w:pPr>
            <w:r w:rsidRPr="0010205E">
              <w:rPr>
                <w:lang w:val="en-US"/>
              </w:rPr>
              <w:t>61%</w:t>
            </w:r>
            <w:r w:rsidR="00B451F9" w:rsidRPr="0010205E">
              <w:rPr>
                <w:lang w:val="en-US"/>
              </w:rPr>
              <w:t>,</w:t>
            </w:r>
            <w:r w:rsidRPr="0010205E">
              <w:rPr>
                <w:lang w:val="en-US"/>
              </w:rPr>
              <w:t xml:space="preserve"> </w:t>
            </w:r>
            <w:r w:rsidR="00B451F9" w:rsidRPr="0010205E">
              <w:rPr>
                <w:szCs w:val="20"/>
              </w:rPr>
              <w:t>p</w:t>
            </w:r>
            <w:r w:rsidRPr="0010205E">
              <w:rPr>
                <w:szCs w:val="20"/>
              </w:rPr>
              <w:t>ublished literature for Australian based cohorts. Chua et al</w:t>
            </w:r>
            <w:r w:rsidR="00B451F9" w:rsidRPr="0010205E">
              <w:rPr>
                <w:szCs w:val="20"/>
              </w:rPr>
              <w:t>.</w:t>
            </w:r>
            <w:r w:rsidRPr="0010205E">
              <w:rPr>
                <w:szCs w:val="20"/>
              </w:rPr>
              <w:t xml:space="preserve"> (</w:t>
            </w:r>
            <w:r w:rsidR="001C46EE" w:rsidRPr="0010205E">
              <w:rPr>
                <w:szCs w:val="20"/>
              </w:rPr>
              <w:t>2020</w:t>
            </w:r>
            <w:r w:rsidRPr="0010205E">
              <w:rPr>
                <w:szCs w:val="20"/>
              </w:rPr>
              <w:t>) and Gangatharan et al. (202</w:t>
            </w:r>
            <w:r w:rsidR="00B451F9" w:rsidRPr="0010205E">
              <w:rPr>
                <w:szCs w:val="20"/>
              </w:rPr>
              <w:t>1</w:t>
            </w:r>
            <w:r w:rsidRPr="0010205E">
              <w:rPr>
                <w:szCs w:val="20"/>
              </w:rPr>
              <w:t>).</w:t>
            </w:r>
          </w:p>
        </w:tc>
        <w:tc>
          <w:tcPr>
            <w:tcW w:w="2016" w:type="pct"/>
            <w:shd w:val="clear" w:color="auto" w:fill="auto"/>
            <w:vAlign w:val="center"/>
          </w:tcPr>
          <w:p w14:paraId="47FA599A" w14:textId="16C6110E" w:rsidR="00AC36A2" w:rsidRPr="0010205E" w:rsidRDefault="007542BA" w:rsidP="00114B24">
            <w:pPr>
              <w:pStyle w:val="TableText0"/>
              <w:keepNext w:val="0"/>
              <w:widowControl w:val="0"/>
              <w:rPr>
                <w:lang w:val="en-US"/>
              </w:rPr>
            </w:pPr>
            <w:r>
              <w:rPr>
                <w:lang w:val="en-US"/>
              </w:rPr>
              <w:t>-</w:t>
            </w:r>
          </w:p>
        </w:tc>
      </w:tr>
      <w:tr w:rsidR="00AC36A2" w:rsidRPr="00E2771E" w14:paraId="6560D36A" w14:textId="77777777" w:rsidTr="000E6572">
        <w:trPr>
          <w:cantSplit/>
        </w:trPr>
        <w:tc>
          <w:tcPr>
            <w:tcW w:w="950" w:type="pct"/>
            <w:vAlign w:val="center"/>
          </w:tcPr>
          <w:p w14:paraId="0B96A017" w14:textId="77777777" w:rsidR="00AC36A2" w:rsidRPr="0010205E" w:rsidRDefault="00AC36A2" w:rsidP="00114B24">
            <w:pPr>
              <w:pStyle w:val="TableText0"/>
              <w:keepNext w:val="0"/>
              <w:widowControl w:val="0"/>
              <w:rPr>
                <w:lang w:val="en-US"/>
              </w:rPr>
            </w:pPr>
            <w:r w:rsidRPr="0010205E">
              <w:rPr>
                <w:szCs w:val="20"/>
              </w:rPr>
              <w:t>Proportion achieved CR/CRi</w:t>
            </w:r>
          </w:p>
        </w:tc>
        <w:tc>
          <w:tcPr>
            <w:tcW w:w="2034" w:type="pct"/>
            <w:shd w:val="clear" w:color="auto" w:fill="auto"/>
            <w:vAlign w:val="center"/>
          </w:tcPr>
          <w:p w14:paraId="2C884CBA" w14:textId="0BA95283" w:rsidR="00AC36A2" w:rsidRPr="00E97AA1" w:rsidRDefault="00AC36A2" w:rsidP="00114B24">
            <w:pPr>
              <w:pStyle w:val="TableText0"/>
              <w:keepNext w:val="0"/>
              <w:widowControl w:val="0"/>
              <w:rPr>
                <w:lang w:val="en-US"/>
              </w:rPr>
            </w:pPr>
            <w:r w:rsidRPr="00E97AA1">
              <w:rPr>
                <w:lang w:val="en-US"/>
              </w:rPr>
              <w:t xml:space="preserve">80%, based on </w:t>
            </w:r>
            <w:r w:rsidRPr="00E97AA1">
              <w:rPr>
                <w:szCs w:val="20"/>
              </w:rPr>
              <w:t>Chua et al</w:t>
            </w:r>
            <w:r w:rsidR="007E6D4A" w:rsidRPr="00E97AA1">
              <w:rPr>
                <w:szCs w:val="20"/>
              </w:rPr>
              <w:t>.</w:t>
            </w:r>
            <w:r w:rsidRPr="00E97AA1">
              <w:rPr>
                <w:szCs w:val="20"/>
              </w:rPr>
              <w:t xml:space="preserve"> (20</w:t>
            </w:r>
            <w:r w:rsidR="001C46EE" w:rsidRPr="00E97AA1">
              <w:rPr>
                <w:szCs w:val="20"/>
              </w:rPr>
              <w:t>20</w:t>
            </w:r>
            <w:r w:rsidRPr="00E97AA1">
              <w:rPr>
                <w:szCs w:val="20"/>
              </w:rPr>
              <w:t>), Australian cohort with FLT3 mutant positive AML, 73% (n=51) achieved CR and 7% (n=5) CRi</w:t>
            </w:r>
          </w:p>
        </w:tc>
        <w:tc>
          <w:tcPr>
            <w:tcW w:w="2016" w:type="pct"/>
            <w:vAlign w:val="center"/>
          </w:tcPr>
          <w:p w14:paraId="03F44228" w14:textId="18F082F7" w:rsidR="00AC36A2" w:rsidRPr="0010205E" w:rsidRDefault="00AC36A2" w:rsidP="00114B24">
            <w:pPr>
              <w:widowControl w:val="0"/>
              <w:jc w:val="left"/>
              <w:rPr>
                <w:rFonts w:ascii="Arial Narrow" w:eastAsiaTheme="majorEastAsia" w:hAnsi="Arial Narrow" w:cstheme="majorBidi"/>
                <w:bCs/>
                <w:sz w:val="20"/>
                <w:szCs w:val="20"/>
              </w:rPr>
            </w:pPr>
            <w:r w:rsidRPr="0010205E">
              <w:rPr>
                <w:rFonts w:ascii="Arial Narrow" w:eastAsiaTheme="majorEastAsia" w:hAnsi="Arial Narrow" w:cstheme="majorBidi"/>
                <w:bCs/>
                <w:sz w:val="20"/>
                <w:szCs w:val="20"/>
              </w:rPr>
              <w:t>Although the population is based on an Australian cohort, all included patients had an FLT3 mutation. The observed outcomes may not be representative of patients without an FLT3 mutation. Further, the numbers of patients were small (N =70). Chua et al (</w:t>
            </w:r>
            <w:r w:rsidR="001C46EE" w:rsidRPr="0010205E">
              <w:rPr>
                <w:rFonts w:ascii="Arial Narrow" w:eastAsiaTheme="majorEastAsia" w:hAnsi="Arial Narrow" w:cstheme="majorBidi"/>
                <w:bCs/>
                <w:sz w:val="20"/>
                <w:szCs w:val="20"/>
              </w:rPr>
              <w:t>2020</w:t>
            </w:r>
            <w:r w:rsidRPr="0010205E">
              <w:rPr>
                <w:rFonts w:ascii="Arial Narrow" w:eastAsiaTheme="majorEastAsia" w:hAnsi="Arial Narrow" w:cstheme="majorBidi"/>
                <w:bCs/>
                <w:sz w:val="20"/>
                <w:szCs w:val="20"/>
              </w:rPr>
              <w:t>) presented results from the RATIFY placebo arm where 54% (191/357) achieved CR.</w:t>
            </w:r>
          </w:p>
          <w:p w14:paraId="4C9AB00D" w14:textId="4734D2FA" w:rsidR="00AC36A2" w:rsidRPr="0010205E" w:rsidRDefault="00AC36A2" w:rsidP="00114B24">
            <w:pPr>
              <w:pStyle w:val="TableText0"/>
              <w:keepNext w:val="0"/>
              <w:widowControl w:val="0"/>
              <w:rPr>
                <w:lang w:val="en-US"/>
              </w:rPr>
            </w:pPr>
            <w:r w:rsidRPr="0010205E">
              <w:rPr>
                <w:szCs w:val="20"/>
              </w:rPr>
              <w:t>The submission presented a statement from an AML specialist who stated that approximately 70% of patients achieve remission after intensive chemotherapy. There is significant uncertainty in th</w:t>
            </w:r>
            <w:r w:rsidR="00DD3B3A" w:rsidRPr="0010205E">
              <w:rPr>
                <w:szCs w:val="20"/>
              </w:rPr>
              <w:t>ese</w:t>
            </w:r>
            <w:r w:rsidRPr="0010205E">
              <w:rPr>
                <w:szCs w:val="20"/>
              </w:rPr>
              <w:t xml:space="preserve"> estimate</w:t>
            </w:r>
            <w:r w:rsidR="00DD3B3A" w:rsidRPr="0010205E">
              <w:rPr>
                <w:szCs w:val="20"/>
              </w:rPr>
              <w:t>s</w:t>
            </w:r>
            <w:r w:rsidRPr="0010205E">
              <w:rPr>
                <w:szCs w:val="20"/>
              </w:rPr>
              <w:t xml:space="preserve">. </w:t>
            </w:r>
          </w:p>
        </w:tc>
      </w:tr>
      <w:tr w:rsidR="00AC36A2" w:rsidRPr="00E2771E" w14:paraId="53B8A353" w14:textId="77777777" w:rsidTr="000E6572">
        <w:trPr>
          <w:cantSplit/>
        </w:trPr>
        <w:tc>
          <w:tcPr>
            <w:tcW w:w="950" w:type="pct"/>
            <w:shd w:val="clear" w:color="auto" w:fill="auto"/>
            <w:vAlign w:val="center"/>
          </w:tcPr>
          <w:p w14:paraId="4E9B6A8A" w14:textId="77777777" w:rsidR="00AC36A2" w:rsidRPr="0010205E" w:rsidRDefault="00AC36A2" w:rsidP="00114B24">
            <w:pPr>
              <w:pStyle w:val="TableText0"/>
              <w:keepNext w:val="0"/>
              <w:widowControl w:val="0"/>
              <w:rPr>
                <w:lang w:val="en-US"/>
              </w:rPr>
            </w:pPr>
            <w:r w:rsidRPr="0010205E">
              <w:rPr>
                <w:szCs w:val="20"/>
              </w:rPr>
              <w:t>Proportion of FLT3- and FLT3+ not treated with midostaurin</w:t>
            </w:r>
          </w:p>
        </w:tc>
        <w:tc>
          <w:tcPr>
            <w:tcW w:w="2034" w:type="pct"/>
            <w:shd w:val="clear" w:color="auto" w:fill="auto"/>
            <w:vAlign w:val="center"/>
          </w:tcPr>
          <w:p w14:paraId="3B531297" w14:textId="7D3D9746" w:rsidR="00AC36A2" w:rsidRPr="008A5608" w:rsidRDefault="00AC36A2" w:rsidP="00114B24">
            <w:pPr>
              <w:widowControl w:val="0"/>
              <w:jc w:val="left"/>
              <w:rPr>
                <w:rFonts w:ascii="Arial Narrow" w:eastAsiaTheme="majorEastAsia" w:hAnsi="Arial Narrow" w:cstheme="majorBidi"/>
                <w:bCs/>
                <w:sz w:val="20"/>
                <w:szCs w:val="20"/>
              </w:rPr>
            </w:pPr>
            <w:r w:rsidRPr="008A5608">
              <w:rPr>
                <w:rFonts w:ascii="Arial Narrow" w:eastAsiaTheme="majorEastAsia" w:hAnsi="Arial Narrow" w:cstheme="majorBidi"/>
                <w:bCs/>
                <w:sz w:val="20"/>
                <w:szCs w:val="20"/>
              </w:rPr>
              <w:t>68.6%, based on 34% FLT3+ (</w:t>
            </w:r>
            <w:r w:rsidR="007E6D4A" w:rsidRPr="008A5608">
              <w:rPr>
                <w:rFonts w:ascii="Arial Narrow" w:eastAsiaTheme="majorEastAsia" w:hAnsi="Arial Narrow" w:cstheme="majorBidi"/>
                <w:bCs/>
                <w:sz w:val="20"/>
                <w:szCs w:val="20"/>
              </w:rPr>
              <w:t>m</w:t>
            </w:r>
            <w:r w:rsidRPr="008A5608">
              <w:rPr>
                <w:rFonts w:ascii="Arial Narrow" w:eastAsiaTheme="majorEastAsia" w:hAnsi="Arial Narrow" w:cstheme="majorBidi"/>
                <w:bCs/>
                <w:sz w:val="20"/>
                <w:szCs w:val="20"/>
              </w:rPr>
              <w:t>idostaurin PSD</w:t>
            </w:r>
            <w:r w:rsidR="007E6D4A" w:rsidRPr="008A5608">
              <w:rPr>
                <w:rFonts w:ascii="Arial Narrow" w:eastAsiaTheme="majorEastAsia" w:hAnsi="Arial Narrow" w:cstheme="majorBidi"/>
                <w:bCs/>
                <w:sz w:val="20"/>
                <w:szCs w:val="20"/>
              </w:rPr>
              <w:t>,</w:t>
            </w:r>
            <w:r w:rsidRPr="008A5608">
              <w:rPr>
                <w:rFonts w:ascii="Arial Narrow" w:eastAsiaTheme="majorEastAsia" w:hAnsi="Arial Narrow" w:cstheme="majorBidi"/>
                <w:bCs/>
                <w:sz w:val="20"/>
                <w:szCs w:val="20"/>
              </w:rPr>
              <w:t xml:space="preserve"> July 2018) plus 7.5% (5</w:t>
            </w:r>
            <w:r w:rsidR="00DC0C74" w:rsidRPr="008A5608">
              <w:rPr>
                <w:rFonts w:ascii="Arial Narrow" w:eastAsiaTheme="majorEastAsia" w:hAnsi="Arial Narrow" w:cstheme="majorBidi"/>
                <w:bCs/>
                <w:sz w:val="20"/>
                <w:szCs w:val="20"/>
              </w:rPr>
              <w:t xml:space="preserve"> to </w:t>
            </w:r>
            <w:r w:rsidRPr="008A5608">
              <w:rPr>
                <w:rFonts w:ascii="Arial Narrow" w:eastAsiaTheme="majorEastAsia" w:hAnsi="Arial Narrow" w:cstheme="majorBidi"/>
                <w:bCs/>
                <w:sz w:val="20"/>
                <w:szCs w:val="20"/>
              </w:rPr>
              <w:t>10%) of FLT3+ may have side-effects and access oral azacitidine (expert statement: AML specialist).</w:t>
            </w:r>
          </w:p>
          <w:p w14:paraId="7CFCF841" w14:textId="63E31444" w:rsidR="00AC36A2" w:rsidRPr="008A5608" w:rsidRDefault="00AC36A2" w:rsidP="00114B24">
            <w:pPr>
              <w:pStyle w:val="TableText0"/>
              <w:keepNext w:val="0"/>
              <w:widowControl w:val="0"/>
              <w:rPr>
                <w:lang w:val="en-US"/>
              </w:rPr>
            </w:pPr>
            <w:r w:rsidRPr="008A5608">
              <w:rPr>
                <w:szCs w:val="20"/>
              </w:rPr>
              <w:t xml:space="preserve">68.6% = </w:t>
            </w:r>
            <w:r w:rsidR="00DC0C74" w:rsidRPr="008A5608">
              <w:rPr>
                <w:szCs w:val="20"/>
              </w:rPr>
              <w:t>(</w:t>
            </w:r>
            <w:r w:rsidRPr="008A5608">
              <w:rPr>
                <w:szCs w:val="20"/>
              </w:rPr>
              <w:t xml:space="preserve">100% </w:t>
            </w:r>
            <w:r w:rsidR="00CB1811" w:rsidRPr="008A5608">
              <w:rPr>
                <w:szCs w:val="20"/>
              </w:rPr>
              <w:t>−</w:t>
            </w:r>
            <w:r w:rsidRPr="008A5608">
              <w:rPr>
                <w:szCs w:val="20"/>
              </w:rPr>
              <w:t xml:space="preserve"> 34%) + (34% * </w:t>
            </w:r>
            <w:r w:rsidR="00DC0C74" w:rsidRPr="008A5608">
              <w:rPr>
                <w:szCs w:val="20"/>
              </w:rPr>
              <w:t>0.0</w:t>
            </w:r>
            <w:r w:rsidRPr="008A5608">
              <w:rPr>
                <w:szCs w:val="20"/>
              </w:rPr>
              <w:t>75)</w:t>
            </w:r>
          </w:p>
        </w:tc>
        <w:tc>
          <w:tcPr>
            <w:tcW w:w="2016" w:type="pct"/>
            <w:vAlign w:val="center"/>
          </w:tcPr>
          <w:p w14:paraId="4ABD1AC4" w14:textId="53332CA6" w:rsidR="00AC36A2" w:rsidRPr="0010205E" w:rsidRDefault="00CE31E7" w:rsidP="00114B24">
            <w:pPr>
              <w:pStyle w:val="TableText0"/>
              <w:keepNext w:val="0"/>
              <w:widowControl w:val="0"/>
              <w:rPr>
                <w:lang w:val="en-US"/>
              </w:rPr>
            </w:pPr>
            <w:r>
              <w:rPr>
                <w:szCs w:val="20"/>
              </w:rPr>
              <w:t>The submission</w:t>
            </w:r>
            <w:r w:rsidR="00AC36A2" w:rsidRPr="0010205E">
              <w:rPr>
                <w:szCs w:val="20"/>
              </w:rPr>
              <w:t xml:space="preserve"> assume</w:t>
            </w:r>
            <w:r>
              <w:rPr>
                <w:szCs w:val="20"/>
              </w:rPr>
              <w:t>d</w:t>
            </w:r>
            <w:r w:rsidR="00AC36A2" w:rsidRPr="0010205E">
              <w:rPr>
                <w:szCs w:val="20"/>
              </w:rPr>
              <w:t xml:space="preserve"> that patients with FLT3 positive mutation will receive midostaurin in favour of oral azacitidine and that a proportion of these patients will have side</w:t>
            </w:r>
            <w:r w:rsidR="007E6D4A" w:rsidRPr="0010205E">
              <w:rPr>
                <w:szCs w:val="20"/>
              </w:rPr>
              <w:t xml:space="preserve"> </w:t>
            </w:r>
            <w:r w:rsidR="00AC36A2" w:rsidRPr="0010205E">
              <w:rPr>
                <w:szCs w:val="20"/>
              </w:rPr>
              <w:t xml:space="preserve">effects and may access oral azacitidine. </w:t>
            </w:r>
          </w:p>
        </w:tc>
      </w:tr>
      <w:tr w:rsidR="00AC36A2" w:rsidRPr="00E2771E" w14:paraId="05CAFCD2" w14:textId="77777777" w:rsidTr="000E6572">
        <w:trPr>
          <w:cantSplit/>
        </w:trPr>
        <w:tc>
          <w:tcPr>
            <w:tcW w:w="950" w:type="pct"/>
            <w:shd w:val="clear" w:color="auto" w:fill="auto"/>
            <w:vAlign w:val="center"/>
          </w:tcPr>
          <w:p w14:paraId="6D5E83FC" w14:textId="5FE23B72" w:rsidR="00AC36A2" w:rsidRPr="0010205E" w:rsidRDefault="00AC36A2" w:rsidP="00114B24">
            <w:pPr>
              <w:pStyle w:val="TableText0"/>
              <w:keepNext w:val="0"/>
              <w:widowControl w:val="0"/>
              <w:rPr>
                <w:lang w:val="en-US"/>
              </w:rPr>
            </w:pPr>
            <w:r w:rsidRPr="0010205E">
              <w:rPr>
                <w:szCs w:val="20"/>
              </w:rPr>
              <w:t xml:space="preserve">Patients </w:t>
            </w:r>
            <w:r w:rsidR="0042050F" w:rsidRPr="0010205E">
              <w:rPr>
                <w:szCs w:val="20"/>
              </w:rPr>
              <w:t xml:space="preserve">who </w:t>
            </w:r>
            <w:r w:rsidRPr="0010205E">
              <w:rPr>
                <w:szCs w:val="20"/>
              </w:rPr>
              <w:t>are not candidates for HSCT</w:t>
            </w:r>
          </w:p>
        </w:tc>
        <w:tc>
          <w:tcPr>
            <w:tcW w:w="2034" w:type="pct"/>
            <w:shd w:val="clear" w:color="auto" w:fill="auto"/>
            <w:vAlign w:val="center"/>
          </w:tcPr>
          <w:p w14:paraId="68C5E614" w14:textId="38ADCBF2" w:rsidR="00AC36A2" w:rsidRPr="008A5608" w:rsidRDefault="00AC36A2" w:rsidP="00114B24">
            <w:pPr>
              <w:pStyle w:val="TableText0"/>
              <w:keepNext w:val="0"/>
              <w:widowControl w:val="0"/>
              <w:rPr>
                <w:lang w:val="en-US"/>
              </w:rPr>
            </w:pPr>
            <w:r w:rsidRPr="008A5608">
              <w:rPr>
                <w:bCs w:val="0"/>
                <w:szCs w:val="20"/>
              </w:rPr>
              <w:t xml:space="preserve">81.5%, based on </w:t>
            </w:r>
            <w:r w:rsidR="00B33048" w:rsidRPr="008A5608">
              <w:rPr>
                <w:bCs w:val="0"/>
                <w:szCs w:val="20"/>
              </w:rPr>
              <w:t xml:space="preserve">a mid-range of (1) </w:t>
            </w:r>
            <w:r w:rsidR="00DC0C74" w:rsidRPr="008A5608">
              <w:rPr>
                <w:bCs w:val="0"/>
                <w:szCs w:val="20"/>
              </w:rPr>
              <w:t>37.5% (</w:t>
            </w:r>
            <w:r w:rsidRPr="008A5608">
              <w:rPr>
                <w:bCs w:val="0"/>
                <w:szCs w:val="20"/>
              </w:rPr>
              <w:t>30</w:t>
            </w:r>
            <w:r w:rsidR="00DC0C74" w:rsidRPr="008A5608">
              <w:rPr>
                <w:bCs w:val="0"/>
                <w:szCs w:val="20"/>
              </w:rPr>
              <w:t xml:space="preserve"> to </w:t>
            </w:r>
            <w:r w:rsidRPr="008A5608">
              <w:rPr>
                <w:bCs w:val="0"/>
                <w:szCs w:val="20"/>
              </w:rPr>
              <w:t>45%</w:t>
            </w:r>
            <w:r w:rsidR="00B33048" w:rsidRPr="008A5608">
              <w:rPr>
                <w:bCs w:val="0"/>
                <w:szCs w:val="20"/>
              </w:rPr>
              <w:t>, from expert statement</w:t>
            </w:r>
            <w:r w:rsidR="00DC0C74" w:rsidRPr="008A5608">
              <w:rPr>
                <w:bCs w:val="0"/>
                <w:szCs w:val="20"/>
              </w:rPr>
              <w:t>)</w:t>
            </w:r>
            <w:r w:rsidRPr="008A5608">
              <w:rPr>
                <w:bCs w:val="0"/>
                <w:szCs w:val="20"/>
              </w:rPr>
              <w:t xml:space="preserve"> of patients</w:t>
            </w:r>
            <w:r w:rsidR="00EB716B" w:rsidRPr="008A5608">
              <w:rPr>
                <w:bCs w:val="0"/>
                <w:szCs w:val="20"/>
              </w:rPr>
              <w:t xml:space="preserve"> who are fit for intensive chemotherapy</w:t>
            </w:r>
            <w:r w:rsidR="00B33048" w:rsidRPr="008A5608">
              <w:rPr>
                <w:bCs w:val="0"/>
                <w:szCs w:val="20"/>
              </w:rPr>
              <w:t xml:space="preserve"> (61%)</w:t>
            </w:r>
            <w:r w:rsidRPr="008A5608">
              <w:rPr>
                <w:bCs w:val="0"/>
                <w:szCs w:val="20"/>
              </w:rPr>
              <w:t xml:space="preserve"> </w:t>
            </w:r>
            <w:r w:rsidR="00B33048" w:rsidRPr="008A5608">
              <w:rPr>
                <w:bCs w:val="0"/>
                <w:szCs w:val="20"/>
              </w:rPr>
              <w:t xml:space="preserve">will receive a </w:t>
            </w:r>
            <w:r w:rsidRPr="008A5608">
              <w:rPr>
                <w:bCs w:val="0"/>
                <w:szCs w:val="20"/>
              </w:rPr>
              <w:t xml:space="preserve">HSCT </w:t>
            </w:r>
            <w:r w:rsidR="00B33048" w:rsidRPr="008A5608">
              <w:rPr>
                <w:bCs w:val="0"/>
                <w:szCs w:val="20"/>
              </w:rPr>
              <w:t>(i.e.</w:t>
            </w:r>
            <w:r w:rsidRPr="008A5608">
              <w:rPr>
                <w:bCs w:val="0"/>
                <w:szCs w:val="20"/>
              </w:rPr>
              <w:t xml:space="preserve"> 7</w:t>
            </w:r>
            <w:r w:rsidR="0026542F" w:rsidRPr="008A5608">
              <w:rPr>
                <w:bCs w:val="0"/>
                <w:szCs w:val="20"/>
              </w:rPr>
              <w:t>7.1</w:t>
            </w:r>
            <w:r w:rsidRPr="008A5608">
              <w:rPr>
                <w:bCs w:val="0"/>
                <w:szCs w:val="20"/>
              </w:rPr>
              <w:t>%</w:t>
            </w:r>
            <w:r w:rsidR="00B33048" w:rsidRPr="008A5608">
              <w:rPr>
                <w:bCs w:val="0"/>
                <w:szCs w:val="20"/>
              </w:rPr>
              <w:t>) and (2) Nivison-Smith et al (2019) who found that 79.3% of AML patients do not receive a HSCT. In addition</w:t>
            </w:r>
            <w:r w:rsidR="0044294E" w:rsidRPr="008A5608">
              <w:rPr>
                <w:bCs w:val="0"/>
                <w:szCs w:val="20"/>
              </w:rPr>
              <w:t>,</w:t>
            </w:r>
            <w:r w:rsidRPr="008A5608">
              <w:rPr>
                <w:bCs w:val="0"/>
                <w:szCs w:val="20"/>
              </w:rPr>
              <w:t xml:space="preserve"> </w:t>
            </w:r>
            <w:r w:rsidR="00DC0C74" w:rsidRPr="008A5608">
              <w:rPr>
                <w:bCs w:val="0"/>
                <w:szCs w:val="20"/>
              </w:rPr>
              <w:t xml:space="preserve">up to 15% of </w:t>
            </w:r>
            <w:r w:rsidRPr="008A5608">
              <w:rPr>
                <w:bCs w:val="0"/>
                <w:szCs w:val="20"/>
              </w:rPr>
              <w:t xml:space="preserve">patients might receive HSCT following oral azacitidine, estimated by clinical expert at maximum </w:t>
            </w:r>
            <w:r w:rsidR="001C283B" w:rsidRPr="008A5608">
              <w:rPr>
                <w:bCs w:val="0"/>
                <w:szCs w:val="20"/>
              </w:rPr>
              <w:t xml:space="preserve">of </w:t>
            </w:r>
            <w:r w:rsidRPr="008A5608">
              <w:rPr>
                <w:bCs w:val="0"/>
                <w:szCs w:val="20"/>
              </w:rPr>
              <w:t>15%</w:t>
            </w:r>
            <w:r w:rsidR="00747657" w:rsidRPr="008A5608">
              <w:rPr>
                <w:bCs w:val="0"/>
                <w:szCs w:val="20"/>
              </w:rPr>
              <w:t>,</w:t>
            </w:r>
            <w:r w:rsidRPr="008A5608">
              <w:rPr>
                <w:bCs w:val="0"/>
                <w:szCs w:val="20"/>
              </w:rPr>
              <w:t xml:space="preserve"> (100</w:t>
            </w:r>
            <w:r w:rsidR="0044294E" w:rsidRPr="008A5608">
              <w:rPr>
                <w:bCs w:val="0"/>
                <w:szCs w:val="20"/>
              </w:rPr>
              <w:t>%</w:t>
            </w:r>
            <w:r w:rsidR="00CB1811" w:rsidRPr="008A5608">
              <w:rPr>
                <w:bCs w:val="0"/>
                <w:szCs w:val="20"/>
              </w:rPr>
              <w:t> − </w:t>
            </w:r>
            <w:r w:rsidRPr="008A5608">
              <w:rPr>
                <w:bCs w:val="0"/>
                <w:szCs w:val="20"/>
              </w:rPr>
              <w:t>78.2</w:t>
            </w:r>
            <w:r w:rsidR="0044294E" w:rsidRPr="008A5608">
              <w:rPr>
                <w:bCs w:val="0"/>
                <w:szCs w:val="20"/>
              </w:rPr>
              <w:t>%</w:t>
            </w:r>
            <w:r w:rsidRPr="008A5608">
              <w:rPr>
                <w:bCs w:val="0"/>
                <w:szCs w:val="20"/>
              </w:rPr>
              <w:t>)</w:t>
            </w:r>
            <w:r w:rsidR="0044294E" w:rsidRPr="008A5608">
              <w:rPr>
                <w:bCs w:val="0"/>
                <w:szCs w:val="20"/>
              </w:rPr>
              <w:t xml:space="preserve"> </w:t>
            </w:r>
            <w:r w:rsidRPr="008A5608">
              <w:rPr>
                <w:bCs w:val="0"/>
                <w:szCs w:val="20"/>
              </w:rPr>
              <w:t>*</w:t>
            </w:r>
            <w:r w:rsidR="0044294E" w:rsidRPr="008A5608">
              <w:rPr>
                <w:bCs w:val="0"/>
                <w:szCs w:val="20"/>
              </w:rPr>
              <w:t xml:space="preserve"> 0.0</w:t>
            </w:r>
            <w:r w:rsidRPr="008A5608">
              <w:rPr>
                <w:bCs w:val="0"/>
                <w:szCs w:val="20"/>
              </w:rPr>
              <w:t>15 = 3.3%</w:t>
            </w:r>
          </w:p>
        </w:tc>
        <w:tc>
          <w:tcPr>
            <w:tcW w:w="2016" w:type="pct"/>
            <w:vAlign w:val="center"/>
          </w:tcPr>
          <w:p w14:paraId="0B18786B" w14:textId="09E7D232" w:rsidR="00AC36A2" w:rsidRPr="0010205E" w:rsidRDefault="00B33048" w:rsidP="00114B24">
            <w:pPr>
              <w:widowControl w:val="0"/>
              <w:jc w:val="left"/>
              <w:rPr>
                <w:rFonts w:ascii="Arial Narrow" w:eastAsiaTheme="majorEastAsia" w:hAnsi="Arial Narrow" w:cstheme="majorBidi"/>
                <w:bCs/>
                <w:sz w:val="20"/>
                <w:szCs w:val="20"/>
              </w:rPr>
            </w:pPr>
            <w:r>
              <w:rPr>
                <w:rFonts w:ascii="Arial Narrow" w:eastAsiaTheme="majorEastAsia" w:hAnsi="Arial Narrow" w:cstheme="majorBidi"/>
                <w:bCs/>
                <w:sz w:val="20"/>
                <w:szCs w:val="20"/>
              </w:rPr>
              <w:t xml:space="preserve">For midostaurin, a SCT rate of </w:t>
            </w:r>
            <w:r w:rsidR="00AC36A2" w:rsidRPr="0010205E">
              <w:rPr>
                <w:rFonts w:ascii="Arial Narrow" w:eastAsiaTheme="majorEastAsia" w:hAnsi="Arial Narrow" w:cstheme="majorBidi"/>
                <w:bCs/>
                <w:sz w:val="20"/>
                <w:szCs w:val="20"/>
              </w:rPr>
              <w:t>70-80%</w:t>
            </w:r>
            <w:r>
              <w:rPr>
                <w:rFonts w:ascii="Arial Narrow" w:eastAsiaTheme="majorEastAsia" w:hAnsi="Arial Narrow" w:cstheme="majorBidi"/>
                <w:bCs/>
                <w:sz w:val="20"/>
                <w:szCs w:val="20"/>
              </w:rPr>
              <w:t xml:space="preserve"> was accepted</w:t>
            </w:r>
            <w:r w:rsidR="00AC36A2" w:rsidRPr="0010205E">
              <w:rPr>
                <w:rFonts w:ascii="Arial Narrow" w:eastAsiaTheme="majorEastAsia" w:hAnsi="Arial Narrow" w:cstheme="majorBidi"/>
                <w:bCs/>
                <w:sz w:val="20"/>
                <w:szCs w:val="20"/>
              </w:rPr>
              <w:t xml:space="preserve"> (</w:t>
            </w:r>
            <w:r w:rsidR="007E6D4A" w:rsidRPr="0010205E">
              <w:rPr>
                <w:rFonts w:ascii="Arial Narrow" w:eastAsiaTheme="majorEastAsia" w:hAnsi="Arial Narrow" w:cstheme="majorBidi"/>
                <w:bCs/>
                <w:sz w:val="20"/>
                <w:szCs w:val="20"/>
              </w:rPr>
              <w:t>m</w:t>
            </w:r>
            <w:r w:rsidR="00AC36A2" w:rsidRPr="0010205E">
              <w:rPr>
                <w:rFonts w:ascii="Arial Narrow" w:eastAsiaTheme="majorEastAsia" w:hAnsi="Arial Narrow" w:cstheme="majorBidi"/>
                <w:bCs/>
                <w:sz w:val="20"/>
                <w:szCs w:val="20"/>
              </w:rPr>
              <w:t>idostaurin</w:t>
            </w:r>
            <w:r w:rsidR="007E6D4A" w:rsidRPr="0010205E">
              <w:rPr>
                <w:rFonts w:ascii="Arial Narrow" w:eastAsiaTheme="majorEastAsia" w:hAnsi="Arial Narrow" w:cstheme="majorBidi"/>
                <w:bCs/>
                <w:sz w:val="20"/>
                <w:szCs w:val="20"/>
              </w:rPr>
              <w:t xml:space="preserve"> PSD,</w:t>
            </w:r>
            <w:r w:rsidR="00AC36A2" w:rsidRPr="0010205E">
              <w:rPr>
                <w:rFonts w:ascii="Arial Narrow" w:eastAsiaTheme="majorEastAsia" w:hAnsi="Arial Narrow" w:cstheme="majorBidi"/>
                <w:bCs/>
                <w:sz w:val="20"/>
                <w:szCs w:val="20"/>
              </w:rPr>
              <w:t xml:space="preserve"> November 2019).</w:t>
            </w:r>
          </w:p>
          <w:p w14:paraId="44D04A9B" w14:textId="3594DB00" w:rsidR="00AC36A2" w:rsidRPr="0010205E" w:rsidRDefault="00AC36A2" w:rsidP="00114B24">
            <w:pPr>
              <w:pStyle w:val="TableText0"/>
              <w:keepNext w:val="0"/>
              <w:widowControl w:val="0"/>
              <w:rPr>
                <w:lang w:val="en-US"/>
              </w:rPr>
            </w:pPr>
          </w:p>
        </w:tc>
      </w:tr>
      <w:tr w:rsidR="00AC36A2" w:rsidRPr="007F034A" w14:paraId="39BB6DA3" w14:textId="77777777" w:rsidTr="000E6572">
        <w:trPr>
          <w:cantSplit/>
        </w:trPr>
        <w:tc>
          <w:tcPr>
            <w:tcW w:w="950" w:type="pct"/>
            <w:shd w:val="clear" w:color="auto" w:fill="auto"/>
            <w:vAlign w:val="center"/>
          </w:tcPr>
          <w:p w14:paraId="5751B5F7" w14:textId="77777777" w:rsidR="00AC36A2" w:rsidRPr="0010205E" w:rsidRDefault="00AC36A2" w:rsidP="00114B24">
            <w:pPr>
              <w:pStyle w:val="TableText0"/>
              <w:keepNext w:val="0"/>
              <w:widowControl w:val="0"/>
              <w:rPr>
                <w:lang w:val="en-US"/>
              </w:rPr>
            </w:pPr>
            <w:r w:rsidRPr="0010205E">
              <w:rPr>
                <w:lang w:val="en-US"/>
              </w:rPr>
              <w:t>Uptake rate</w:t>
            </w:r>
          </w:p>
        </w:tc>
        <w:tc>
          <w:tcPr>
            <w:tcW w:w="2034" w:type="pct"/>
            <w:shd w:val="clear" w:color="auto" w:fill="auto"/>
            <w:vAlign w:val="center"/>
          </w:tcPr>
          <w:p w14:paraId="74BEAEFA" w14:textId="31FD95AF" w:rsidR="00AC36A2" w:rsidRPr="0010205E" w:rsidRDefault="00EB4495" w:rsidP="00114B24">
            <w:pPr>
              <w:pStyle w:val="TableText0"/>
              <w:keepNext w:val="0"/>
              <w:widowControl w:val="0"/>
              <w:rPr>
                <w:b/>
                <w:bCs w:val="0"/>
                <w:lang w:val="en-US"/>
              </w:rPr>
            </w:pPr>
            <w:r w:rsidRPr="00EB4495">
              <w:rPr>
                <w:color w:val="000000"/>
                <w:spacing w:val="51"/>
                <w:shd w:val="solid" w:color="000000" w:fill="000000"/>
                <w:fitText w:val="326" w:id="-1435823601"/>
                <w:lang w:val="en-US"/>
                <w14:textFill>
                  <w14:solidFill>
                    <w14:srgbClr w14:val="000000">
                      <w14:alpha w14:val="100000"/>
                    </w14:srgbClr>
                  </w14:solidFill>
                </w14:textFill>
              </w:rPr>
              <w:t>|||</w:t>
            </w:r>
            <w:r w:rsidRPr="00EB4495">
              <w:rPr>
                <w:color w:val="000000"/>
                <w:spacing w:val="3"/>
                <w:shd w:val="solid" w:color="000000" w:fill="000000"/>
                <w:fitText w:val="326" w:id="-1435823601"/>
                <w:lang w:val="en-US"/>
                <w14:textFill>
                  <w14:solidFill>
                    <w14:srgbClr w14:val="000000">
                      <w14:alpha w14:val="100000"/>
                    </w14:srgbClr>
                  </w14:solidFill>
                </w14:textFill>
              </w:rPr>
              <w:t>|</w:t>
            </w:r>
            <w:r w:rsidR="00AC36A2" w:rsidRPr="0010205E">
              <w:rPr>
                <w:lang w:val="en-US"/>
              </w:rPr>
              <w:t xml:space="preserve">% in Year 1 increasing to </w:t>
            </w:r>
            <w:r w:rsidRPr="00EB4495">
              <w:rPr>
                <w:color w:val="000000"/>
                <w:spacing w:val="51"/>
                <w:shd w:val="solid" w:color="000000" w:fill="000000"/>
                <w:fitText w:val="325" w:id="-1435823600"/>
                <w:lang w:val="en-US"/>
                <w14:textFill>
                  <w14:solidFill>
                    <w14:srgbClr w14:val="000000">
                      <w14:alpha w14:val="100000"/>
                    </w14:srgbClr>
                  </w14:solidFill>
                </w14:textFill>
              </w:rPr>
              <w:t>|||</w:t>
            </w:r>
            <w:r w:rsidRPr="00EB4495">
              <w:rPr>
                <w:color w:val="000000"/>
                <w:spacing w:val="2"/>
                <w:shd w:val="solid" w:color="000000" w:fill="000000"/>
                <w:fitText w:val="325" w:id="-1435823600"/>
                <w:lang w:val="en-US"/>
                <w14:textFill>
                  <w14:solidFill>
                    <w14:srgbClr w14:val="000000">
                      <w14:alpha w14:val="100000"/>
                    </w14:srgbClr>
                  </w14:solidFill>
                </w14:textFill>
              </w:rPr>
              <w:t>|</w:t>
            </w:r>
            <w:r w:rsidR="00AC36A2" w:rsidRPr="0010205E">
              <w:rPr>
                <w:lang w:val="en-US"/>
              </w:rPr>
              <w:t xml:space="preserve">% in Year 6. </w:t>
            </w:r>
            <w:r w:rsidR="00AC36A2" w:rsidRPr="0010205E">
              <w:rPr>
                <w:szCs w:val="20"/>
              </w:rPr>
              <w:t>Based on uptake of midostaurin as proxy, using PBS Authority Required (Written) listings – Tranche 1 report by the Drug Utilisation Sub</w:t>
            </w:r>
            <w:r w:rsidR="00CB1811" w:rsidRPr="0010205E">
              <w:rPr>
                <w:szCs w:val="20"/>
              </w:rPr>
              <w:t>-</w:t>
            </w:r>
            <w:r w:rsidR="00AC36A2" w:rsidRPr="0010205E">
              <w:rPr>
                <w:szCs w:val="20"/>
              </w:rPr>
              <w:t>Committee (DUSC 2020)</w:t>
            </w:r>
            <w:r w:rsidR="00CB1811" w:rsidRPr="0010205E">
              <w:rPr>
                <w:szCs w:val="20"/>
              </w:rPr>
              <w:t>, which</w:t>
            </w:r>
            <w:r w:rsidR="00AC36A2" w:rsidRPr="0010205E">
              <w:rPr>
                <w:szCs w:val="20"/>
              </w:rPr>
              <w:t xml:space="preserve"> reports the number of patients who initiated midostaurin in the financial years 2018/2019 and 2019/2020 (Table 87).</w:t>
            </w:r>
          </w:p>
        </w:tc>
        <w:tc>
          <w:tcPr>
            <w:tcW w:w="2016" w:type="pct"/>
            <w:shd w:val="clear" w:color="auto" w:fill="auto"/>
            <w:vAlign w:val="center"/>
          </w:tcPr>
          <w:p w14:paraId="524B9C63" w14:textId="6D44CA72" w:rsidR="00AC36A2" w:rsidRPr="0010205E" w:rsidRDefault="007542BA" w:rsidP="00114B24">
            <w:pPr>
              <w:pStyle w:val="TableText0"/>
              <w:keepNext w:val="0"/>
              <w:widowControl w:val="0"/>
              <w:rPr>
                <w:lang w:val="en-US"/>
              </w:rPr>
            </w:pPr>
            <w:r>
              <w:rPr>
                <w:szCs w:val="20"/>
              </w:rPr>
              <w:t>-</w:t>
            </w:r>
          </w:p>
        </w:tc>
      </w:tr>
      <w:tr w:rsidR="00AC36A2" w:rsidRPr="007F034A" w14:paraId="7E825DB2" w14:textId="77777777" w:rsidTr="000E6572">
        <w:trPr>
          <w:cantSplit/>
        </w:trPr>
        <w:tc>
          <w:tcPr>
            <w:tcW w:w="950" w:type="pct"/>
            <w:shd w:val="clear" w:color="auto" w:fill="auto"/>
            <w:vAlign w:val="center"/>
          </w:tcPr>
          <w:p w14:paraId="6669E0BA" w14:textId="77777777" w:rsidR="00AC36A2" w:rsidRPr="0010205E" w:rsidRDefault="00AC36A2" w:rsidP="00114B24">
            <w:pPr>
              <w:pStyle w:val="TableText0"/>
              <w:keepNext w:val="0"/>
              <w:widowControl w:val="0"/>
              <w:rPr>
                <w:lang w:val="en-US"/>
              </w:rPr>
            </w:pPr>
            <w:r w:rsidRPr="0010205E">
              <w:rPr>
                <w:lang w:val="en-US"/>
              </w:rPr>
              <w:t>Dose/duration</w:t>
            </w:r>
          </w:p>
        </w:tc>
        <w:tc>
          <w:tcPr>
            <w:tcW w:w="2034" w:type="pct"/>
            <w:shd w:val="clear" w:color="auto" w:fill="auto"/>
            <w:vAlign w:val="center"/>
          </w:tcPr>
          <w:p w14:paraId="06DF2999" w14:textId="151DF728" w:rsidR="00AC36A2" w:rsidRPr="008C7EE4" w:rsidRDefault="00AC36A2" w:rsidP="00114B24">
            <w:pPr>
              <w:pStyle w:val="TableText0"/>
              <w:keepNext w:val="0"/>
              <w:widowControl w:val="0"/>
              <w:rPr>
                <w:lang w:val="en-US"/>
              </w:rPr>
            </w:pPr>
            <w:r w:rsidRPr="008C7EE4">
              <w:rPr>
                <w:lang w:val="en-US"/>
              </w:rPr>
              <w:t xml:space="preserve">11.74 scripts estimated based on </w:t>
            </w:r>
            <w:r w:rsidR="005878F9" w:rsidRPr="008C7EE4">
              <w:rPr>
                <w:lang w:val="en-US"/>
              </w:rPr>
              <w:t xml:space="preserve">censored </w:t>
            </w:r>
            <w:r w:rsidRPr="008C7EE4">
              <w:rPr>
                <w:lang w:val="en-US"/>
              </w:rPr>
              <w:t>mean duration of 18.1 months and 89.6% compliance rate, based o</w:t>
            </w:r>
            <w:r w:rsidR="009D15AF" w:rsidRPr="008C7EE4">
              <w:rPr>
                <w:lang w:val="en-US"/>
              </w:rPr>
              <w:t>n</w:t>
            </w:r>
            <w:r w:rsidRPr="008C7EE4">
              <w:rPr>
                <w:lang w:val="en-US"/>
              </w:rPr>
              <w:t xml:space="preserve"> QUAZAR.</w:t>
            </w:r>
          </w:p>
        </w:tc>
        <w:tc>
          <w:tcPr>
            <w:tcW w:w="2016" w:type="pct"/>
            <w:shd w:val="clear" w:color="auto" w:fill="auto"/>
            <w:vAlign w:val="center"/>
          </w:tcPr>
          <w:p w14:paraId="3A4B86E2" w14:textId="5B5B5613" w:rsidR="00AC36A2" w:rsidRPr="008C7EE4" w:rsidRDefault="00CE31E7" w:rsidP="00114B24">
            <w:pPr>
              <w:pStyle w:val="TableText0"/>
              <w:keepNext w:val="0"/>
              <w:widowControl w:val="0"/>
              <w:rPr>
                <w:lang w:val="en-US"/>
              </w:rPr>
            </w:pPr>
            <w:r w:rsidRPr="008C7EE4">
              <w:rPr>
                <w:lang w:val="en-US"/>
              </w:rPr>
              <w:t>A</w:t>
            </w:r>
            <w:r w:rsidR="00EC05C1" w:rsidRPr="008C7EE4">
              <w:rPr>
                <w:lang w:val="en-US"/>
              </w:rPr>
              <w:t>pplied incorrectly in the submission. PSCR estimates were corrected to include change in maximum quantity (from 21 to 14) and the resultant impact on the number of scripts (from 11.74 to 17.61).</w:t>
            </w:r>
            <w:r w:rsidRPr="008C7EE4">
              <w:rPr>
                <w:lang w:val="en-US"/>
              </w:rPr>
              <w:t xml:space="preserve"> The corrections were accepted in the pre-PBAC response.</w:t>
            </w:r>
          </w:p>
        </w:tc>
      </w:tr>
    </w:tbl>
    <w:p w14:paraId="6A516E72" w14:textId="77777777" w:rsidR="00AC36A2" w:rsidRDefault="00AC36A2" w:rsidP="00114B24">
      <w:pPr>
        <w:rPr>
          <w:rFonts w:ascii="Arial Narrow" w:hAnsi="Arial Narrow"/>
          <w:snapToGrid w:val="0"/>
          <w:sz w:val="18"/>
          <w:szCs w:val="22"/>
        </w:rPr>
      </w:pPr>
      <w:r w:rsidRPr="00797CA0">
        <w:rPr>
          <w:rFonts w:ascii="Arial Narrow" w:hAnsi="Arial Narrow"/>
          <w:snapToGrid w:val="0"/>
          <w:sz w:val="18"/>
          <w:szCs w:val="22"/>
        </w:rPr>
        <w:t>Source: Table 87, p143, Table 88, p144, Tables 89 and 90 p145,</w:t>
      </w:r>
      <w:r>
        <w:rPr>
          <w:rFonts w:ascii="Arial Narrow" w:hAnsi="Arial Narrow"/>
          <w:snapToGrid w:val="0"/>
          <w:sz w:val="18"/>
          <w:szCs w:val="22"/>
        </w:rPr>
        <w:t xml:space="preserve"> </w:t>
      </w:r>
      <w:r w:rsidRPr="00797CA0">
        <w:rPr>
          <w:rFonts w:ascii="Arial Narrow" w:hAnsi="Arial Narrow"/>
          <w:snapToGrid w:val="0"/>
          <w:sz w:val="18"/>
          <w:szCs w:val="22"/>
        </w:rPr>
        <w:t>Tables 91 and 92, p146 of the submission</w:t>
      </w:r>
    </w:p>
    <w:p w14:paraId="5107041F" w14:textId="4E625CB5" w:rsidR="00AC36A2" w:rsidRDefault="00AC36A2" w:rsidP="00114B24">
      <w:pPr>
        <w:spacing w:after="120"/>
        <w:contextualSpacing/>
        <w:rPr>
          <w:rFonts w:ascii="Arial Narrow" w:hAnsi="Arial Narrow"/>
          <w:snapToGrid w:val="0"/>
          <w:sz w:val="18"/>
          <w:szCs w:val="22"/>
        </w:rPr>
      </w:pPr>
      <w:r w:rsidRPr="00797CA0">
        <w:rPr>
          <w:rFonts w:ascii="Arial Narrow" w:hAnsi="Arial Narrow"/>
          <w:snapToGrid w:val="0"/>
          <w:sz w:val="18"/>
          <w:szCs w:val="22"/>
        </w:rPr>
        <w:t xml:space="preserve">Abbreviations: AML = acute myeloid leukemia; </w:t>
      </w:r>
      <w:r>
        <w:rPr>
          <w:rFonts w:ascii="Arial Narrow" w:hAnsi="Arial Narrow"/>
          <w:snapToGrid w:val="0"/>
          <w:sz w:val="18"/>
          <w:szCs w:val="22"/>
        </w:rPr>
        <w:t xml:space="preserve">CR = complete response; CRi = complete response with incomplete haematologic recovery; FLT3+ = </w:t>
      </w:r>
      <w:r w:rsidRPr="00860569">
        <w:rPr>
          <w:rFonts w:ascii="Arial Narrow" w:hAnsi="Arial Narrow"/>
          <w:snapToGrid w:val="0"/>
          <w:sz w:val="18"/>
          <w:szCs w:val="22"/>
        </w:rPr>
        <w:t>FMS-related tyrosine kinase 3</w:t>
      </w:r>
      <w:r>
        <w:rPr>
          <w:rFonts w:ascii="Arial Narrow" w:hAnsi="Arial Narrow"/>
          <w:snapToGrid w:val="0"/>
          <w:sz w:val="18"/>
          <w:szCs w:val="22"/>
        </w:rPr>
        <w:t xml:space="preserve"> positive;</w:t>
      </w:r>
      <w:r w:rsidRPr="00860569">
        <w:rPr>
          <w:rFonts w:ascii="Arial Narrow" w:hAnsi="Arial Narrow"/>
          <w:snapToGrid w:val="0"/>
          <w:sz w:val="18"/>
          <w:szCs w:val="22"/>
        </w:rPr>
        <w:t xml:space="preserve"> </w:t>
      </w:r>
      <w:r w:rsidRPr="00797CA0">
        <w:rPr>
          <w:rFonts w:ascii="Arial Narrow" w:hAnsi="Arial Narrow"/>
          <w:snapToGrid w:val="0"/>
          <w:sz w:val="18"/>
          <w:szCs w:val="22"/>
        </w:rPr>
        <w:t xml:space="preserve">HSCT = </w:t>
      </w:r>
      <w:r w:rsidR="00591C8E" w:rsidRPr="00591C8E">
        <w:rPr>
          <w:rFonts w:ascii="Arial Narrow" w:hAnsi="Arial Narrow"/>
          <w:snapToGrid w:val="0"/>
          <w:sz w:val="18"/>
          <w:szCs w:val="22"/>
        </w:rPr>
        <w:t>hematopoietic </w:t>
      </w:r>
      <w:r w:rsidRPr="00797CA0">
        <w:rPr>
          <w:rFonts w:ascii="Arial Narrow" w:hAnsi="Arial Narrow"/>
          <w:snapToGrid w:val="0"/>
          <w:sz w:val="18"/>
          <w:szCs w:val="22"/>
        </w:rPr>
        <w:t>stem cell transplant</w:t>
      </w:r>
      <w:r w:rsidR="00A930A9">
        <w:rPr>
          <w:rFonts w:ascii="Arial Narrow" w:hAnsi="Arial Narrow"/>
          <w:snapToGrid w:val="0"/>
          <w:sz w:val="18"/>
          <w:szCs w:val="22"/>
        </w:rPr>
        <w:t>ation</w:t>
      </w:r>
      <w:r>
        <w:rPr>
          <w:rFonts w:ascii="Arial Narrow" w:hAnsi="Arial Narrow"/>
          <w:snapToGrid w:val="0"/>
          <w:sz w:val="18"/>
          <w:szCs w:val="22"/>
        </w:rPr>
        <w:t xml:space="preserve">; </w:t>
      </w:r>
      <w:r w:rsidRPr="00797CA0">
        <w:rPr>
          <w:rFonts w:ascii="Arial Narrow" w:hAnsi="Arial Narrow"/>
          <w:snapToGrid w:val="0"/>
          <w:sz w:val="18"/>
          <w:szCs w:val="22"/>
        </w:rPr>
        <w:t>PBS = Pharmaceutical Benefits Scheme</w:t>
      </w:r>
      <w:r w:rsidR="001C46EE">
        <w:rPr>
          <w:rFonts w:ascii="Arial Narrow" w:hAnsi="Arial Narrow"/>
          <w:snapToGrid w:val="0"/>
          <w:sz w:val="18"/>
          <w:szCs w:val="22"/>
        </w:rPr>
        <w:t>.</w:t>
      </w:r>
      <w:r w:rsidRPr="00797CA0">
        <w:rPr>
          <w:rFonts w:ascii="Arial Narrow" w:hAnsi="Arial Narrow"/>
          <w:snapToGrid w:val="0"/>
          <w:sz w:val="18"/>
          <w:szCs w:val="22"/>
        </w:rPr>
        <w:t xml:space="preserve"> </w:t>
      </w:r>
    </w:p>
    <w:p w14:paraId="5550F4DC" w14:textId="75BAD569" w:rsidR="00AC36A2" w:rsidRDefault="00AC36A2" w:rsidP="00AC36A2">
      <w:pPr>
        <w:pStyle w:val="3-BodyText"/>
      </w:pPr>
      <w:r w:rsidRPr="000E72AD">
        <w:t>A summary of</w:t>
      </w:r>
      <w:r w:rsidR="009D15AF">
        <w:t xml:space="preserve"> the estimated use and</w:t>
      </w:r>
      <w:r w:rsidRPr="000E72AD">
        <w:t xml:space="preserve"> financial implications is presented</w:t>
      </w:r>
      <w:r>
        <w:t xml:space="preserve"> </w:t>
      </w:r>
      <w:r w:rsidRPr="00A511A4">
        <w:rPr>
          <w:lang w:val="en-US"/>
        </w:rPr>
        <w:t xml:space="preserve">in </w:t>
      </w:r>
      <w:r w:rsidRPr="00A511A4">
        <w:rPr>
          <w:lang w:val="en-US"/>
        </w:rPr>
        <w:fldChar w:fldCharType="begin" w:fldLock="1"/>
      </w:r>
      <w:r w:rsidRPr="00A511A4">
        <w:rPr>
          <w:lang w:val="en-US"/>
        </w:rPr>
        <w:instrText xml:space="preserve"> REF _Ref100772900 \h </w:instrText>
      </w:r>
      <w:r>
        <w:rPr>
          <w:lang w:val="en-US"/>
        </w:rPr>
        <w:instrText xml:space="preserve"> \* MERGEFORMAT </w:instrText>
      </w:r>
      <w:r w:rsidRPr="00A511A4">
        <w:rPr>
          <w:lang w:val="en-US"/>
        </w:rPr>
      </w:r>
      <w:r w:rsidRPr="00A511A4">
        <w:rPr>
          <w:lang w:val="en-US"/>
        </w:rPr>
        <w:fldChar w:fldCharType="separate"/>
      </w:r>
      <w:r w:rsidR="00602E88" w:rsidRPr="00602E88">
        <w:rPr>
          <w:lang w:val="en-US"/>
        </w:rPr>
        <w:t>Table 18</w:t>
      </w:r>
      <w:r w:rsidRPr="00A511A4">
        <w:rPr>
          <w:lang w:val="en-US"/>
        </w:rPr>
        <w:fldChar w:fldCharType="end"/>
      </w:r>
      <w:r w:rsidRPr="000E72AD">
        <w:t>.</w:t>
      </w:r>
    </w:p>
    <w:p w14:paraId="29CAEE77" w14:textId="47C87FCE" w:rsidR="00647517" w:rsidRPr="0010205E" w:rsidRDefault="00647517" w:rsidP="00AC36A2">
      <w:pPr>
        <w:pStyle w:val="3-BodyText"/>
        <w:rPr>
          <w:iCs/>
        </w:rPr>
      </w:pPr>
      <w:r w:rsidRPr="0010205E">
        <w:rPr>
          <w:iCs/>
        </w:rPr>
        <w:t xml:space="preserve">During the evaluation it was noted that the submission </w:t>
      </w:r>
      <w:r w:rsidRPr="008C7EE4">
        <w:rPr>
          <w:iCs/>
        </w:rPr>
        <w:t>applied 11.74 prescriptions</w:t>
      </w:r>
      <w:r w:rsidRPr="0010205E">
        <w:rPr>
          <w:iCs/>
        </w:rPr>
        <w:t xml:space="preserve"> (which was the average total number of prescriptions per course of treatment) to the total number of patients (incident + prevalent) in each year, thus overestimating the number of</w:t>
      </w:r>
      <w:r w:rsidR="00DD3B3A" w:rsidRPr="0010205E">
        <w:rPr>
          <w:iCs/>
        </w:rPr>
        <w:t xml:space="preserve"> </w:t>
      </w:r>
      <w:r w:rsidR="00A371EC" w:rsidRPr="0010205E">
        <w:rPr>
          <w:iCs/>
        </w:rPr>
        <w:t>prescriptions</w:t>
      </w:r>
      <w:r w:rsidRPr="0010205E">
        <w:rPr>
          <w:iCs/>
        </w:rPr>
        <w:t xml:space="preserve"> from Year 2 onwards. </w:t>
      </w:r>
      <w:r w:rsidR="00DD3B3A" w:rsidRPr="0010205E">
        <w:rPr>
          <w:iCs/>
        </w:rPr>
        <w:t>Revised</w:t>
      </w:r>
      <w:r w:rsidRPr="0010205E">
        <w:rPr>
          <w:iCs/>
        </w:rPr>
        <w:t xml:space="preserve"> estimates </w:t>
      </w:r>
      <w:r w:rsidR="0041696C" w:rsidRPr="0010205E">
        <w:rPr>
          <w:iCs/>
        </w:rPr>
        <w:t xml:space="preserve">were </w:t>
      </w:r>
      <w:r w:rsidRPr="0010205E">
        <w:rPr>
          <w:iCs/>
        </w:rPr>
        <w:t xml:space="preserve">provided </w:t>
      </w:r>
      <w:r w:rsidR="0041696C" w:rsidRPr="0010205E">
        <w:rPr>
          <w:iCs/>
        </w:rPr>
        <w:t>in the PSCR</w:t>
      </w:r>
      <w:r w:rsidR="009E3A76" w:rsidRPr="0010205E">
        <w:rPr>
          <w:iCs/>
        </w:rPr>
        <w:t xml:space="preserve">. These estimates </w:t>
      </w:r>
      <w:r w:rsidR="00213149" w:rsidRPr="0010205E">
        <w:rPr>
          <w:iCs/>
        </w:rPr>
        <w:t xml:space="preserve">were </w:t>
      </w:r>
      <w:r w:rsidR="009E3A76" w:rsidRPr="0010205E">
        <w:rPr>
          <w:iCs/>
        </w:rPr>
        <w:t xml:space="preserve">further corrected to account for the reduced </w:t>
      </w:r>
      <w:r w:rsidR="00EC05C1" w:rsidRPr="0010205E">
        <w:rPr>
          <w:iCs/>
        </w:rPr>
        <w:t xml:space="preserve">proposed </w:t>
      </w:r>
      <w:r w:rsidR="009E3A76" w:rsidRPr="0010205E">
        <w:rPr>
          <w:iCs/>
        </w:rPr>
        <w:t xml:space="preserve">maximum quantity (14 rather than 21) and the </w:t>
      </w:r>
      <w:r w:rsidR="00213149" w:rsidRPr="0010205E">
        <w:rPr>
          <w:iCs/>
        </w:rPr>
        <w:t xml:space="preserve">resultant </w:t>
      </w:r>
      <w:r w:rsidR="009E3A76" w:rsidRPr="0010205E">
        <w:rPr>
          <w:iCs/>
        </w:rPr>
        <w:t xml:space="preserve">impact on the number of </w:t>
      </w:r>
      <w:r w:rsidR="009E3A76" w:rsidRPr="008C7EE4">
        <w:rPr>
          <w:iCs/>
        </w:rPr>
        <w:t>prescriptions (17.61, increased from 11.74)</w:t>
      </w:r>
      <w:r w:rsidR="0041696C" w:rsidRPr="008C7EE4">
        <w:rPr>
          <w:iCs/>
        </w:rPr>
        <w:t xml:space="preserve"> and</w:t>
      </w:r>
      <w:r w:rsidR="0041696C" w:rsidRPr="0010205E">
        <w:rPr>
          <w:iCs/>
        </w:rPr>
        <w:t xml:space="preserve"> are also </w:t>
      </w:r>
      <w:r w:rsidR="0041696C" w:rsidRPr="000E6572">
        <w:rPr>
          <w:rFonts w:cstheme="minorHAnsi"/>
          <w:iCs/>
        </w:rPr>
        <w:t xml:space="preserve">presented in </w:t>
      </w:r>
      <w:r w:rsidR="000E6572" w:rsidRPr="000E6572">
        <w:rPr>
          <w:rFonts w:cstheme="minorHAnsi"/>
          <w:iCs/>
        </w:rPr>
        <w:fldChar w:fldCharType="begin" w:fldLock="1"/>
      </w:r>
      <w:r w:rsidR="000E6572" w:rsidRPr="000E6572">
        <w:rPr>
          <w:rFonts w:cstheme="minorHAnsi"/>
          <w:iCs/>
        </w:rPr>
        <w:instrText xml:space="preserve"> REF _Ref100772900 \h  \* MERGEFORMAT </w:instrText>
      </w:r>
      <w:r w:rsidR="000E6572" w:rsidRPr="000E6572">
        <w:rPr>
          <w:rFonts w:cstheme="minorHAnsi"/>
          <w:iCs/>
        </w:rPr>
      </w:r>
      <w:r w:rsidR="000E6572" w:rsidRPr="000E6572">
        <w:rPr>
          <w:rFonts w:cstheme="minorHAnsi"/>
          <w:iCs/>
        </w:rPr>
        <w:fldChar w:fldCharType="separate"/>
      </w:r>
      <w:r w:rsidR="000E6572" w:rsidRPr="000E6572">
        <w:rPr>
          <w:rFonts w:cstheme="minorHAnsi"/>
        </w:rPr>
        <w:t xml:space="preserve">Table </w:t>
      </w:r>
      <w:r w:rsidR="000E6572" w:rsidRPr="000E6572">
        <w:rPr>
          <w:rFonts w:cstheme="minorHAnsi"/>
          <w:noProof/>
        </w:rPr>
        <w:t>18</w:t>
      </w:r>
      <w:r w:rsidR="000E6572" w:rsidRPr="000E6572">
        <w:rPr>
          <w:rFonts w:cstheme="minorHAnsi"/>
          <w:iCs/>
        </w:rPr>
        <w:fldChar w:fldCharType="end"/>
      </w:r>
      <w:r w:rsidRPr="000E6572">
        <w:rPr>
          <w:rFonts w:cstheme="minorHAnsi"/>
          <w:iCs/>
        </w:rPr>
        <w:t xml:space="preserve">. </w:t>
      </w:r>
      <w:r w:rsidR="00CA21DB" w:rsidRPr="000E6572">
        <w:rPr>
          <w:rFonts w:cstheme="minorHAnsi"/>
          <w:iCs/>
        </w:rPr>
        <w:t>The</w:t>
      </w:r>
      <w:r w:rsidR="00CA21DB">
        <w:rPr>
          <w:iCs/>
        </w:rPr>
        <w:t xml:space="preserve"> </w:t>
      </w:r>
      <w:r w:rsidR="00CE31E7">
        <w:rPr>
          <w:iCs/>
        </w:rPr>
        <w:t xml:space="preserve">corrections were accepted in the </w:t>
      </w:r>
      <w:r w:rsidR="00CA21DB">
        <w:rPr>
          <w:iCs/>
        </w:rPr>
        <w:t>pre-PBAC response</w:t>
      </w:r>
      <w:r w:rsidR="008812B5">
        <w:rPr>
          <w:iCs/>
        </w:rPr>
        <w:t>.</w:t>
      </w:r>
    </w:p>
    <w:p w14:paraId="1DCE9169" w14:textId="595B9C67" w:rsidR="00AC36A2" w:rsidRPr="0052098F" w:rsidRDefault="00AC36A2" w:rsidP="00AC36A2">
      <w:pPr>
        <w:pStyle w:val="Caption"/>
        <w:keepNext/>
        <w:spacing w:after="0"/>
        <w:rPr>
          <w:rFonts w:ascii="Arial Narrow" w:hAnsi="Arial Narrow"/>
          <w:color w:val="auto"/>
          <w:sz w:val="20"/>
          <w:szCs w:val="20"/>
        </w:rPr>
      </w:pPr>
      <w:bookmarkStart w:id="79" w:name="_Ref100772900"/>
      <w:r w:rsidRPr="0052098F">
        <w:rPr>
          <w:rFonts w:ascii="Arial Narrow" w:hAnsi="Arial Narrow"/>
          <w:color w:val="auto"/>
          <w:sz w:val="20"/>
          <w:szCs w:val="20"/>
        </w:rPr>
        <w:t xml:space="preserve">Table </w:t>
      </w:r>
      <w:r w:rsidRPr="0052098F">
        <w:rPr>
          <w:rFonts w:ascii="Arial Narrow" w:hAnsi="Arial Narrow"/>
          <w:sz w:val="20"/>
          <w:szCs w:val="20"/>
        </w:rPr>
        <w:fldChar w:fldCharType="begin" w:fldLock="1"/>
      </w:r>
      <w:r w:rsidRPr="0052098F">
        <w:rPr>
          <w:rFonts w:ascii="Arial Narrow" w:hAnsi="Arial Narrow"/>
          <w:color w:val="auto"/>
          <w:sz w:val="20"/>
          <w:szCs w:val="20"/>
        </w:rPr>
        <w:instrText xml:space="preserve"> SEQ Table \* ARABIC \s 1 </w:instrText>
      </w:r>
      <w:r w:rsidRPr="0052098F">
        <w:rPr>
          <w:rFonts w:ascii="Arial Narrow" w:hAnsi="Arial Narrow"/>
          <w:sz w:val="20"/>
          <w:szCs w:val="20"/>
        </w:rPr>
        <w:fldChar w:fldCharType="separate"/>
      </w:r>
      <w:r w:rsidR="00602E88">
        <w:rPr>
          <w:rFonts w:ascii="Arial Narrow" w:hAnsi="Arial Narrow"/>
          <w:noProof/>
          <w:color w:val="auto"/>
          <w:sz w:val="20"/>
          <w:szCs w:val="20"/>
        </w:rPr>
        <w:t>18</w:t>
      </w:r>
      <w:r w:rsidRPr="0052098F">
        <w:rPr>
          <w:rFonts w:ascii="Arial Narrow" w:hAnsi="Arial Narrow"/>
          <w:sz w:val="20"/>
          <w:szCs w:val="20"/>
        </w:rPr>
        <w:fldChar w:fldCharType="end"/>
      </w:r>
      <w:bookmarkEnd w:id="79"/>
      <w:r w:rsidRPr="0052098F">
        <w:rPr>
          <w:rFonts w:ascii="Arial Narrow" w:hAnsi="Arial Narrow"/>
          <w:color w:val="auto"/>
          <w:sz w:val="20"/>
          <w:szCs w:val="20"/>
        </w:rPr>
        <w:t xml:space="preserve">: </w:t>
      </w:r>
      <w:r w:rsidRPr="0052098F">
        <w:rPr>
          <w:rStyle w:val="CommentReference"/>
          <w:b/>
          <w:color w:val="auto"/>
          <w:szCs w:val="20"/>
        </w:rPr>
        <w:t>Estimated use and financial implications</w:t>
      </w:r>
      <w:r w:rsidR="009D15AF">
        <w:rPr>
          <w:rStyle w:val="CommentReference"/>
          <w:b/>
          <w:color w:val="auto"/>
          <w:szCs w:val="20"/>
        </w:rPr>
        <w:t xml:space="preserve"> (effective price</w:t>
      </w:r>
      <w:r w:rsidR="000E6572">
        <w:rPr>
          <w:rStyle w:val="CommentReference"/>
          <w:b/>
          <w:color w:val="auto"/>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Estimated use and financial implications (effective price)"/>
      </w:tblPr>
      <w:tblGrid>
        <w:gridCol w:w="2012"/>
        <w:gridCol w:w="1167"/>
        <w:gridCol w:w="1167"/>
        <w:gridCol w:w="1167"/>
        <w:gridCol w:w="1167"/>
        <w:gridCol w:w="1167"/>
        <w:gridCol w:w="1170"/>
      </w:tblGrid>
      <w:tr w:rsidR="00AC36A2" w:rsidRPr="000E6572" w14:paraId="7A3AE138" w14:textId="2083791E" w:rsidTr="00AC36A2">
        <w:trPr>
          <w:tblHeader/>
        </w:trPr>
        <w:tc>
          <w:tcPr>
            <w:tcW w:w="1116" w:type="pct"/>
            <w:shd w:val="clear" w:color="auto" w:fill="auto"/>
            <w:vAlign w:val="center"/>
          </w:tcPr>
          <w:p w14:paraId="18AD3BCB" w14:textId="7BF6AEEE" w:rsidR="00AC36A2" w:rsidRPr="000E6572" w:rsidRDefault="00AC36A2" w:rsidP="00AC36A2">
            <w:pPr>
              <w:pStyle w:val="In-tableHeading"/>
              <w:jc w:val="center"/>
              <w:rPr>
                <w:szCs w:val="20"/>
              </w:rPr>
            </w:pPr>
          </w:p>
        </w:tc>
        <w:tc>
          <w:tcPr>
            <w:tcW w:w="647" w:type="pct"/>
            <w:shd w:val="clear" w:color="auto" w:fill="auto"/>
            <w:vAlign w:val="center"/>
          </w:tcPr>
          <w:p w14:paraId="48DB9BA2" w14:textId="7BA49AF3" w:rsidR="00AC36A2" w:rsidRPr="000E6572" w:rsidRDefault="00AC36A2" w:rsidP="00AC36A2">
            <w:pPr>
              <w:pStyle w:val="In-tableHeading"/>
              <w:jc w:val="center"/>
              <w:rPr>
                <w:szCs w:val="20"/>
              </w:rPr>
            </w:pPr>
            <w:r w:rsidRPr="000E6572">
              <w:rPr>
                <w:szCs w:val="20"/>
              </w:rPr>
              <w:t>Year 1</w:t>
            </w:r>
          </w:p>
        </w:tc>
        <w:tc>
          <w:tcPr>
            <w:tcW w:w="647" w:type="pct"/>
            <w:shd w:val="clear" w:color="auto" w:fill="auto"/>
            <w:vAlign w:val="center"/>
          </w:tcPr>
          <w:p w14:paraId="2BEE7B3B" w14:textId="4E67F2EA" w:rsidR="00AC36A2" w:rsidRPr="000E6572" w:rsidRDefault="00AC36A2" w:rsidP="00AC36A2">
            <w:pPr>
              <w:pStyle w:val="In-tableHeading"/>
              <w:jc w:val="center"/>
              <w:rPr>
                <w:szCs w:val="20"/>
              </w:rPr>
            </w:pPr>
            <w:r w:rsidRPr="000E6572">
              <w:rPr>
                <w:szCs w:val="20"/>
              </w:rPr>
              <w:t>Year 2</w:t>
            </w:r>
          </w:p>
        </w:tc>
        <w:tc>
          <w:tcPr>
            <w:tcW w:w="647" w:type="pct"/>
            <w:shd w:val="clear" w:color="auto" w:fill="auto"/>
            <w:vAlign w:val="center"/>
          </w:tcPr>
          <w:p w14:paraId="76FA570E" w14:textId="7513C96E" w:rsidR="00AC36A2" w:rsidRPr="000E6572" w:rsidRDefault="00AC36A2" w:rsidP="00AC36A2">
            <w:pPr>
              <w:pStyle w:val="In-tableHeading"/>
              <w:jc w:val="center"/>
              <w:rPr>
                <w:szCs w:val="20"/>
              </w:rPr>
            </w:pPr>
            <w:r w:rsidRPr="000E6572">
              <w:rPr>
                <w:szCs w:val="20"/>
              </w:rPr>
              <w:t>Year 3</w:t>
            </w:r>
          </w:p>
        </w:tc>
        <w:tc>
          <w:tcPr>
            <w:tcW w:w="647" w:type="pct"/>
            <w:shd w:val="clear" w:color="auto" w:fill="auto"/>
            <w:vAlign w:val="center"/>
          </w:tcPr>
          <w:p w14:paraId="7CEA9F01" w14:textId="530546AD" w:rsidR="00AC36A2" w:rsidRPr="000E6572" w:rsidRDefault="00AC36A2" w:rsidP="00AC36A2">
            <w:pPr>
              <w:pStyle w:val="In-tableHeading"/>
              <w:jc w:val="center"/>
              <w:rPr>
                <w:szCs w:val="20"/>
              </w:rPr>
            </w:pPr>
            <w:r w:rsidRPr="000E6572">
              <w:rPr>
                <w:szCs w:val="20"/>
              </w:rPr>
              <w:t>Year 4</w:t>
            </w:r>
          </w:p>
        </w:tc>
        <w:tc>
          <w:tcPr>
            <w:tcW w:w="647" w:type="pct"/>
            <w:shd w:val="clear" w:color="auto" w:fill="auto"/>
            <w:vAlign w:val="center"/>
          </w:tcPr>
          <w:p w14:paraId="4FE2F15C" w14:textId="0B754772" w:rsidR="00AC36A2" w:rsidRPr="000E6572" w:rsidRDefault="00AC36A2" w:rsidP="00AC36A2">
            <w:pPr>
              <w:pStyle w:val="In-tableHeading"/>
              <w:jc w:val="center"/>
              <w:rPr>
                <w:szCs w:val="20"/>
              </w:rPr>
            </w:pPr>
            <w:r w:rsidRPr="000E6572">
              <w:rPr>
                <w:szCs w:val="20"/>
              </w:rPr>
              <w:t>Year 5</w:t>
            </w:r>
          </w:p>
        </w:tc>
        <w:tc>
          <w:tcPr>
            <w:tcW w:w="649" w:type="pct"/>
          </w:tcPr>
          <w:p w14:paraId="505223F9" w14:textId="6C1C9B6C" w:rsidR="00AC36A2" w:rsidRPr="000E6572" w:rsidRDefault="00AC36A2" w:rsidP="00AC36A2">
            <w:pPr>
              <w:pStyle w:val="In-tableHeading"/>
              <w:jc w:val="center"/>
              <w:rPr>
                <w:szCs w:val="20"/>
              </w:rPr>
            </w:pPr>
            <w:r w:rsidRPr="000E6572">
              <w:rPr>
                <w:szCs w:val="20"/>
              </w:rPr>
              <w:t>Year 6</w:t>
            </w:r>
          </w:p>
        </w:tc>
      </w:tr>
      <w:tr w:rsidR="00AC36A2" w:rsidRPr="000E6572" w14:paraId="6BD223BA" w14:textId="3FABF58B" w:rsidTr="00AC36A2">
        <w:tc>
          <w:tcPr>
            <w:tcW w:w="5000" w:type="pct"/>
            <w:gridSpan w:val="7"/>
            <w:shd w:val="clear" w:color="auto" w:fill="auto"/>
            <w:vAlign w:val="center"/>
          </w:tcPr>
          <w:p w14:paraId="3FDF1269" w14:textId="693FAB6D" w:rsidR="00AC36A2" w:rsidRPr="000E6572" w:rsidRDefault="00AC36A2" w:rsidP="00AC36A2">
            <w:pPr>
              <w:pStyle w:val="In-tableHeading"/>
              <w:rPr>
                <w:bCs/>
                <w:color w:val="000000"/>
                <w:szCs w:val="20"/>
              </w:rPr>
            </w:pPr>
            <w:r w:rsidRPr="000E6572">
              <w:rPr>
                <w:bCs/>
                <w:color w:val="000000"/>
                <w:szCs w:val="20"/>
              </w:rPr>
              <w:t>Estimated extent of use</w:t>
            </w:r>
            <w:r w:rsidR="00CA21DB" w:rsidRPr="000E6572">
              <w:rPr>
                <w:bCs/>
                <w:color w:val="000000"/>
                <w:szCs w:val="20"/>
              </w:rPr>
              <w:t xml:space="preserve"> as per submission</w:t>
            </w:r>
          </w:p>
        </w:tc>
      </w:tr>
      <w:tr w:rsidR="00AC36A2" w:rsidRPr="000E6572" w14:paraId="3F41CE47" w14:textId="1B148371" w:rsidTr="00AC36A2">
        <w:tc>
          <w:tcPr>
            <w:tcW w:w="1116" w:type="pct"/>
            <w:shd w:val="clear" w:color="auto" w:fill="auto"/>
            <w:vAlign w:val="center"/>
          </w:tcPr>
          <w:p w14:paraId="77B191C0" w14:textId="036CB6A0" w:rsidR="00AC36A2" w:rsidRPr="000E6572" w:rsidRDefault="00AC36A2" w:rsidP="00AC36A2">
            <w:pPr>
              <w:pStyle w:val="TableText0"/>
              <w:rPr>
                <w:rFonts w:ascii="Times" w:hAnsi="Times"/>
                <w:szCs w:val="20"/>
              </w:rPr>
            </w:pPr>
            <w:r w:rsidRPr="000E6572">
              <w:rPr>
                <w:szCs w:val="20"/>
              </w:rPr>
              <w:t>Number of patients initiating treatment</w:t>
            </w:r>
          </w:p>
        </w:tc>
        <w:tc>
          <w:tcPr>
            <w:tcW w:w="647" w:type="pct"/>
            <w:shd w:val="clear" w:color="auto" w:fill="auto"/>
            <w:vAlign w:val="center"/>
          </w:tcPr>
          <w:p w14:paraId="72316443" w14:textId="11A5FC75" w:rsidR="00AC36A2" w:rsidRPr="00334471" w:rsidRDefault="00EB4495" w:rsidP="00AC36A2">
            <w:pPr>
              <w:pStyle w:val="TableText0"/>
              <w:jc w:val="center"/>
              <w:rPr>
                <w:color w:val="000000"/>
                <w:szCs w:val="20"/>
                <w:highlight w:val="lightGray"/>
              </w:rPr>
            </w:pPr>
            <w:r w:rsidRPr="000F0268">
              <w:rPr>
                <w:rFonts w:hint="eastAsia"/>
                <w:color w:val="000000"/>
                <w:w w:val="15"/>
                <w:szCs w:val="20"/>
                <w:shd w:val="solid" w:color="000000" w:fill="000000"/>
                <w:fitText w:val="13" w:id="-1435823616"/>
                <w14:textFill>
                  <w14:solidFill>
                    <w14:srgbClr w14:val="000000">
                      <w14:alpha w14:val="100000"/>
                    </w14:srgbClr>
                  </w14:solidFill>
                </w14:textFill>
              </w:rPr>
              <w:t xml:space="preserve">　</w:t>
            </w:r>
            <w:r w:rsidRPr="000F0268">
              <w:rPr>
                <w:color w:val="000000"/>
                <w:w w:val="15"/>
                <w:szCs w:val="20"/>
                <w:shd w:val="solid" w:color="000000" w:fill="000000"/>
                <w:fitText w:val="13" w:id="-1435823616"/>
                <w14:textFill>
                  <w14:solidFill>
                    <w14:srgbClr w14:val="000000">
                      <w14:alpha w14:val="100000"/>
                    </w14:srgbClr>
                  </w14:solidFill>
                </w14:textFill>
              </w:rPr>
              <w:t>|</w:t>
            </w:r>
            <w:r w:rsidRPr="000F0268">
              <w:rPr>
                <w:rFonts w:hint="eastAsia"/>
                <w:color w:val="000000"/>
                <w:spacing w:val="-52"/>
                <w:w w:val="15"/>
                <w:szCs w:val="20"/>
                <w:shd w:val="solid" w:color="000000" w:fill="000000"/>
                <w:fitText w:val="13" w:id="-1435823616"/>
                <w14:textFill>
                  <w14:solidFill>
                    <w14:srgbClr w14:val="000000">
                      <w14:alpha w14:val="100000"/>
                    </w14:srgbClr>
                  </w14:solidFill>
                </w14:textFill>
              </w:rPr>
              <w:t xml:space="preserve">　</w:t>
            </w:r>
            <w:r w:rsidR="00C32937" w:rsidRPr="00C32937">
              <w:rPr>
                <w:color w:val="000000"/>
                <w:szCs w:val="20"/>
                <w:vertAlign w:val="superscript"/>
              </w:rPr>
              <w:t>1</w:t>
            </w:r>
            <w:r w:rsidRPr="00EB4495">
              <w:rPr>
                <w:color w:val="000000"/>
                <w:szCs w:val="20"/>
              </w:rPr>
              <w:t xml:space="preserve"> </w:t>
            </w:r>
          </w:p>
        </w:tc>
        <w:tc>
          <w:tcPr>
            <w:tcW w:w="647" w:type="pct"/>
            <w:shd w:val="clear" w:color="auto" w:fill="auto"/>
            <w:vAlign w:val="center"/>
          </w:tcPr>
          <w:p w14:paraId="6BE065BC" w14:textId="045BF962" w:rsidR="00AC36A2" w:rsidRPr="00334471" w:rsidRDefault="00EB4495" w:rsidP="00AC36A2">
            <w:pPr>
              <w:pStyle w:val="TableText0"/>
              <w:jc w:val="center"/>
              <w:rPr>
                <w:color w:val="000000"/>
                <w:szCs w:val="20"/>
                <w:highlight w:val="lightGray"/>
              </w:rPr>
            </w:pPr>
            <w:r w:rsidRPr="006F14E4">
              <w:rPr>
                <w:rFonts w:hint="eastAsia"/>
                <w:color w:val="000000"/>
                <w:w w:val="15"/>
                <w:szCs w:val="20"/>
                <w:shd w:val="solid" w:color="000000" w:fill="000000"/>
                <w:fitText w:val="50" w:id="-1435823615"/>
                <w14:textFill>
                  <w14:solidFill>
                    <w14:srgbClr w14:val="000000">
                      <w14:alpha w14:val="100000"/>
                    </w14:srgbClr>
                  </w14:solidFill>
                </w14:textFill>
              </w:rPr>
              <w:t xml:space="preserve">　</w:t>
            </w:r>
            <w:r w:rsidRPr="006F14E4">
              <w:rPr>
                <w:color w:val="000000"/>
                <w:w w:val="15"/>
                <w:szCs w:val="20"/>
                <w:shd w:val="solid" w:color="000000" w:fill="000000"/>
                <w:fitText w:val="50" w:id="-1435823615"/>
                <w14:textFill>
                  <w14:solidFill>
                    <w14:srgbClr w14:val="000000">
                      <w14:alpha w14:val="100000"/>
                    </w14:srgbClr>
                  </w14:solidFill>
                </w14:textFill>
              </w:rPr>
              <w:t>|</w:t>
            </w:r>
            <w:r w:rsidRPr="006F14E4">
              <w:rPr>
                <w:rFonts w:hint="eastAsia"/>
                <w:color w:val="000000"/>
                <w:spacing w:val="-15"/>
                <w:w w:val="15"/>
                <w:szCs w:val="20"/>
                <w:shd w:val="solid" w:color="000000" w:fill="000000"/>
                <w:fitText w:val="50" w:id="-1435823615"/>
                <w14:textFill>
                  <w14:solidFill>
                    <w14:srgbClr w14:val="000000">
                      <w14:alpha w14:val="100000"/>
                    </w14:srgbClr>
                  </w14:solidFill>
                </w14:textFill>
              </w:rPr>
              <w:t xml:space="preserve">　</w:t>
            </w:r>
            <w:r w:rsidRPr="00EB4495">
              <w:rPr>
                <w:color w:val="000000"/>
                <w:szCs w:val="20"/>
              </w:rPr>
              <w:t xml:space="preserve"> </w:t>
            </w:r>
            <w:r w:rsidR="00C32937" w:rsidRPr="00C32937">
              <w:rPr>
                <w:color w:val="000000"/>
                <w:szCs w:val="20"/>
                <w:vertAlign w:val="superscript"/>
              </w:rPr>
              <w:t>1</w:t>
            </w:r>
          </w:p>
        </w:tc>
        <w:tc>
          <w:tcPr>
            <w:tcW w:w="647" w:type="pct"/>
            <w:shd w:val="clear" w:color="auto" w:fill="auto"/>
            <w:vAlign w:val="center"/>
          </w:tcPr>
          <w:p w14:paraId="1AABBFD5" w14:textId="4E24CC46" w:rsidR="00AC36A2" w:rsidRPr="00334471" w:rsidRDefault="00EB4495" w:rsidP="00AC36A2">
            <w:pPr>
              <w:pStyle w:val="TableText0"/>
              <w:jc w:val="center"/>
              <w:rPr>
                <w:color w:val="000000"/>
                <w:szCs w:val="20"/>
                <w:highlight w:val="lightGray"/>
              </w:rPr>
            </w:pPr>
            <w:r w:rsidRPr="006F14E4">
              <w:rPr>
                <w:rFonts w:hint="eastAsia"/>
                <w:color w:val="000000"/>
                <w:w w:val="15"/>
                <w:szCs w:val="20"/>
                <w:shd w:val="solid" w:color="000000" w:fill="000000"/>
                <w:fitText w:val="50" w:id="-1435823614"/>
                <w14:textFill>
                  <w14:solidFill>
                    <w14:srgbClr w14:val="000000">
                      <w14:alpha w14:val="100000"/>
                    </w14:srgbClr>
                  </w14:solidFill>
                </w14:textFill>
              </w:rPr>
              <w:t xml:space="preserve">　</w:t>
            </w:r>
            <w:r w:rsidRPr="006F14E4">
              <w:rPr>
                <w:color w:val="000000"/>
                <w:w w:val="15"/>
                <w:szCs w:val="20"/>
                <w:shd w:val="solid" w:color="000000" w:fill="000000"/>
                <w:fitText w:val="50" w:id="-1435823614"/>
                <w14:textFill>
                  <w14:solidFill>
                    <w14:srgbClr w14:val="000000">
                      <w14:alpha w14:val="100000"/>
                    </w14:srgbClr>
                  </w14:solidFill>
                </w14:textFill>
              </w:rPr>
              <w:t>|</w:t>
            </w:r>
            <w:r w:rsidRPr="006F14E4">
              <w:rPr>
                <w:rFonts w:hint="eastAsia"/>
                <w:color w:val="000000"/>
                <w:spacing w:val="-15"/>
                <w:w w:val="15"/>
                <w:szCs w:val="20"/>
                <w:shd w:val="solid" w:color="000000" w:fill="000000"/>
                <w:fitText w:val="50" w:id="-1435823614"/>
                <w14:textFill>
                  <w14:solidFill>
                    <w14:srgbClr w14:val="000000">
                      <w14:alpha w14:val="100000"/>
                    </w14:srgbClr>
                  </w14:solidFill>
                </w14:textFill>
              </w:rPr>
              <w:t xml:space="preserve">　</w:t>
            </w:r>
            <w:r w:rsidRPr="00EB4495">
              <w:rPr>
                <w:color w:val="000000"/>
                <w:szCs w:val="20"/>
              </w:rPr>
              <w:t xml:space="preserve"> </w:t>
            </w:r>
            <w:r w:rsidR="00C32937" w:rsidRPr="00C32937">
              <w:rPr>
                <w:color w:val="000000"/>
                <w:szCs w:val="20"/>
                <w:vertAlign w:val="superscript"/>
              </w:rPr>
              <w:t>1</w:t>
            </w:r>
          </w:p>
        </w:tc>
        <w:tc>
          <w:tcPr>
            <w:tcW w:w="647" w:type="pct"/>
            <w:shd w:val="clear" w:color="auto" w:fill="auto"/>
            <w:vAlign w:val="center"/>
          </w:tcPr>
          <w:p w14:paraId="49EAFC76" w14:textId="70E10940" w:rsidR="00AC36A2" w:rsidRPr="00334471" w:rsidRDefault="00EB4495" w:rsidP="00AC36A2">
            <w:pPr>
              <w:pStyle w:val="TableText0"/>
              <w:jc w:val="center"/>
              <w:rPr>
                <w:color w:val="000000"/>
                <w:szCs w:val="20"/>
                <w:highlight w:val="lightGray"/>
              </w:rPr>
            </w:pPr>
            <w:r w:rsidRPr="00EB4495">
              <w:rPr>
                <w:rFonts w:hint="eastAsia"/>
                <w:color w:val="000000"/>
                <w:w w:val="15"/>
                <w:szCs w:val="20"/>
                <w:shd w:val="solid" w:color="000000" w:fill="000000"/>
                <w:fitText w:val="50" w:id="-1435823613"/>
                <w14:textFill>
                  <w14:solidFill>
                    <w14:srgbClr w14:val="000000">
                      <w14:alpha w14:val="100000"/>
                    </w14:srgbClr>
                  </w14:solidFill>
                </w14:textFill>
              </w:rPr>
              <w:t xml:space="preserve">　</w:t>
            </w:r>
            <w:r w:rsidRPr="00EB4495">
              <w:rPr>
                <w:color w:val="000000"/>
                <w:w w:val="15"/>
                <w:szCs w:val="20"/>
                <w:shd w:val="solid" w:color="000000" w:fill="000000"/>
                <w:fitText w:val="50" w:id="-1435823613"/>
                <w14:textFill>
                  <w14:solidFill>
                    <w14:srgbClr w14:val="000000">
                      <w14:alpha w14:val="100000"/>
                    </w14:srgbClr>
                  </w14:solidFill>
                </w14:textFill>
              </w:rPr>
              <w:t>|</w:t>
            </w:r>
            <w:r w:rsidRPr="00EB4495">
              <w:rPr>
                <w:rFonts w:hint="eastAsia"/>
                <w:color w:val="000000"/>
                <w:spacing w:val="-15"/>
                <w:w w:val="15"/>
                <w:szCs w:val="20"/>
                <w:shd w:val="solid" w:color="000000" w:fill="000000"/>
                <w:fitText w:val="50" w:id="-1435823613"/>
                <w14:textFill>
                  <w14:solidFill>
                    <w14:srgbClr w14:val="000000">
                      <w14:alpha w14:val="100000"/>
                    </w14:srgbClr>
                  </w14:solidFill>
                </w14:textFill>
              </w:rPr>
              <w:t xml:space="preserve">　</w:t>
            </w:r>
            <w:r w:rsidRPr="00EB4495">
              <w:rPr>
                <w:color w:val="000000"/>
                <w:szCs w:val="20"/>
              </w:rPr>
              <w:t xml:space="preserve"> </w:t>
            </w:r>
            <w:r w:rsidR="00C32937" w:rsidRPr="00C32937">
              <w:rPr>
                <w:color w:val="000000"/>
                <w:szCs w:val="20"/>
                <w:vertAlign w:val="superscript"/>
              </w:rPr>
              <w:t>1</w:t>
            </w:r>
          </w:p>
        </w:tc>
        <w:tc>
          <w:tcPr>
            <w:tcW w:w="647" w:type="pct"/>
            <w:shd w:val="clear" w:color="auto" w:fill="auto"/>
            <w:vAlign w:val="center"/>
          </w:tcPr>
          <w:p w14:paraId="56E4098A" w14:textId="6776204B" w:rsidR="00AC36A2" w:rsidRPr="00334471" w:rsidRDefault="00EB4495" w:rsidP="00AC36A2">
            <w:pPr>
              <w:pStyle w:val="TableText0"/>
              <w:jc w:val="center"/>
              <w:rPr>
                <w:color w:val="000000"/>
                <w:szCs w:val="20"/>
                <w:highlight w:val="lightGray"/>
              </w:rPr>
            </w:pPr>
            <w:r w:rsidRPr="00EB4495">
              <w:rPr>
                <w:rFonts w:hint="eastAsia"/>
                <w:color w:val="000000"/>
                <w:w w:val="15"/>
                <w:szCs w:val="20"/>
                <w:shd w:val="solid" w:color="000000" w:fill="000000"/>
                <w:fitText w:val="50" w:id="-1435823612"/>
                <w14:textFill>
                  <w14:solidFill>
                    <w14:srgbClr w14:val="000000">
                      <w14:alpha w14:val="100000"/>
                    </w14:srgbClr>
                  </w14:solidFill>
                </w14:textFill>
              </w:rPr>
              <w:t xml:space="preserve">　</w:t>
            </w:r>
            <w:r w:rsidRPr="00EB4495">
              <w:rPr>
                <w:color w:val="000000"/>
                <w:w w:val="15"/>
                <w:szCs w:val="20"/>
                <w:shd w:val="solid" w:color="000000" w:fill="000000"/>
                <w:fitText w:val="50" w:id="-1435823612"/>
                <w14:textFill>
                  <w14:solidFill>
                    <w14:srgbClr w14:val="000000">
                      <w14:alpha w14:val="100000"/>
                    </w14:srgbClr>
                  </w14:solidFill>
                </w14:textFill>
              </w:rPr>
              <w:t>|</w:t>
            </w:r>
            <w:r w:rsidRPr="00EB4495">
              <w:rPr>
                <w:rFonts w:hint="eastAsia"/>
                <w:color w:val="000000"/>
                <w:spacing w:val="-15"/>
                <w:w w:val="15"/>
                <w:szCs w:val="20"/>
                <w:shd w:val="solid" w:color="000000" w:fill="000000"/>
                <w:fitText w:val="50" w:id="-1435823612"/>
                <w14:textFill>
                  <w14:solidFill>
                    <w14:srgbClr w14:val="000000">
                      <w14:alpha w14:val="100000"/>
                    </w14:srgbClr>
                  </w14:solidFill>
                </w14:textFill>
              </w:rPr>
              <w:t xml:space="preserve">　</w:t>
            </w:r>
            <w:r w:rsidRPr="00EB4495">
              <w:rPr>
                <w:color w:val="000000"/>
                <w:szCs w:val="20"/>
              </w:rPr>
              <w:t xml:space="preserve"> </w:t>
            </w:r>
            <w:r w:rsidR="00C32937" w:rsidRPr="00C32937">
              <w:rPr>
                <w:color w:val="000000"/>
                <w:szCs w:val="20"/>
                <w:vertAlign w:val="superscript"/>
              </w:rPr>
              <w:t>1</w:t>
            </w:r>
          </w:p>
        </w:tc>
        <w:tc>
          <w:tcPr>
            <w:tcW w:w="649" w:type="pct"/>
            <w:vAlign w:val="center"/>
          </w:tcPr>
          <w:p w14:paraId="054EE8B3" w14:textId="695A9E51" w:rsidR="00AC36A2" w:rsidRPr="00334471" w:rsidRDefault="00EB4495" w:rsidP="00AC36A2">
            <w:pPr>
              <w:pStyle w:val="TableText0"/>
              <w:jc w:val="center"/>
              <w:rPr>
                <w:color w:val="000000"/>
                <w:szCs w:val="20"/>
                <w:highlight w:val="lightGray"/>
              </w:rPr>
            </w:pPr>
            <w:r w:rsidRPr="006F14E4">
              <w:rPr>
                <w:rFonts w:hint="eastAsia"/>
                <w:color w:val="000000"/>
                <w:w w:val="15"/>
                <w:szCs w:val="20"/>
                <w:shd w:val="solid" w:color="000000" w:fill="000000"/>
                <w:fitText w:val="37" w:id="-1435823611"/>
                <w14:textFill>
                  <w14:solidFill>
                    <w14:srgbClr w14:val="000000">
                      <w14:alpha w14:val="100000"/>
                    </w14:srgbClr>
                  </w14:solidFill>
                </w14:textFill>
              </w:rPr>
              <w:t xml:space="preserve">　</w:t>
            </w:r>
            <w:r w:rsidRPr="006F14E4">
              <w:rPr>
                <w:color w:val="000000"/>
                <w:w w:val="15"/>
                <w:szCs w:val="20"/>
                <w:shd w:val="solid" w:color="000000" w:fill="000000"/>
                <w:fitText w:val="37" w:id="-1435823611"/>
                <w14:textFill>
                  <w14:solidFill>
                    <w14:srgbClr w14:val="000000">
                      <w14:alpha w14:val="100000"/>
                    </w14:srgbClr>
                  </w14:solidFill>
                </w14:textFill>
              </w:rPr>
              <w:t>|</w:t>
            </w:r>
            <w:r w:rsidRPr="006F14E4">
              <w:rPr>
                <w:rFonts w:hint="eastAsia"/>
                <w:color w:val="000000"/>
                <w:spacing w:val="-28"/>
                <w:w w:val="15"/>
                <w:szCs w:val="20"/>
                <w:shd w:val="solid" w:color="000000" w:fill="000000"/>
                <w:fitText w:val="37" w:id="-1435823611"/>
                <w14:textFill>
                  <w14:solidFill>
                    <w14:srgbClr w14:val="000000">
                      <w14:alpha w14:val="100000"/>
                    </w14:srgbClr>
                  </w14:solidFill>
                </w14:textFill>
              </w:rPr>
              <w:t xml:space="preserve">　</w:t>
            </w:r>
            <w:r w:rsidRPr="00EB4495">
              <w:rPr>
                <w:color w:val="000000"/>
                <w:szCs w:val="20"/>
              </w:rPr>
              <w:t xml:space="preserve"> </w:t>
            </w:r>
            <w:r w:rsidR="00C32937" w:rsidRPr="00C32937">
              <w:rPr>
                <w:color w:val="000000"/>
                <w:szCs w:val="20"/>
                <w:vertAlign w:val="superscript"/>
              </w:rPr>
              <w:t>1</w:t>
            </w:r>
          </w:p>
        </w:tc>
      </w:tr>
      <w:tr w:rsidR="00AC36A2" w:rsidRPr="000E6572" w14:paraId="5D6CCA3C" w14:textId="1572CFC6" w:rsidTr="00AC36A2">
        <w:tc>
          <w:tcPr>
            <w:tcW w:w="1116" w:type="pct"/>
            <w:shd w:val="clear" w:color="auto" w:fill="auto"/>
          </w:tcPr>
          <w:p w14:paraId="5A935CEC" w14:textId="090DEA81" w:rsidR="00AC36A2" w:rsidRPr="000E6572" w:rsidRDefault="00AC36A2" w:rsidP="00AC36A2">
            <w:pPr>
              <w:pStyle w:val="TableText0"/>
              <w:rPr>
                <w:szCs w:val="20"/>
              </w:rPr>
            </w:pPr>
            <w:r w:rsidRPr="000E6572">
              <w:rPr>
                <w:szCs w:val="20"/>
              </w:rPr>
              <w:t>Total patient years of treatment</w:t>
            </w:r>
            <w:r w:rsidR="00644839" w:rsidRPr="000E6572">
              <w:rPr>
                <w:szCs w:val="20"/>
                <w:vertAlign w:val="superscript"/>
              </w:rPr>
              <w:t>a</w:t>
            </w:r>
          </w:p>
        </w:tc>
        <w:tc>
          <w:tcPr>
            <w:tcW w:w="647" w:type="pct"/>
            <w:shd w:val="clear" w:color="auto" w:fill="auto"/>
            <w:vAlign w:val="center"/>
          </w:tcPr>
          <w:p w14:paraId="6260AF7C" w14:textId="67E51287" w:rsidR="00AC36A2" w:rsidRPr="00334471" w:rsidRDefault="00EB4495" w:rsidP="00AC36A2">
            <w:pPr>
              <w:pStyle w:val="TableText0"/>
              <w:jc w:val="center"/>
              <w:rPr>
                <w:color w:val="000000"/>
                <w:szCs w:val="20"/>
                <w:highlight w:val="lightGray"/>
              </w:rPr>
            </w:pPr>
            <w:r w:rsidRPr="006F14E4">
              <w:rPr>
                <w:rFonts w:hint="eastAsia"/>
                <w:color w:val="000000"/>
                <w:w w:val="15"/>
                <w:szCs w:val="20"/>
                <w:shd w:val="solid" w:color="000000" w:fill="000000"/>
                <w:fitText w:val="50" w:id="-1435823610"/>
                <w14:textFill>
                  <w14:solidFill>
                    <w14:srgbClr w14:val="000000">
                      <w14:alpha w14:val="100000"/>
                    </w14:srgbClr>
                  </w14:solidFill>
                </w14:textFill>
              </w:rPr>
              <w:t xml:space="preserve">　</w:t>
            </w:r>
            <w:r w:rsidRPr="006F14E4">
              <w:rPr>
                <w:color w:val="000000"/>
                <w:w w:val="15"/>
                <w:szCs w:val="20"/>
                <w:shd w:val="solid" w:color="000000" w:fill="000000"/>
                <w:fitText w:val="50" w:id="-1435823610"/>
                <w14:textFill>
                  <w14:solidFill>
                    <w14:srgbClr w14:val="000000">
                      <w14:alpha w14:val="100000"/>
                    </w14:srgbClr>
                  </w14:solidFill>
                </w14:textFill>
              </w:rPr>
              <w:t>|</w:t>
            </w:r>
            <w:r w:rsidRPr="006F14E4">
              <w:rPr>
                <w:rFonts w:hint="eastAsia"/>
                <w:color w:val="000000"/>
                <w:spacing w:val="-15"/>
                <w:w w:val="15"/>
                <w:szCs w:val="20"/>
                <w:shd w:val="solid" w:color="000000" w:fill="000000"/>
                <w:fitText w:val="50" w:id="-1435823610"/>
                <w14:textFill>
                  <w14:solidFill>
                    <w14:srgbClr w14:val="000000">
                      <w14:alpha w14:val="100000"/>
                    </w14:srgbClr>
                  </w14:solidFill>
                </w14:textFill>
              </w:rPr>
              <w:t xml:space="preserve">　</w:t>
            </w:r>
            <w:r w:rsidRPr="00EB4495">
              <w:rPr>
                <w:color w:val="000000"/>
                <w:szCs w:val="20"/>
              </w:rPr>
              <w:t xml:space="preserve"> </w:t>
            </w:r>
            <w:r w:rsidR="00C32937" w:rsidRPr="00C32937">
              <w:rPr>
                <w:color w:val="000000"/>
                <w:szCs w:val="20"/>
                <w:vertAlign w:val="superscript"/>
              </w:rPr>
              <w:t>1</w:t>
            </w:r>
          </w:p>
        </w:tc>
        <w:tc>
          <w:tcPr>
            <w:tcW w:w="647" w:type="pct"/>
            <w:shd w:val="clear" w:color="auto" w:fill="auto"/>
            <w:vAlign w:val="center"/>
          </w:tcPr>
          <w:p w14:paraId="32391B83" w14:textId="01EC2584" w:rsidR="00AC36A2" w:rsidRPr="00334471" w:rsidRDefault="00EB4495" w:rsidP="00AC36A2">
            <w:pPr>
              <w:pStyle w:val="TableText0"/>
              <w:jc w:val="center"/>
              <w:rPr>
                <w:color w:val="000000"/>
                <w:szCs w:val="20"/>
                <w:highlight w:val="lightGray"/>
              </w:rPr>
            </w:pPr>
            <w:r w:rsidRPr="006F14E4">
              <w:rPr>
                <w:rFonts w:hint="eastAsia"/>
                <w:color w:val="000000"/>
                <w:w w:val="15"/>
                <w:szCs w:val="20"/>
                <w:shd w:val="solid" w:color="000000" w:fill="000000"/>
                <w:fitText w:val="50" w:id="-1435823609"/>
                <w14:textFill>
                  <w14:solidFill>
                    <w14:srgbClr w14:val="000000">
                      <w14:alpha w14:val="100000"/>
                    </w14:srgbClr>
                  </w14:solidFill>
                </w14:textFill>
              </w:rPr>
              <w:t xml:space="preserve">　</w:t>
            </w:r>
            <w:r w:rsidRPr="006F14E4">
              <w:rPr>
                <w:color w:val="000000"/>
                <w:w w:val="15"/>
                <w:szCs w:val="20"/>
                <w:shd w:val="solid" w:color="000000" w:fill="000000"/>
                <w:fitText w:val="50" w:id="-1435823609"/>
                <w14:textFill>
                  <w14:solidFill>
                    <w14:srgbClr w14:val="000000">
                      <w14:alpha w14:val="100000"/>
                    </w14:srgbClr>
                  </w14:solidFill>
                </w14:textFill>
              </w:rPr>
              <w:t>|</w:t>
            </w:r>
            <w:r w:rsidRPr="006F14E4">
              <w:rPr>
                <w:rFonts w:hint="eastAsia"/>
                <w:color w:val="000000"/>
                <w:spacing w:val="-15"/>
                <w:w w:val="15"/>
                <w:szCs w:val="20"/>
                <w:shd w:val="solid" w:color="000000" w:fill="000000"/>
                <w:fitText w:val="50" w:id="-1435823609"/>
                <w14:textFill>
                  <w14:solidFill>
                    <w14:srgbClr w14:val="000000">
                      <w14:alpha w14:val="100000"/>
                    </w14:srgbClr>
                  </w14:solidFill>
                </w14:textFill>
              </w:rPr>
              <w:t xml:space="preserve">　</w:t>
            </w:r>
            <w:r w:rsidRPr="00EB4495">
              <w:rPr>
                <w:color w:val="000000"/>
                <w:szCs w:val="20"/>
              </w:rPr>
              <w:t xml:space="preserve"> </w:t>
            </w:r>
            <w:r w:rsidR="00C32937" w:rsidRPr="00C32937">
              <w:rPr>
                <w:color w:val="000000"/>
                <w:szCs w:val="20"/>
                <w:vertAlign w:val="superscript"/>
              </w:rPr>
              <w:t>1</w:t>
            </w:r>
          </w:p>
        </w:tc>
        <w:tc>
          <w:tcPr>
            <w:tcW w:w="647" w:type="pct"/>
            <w:shd w:val="clear" w:color="auto" w:fill="auto"/>
            <w:vAlign w:val="center"/>
          </w:tcPr>
          <w:p w14:paraId="53E146E8" w14:textId="0338AF7B" w:rsidR="00AC36A2" w:rsidRPr="00334471" w:rsidRDefault="00EB4495" w:rsidP="00AC36A2">
            <w:pPr>
              <w:pStyle w:val="TableText0"/>
              <w:jc w:val="center"/>
              <w:rPr>
                <w:color w:val="000000"/>
                <w:szCs w:val="20"/>
                <w:highlight w:val="lightGray"/>
              </w:rPr>
            </w:pPr>
            <w:r w:rsidRPr="006F14E4">
              <w:rPr>
                <w:rFonts w:hint="eastAsia"/>
                <w:color w:val="000000"/>
                <w:w w:val="15"/>
                <w:szCs w:val="20"/>
                <w:shd w:val="solid" w:color="000000" w:fill="000000"/>
                <w:fitText w:val="50" w:id="-1435823608"/>
                <w14:textFill>
                  <w14:solidFill>
                    <w14:srgbClr w14:val="000000">
                      <w14:alpha w14:val="100000"/>
                    </w14:srgbClr>
                  </w14:solidFill>
                </w14:textFill>
              </w:rPr>
              <w:t xml:space="preserve">　</w:t>
            </w:r>
            <w:r w:rsidRPr="006F14E4">
              <w:rPr>
                <w:color w:val="000000"/>
                <w:w w:val="15"/>
                <w:szCs w:val="20"/>
                <w:shd w:val="solid" w:color="000000" w:fill="000000"/>
                <w:fitText w:val="50" w:id="-1435823608"/>
                <w14:textFill>
                  <w14:solidFill>
                    <w14:srgbClr w14:val="000000">
                      <w14:alpha w14:val="100000"/>
                    </w14:srgbClr>
                  </w14:solidFill>
                </w14:textFill>
              </w:rPr>
              <w:t>|</w:t>
            </w:r>
            <w:r w:rsidRPr="006F14E4">
              <w:rPr>
                <w:rFonts w:hint="eastAsia"/>
                <w:color w:val="000000"/>
                <w:spacing w:val="-15"/>
                <w:w w:val="15"/>
                <w:szCs w:val="20"/>
                <w:shd w:val="solid" w:color="000000" w:fill="000000"/>
                <w:fitText w:val="50" w:id="-1435823608"/>
                <w14:textFill>
                  <w14:solidFill>
                    <w14:srgbClr w14:val="000000">
                      <w14:alpha w14:val="100000"/>
                    </w14:srgbClr>
                  </w14:solidFill>
                </w14:textFill>
              </w:rPr>
              <w:t xml:space="preserve">　</w:t>
            </w:r>
            <w:r w:rsidRPr="00EB4495">
              <w:rPr>
                <w:color w:val="000000"/>
                <w:szCs w:val="20"/>
              </w:rPr>
              <w:t xml:space="preserve"> </w:t>
            </w:r>
            <w:r w:rsidR="00C32937" w:rsidRPr="00C32937">
              <w:rPr>
                <w:color w:val="000000"/>
                <w:szCs w:val="20"/>
                <w:vertAlign w:val="superscript"/>
              </w:rPr>
              <w:t>1</w:t>
            </w:r>
          </w:p>
        </w:tc>
        <w:tc>
          <w:tcPr>
            <w:tcW w:w="647" w:type="pct"/>
            <w:shd w:val="clear" w:color="auto" w:fill="auto"/>
            <w:vAlign w:val="center"/>
          </w:tcPr>
          <w:p w14:paraId="046A15B7" w14:textId="6DBD1DAA" w:rsidR="00AC36A2" w:rsidRPr="00334471" w:rsidRDefault="00EB4495" w:rsidP="00AC36A2">
            <w:pPr>
              <w:pStyle w:val="TableText0"/>
              <w:jc w:val="center"/>
              <w:rPr>
                <w:color w:val="000000"/>
                <w:szCs w:val="20"/>
                <w:highlight w:val="lightGray"/>
              </w:rPr>
            </w:pPr>
            <w:r w:rsidRPr="006F14E4">
              <w:rPr>
                <w:rFonts w:hint="eastAsia"/>
                <w:color w:val="000000"/>
                <w:w w:val="15"/>
                <w:szCs w:val="20"/>
                <w:shd w:val="solid" w:color="000000" w:fill="000000"/>
                <w:fitText w:val="50" w:id="-1435823607"/>
                <w14:textFill>
                  <w14:solidFill>
                    <w14:srgbClr w14:val="000000">
                      <w14:alpha w14:val="100000"/>
                    </w14:srgbClr>
                  </w14:solidFill>
                </w14:textFill>
              </w:rPr>
              <w:t xml:space="preserve">　</w:t>
            </w:r>
            <w:r w:rsidRPr="006F14E4">
              <w:rPr>
                <w:color w:val="000000"/>
                <w:w w:val="15"/>
                <w:szCs w:val="20"/>
                <w:shd w:val="solid" w:color="000000" w:fill="000000"/>
                <w:fitText w:val="50" w:id="-1435823607"/>
                <w14:textFill>
                  <w14:solidFill>
                    <w14:srgbClr w14:val="000000">
                      <w14:alpha w14:val="100000"/>
                    </w14:srgbClr>
                  </w14:solidFill>
                </w14:textFill>
              </w:rPr>
              <w:t>|</w:t>
            </w:r>
            <w:r w:rsidRPr="006F14E4">
              <w:rPr>
                <w:rFonts w:hint="eastAsia"/>
                <w:color w:val="000000"/>
                <w:spacing w:val="-15"/>
                <w:w w:val="15"/>
                <w:szCs w:val="20"/>
                <w:shd w:val="solid" w:color="000000" w:fill="000000"/>
                <w:fitText w:val="50" w:id="-1435823607"/>
                <w14:textFill>
                  <w14:solidFill>
                    <w14:srgbClr w14:val="000000">
                      <w14:alpha w14:val="100000"/>
                    </w14:srgbClr>
                  </w14:solidFill>
                </w14:textFill>
              </w:rPr>
              <w:t xml:space="preserve">　</w:t>
            </w:r>
            <w:r w:rsidRPr="00EB4495">
              <w:rPr>
                <w:color w:val="000000"/>
                <w:szCs w:val="20"/>
              </w:rPr>
              <w:t xml:space="preserve"> </w:t>
            </w:r>
            <w:r w:rsidR="00C32937" w:rsidRPr="00C32937">
              <w:rPr>
                <w:color w:val="000000"/>
                <w:szCs w:val="20"/>
                <w:vertAlign w:val="superscript"/>
              </w:rPr>
              <w:t>1</w:t>
            </w:r>
          </w:p>
        </w:tc>
        <w:tc>
          <w:tcPr>
            <w:tcW w:w="647" w:type="pct"/>
            <w:shd w:val="clear" w:color="auto" w:fill="auto"/>
            <w:vAlign w:val="center"/>
          </w:tcPr>
          <w:p w14:paraId="74CFC260" w14:textId="3246120A" w:rsidR="00AC36A2" w:rsidRPr="00334471" w:rsidRDefault="00EB4495" w:rsidP="00AC36A2">
            <w:pPr>
              <w:pStyle w:val="TableText0"/>
              <w:jc w:val="center"/>
              <w:rPr>
                <w:color w:val="000000"/>
                <w:szCs w:val="20"/>
                <w:highlight w:val="lightGray"/>
              </w:rPr>
            </w:pPr>
            <w:r w:rsidRPr="00EB4495">
              <w:rPr>
                <w:rFonts w:hint="eastAsia"/>
                <w:color w:val="000000"/>
                <w:w w:val="15"/>
                <w:szCs w:val="20"/>
                <w:shd w:val="solid" w:color="000000" w:fill="000000"/>
                <w:fitText w:val="50" w:id="-1435823606"/>
                <w14:textFill>
                  <w14:solidFill>
                    <w14:srgbClr w14:val="000000">
                      <w14:alpha w14:val="100000"/>
                    </w14:srgbClr>
                  </w14:solidFill>
                </w14:textFill>
              </w:rPr>
              <w:t xml:space="preserve">　</w:t>
            </w:r>
            <w:r w:rsidRPr="00EB4495">
              <w:rPr>
                <w:color w:val="000000"/>
                <w:w w:val="15"/>
                <w:szCs w:val="20"/>
                <w:shd w:val="solid" w:color="000000" w:fill="000000"/>
                <w:fitText w:val="50" w:id="-1435823606"/>
                <w14:textFill>
                  <w14:solidFill>
                    <w14:srgbClr w14:val="000000">
                      <w14:alpha w14:val="100000"/>
                    </w14:srgbClr>
                  </w14:solidFill>
                </w14:textFill>
              </w:rPr>
              <w:t>|</w:t>
            </w:r>
            <w:r w:rsidRPr="00EB4495">
              <w:rPr>
                <w:rFonts w:hint="eastAsia"/>
                <w:color w:val="000000"/>
                <w:spacing w:val="-15"/>
                <w:w w:val="15"/>
                <w:szCs w:val="20"/>
                <w:shd w:val="solid" w:color="000000" w:fill="000000"/>
                <w:fitText w:val="50" w:id="-1435823606"/>
                <w14:textFill>
                  <w14:solidFill>
                    <w14:srgbClr w14:val="000000">
                      <w14:alpha w14:val="100000"/>
                    </w14:srgbClr>
                  </w14:solidFill>
                </w14:textFill>
              </w:rPr>
              <w:t xml:space="preserve">　</w:t>
            </w:r>
            <w:r w:rsidRPr="00EB4495">
              <w:rPr>
                <w:color w:val="000000"/>
                <w:szCs w:val="20"/>
              </w:rPr>
              <w:t xml:space="preserve"> </w:t>
            </w:r>
            <w:r w:rsidR="00C32937" w:rsidRPr="00C32937">
              <w:rPr>
                <w:color w:val="000000"/>
                <w:szCs w:val="20"/>
                <w:vertAlign w:val="superscript"/>
              </w:rPr>
              <w:t>1</w:t>
            </w:r>
          </w:p>
        </w:tc>
        <w:tc>
          <w:tcPr>
            <w:tcW w:w="649" w:type="pct"/>
            <w:vAlign w:val="center"/>
          </w:tcPr>
          <w:p w14:paraId="6160E638" w14:textId="65FDC3B7" w:rsidR="00AC36A2" w:rsidRPr="00334471" w:rsidRDefault="00EB4495" w:rsidP="00AC36A2">
            <w:pPr>
              <w:pStyle w:val="TableText0"/>
              <w:jc w:val="center"/>
              <w:rPr>
                <w:color w:val="000000"/>
                <w:szCs w:val="20"/>
                <w:highlight w:val="lightGray"/>
              </w:rPr>
            </w:pPr>
            <w:r w:rsidRPr="006F14E4">
              <w:rPr>
                <w:rFonts w:hint="eastAsia"/>
                <w:color w:val="000000"/>
                <w:w w:val="15"/>
                <w:szCs w:val="20"/>
                <w:shd w:val="solid" w:color="000000" w:fill="000000"/>
                <w:fitText w:val="37" w:id="-1435823605"/>
                <w14:textFill>
                  <w14:solidFill>
                    <w14:srgbClr w14:val="000000">
                      <w14:alpha w14:val="100000"/>
                    </w14:srgbClr>
                  </w14:solidFill>
                </w14:textFill>
              </w:rPr>
              <w:t xml:space="preserve">　</w:t>
            </w:r>
            <w:r w:rsidRPr="006F14E4">
              <w:rPr>
                <w:color w:val="000000"/>
                <w:w w:val="15"/>
                <w:szCs w:val="20"/>
                <w:shd w:val="solid" w:color="000000" w:fill="000000"/>
                <w:fitText w:val="37" w:id="-1435823605"/>
                <w14:textFill>
                  <w14:solidFill>
                    <w14:srgbClr w14:val="000000">
                      <w14:alpha w14:val="100000"/>
                    </w14:srgbClr>
                  </w14:solidFill>
                </w14:textFill>
              </w:rPr>
              <w:t>|</w:t>
            </w:r>
            <w:r w:rsidRPr="006F14E4">
              <w:rPr>
                <w:rFonts w:hint="eastAsia"/>
                <w:color w:val="000000"/>
                <w:spacing w:val="-28"/>
                <w:w w:val="15"/>
                <w:szCs w:val="20"/>
                <w:shd w:val="solid" w:color="000000" w:fill="000000"/>
                <w:fitText w:val="37" w:id="-1435823605"/>
                <w14:textFill>
                  <w14:solidFill>
                    <w14:srgbClr w14:val="000000">
                      <w14:alpha w14:val="100000"/>
                    </w14:srgbClr>
                  </w14:solidFill>
                </w14:textFill>
              </w:rPr>
              <w:t xml:space="preserve">　</w:t>
            </w:r>
            <w:r w:rsidRPr="00EB4495">
              <w:rPr>
                <w:color w:val="000000"/>
                <w:szCs w:val="20"/>
              </w:rPr>
              <w:t xml:space="preserve"> </w:t>
            </w:r>
            <w:r w:rsidR="00C32937" w:rsidRPr="00C32937">
              <w:rPr>
                <w:color w:val="000000"/>
                <w:szCs w:val="20"/>
                <w:vertAlign w:val="superscript"/>
              </w:rPr>
              <w:t>1</w:t>
            </w:r>
          </w:p>
        </w:tc>
      </w:tr>
      <w:tr w:rsidR="00AC36A2" w:rsidRPr="000E6572" w14:paraId="2FA67F3E" w14:textId="0CB278A7" w:rsidTr="00AC36A2">
        <w:tc>
          <w:tcPr>
            <w:tcW w:w="1116" w:type="pct"/>
            <w:shd w:val="clear" w:color="auto" w:fill="auto"/>
            <w:vAlign w:val="center"/>
          </w:tcPr>
          <w:p w14:paraId="31973C1C" w14:textId="330BCF7D" w:rsidR="00AC36A2" w:rsidRPr="000E6572" w:rsidRDefault="00AC36A2" w:rsidP="00AC36A2">
            <w:pPr>
              <w:pStyle w:val="TableText0"/>
              <w:rPr>
                <w:rFonts w:ascii="Times" w:hAnsi="Times"/>
                <w:szCs w:val="20"/>
              </w:rPr>
            </w:pPr>
            <w:r w:rsidRPr="000E6572">
              <w:rPr>
                <w:szCs w:val="20"/>
              </w:rPr>
              <w:t xml:space="preserve">Number of </w:t>
            </w:r>
            <w:r w:rsidR="00E135CE" w:rsidRPr="000E6572">
              <w:rPr>
                <w:szCs w:val="20"/>
              </w:rPr>
              <w:t>prescriptions</w:t>
            </w:r>
            <w:r w:rsidRPr="000E6572">
              <w:rPr>
                <w:szCs w:val="20"/>
              </w:rPr>
              <w:t xml:space="preserve"> dispensed</w:t>
            </w:r>
            <w:r w:rsidR="00644839" w:rsidRPr="000E6572">
              <w:rPr>
                <w:szCs w:val="20"/>
                <w:vertAlign w:val="superscript"/>
              </w:rPr>
              <w:t>b</w:t>
            </w:r>
          </w:p>
        </w:tc>
        <w:tc>
          <w:tcPr>
            <w:tcW w:w="647" w:type="pct"/>
            <w:shd w:val="clear" w:color="auto" w:fill="auto"/>
            <w:vAlign w:val="center"/>
          </w:tcPr>
          <w:p w14:paraId="11E9CF9F" w14:textId="01F78474" w:rsidR="00AC36A2" w:rsidRPr="00C32937" w:rsidRDefault="00EB4495" w:rsidP="00AC36A2">
            <w:pPr>
              <w:pStyle w:val="TableText0"/>
              <w:jc w:val="center"/>
              <w:rPr>
                <w:color w:val="000000"/>
                <w:szCs w:val="20"/>
                <w:highlight w:val="lightGray"/>
                <w:vertAlign w:val="superscript"/>
              </w:rPr>
            </w:pPr>
            <w:r w:rsidRPr="006F14E4">
              <w:rPr>
                <w:rFonts w:hint="eastAsia"/>
                <w:color w:val="000000"/>
                <w:w w:val="15"/>
                <w:szCs w:val="20"/>
                <w:shd w:val="solid" w:color="000000" w:fill="000000"/>
                <w:fitText w:val="50" w:id="-1435823604"/>
                <w14:textFill>
                  <w14:solidFill>
                    <w14:srgbClr w14:val="000000">
                      <w14:alpha w14:val="100000"/>
                    </w14:srgbClr>
                  </w14:solidFill>
                </w14:textFill>
              </w:rPr>
              <w:t xml:space="preserve">　</w:t>
            </w:r>
            <w:r w:rsidRPr="006F14E4">
              <w:rPr>
                <w:color w:val="000000"/>
                <w:w w:val="15"/>
                <w:szCs w:val="20"/>
                <w:shd w:val="solid" w:color="000000" w:fill="000000"/>
                <w:fitText w:val="50" w:id="-1435823604"/>
                <w14:textFill>
                  <w14:solidFill>
                    <w14:srgbClr w14:val="000000">
                      <w14:alpha w14:val="100000"/>
                    </w14:srgbClr>
                  </w14:solidFill>
                </w14:textFill>
              </w:rPr>
              <w:t>|</w:t>
            </w:r>
            <w:r w:rsidRPr="006F14E4">
              <w:rPr>
                <w:rFonts w:hint="eastAsia"/>
                <w:color w:val="000000"/>
                <w:spacing w:val="-15"/>
                <w:w w:val="15"/>
                <w:szCs w:val="20"/>
                <w:shd w:val="solid" w:color="000000" w:fill="000000"/>
                <w:fitText w:val="50" w:id="-1435823604"/>
                <w14:textFill>
                  <w14:solidFill>
                    <w14:srgbClr w14:val="000000">
                      <w14:alpha w14:val="100000"/>
                    </w14:srgbClr>
                  </w14:solidFill>
                </w14:textFill>
              </w:rPr>
              <w:t xml:space="preserve">　</w:t>
            </w:r>
            <w:r w:rsidRPr="00EB4495">
              <w:rPr>
                <w:color w:val="000000"/>
                <w:szCs w:val="20"/>
              </w:rPr>
              <w:t xml:space="preserve"> </w:t>
            </w:r>
            <w:r w:rsidR="00C32937" w:rsidRPr="00C32937">
              <w:rPr>
                <w:color w:val="000000"/>
                <w:szCs w:val="20"/>
                <w:vertAlign w:val="superscript"/>
              </w:rPr>
              <w:t>2</w:t>
            </w:r>
          </w:p>
        </w:tc>
        <w:tc>
          <w:tcPr>
            <w:tcW w:w="647" w:type="pct"/>
            <w:shd w:val="clear" w:color="auto" w:fill="auto"/>
            <w:vAlign w:val="center"/>
          </w:tcPr>
          <w:p w14:paraId="51CECB3F" w14:textId="62A58155" w:rsidR="00AC36A2" w:rsidRPr="00334471" w:rsidRDefault="00EB4495" w:rsidP="00AC36A2">
            <w:pPr>
              <w:pStyle w:val="TableText0"/>
              <w:jc w:val="center"/>
              <w:rPr>
                <w:color w:val="000000"/>
                <w:szCs w:val="20"/>
                <w:highlight w:val="lightGray"/>
              </w:rPr>
            </w:pPr>
            <w:r w:rsidRPr="00EB4495">
              <w:rPr>
                <w:rFonts w:hint="eastAsia"/>
                <w:color w:val="000000"/>
                <w:w w:val="15"/>
                <w:szCs w:val="20"/>
                <w:shd w:val="solid" w:color="000000" w:fill="000000"/>
                <w:fitText w:val="50" w:id="-1435823603"/>
                <w14:textFill>
                  <w14:solidFill>
                    <w14:srgbClr w14:val="000000">
                      <w14:alpha w14:val="100000"/>
                    </w14:srgbClr>
                  </w14:solidFill>
                </w14:textFill>
              </w:rPr>
              <w:t xml:space="preserve">　</w:t>
            </w:r>
            <w:r w:rsidRPr="00EB4495">
              <w:rPr>
                <w:color w:val="000000"/>
                <w:w w:val="15"/>
                <w:szCs w:val="20"/>
                <w:shd w:val="solid" w:color="000000" w:fill="000000"/>
                <w:fitText w:val="50" w:id="-1435823603"/>
                <w14:textFill>
                  <w14:solidFill>
                    <w14:srgbClr w14:val="000000">
                      <w14:alpha w14:val="100000"/>
                    </w14:srgbClr>
                  </w14:solidFill>
                </w14:textFill>
              </w:rPr>
              <w:t>|</w:t>
            </w:r>
            <w:r w:rsidRPr="00EB4495">
              <w:rPr>
                <w:rFonts w:hint="eastAsia"/>
                <w:color w:val="000000"/>
                <w:spacing w:val="-15"/>
                <w:w w:val="15"/>
                <w:szCs w:val="20"/>
                <w:shd w:val="solid" w:color="000000" w:fill="000000"/>
                <w:fitText w:val="50" w:id="-1435823603"/>
                <w14:textFill>
                  <w14:solidFill>
                    <w14:srgbClr w14:val="000000">
                      <w14:alpha w14:val="100000"/>
                    </w14:srgbClr>
                  </w14:solidFill>
                </w14:textFill>
              </w:rPr>
              <w:t xml:space="preserve">　</w:t>
            </w:r>
            <w:r w:rsidRPr="00EB4495">
              <w:rPr>
                <w:color w:val="000000"/>
                <w:szCs w:val="20"/>
              </w:rPr>
              <w:t xml:space="preserve"> </w:t>
            </w:r>
            <w:r w:rsidR="00C32937" w:rsidRPr="00C32937">
              <w:rPr>
                <w:color w:val="000000"/>
                <w:szCs w:val="20"/>
                <w:vertAlign w:val="superscript"/>
              </w:rPr>
              <w:t>2</w:t>
            </w:r>
          </w:p>
        </w:tc>
        <w:tc>
          <w:tcPr>
            <w:tcW w:w="647" w:type="pct"/>
            <w:shd w:val="clear" w:color="auto" w:fill="auto"/>
            <w:vAlign w:val="center"/>
          </w:tcPr>
          <w:p w14:paraId="05580A7B" w14:textId="313D6B66" w:rsidR="00AC36A2" w:rsidRPr="00334471" w:rsidRDefault="00EB4495" w:rsidP="00AC36A2">
            <w:pPr>
              <w:pStyle w:val="TableText0"/>
              <w:jc w:val="center"/>
              <w:rPr>
                <w:color w:val="000000"/>
                <w:szCs w:val="20"/>
                <w:highlight w:val="lightGray"/>
              </w:rPr>
            </w:pPr>
            <w:r w:rsidRPr="00EB4495">
              <w:rPr>
                <w:rFonts w:hint="eastAsia"/>
                <w:color w:val="000000"/>
                <w:w w:val="15"/>
                <w:szCs w:val="20"/>
                <w:shd w:val="solid" w:color="000000" w:fill="000000"/>
                <w:fitText w:val="50" w:id="-1435823602"/>
                <w14:textFill>
                  <w14:solidFill>
                    <w14:srgbClr w14:val="000000">
                      <w14:alpha w14:val="100000"/>
                    </w14:srgbClr>
                  </w14:solidFill>
                </w14:textFill>
              </w:rPr>
              <w:t xml:space="preserve">　</w:t>
            </w:r>
            <w:r w:rsidRPr="00EB4495">
              <w:rPr>
                <w:color w:val="000000"/>
                <w:w w:val="15"/>
                <w:szCs w:val="20"/>
                <w:shd w:val="solid" w:color="000000" w:fill="000000"/>
                <w:fitText w:val="50" w:id="-1435823602"/>
                <w14:textFill>
                  <w14:solidFill>
                    <w14:srgbClr w14:val="000000">
                      <w14:alpha w14:val="100000"/>
                    </w14:srgbClr>
                  </w14:solidFill>
                </w14:textFill>
              </w:rPr>
              <w:t>|</w:t>
            </w:r>
            <w:r w:rsidRPr="00EB4495">
              <w:rPr>
                <w:rFonts w:hint="eastAsia"/>
                <w:color w:val="000000"/>
                <w:spacing w:val="-15"/>
                <w:w w:val="15"/>
                <w:szCs w:val="20"/>
                <w:shd w:val="solid" w:color="000000" w:fill="000000"/>
                <w:fitText w:val="50" w:id="-1435823602"/>
                <w14:textFill>
                  <w14:solidFill>
                    <w14:srgbClr w14:val="000000">
                      <w14:alpha w14:val="100000"/>
                    </w14:srgbClr>
                  </w14:solidFill>
                </w14:textFill>
              </w:rPr>
              <w:t xml:space="preserve">　</w:t>
            </w:r>
            <w:r w:rsidRPr="00EB4495">
              <w:rPr>
                <w:color w:val="000000"/>
                <w:szCs w:val="20"/>
              </w:rPr>
              <w:t xml:space="preserve"> </w:t>
            </w:r>
            <w:r w:rsidR="00C32937" w:rsidRPr="00C32937">
              <w:rPr>
                <w:color w:val="000000"/>
                <w:szCs w:val="20"/>
                <w:vertAlign w:val="superscript"/>
              </w:rPr>
              <w:t>2</w:t>
            </w:r>
          </w:p>
        </w:tc>
        <w:tc>
          <w:tcPr>
            <w:tcW w:w="647" w:type="pct"/>
            <w:shd w:val="clear" w:color="auto" w:fill="auto"/>
            <w:vAlign w:val="center"/>
          </w:tcPr>
          <w:p w14:paraId="1D96B4F4" w14:textId="70123B40" w:rsidR="00AC36A2" w:rsidRPr="00C32937" w:rsidRDefault="00EB4495" w:rsidP="00AC36A2">
            <w:pPr>
              <w:pStyle w:val="TableText0"/>
              <w:jc w:val="center"/>
              <w:rPr>
                <w:color w:val="000000"/>
                <w:szCs w:val="20"/>
                <w:highlight w:val="lightGray"/>
              </w:rPr>
            </w:pPr>
            <w:r w:rsidRPr="00EB4495">
              <w:rPr>
                <w:rFonts w:hint="eastAsia"/>
                <w:color w:val="000000"/>
                <w:w w:val="15"/>
                <w:szCs w:val="20"/>
                <w:shd w:val="solid" w:color="000000" w:fill="000000"/>
                <w:fitText w:val="50" w:id="-1435823601"/>
                <w14:textFill>
                  <w14:solidFill>
                    <w14:srgbClr w14:val="000000">
                      <w14:alpha w14:val="100000"/>
                    </w14:srgbClr>
                  </w14:solidFill>
                </w14:textFill>
              </w:rPr>
              <w:t xml:space="preserve">　</w:t>
            </w:r>
            <w:r w:rsidRPr="00EB4495">
              <w:rPr>
                <w:color w:val="000000"/>
                <w:w w:val="15"/>
                <w:szCs w:val="20"/>
                <w:shd w:val="solid" w:color="000000" w:fill="000000"/>
                <w:fitText w:val="50" w:id="-1435823601"/>
                <w14:textFill>
                  <w14:solidFill>
                    <w14:srgbClr w14:val="000000">
                      <w14:alpha w14:val="100000"/>
                    </w14:srgbClr>
                  </w14:solidFill>
                </w14:textFill>
              </w:rPr>
              <w:t>|</w:t>
            </w:r>
            <w:r w:rsidRPr="00EB4495">
              <w:rPr>
                <w:rFonts w:hint="eastAsia"/>
                <w:color w:val="000000"/>
                <w:spacing w:val="-15"/>
                <w:w w:val="15"/>
                <w:szCs w:val="20"/>
                <w:shd w:val="solid" w:color="000000" w:fill="000000"/>
                <w:fitText w:val="50" w:id="-1435823601"/>
                <w14:textFill>
                  <w14:solidFill>
                    <w14:srgbClr w14:val="000000">
                      <w14:alpha w14:val="100000"/>
                    </w14:srgbClr>
                  </w14:solidFill>
                </w14:textFill>
              </w:rPr>
              <w:t xml:space="preserve">　</w:t>
            </w:r>
            <w:r w:rsidRPr="00EB4495">
              <w:rPr>
                <w:color w:val="000000"/>
                <w:szCs w:val="20"/>
              </w:rPr>
              <w:t xml:space="preserve"> </w:t>
            </w:r>
            <w:r w:rsidR="00C32937" w:rsidRPr="00C32937">
              <w:rPr>
                <w:color w:val="000000"/>
                <w:szCs w:val="20"/>
                <w:vertAlign w:val="superscript"/>
              </w:rPr>
              <w:t>3</w:t>
            </w:r>
          </w:p>
        </w:tc>
        <w:tc>
          <w:tcPr>
            <w:tcW w:w="647" w:type="pct"/>
            <w:shd w:val="clear" w:color="auto" w:fill="auto"/>
            <w:vAlign w:val="center"/>
          </w:tcPr>
          <w:p w14:paraId="39A8A4D2" w14:textId="014BD6B8" w:rsidR="00AC36A2" w:rsidRPr="00334471" w:rsidRDefault="00EB4495" w:rsidP="00AC36A2">
            <w:pPr>
              <w:pStyle w:val="TableText0"/>
              <w:jc w:val="center"/>
              <w:rPr>
                <w:color w:val="000000"/>
                <w:szCs w:val="20"/>
                <w:highlight w:val="lightGray"/>
              </w:rPr>
            </w:pPr>
            <w:r w:rsidRPr="00EB4495">
              <w:rPr>
                <w:rFonts w:hint="eastAsia"/>
                <w:color w:val="000000"/>
                <w:w w:val="15"/>
                <w:szCs w:val="20"/>
                <w:shd w:val="solid" w:color="000000" w:fill="000000"/>
                <w:fitText w:val="50" w:id="-1435823600"/>
                <w14:textFill>
                  <w14:solidFill>
                    <w14:srgbClr w14:val="000000">
                      <w14:alpha w14:val="100000"/>
                    </w14:srgbClr>
                  </w14:solidFill>
                </w14:textFill>
              </w:rPr>
              <w:t xml:space="preserve">　</w:t>
            </w:r>
            <w:r w:rsidRPr="00EB4495">
              <w:rPr>
                <w:color w:val="000000"/>
                <w:w w:val="15"/>
                <w:szCs w:val="20"/>
                <w:shd w:val="solid" w:color="000000" w:fill="000000"/>
                <w:fitText w:val="50" w:id="-1435823600"/>
                <w14:textFill>
                  <w14:solidFill>
                    <w14:srgbClr w14:val="000000">
                      <w14:alpha w14:val="100000"/>
                    </w14:srgbClr>
                  </w14:solidFill>
                </w14:textFill>
              </w:rPr>
              <w:t>|</w:t>
            </w:r>
            <w:r w:rsidRPr="00EB4495">
              <w:rPr>
                <w:rFonts w:hint="eastAsia"/>
                <w:color w:val="000000"/>
                <w:spacing w:val="-15"/>
                <w:w w:val="15"/>
                <w:szCs w:val="20"/>
                <w:shd w:val="solid" w:color="000000" w:fill="000000"/>
                <w:fitText w:val="50" w:id="-1435823600"/>
                <w14:textFill>
                  <w14:solidFill>
                    <w14:srgbClr w14:val="000000">
                      <w14:alpha w14:val="100000"/>
                    </w14:srgbClr>
                  </w14:solidFill>
                </w14:textFill>
              </w:rPr>
              <w:t xml:space="preserve">　</w:t>
            </w:r>
            <w:r w:rsidRPr="00EB4495">
              <w:rPr>
                <w:color w:val="000000"/>
                <w:szCs w:val="20"/>
              </w:rPr>
              <w:t xml:space="preserve"> </w:t>
            </w:r>
            <w:r w:rsidR="00C32937" w:rsidRPr="00C32937">
              <w:rPr>
                <w:color w:val="000000"/>
                <w:szCs w:val="20"/>
                <w:vertAlign w:val="superscript"/>
              </w:rPr>
              <w:t>3</w:t>
            </w:r>
          </w:p>
        </w:tc>
        <w:tc>
          <w:tcPr>
            <w:tcW w:w="649" w:type="pct"/>
            <w:vAlign w:val="center"/>
          </w:tcPr>
          <w:p w14:paraId="15C7DE43" w14:textId="34494106" w:rsidR="00AC36A2" w:rsidRPr="00334471" w:rsidRDefault="00EB4495" w:rsidP="00AC36A2">
            <w:pPr>
              <w:pStyle w:val="TableText0"/>
              <w:jc w:val="center"/>
              <w:rPr>
                <w:color w:val="000000"/>
                <w:szCs w:val="20"/>
                <w:highlight w:val="lightGray"/>
              </w:rPr>
            </w:pPr>
            <w:r w:rsidRPr="006F14E4">
              <w:rPr>
                <w:rFonts w:hint="eastAsia"/>
                <w:color w:val="000000"/>
                <w:w w:val="15"/>
                <w:szCs w:val="20"/>
                <w:shd w:val="solid" w:color="000000" w:fill="000000"/>
                <w:fitText w:val="37" w:id="-1435823616"/>
                <w14:textFill>
                  <w14:solidFill>
                    <w14:srgbClr w14:val="000000">
                      <w14:alpha w14:val="100000"/>
                    </w14:srgbClr>
                  </w14:solidFill>
                </w14:textFill>
              </w:rPr>
              <w:t xml:space="preserve">　</w:t>
            </w:r>
            <w:r w:rsidRPr="006F14E4">
              <w:rPr>
                <w:color w:val="000000"/>
                <w:w w:val="15"/>
                <w:szCs w:val="20"/>
                <w:shd w:val="solid" w:color="000000" w:fill="000000"/>
                <w:fitText w:val="37" w:id="-1435823616"/>
                <w14:textFill>
                  <w14:solidFill>
                    <w14:srgbClr w14:val="000000">
                      <w14:alpha w14:val="100000"/>
                    </w14:srgbClr>
                  </w14:solidFill>
                </w14:textFill>
              </w:rPr>
              <w:t>|</w:t>
            </w:r>
            <w:r w:rsidRPr="006F14E4">
              <w:rPr>
                <w:rFonts w:hint="eastAsia"/>
                <w:color w:val="000000"/>
                <w:spacing w:val="-28"/>
                <w:w w:val="15"/>
                <w:szCs w:val="20"/>
                <w:shd w:val="solid" w:color="000000" w:fill="000000"/>
                <w:fitText w:val="37" w:id="-1435823616"/>
                <w14:textFill>
                  <w14:solidFill>
                    <w14:srgbClr w14:val="000000">
                      <w14:alpha w14:val="100000"/>
                    </w14:srgbClr>
                  </w14:solidFill>
                </w14:textFill>
              </w:rPr>
              <w:t xml:space="preserve">　</w:t>
            </w:r>
            <w:r w:rsidRPr="00EB4495">
              <w:rPr>
                <w:color w:val="000000"/>
                <w:szCs w:val="20"/>
              </w:rPr>
              <w:t xml:space="preserve"> </w:t>
            </w:r>
            <w:r w:rsidR="00C32937" w:rsidRPr="00C32937">
              <w:rPr>
                <w:color w:val="000000"/>
                <w:szCs w:val="20"/>
                <w:vertAlign w:val="superscript"/>
              </w:rPr>
              <w:t>3</w:t>
            </w:r>
          </w:p>
        </w:tc>
      </w:tr>
      <w:tr w:rsidR="00AC36A2" w:rsidRPr="000E6572" w14:paraId="4DC49CF4" w14:textId="4034F99C" w:rsidTr="00AC36A2">
        <w:tc>
          <w:tcPr>
            <w:tcW w:w="5000" w:type="pct"/>
            <w:gridSpan w:val="7"/>
            <w:shd w:val="clear" w:color="auto" w:fill="auto"/>
            <w:vAlign w:val="center"/>
          </w:tcPr>
          <w:p w14:paraId="216C2B44" w14:textId="35CDBCD4" w:rsidR="00AC36A2" w:rsidRPr="000E6572" w:rsidRDefault="00AC36A2" w:rsidP="00AC36A2">
            <w:pPr>
              <w:pStyle w:val="In-tableHeading"/>
              <w:rPr>
                <w:szCs w:val="20"/>
              </w:rPr>
            </w:pPr>
            <w:r w:rsidRPr="000E6572">
              <w:rPr>
                <w:szCs w:val="20"/>
              </w:rPr>
              <w:t>Estimated financial implications of oral azacitidine</w:t>
            </w:r>
            <w:r w:rsidR="00CA21DB" w:rsidRPr="000E6572">
              <w:rPr>
                <w:szCs w:val="20"/>
              </w:rPr>
              <w:t xml:space="preserve"> as per submission</w:t>
            </w:r>
          </w:p>
        </w:tc>
      </w:tr>
      <w:tr w:rsidR="00AC36A2" w:rsidRPr="000E6572" w14:paraId="0F22DECF" w14:textId="5FB8E609" w:rsidTr="00AC36A2">
        <w:tc>
          <w:tcPr>
            <w:tcW w:w="1116" w:type="pct"/>
            <w:shd w:val="clear" w:color="auto" w:fill="auto"/>
            <w:vAlign w:val="center"/>
          </w:tcPr>
          <w:p w14:paraId="0AC620E6" w14:textId="35088888" w:rsidR="00AC36A2" w:rsidRPr="000E6572" w:rsidRDefault="00E135CE" w:rsidP="00AC36A2">
            <w:pPr>
              <w:pStyle w:val="TableText0"/>
              <w:rPr>
                <w:b/>
                <w:bCs w:val="0"/>
                <w:szCs w:val="20"/>
              </w:rPr>
            </w:pPr>
            <w:r w:rsidRPr="000E6572">
              <w:rPr>
                <w:b/>
                <w:bCs w:val="0"/>
                <w:szCs w:val="20"/>
              </w:rPr>
              <w:t>Net c</w:t>
            </w:r>
            <w:r w:rsidR="00AC36A2" w:rsidRPr="000E6572">
              <w:rPr>
                <w:b/>
                <w:bCs w:val="0"/>
                <w:szCs w:val="20"/>
              </w:rPr>
              <w:t xml:space="preserve">ost to PBS/RPBS </w:t>
            </w:r>
            <w:r w:rsidRPr="000E6572">
              <w:rPr>
                <w:b/>
                <w:bCs w:val="0"/>
                <w:szCs w:val="20"/>
              </w:rPr>
              <w:t>(</w:t>
            </w:r>
            <w:r w:rsidR="00AC36A2" w:rsidRPr="000E6572">
              <w:rPr>
                <w:b/>
                <w:bCs w:val="0"/>
                <w:szCs w:val="20"/>
              </w:rPr>
              <w:t>less copayments</w:t>
            </w:r>
            <w:r w:rsidRPr="000E6572">
              <w:rPr>
                <w:b/>
                <w:bCs w:val="0"/>
                <w:szCs w:val="20"/>
              </w:rPr>
              <w:t>)</w:t>
            </w:r>
            <w:r w:rsidR="00334471">
              <w:rPr>
                <w:b/>
                <w:bCs w:val="0"/>
                <w:szCs w:val="20"/>
              </w:rPr>
              <w:t xml:space="preserve"> ($)</w:t>
            </w:r>
          </w:p>
        </w:tc>
        <w:tc>
          <w:tcPr>
            <w:tcW w:w="647" w:type="pct"/>
            <w:shd w:val="clear" w:color="auto" w:fill="auto"/>
            <w:vAlign w:val="center"/>
          </w:tcPr>
          <w:p w14:paraId="6DE8CC60" w14:textId="5F511790" w:rsidR="00AC36A2" w:rsidRPr="00C32937" w:rsidRDefault="00EB4495" w:rsidP="00AC36A2">
            <w:pPr>
              <w:pStyle w:val="TableText0"/>
              <w:jc w:val="center"/>
              <w:rPr>
                <w:b/>
                <w:bCs w:val="0"/>
                <w:szCs w:val="20"/>
                <w:highlight w:val="lightGray"/>
              </w:rPr>
            </w:pPr>
            <w:r w:rsidRPr="00EB4495">
              <w:rPr>
                <w:rFonts w:hint="eastAsia"/>
                <w:b/>
                <w:bCs w:val="0"/>
                <w:color w:val="000000" w:themeColor="text1"/>
                <w:w w:val="15"/>
                <w:szCs w:val="20"/>
                <w:shd w:val="solid" w:color="000000" w:fill="000000"/>
                <w:fitText w:val="63" w:id="-1435823615"/>
                <w14:textFill>
                  <w14:solidFill>
                    <w14:schemeClr w14:val="tx1">
                      <w14:alpha w14:val="100000"/>
                    </w14:schemeClr>
                  </w14:solidFill>
                </w14:textFill>
              </w:rPr>
              <w:t xml:space="preserve">　</w:t>
            </w:r>
            <w:r w:rsidRPr="00EB4495">
              <w:rPr>
                <w:b/>
                <w:bCs w:val="0"/>
                <w:color w:val="000000" w:themeColor="text1"/>
                <w:w w:val="15"/>
                <w:szCs w:val="20"/>
                <w:shd w:val="solid" w:color="000000" w:fill="000000"/>
                <w:fitText w:val="63" w:id="-1435823615"/>
                <w14:textFill>
                  <w14:solidFill>
                    <w14:schemeClr w14:val="tx1">
                      <w14:alpha w14:val="100000"/>
                    </w14:schemeClr>
                  </w14:solidFill>
                </w14:textFill>
              </w:rPr>
              <w:t>|</w:t>
            </w:r>
            <w:r w:rsidRPr="00EB4495">
              <w:rPr>
                <w:rFonts w:hint="eastAsia"/>
                <w:b/>
                <w:bCs w:val="0"/>
                <w:color w:val="000000" w:themeColor="text1"/>
                <w:spacing w:val="-3"/>
                <w:w w:val="15"/>
                <w:szCs w:val="20"/>
                <w:shd w:val="solid" w:color="000000" w:fill="000000"/>
                <w:fitText w:val="63" w:id="-1435823615"/>
                <w14:textFill>
                  <w14:solidFill>
                    <w14:schemeClr w14:val="tx1">
                      <w14:alpha w14:val="100000"/>
                    </w14:schemeClr>
                  </w14:solidFill>
                </w14:textFill>
              </w:rPr>
              <w:t xml:space="preserve">　</w:t>
            </w:r>
            <w:r w:rsidR="00C32937" w:rsidRPr="00C32937">
              <w:rPr>
                <w:b/>
                <w:bCs w:val="0"/>
                <w:color w:val="000000" w:themeColor="text1"/>
                <w:szCs w:val="20"/>
                <w:vertAlign w:val="superscript"/>
              </w:rPr>
              <w:t>4</w:t>
            </w:r>
          </w:p>
        </w:tc>
        <w:tc>
          <w:tcPr>
            <w:tcW w:w="647" w:type="pct"/>
            <w:shd w:val="clear" w:color="auto" w:fill="auto"/>
            <w:vAlign w:val="center"/>
          </w:tcPr>
          <w:p w14:paraId="16F58141" w14:textId="1AB364C4" w:rsidR="00AC36A2" w:rsidRPr="00C32937" w:rsidRDefault="00EB4495" w:rsidP="00AC36A2">
            <w:pPr>
              <w:pStyle w:val="TableText0"/>
              <w:jc w:val="center"/>
              <w:rPr>
                <w:b/>
                <w:bCs w:val="0"/>
                <w:szCs w:val="20"/>
                <w:highlight w:val="lightGray"/>
              </w:rPr>
            </w:pPr>
            <w:r w:rsidRPr="00EB4495">
              <w:rPr>
                <w:rFonts w:hint="eastAsia"/>
                <w:b/>
                <w:bCs w:val="0"/>
                <w:color w:val="000000" w:themeColor="text1"/>
                <w:w w:val="15"/>
                <w:szCs w:val="20"/>
                <w:shd w:val="solid" w:color="000000" w:fill="000000"/>
                <w:fitText w:val="63" w:id="-1435823614"/>
                <w14:textFill>
                  <w14:solidFill>
                    <w14:schemeClr w14:val="tx1">
                      <w14:alpha w14:val="100000"/>
                    </w14:schemeClr>
                  </w14:solidFill>
                </w14:textFill>
              </w:rPr>
              <w:t xml:space="preserve">　</w:t>
            </w:r>
            <w:r w:rsidRPr="00EB4495">
              <w:rPr>
                <w:b/>
                <w:bCs w:val="0"/>
                <w:color w:val="000000" w:themeColor="text1"/>
                <w:w w:val="15"/>
                <w:szCs w:val="20"/>
                <w:shd w:val="solid" w:color="000000" w:fill="000000"/>
                <w:fitText w:val="63" w:id="-1435823614"/>
                <w14:textFill>
                  <w14:solidFill>
                    <w14:schemeClr w14:val="tx1">
                      <w14:alpha w14:val="100000"/>
                    </w14:schemeClr>
                  </w14:solidFill>
                </w14:textFill>
              </w:rPr>
              <w:t>|</w:t>
            </w:r>
            <w:r w:rsidRPr="00EB4495">
              <w:rPr>
                <w:rFonts w:hint="eastAsia"/>
                <w:b/>
                <w:bCs w:val="0"/>
                <w:color w:val="000000" w:themeColor="text1"/>
                <w:spacing w:val="-3"/>
                <w:w w:val="15"/>
                <w:szCs w:val="20"/>
                <w:shd w:val="solid" w:color="000000" w:fill="000000"/>
                <w:fitText w:val="63" w:id="-1435823614"/>
                <w14:textFill>
                  <w14:solidFill>
                    <w14:schemeClr w14:val="tx1">
                      <w14:alpha w14:val="100000"/>
                    </w14:schemeClr>
                  </w14:solidFill>
                </w14:textFill>
              </w:rPr>
              <w:t xml:space="preserve">　</w:t>
            </w:r>
            <w:r w:rsidR="00C32937" w:rsidRPr="00C32937">
              <w:rPr>
                <w:b/>
                <w:bCs w:val="0"/>
                <w:color w:val="000000" w:themeColor="text1"/>
                <w:szCs w:val="20"/>
                <w:vertAlign w:val="superscript"/>
              </w:rPr>
              <w:t>5</w:t>
            </w:r>
          </w:p>
        </w:tc>
        <w:tc>
          <w:tcPr>
            <w:tcW w:w="647" w:type="pct"/>
            <w:shd w:val="clear" w:color="auto" w:fill="auto"/>
            <w:vAlign w:val="center"/>
          </w:tcPr>
          <w:p w14:paraId="636C502F" w14:textId="6366CB82" w:rsidR="00AC36A2" w:rsidRPr="00C32937" w:rsidRDefault="00EB4495" w:rsidP="00AC36A2">
            <w:pPr>
              <w:pStyle w:val="TableText0"/>
              <w:jc w:val="center"/>
              <w:rPr>
                <w:b/>
                <w:bCs w:val="0"/>
                <w:szCs w:val="20"/>
                <w:highlight w:val="lightGray"/>
              </w:rPr>
            </w:pPr>
            <w:r w:rsidRPr="00EB4495">
              <w:rPr>
                <w:rFonts w:hint="eastAsia"/>
                <w:b/>
                <w:bCs w:val="0"/>
                <w:color w:val="000000" w:themeColor="text1"/>
                <w:w w:val="15"/>
                <w:szCs w:val="20"/>
                <w:shd w:val="solid" w:color="000000" w:fill="000000"/>
                <w:fitText w:val="62" w:id="-1435823613"/>
                <w14:textFill>
                  <w14:solidFill>
                    <w14:schemeClr w14:val="tx1">
                      <w14:alpha w14:val="100000"/>
                    </w14:schemeClr>
                  </w14:solidFill>
                </w14:textFill>
              </w:rPr>
              <w:t xml:space="preserve">　</w:t>
            </w:r>
            <w:r w:rsidRPr="00EB4495">
              <w:rPr>
                <w:b/>
                <w:bCs w:val="0"/>
                <w:color w:val="000000" w:themeColor="text1"/>
                <w:w w:val="15"/>
                <w:szCs w:val="20"/>
                <w:shd w:val="solid" w:color="000000" w:fill="000000"/>
                <w:fitText w:val="62" w:id="-1435823613"/>
                <w14:textFill>
                  <w14:solidFill>
                    <w14:schemeClr w14:val="tx1">
                      <w14:alpha w14:val="100000"/>
                    </w14:schemeClr>
                  </w14:solidFill>
                </w14:textFill>
              </w:rPr>
              <w:t>|</w:t>
            </w:r>
            <w:r w:rsidRPr="00EB4495">
              <w:rPr>
                <w:rFonts w:hint="eastAsia"/>
                <w:b/>
                <w:bCs w:val="0"/>
                <w:color w:val="000000" w:themeColor="text1"/>
                <w:spacing w:val="-4"/>
                <w:w w:val="15"/>
                <w:szCs w:val="20"/>
                <w:shd w:val="solid" w:color="000000" w:fill="000000"/>
                <w:fitText w:val="62" w:id="-1435823613"/>
                <w14:textFill>
                  <w14:solidFill>
                    <w14:schemeClr w14:val="tx1">
                      <w14:alpha w14:val="100000"/>
                    </w14:schemeClr>
                  </w14:solidFill>
                </w14:textFill>
              </w:rPr>
              <w:t xml:space="preserve">　</w:t>
            </w:r>
            <w:r w:rsidR="00C32937" w:rsidRPr="00C32937">
              <w:rPr>
                <w:b/>
                <w:bCs w:val="0"/>
                <w:color w:val="000000" w:themeColor="text1"/>
                <w:szCs w:val="20"/>
                <w:vertAlign w:val="superscript"/>
              </w:rPr>
              <w:t>6</w:t>
            </w:r>
          </w:p>
        </w:tc>
        <w:tc>
          <w:tcPr>
            <w:tcW w:w="647" w:type="pct"/>
            <w:shd w:val="clear" w:color="auto" w:fill="auto"/>
            <w:vAlign w:val="center"/>
          </w:tcPr>
          <w:p w14:paraId="4D4D1668" w14:textId="338A32B2" w:rsidR="00AC36A2" w:rsidRPr="00334471" w:rsidRDefault="00EB4495" w:rsidP="00AC36A2">
            <w:pPr>
              <w:pStyle w:val="TableText0"/>
              <w:jc w:val="center"/>
              <w:rPr>
                <w:b/>
                <w:bCs w:val="0"/>
                <w:szCs w:val="20"/>
                <w:highlight w:val="lightGray"/>
              </w:rPr>
            </w:pPr>
            <w:r w:rsidRPr="00EB4495">
              <w:rPr>
                <w:rFonts w:hint="eastAsia"/>
                <w:b/>
                <w:bCs w:val="0"/>
                <w:color w:val="000000" w:themeColor="text1"/>
                <w:w w:val="15"/>
                <w:szCs w:val="20"/>
                <w:shd w:val="solid" w:color="000000" w:fill="000000"/>
                <w:fitText w:val="63" w:id="-1435823612"/>
                <w14:textFill>
                  <w14:solidFill>
                    <w14:schemeClr w14:val="tx1">
                      <w14:alpha w14:val="100000"/>
                    </w14:schemeClr>
                  </w14:solidFill>
                </w14:textFill>
              </w:rPr>
              <w:t xml:space="preserve">　</w:t>
            </w:r>
            <w:r w:rsidRPr="00EB4495">
              <w:rPr>
                <w:b/>
                <w:bCs w:val="0"/>
                <w:color w:val="000000" w:themeColor="text1"/>
                <w:w w:val="15"/>
                <w:szCs w:val="20"/>
                <w:shd w:val="solid" w:color="000000" w:fill="000000"/>
                <w:fitText w:val="63" w:id="-1435823612"/>
                <w14:textFill>
                  <w14:solidFill>
                    <w14:schemeClr w14:val="tx1">
                      <w14:alpha w14:val="100000"/>
                    </w14:schemeClr>
                  </w14:solidFill>
                </w14:textFill>
              </w:rPr>
              <w:t>|</w:t>
            </w:r>
            <w:r w:rsidRPr="00EB4495">
              <w:rPr>
                <w:rFonts w:hint="eastAsia"/>
                <w:b/>
                <w:bCs w:val="0"/>
                <w:color w:val="000000" w:themeColor="text1"/>
                <w:spacing w:val="-3"/>
                <w:w w:val="15"/>
                <w:szCs w:val="20"/>
                <w:shd w:val="solid" w:color="000000" w:fill="000000"/>
                <w:fitText w:val="63" w:id="-1435823612"/>
                <w14:textFill>
                  <w14:solidFill>
                    <w14:schemeClr w14:val="tx1">
                      <w14:alpha w14:val="100000"/>
                    </w14:schemeClr>
                  </w14:solidFill>
                </w14:textFill>
              </w:rPr>
              <w:t xml:space="preserve">　</w:t>
            </w:r>
            <w:r w:rsidR="00C32937" w:rsidRPr="00C32937">
              <w:rPr>
                <w:b/>
                <w:bCs w:val="0"/>
                <w:color w:val="000000" w:themeColor="text1"/>
                <w:szCs w:val="20"/>
                <w:vertAlign w:val="superscript"/>
              </w:rPr>
              <w:t>6</w:t>
            </w:r>
          </w:p>
        </w:tc>
        <w:tc>
          <w:tcPr>
            <w:tcW w:w="647" w:type="pct"/>
            <w:shd w:val="clear" w:color="auto" w:fill="auto"/>
            <w:vAlign w:val="center"/>
          </w:tcPr>
          <w:p w14:paraId="21616CE0" w14:textId="54262EC8" w:rsidR="00AC36A2" w:rsidRPr="00334471" w:rsidRDefault="00EB4495" w:rsidP="00AC36A2">
            <w:pPr>
              <w:pStyle w:val="TableText0"/>
              <w:jc w:val="center"/>
              <w:rPr>
                <w:b/>
                <w:bCs w:val="0"/>
                <w:szCs w:val="20"/>
                <w:highlight w:val="lightGray"/>
              </w:rPr>
            </w:pPr>
            <w:r w:rsidRPr="00EB4495">
              <w:rPr>
                <w:rFonts w:hint="eastAsia"/>
                <w:b/>
                <w:bCs w:val="0"/>
                <w:color w:val="000000" w:themeColor="text1"/>
                <w:w w:val="15"/>
                <w:szCs w:val="20"/>
                <w:shd w:val="solid" w:color="000000" w:fill="000000"/>
                <w:fitText w:val="62" w:id="-1435823611"/>
                <w14:textFill>
                  <w14:solidFill>
                    <w14:schemeClr w14:val="tx1">
                      <w14:alpha w14:val="100000"/>
                    </w14:schemeClr>
                  </w14:solidFill>
                </w14:textFill>
              </w:rPr>
              <w:t xml:space="preserve">　</w:t>
            </w:r>
            <w:r w:rsidRPr="00EB4495">
              <w:rPr>
                <w:b/>
                <w:bCs w:val="0"/>
                <w:color w:val="000000" w:themeColor="text1"/>
                <w:w w:val="15"/>
                <w:szCs w:val="20"/>
                <w:shd w:val="solid" w:color="000000" w:fill="000000"/>
                <w:fitText w:val="62" w:id="-1435823611"/>
                <w14:textFill>
                  <w14:solidFill>
                    <w14:schemeClr w14:val="tx1">
                      <w14:alpha w14:val="100000"/>
                    </w14:schemeClr>
                  </w14:solidFill>
                </w14:textFill>
              </w:rPr>
              <w:t>|</w:t>
            </w:r>
            <w:r w:rsidRPr="00EB4495">
              <w:rPr>
                <w:rFonts w:hint="eastAsia"/>
                <w:b/>
                <w:bCs w:val="0"/>
                <w:color w:val="000000" w:themeColor="text1"/>
                <w:spacing w:val="-4"/>
                <w:w w:val="15"/>
                <w:szCs w:val="20"/>
                <w:shd w:val="solid" w:color="000000" w:fill="000000"/>
                <w:fitText w:val="62" w:id="-1435823611"/>
                <w14:textFill>
                  <w14:solidFill>
                    <w14:schemeClr w14:val="tx1">
                      <w14:alpha w14:val="100000"/>
                    </w14:schemeClr>
                  </w14:solidFill>
                </w14:textFill>
              </w:rPr>
              <w:t xml:space="preserve">　</w:t>
            </w:r>
            <w:r w:rsidR="00C32937" w:rsidRPr="00C32937">
              <w:rPr>
                <w:b/>
                <w:bCs w:val="0"/>
                <w:color w:val="000000" w:themeColor="text1"/>
                <w:szCs w:val="20"/>
                <w:vertAlign w:val="superscript"/>
              </w:rPr>
              <w:t>6</w:t>
            </w:r>
          </w:p>
        </w:tc>
        <w:tc>
          <w:tcPr>
            <w:tcW w:w="649" w:type="pct"/>
            <w:vAlign w:val="center"/>
          </w:tcPr>
          <w:p w14:paraId="319A7FBA" w14:textId="692B848E" w:rsidR="00AC36A2" w:rsidRPr="00334471" w:rsidRDefault="00EB4495" w:rsidP="00AC36A2">
            <w:pPr>
              <w:pStyle w:val="TableText0"/>
              <w:jc w:val="center"/>
              <w:rPr>
                <w:b/>
                <w:bCs w:val="0"/>
                <w:szCs w:val="20"/>
                <w:highlight w:val="lightGray"/>
              </w:rPr>
            </w:pPr>
            <w:r w:rsidRPr="00EB4495">
              <w:rPr>
                <w:rFonts w:hint="eastAsia"/>
                <w:b/>
                <w:bCs w:val="0"/>
                <w:color w:val="000000" w:themeColor="text1"/>
                <w:w w:val="15"/>
                <w:szCs w:val="20"/>
                <w:shd w:val="solid" w:color="000000" w:fill="000000"/>
                <w:fitText w:val="63" w:id="-1435823610"/>
                <w14:textFill>
                  <w14:solidFill>
                    <w14:schemeClr w14:val="tx1">
                      <w14:alpha w14:val="100000"/>
                    </w14:schemeClr>
                  </w14:solidFill>
                </w14:textFill>
              </w:rPr>
              <w:t xml:space="preserve">　</w:t>
            </w:r>
            <w:r w:rsidRPr="00EB4495">
              <w:rPr>
                <w:b/>
                <w:bCs w:val="0"/>
                <w:color w:val="000000" w:themeColor="text1"/>
                <w:w w:val="15"/>
                <w:szCs w:val="20"/>
                <w:shd w:val="solid" w:color="000000" w:fill="000000"/>
                <w:fitText w:val="63" w:id="-1435823610"/>
                <w14:textFill>
                  <w14:solidFill>
                    <w14:schemeClr w14:val="tx1">
                      <w14:alpha w14:val="100000"/>
                    </w14:schemeClr>
                  </w14:solidFill>
                </w14:textFill>
              </w:rPr>
              <w:t>|</w:t>
            </w:r>
            <w:r w:rsidRPr="00EB4495">
              <w:rPr>
                <w:rFonts w:hint="eastAsia"/>
                <w:b/>
                <w:bCs w:val="0"/>
                <w:color w:val="000000" w:themeColor="text1"/>
                <w:spacing w:val="-3"/>
                <w:w w:val="15"/>
                <w:szCs w:val="20"/>
                <w:shd w:val="solid" w:color="000000" w:fill="000000"/>
                <w:fitText w:val="63" w:id="-1435823610"/>
                <w14:textFill>
                  <w14:solidFill>
                    <w14:schemeClr w14:val="tx1">
                      <w14:alpha w14:val="100000"/>
                    </w14:schemeClr>
                  </w14:solidFill>
                </w14:textFill>
              </w:rPr>
              <w:t xml:space="preserve">　</w:t>
            </w:r>
            <w:r w:rsidR="00C32937" w:rsidRPr="00C32937">
              <w:rPr>
                <w:b/>
                <w:bCs w:val="0"/>
                <w:color w:val="000000" w:themeColor="text1"/>
                <w:szCs w:val="20"/>
                <w:vertAlign w:val="superscript"/>
              </w:rPr>
              <w:t>6</w:t>
            </w:r>
          </w:p>
        </w:tc>
      </w:tr>
      <w:tr w:rsidR="0041696C" w:rsidRPr="000E6572" w14:paraId="0941E7E0" w14:textId="77777777" w:rsidTr="0041696C">
        <w:tc>
          <w:tcPr>
            <w:tcW w:w="5000" w:type="pct"/>
            <w:gridSpan w:val="7"/>
            <w:shd w:val="clear" w:color="auto" w:fill="auto"/>
            <w:vAlign w:val="center"/>
          </w:tcPr>
          <w:p w14:paraId="51A6DB8F" w14:textId="05D168A3" w:rsidR="0041696C" w:rsidRPr="000E6572" w:rsidRDefault="00CA21DB" w:rsidP="0041696C">
            <w:pPr>
              <w:pStyle w:val="TableText0"/>
              <w:rPr>
                <w:b/>
                <w:bCs w:val="0"/>
                <w:color w:val="000000" w:themeColor="text1"/>
                <w:szCs w:val="20"/>
              </w:rPr>
            </w:pPr>
            <w:r w:rsidRPr="000E6572">
              <w:rPr>
                <w:b/>
                <w:bCs w:val="0"/>
                <w:szCs w:val="20"/>
              </w:rPr>
              <w:t xml:space="preserve">Corrected estimated extent of use (as per </w:t>
            </w:r>
            <w:r w:rsidR="0041696C" w:rsidRPr="000E6572">
              <w:rPr>
                <w:b/>
                <w:bCs w:val="0"/>
                <w:szCs w:val="20"/>
              </w:rPr>
              <w:t>PSCR</w:t>
            </w:r>
            <w:r w:rsidR="009E3A76" w:rsidRPr="000E6572">
              <w:rPr>
                <w:b/>
                <w:bCs w:val="0"/>
                <w:szCs w:val="20"/>
              </w:rPr>
              <w:t xml:space="preserve"> and updated to </w:t>
            </w:r>
            <w:r w:rsidR="000C5C16" w:rsidRPr="000E6572">
              <w:rPr>
                <w:b/>
                <w:bCs w:val="0"/>
                <w:szCs w:val="20"/>
              </w:rPr>
              <w:t>account for reduced maximum quantity</w:t>
            </w:r>
            <w:r w:rsidRPr="000E6572">
              <w:rPr>
                <w:b/>
                <w:bCs w:val="0"/>
                <w:szCs w:val="20"/>
              </w:rPr>
              <w:t>)</w:t>
            </w:r>
          </w:p>
        </w:tc>
      </w:tr>
      <w:tr w:rsidR="0041696C" w:rsidRPr="000E6572" w14:paraId="336A1E10" w14:textId="77777777" w:rsidTr="0041696C">
        <w:tc>
          <w:tcPr>
            <w:tcW w:w="1116" w:type="pct"/>
            <w:tcBorders>
              <w:top w:val="single" w:sz="4" w:space="0" w:color="auto"/>
              <w:left w:val="single" w:sz="4" w:space="0" w:color="auto"/>
              <w:bottom w:val="single" w:sz="4" w:space="0" w:color="auto"/>
              <w:right w:val="single" w:sz="4" w:space="0" w:color="auto"/>
            </w:tcBorders>
            <w:shd w:val="clear" w:color="auto" w:fill="auto"/>
            <w:vAlign w:val="center"/>
          </w:tcPr>
          <w:p w14:paraId="4F31F8F3" w14:textId="7A36B81A" w:rsidR="0041696C" w:rsidRPr="000E6572" w:rsidRDefault="0041696C" w:rsidP="00C5577E">
            <w:pPr>
              <w:pStyle w:val="TableText0"/>
              <w:rPr>
                <w:szCs w:val="20"/>
              </w:rPr>
            </w:pPr>
            <w:r w:rsidRPr="000E6572">
              <w:rPr>
                <w:szCs w:val="20"/>
              </w:rPr>
              <w:t>Number of prescriptions dispensed</w:t>
            </w:r>
            <w:r w:rsidR="009E3A76" w:rsidRPr="000E6572">
              <w:rPr>
                <w:szCs w:val="20"/>
                <w:vertAlign w:val="superscript"/>
              </w:rPr>
              <w:t>c</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4B2857B2" w14:textId="2AAF81BE" w:rsidR="0041696C" w:rsidRPr="00334471" w:rsidRDefault="00EB4495" w:rsidP="00C5577E">
            <w:pPr>
              <w:pStyle w:val="TableText0"/>
              <w:jc w:val="center"/>
              <w:rPr>
                <w:bCs w:val="0"/>
                <w:color w:val="000000" w:themeColor="text1"/>
                <w:szCs w:val="20"/>
                <w:highlight w:val="lightGray"/>
              </w:rPr>
            </w:pPr>
            <w:r w:rsidRPr="000F0268">
              <w:rPr>
                <w:rFonts w:hint="eastAsia"/>
                <w:bCs w:val="0"/>
                <w:color w:val="000000" w:themeColor="text1"/>
                <w:w w:val="15"/>
                <w:szCs w:val="20"/>
                <w:shd w:val="solid" w:color="000000" w:fill="000000"/>
                <w:fitText w:val="13" w:id="-1435823609"/>
                <w14:textFill>
                  <w14:solidFill>
                    <w14:schemeClr w14:val="tx1">
                      <w14:alpha w14:val="100000"/>
                    </w14:schemeClr>
                  </w14:solidFill>
                </w14:textFill>
              </w:rPr>
              <w:t xml:space="preserve">　</w:t>
            </w:r>
            <w:r w:rsidRPr="000F0268">
              <w:rPr>
                <w:bCs w:val="0"/>
                <w:color w:val="000000" w:themeColor="text1"/>
                <w:w w:val="15"/>
                <w:szCs w:val="20"/>
                <w:shd w:val="solid" w:color="000000" w:fill="000000"/>
                <w:fitText w:val="13" w:id="-1435823609"/>
                <w14:textFill>
                  <w14:solidFill>
                    <w14:schemeClr w14:val="tx1">
                      <w14:alpha w14:val="100000"/>
                    </w14:schemeClr>
                  </w14:solidFill>
                </w14:textFill>
              </w:rPr>
              <w:t>|</w:t>
            </w:r>
            <w:r w:rsidRPr="000F0268">
              <w:rPr>
                <w:rFonts w:hint="eastAsia"/>
                <w:bCs w:val="0"/>
                <w:color w:val="000000" w:themeColor="text1"/>
                <w:spacing w:val="-52"/>
                <w:w w:val="15"/>
                <w:szCs w:val="20"/>
                <w:shd w:val="solid" w:color="000000" w:fill="000000"/>
                <w:fitText w:val="13" w:id="-1435823609"/>
                <w14:textFill>
                  <w14:solidFill>
                    <w14:schemeClr w14:val="tx1">
                      <w14:alpha w14:val="100000"/>
                    </w14:schemeClr>
                  </w14:solidFill>
                </w14:textFill>
              </w:rPr>
              <w:t xml:space="preserve">　</w:t>
            </w:r>
            <w:r w:rsidR="00C32937" w:rsidRPr="00C32937">
              <w:rPr>
                <w:color w:val="000000"/>
                <w:szCs w:val="20"/>
                <w:vertAlign w:val="superscript"/>
              </w:rPr>
              <w:t>2</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65B92433" w14:textId="3AE0B270" w:rsidR="0041696C" w:rsidRPr="00334471" w:rsidRDefault="00EB4495" w:rsidP="00C5577E">
            <w:pPr>
              <w:pStyle w:val="TableText0"/>
              <w:jc w:val="center"/>
              <w:rPr>
                <w:bCs w:val="0"/>
                <w:color w:val="000000" w:themeColor="text1"/>
                <w:szCs w:val="20"/>
                <w:highlight w:val="lightGray"/>
              </w:rPr>
            </w:pPr>
            <w:r w:rsidRPr="000F0268">
              <w:rPr>
                <w:rFonts w:hint="eastAsia"/>
                <w:bCs w:val="0"/>
                <w:color w:val="000000" w:themeColor="text1"/>
                <w:w w:val="15"/>
                <w:szCs w:val="20"/>
                <w:shd w:val="solid" w:color="000000" w:fill="000000"/>
                <w:fitText w:val="13" w:id="-1435823608"/>
                <w14:textFill>
                  <w14:solidFill>
                    <w14:schemeClr w14:val="tx1">
                      <w14:alpha w14:val="100000"/>
                    </w14:schemeClr>
                  </w14:solidFill>
                </w14:textFill>
              </w:rPr>
              <w:t xml:space="preserve">　</w:t>
            </w:r>
            <w:r w:rsidRPr="000F0268">
              <w:rPr>
                <w:bCs w:val="0"/>
                <w:color w:val="000000" w:themeColor="text1"/>
                <w:w w:val="15"/>
                <w:szCs w:val="20"/>
                <w:shd w:val="solid" w:color="000000" w:fill="000000"/>
                <w:fitText w:val="13" w:id="-1435823608"/>
                <w14:textFill>
                  <w14:solidFill>
                    <w14:schemeClr w14:val="tx1">
                      <w14:alpha w14:val="100000"/>
                    </w14:schemeClr>
                  </w14:solidFill>
                </w14:textFill>
              </w:rPr>
              <w:t>|</w:t>
            </w:r>
            <w:r w:rsidRPr="000F0268">
              <w:rPr>
                <w:rFonts w:hint="eastAsia"/>
                <w:bCs w:val="0"/>
                <w:color w:val="000000" w:themeColor="text1"/>
                <w:spacing w:val="-52"/>
                <w:w w:val="15"/>
                <w:szCs w:val="20"/>
                <w:shd w:val="solid" w:color="000000" w:fill="000000"/>
                <w:fitText w:val="13" w:id="-1435823608"/>
                <w14:textFill>
                  <w14:solidFill>
                    <w14:schemeClr w14:val="tx1">
                      <w14:alpha w14:val="100000"/>
                    </w14:schemeClr>
                  </w14:solidFill>
                </w14:textFill>
              </w:rPr>
              <w:t xml:space="preserve">　</w:t>
            </w:r>
            <w:r w:rsidR="00C32937" w:rsidRPr="00C32937">
              <w:rPr>
                <w:color w:val="000000"/>
                <w:szCs w:val="20"/>
                <w:vertAlign w:val="superscript"/>
              </w:rPr>
              <w:t>2</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0AAE9EE2" w14:textId="0ADE86CD" w:rsidR="0041696C" w:rsidRPr="00334471" w:rsidRDefault="00EB4495" w:rsidP="00C5577E">
            <w:pPr>
              <w:pStyle w:val="TableText0"/>
              <w:jc w:val="center"/>
              <w:rPr>
                <w:bCs w:val="0"/>
                <w:color w:val="000000" w:themeColor="text1"/>
                <w:szCs w:val="20"/>
                <w:highlight w:val="lightGray"/>
              </w:rPr>
            </w:pPr>
            <w:r w:rsidRPr="000F0268">
              <w:rPr>
                <w:rFonts w:hint="eastAsia"/>
                <w:bCs w:val="0"/>
                <w:color w:val="000000" w:themeColor="text1"/>
                <w:w w:val="15"/>
                <w:szCs w:val="20"/>
                <w:shd w:val="solid" w:color="000000" w:fill="000000"/>
                <w:fitText w:val="12" w:id="-1435823607"/>
                <w14:textFill>
                  <w14:solidFill>
                    <w14:schemeClr w14:val="tx1">
                      <w14:alpha w14:val="100000"/>
                    </w14:schemeClr>
                  </w14:solidFill>
                </w14:textFill>
              </w:rPr>
              <w:t xml:space="preserve">　</w:t>
            </w:r>
            <w:r w:rsidRPr="000F0268">
              <w:rPr>
                <w:bCs w:val="0"/>
                <w:color w:val="000000" w:themeColor="text1"/>
                <w:w w:val="15"/>
                <w:szCs w:val="20"/>
                <w:shd w:val="solid" w:color="000000" w:fill="000000"/>
                <w:fitText w:val="12" w:id="-1435823607"/>
                <w14:textFill>
                  <w14:solidFill>
                    <w14:schemeClr w14:val="tx1">
                      <w14:alpha w14:val="100000"/>
                    </w14:schemeClr>
                  </w14:solidFill>
                </w14:textFill>
              </w:rPr>
              <w:t>|</w:t>
            </w:r>
            <w:r w:rsidRPr="000F0268">
              <w:rPr>
                <w:rFonts w:hint="eastAsia"/>
                <w:bCs w:val="0"/>
                <w:color w:val="000000" w:themeColor="text1"/>
                <w:spacing w:val="-53"/>
                <w:w w:val="15"/>
                <w:szCs w:val="20"/>
                <w:shd w:val="solid" w:color="000000" w:fill="000000"/>
                <w:fitText w:val="12" w:id="-1435823607"/>
                <w14:textFill>
                  <w14:solidFill>
                    <w14:schemeClr w14:val="tx1">
                      <w14:alpha w14:val="100000"/>
                    </w14:schemeClr>
                  </w14:solidFill>
                </w14:textFill>
              </w:rPr>
              <w:t xml:space="preserve">　</w:t>
            </w:r>
            <w:r w:rsidR="00C32937" w:rsidRPr="00C32937">
              <w:rPr>
                <w:color w:val="000000"/>
                <w:szCs w:val="20"/>
                <w:vertAlign w:val="superscript"/>
              </w:rPr>
              <w:t>2</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6811FC39" w14:textId="5476957C" w:rsidR="0041696C" w:rsidRPr="00334471" w:rsidRDefault="00EB4495" w:rsidP="00C5577E">
            <w:pPr>
              <w:pStyle w:val="TableText0"/>
              <w:jc w:val="center"/>
              <w:rPr>
                <w:bCs w:val="0"/>
                <w:color w:val="000000" w:themeColor="text1"/>
                <w:szCs w:val="20"/>
                <w:highlight w:val="lightGray"/>
              </w:rPr>
            </w:pPr>
            <w:r w:rsidRPr="006F14E4">
              <w:rPr>
                <w:rFonts w:hint="eastAsia"/>
                <w:bCs w:val="0"/>
                <w:color w:val="000000" w:themeColor="text1"/>
                <w:w w:val="15"/>
                <w:szCs w:val="20"/>
                <w:shd w:val="solid" w:color="000000" w:fill="000000"/>
                <w:fitText w:val="50" w:id="-1435823606"/>
                <w14:textFill>
                  <w14:solidFill>
                    <w14:schemeClr w14:val="tx1">
                      <w14:alpha w14:val="100000"/>
                    </w14:schemeClr>
                  </w14:solidFill>
                </w14:textFill>
              </w:rPr>
              <w:t xml:space="preserve">　</w:t>
            </w:r>
            <w:r w:rsidRPr="006F14E4">
              <w:rPr>
                <w:bCs w:val="0"/>
                <w:color w:val="000000" w:themeColor="text1"/>
                <w:w w:val="15"/>
                <w:szCs w:val="20"/>
                <w:shd w:val="solid" w:color="000000" w:fill="000000"/>
                <w:fitText w:val="50" w:id="-1435823606"/>
                <w14:textFill>
                  <w14:solidFill>
                    <w14:schemeClr w14:val="tx1">
                      <w14:alpha w14:val="100000"/>
                    </w14:schemeClr>
                  </w14:solidFill>
                </w14:textFill>
              </w:rPr>
              <w:t>|</w:t>
            </w:r>
            <w:r w:rsidRPr="006F14E4">
              <w:rPr>
                <w:rFonts w:hint="eastAsia"/>
                <w:bCs w:val="0"/>
                <w:color w:val="000000" w:themeColor="text1"/>
                <w:spacing w:val="-15"/>
                <w:w w:val="15"/>
                <w:szCs w:val="20"/>
                <w:shd w:val="solid" w:color="000000" w:fill="000000"/>
                <w:fitText w:val="50" w:id="-1435823606"/>
                <w14:textFill>
                  <w14:solidFill>
                    <w14:schemeClr w14:val="tx1">
                      <w14:alpha w14:val="100000"/>
                    </w14:schemeClr>
                  </w14:solidFill>
                </w14:textFill>
              </w:rPr>
              <w:t xml:space="preserve">　</w:t>
            </w:r>
            <w:r w:rsidRPr="00EB4495">
              <w:rPr>
                <w:color w:val="000000"/>
                <w:szCs w:val="20"/>
              </w:rPr>
              <w:t xml:space="preserve"> </w:t>
            </w:r>
            <w:r w:rsidR="00C32937" w:rsidRPr="00C32937">
              <w:rPr>
                <w:color w:val="000000"/>
                <w:szCs w:val="20"/>
                <w:vertAlign w:val="superscript"/>
              </w:rPr>
              <w:t>3</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1505F26C" w14:textId="016E11E1" w:rsidR="0041696C" w:rsidRPr="00334471" w:rsidRDefault="00EB4495" w:rsidP="00C5577E">
            <w:pPr>
              <w:pStyle w:val="TableText0"/>
              <w:jc w:val="center"/>
              <w:rPr>
                <w:bCs w:val="0"/>
                <w:color w:val="000000" w:themeColor="text1"/>
                <w:szCs w:val="20"/>
                <w:highlight w:val="lightGray"/>
              </w:rPr>
            </w:pPr>
            <w:r w:rsidRPr="00EB4495">
              <w:rPr>
                <w:rFonts w:hint="eastAsia"/>
                <w:bCs w:val="0"/>
                <w:color w:val="000000" w:themeColor="text1"/>
                <w:w w:val="15"/>
                <w:szCs w:val="20"/>
                <w:shd w:val="solid" w:color="000000" w:fill="000000"/>
                <w:fitText w:val="50" w:id="-1435823605"/>
                <w14:textFill>
                  <w14:solidFill>
                    <w14:schemeClr w14:val="tx1">
                      <w14:alpha w14:val="100000"/>
                    </w14:schemeClr>
                  </w14:solidFill>
                </w14:textFill>
              </w:rPr>
              <w:t xml:space="preserve">　</w:t>
            </w:r>
            <w:r w:rsidRPr="00EB4495">
              <w:rPr>
                <w:bCs w:val="0"/>
                <w:color w:val="000000" w:themeColor="text1"/>
                <w:w w:val="15"/>
                <w:szCs w:val="20"/>
                <w:shd w:val="solid" w:color="000000" w:fill="000000"/>
                <w:fitText w:val="50" w:id="-1435823605"/>
                <w14:textFill>
                  <w14:solidFill>
                    <w14:schemeClr w14:val="tx1">
                      <w14:alpha w14:val="100000"/>
                    </w14:schemeClr>
                  </w14:solidFill>
                </w14:textFill>
              </w:rPr>
              <w:t>|</w:t>
            </w:r>
            <w:r w:rsidRPr="00EB4495">
              <w:rPr>
                <w:rFonts w:hint="eastAsia"/>
                <w:bCs w:val="0"/>
                <w:color w:val="000000" w:themeColor="text1"/>
                <w:spacing w:val="-15"/>
                <w:w w:val="15"/>
                <w:szCs w:val="20"/>
                <w:shd w:val="solid" w:color="000000" w:fill="000000"/>
                <w:fitText w:val="50" w:id="-1435823605"/>
                <w14:textFill>
                  <w14:solidFill>
                    <w14:schemeClr w14:val="tx1">
                      <w14:alpha w14:val="100000"/>
                    </w14:schemeClr>
                  </w14:solidFill>
                </w14:textFill>
              </w:rPr>
              <w:t xml:space="preserve">　</w:t>
            </w:r>
            <w:r w:rsidRPr="00EB4495">
              <w:rPr>
                <w:color w:val="000000"/>
                <w:szCs w:val="20"/>
              </w:rPr>
              <w:t xml:space="preserve"> </w:t>
            </w:r>
            <w:r w:rsidR="00C32937" w:rsidRPr="00C32937">
              <w:rPr>
                <w:color w:val="000000"/>
                <w:szCs w:val="20"/>
                <w:vertAlign w:val="superscript"/>
              </w:rPr>
              <w:t>3</w:t>
            </w:r>
          </w:p>
        </w:tc>
        <w:tc>
          <w:tcPr>
            <w:tcW w:w="649" w:type="pct"/>
            <w:tcBorders>
              <w:top w:val="single" w:sz="4" w:space="0" w:color="auto"/>
              <w:left w:val="single" w:sz="4" w:space="0" w:color="auto"/>
              <w:bottom w:val="single" w:sz="4" w:space="0" w:color="auto"/>
              <w:right w:val="single" w:sz="4" w:space="0" w:color="auto"/>
            </w:tcBorders>
            <w:vAlign w:val="center"/>
          </w:tcPr>
          <w:p w14:paraId="2031D94D" w14:textId="7A0FC3D0" w:rsidR="0041696C" w:rsidRPr="00334471" w:rsidRDefault="00EB4495" w:rsidP="00C5577E">
            <w:pPr>
              <w:pStyle w:val="TableText0"/>
              <w:jc w:val="center"/>
              <w:rPr>
                <w:bCs w:val="0"/>
                <w:color w:val="000000" w:themeColor="text1"/>
                <w:szCs w:val="20"/>
                <w:highlight w:val="lightGray"/>
              </w:rPr>
            </w:pPr>
            <w:r w:rsidRPr="006F14E4">
              <w:rPr>
                <w:rFonts w:hint="eastAsia"/>
                <w:bCs w:val="0"/>
                <w:color w:val="000000" w:themeColor="text1"/>
                <w:w w:val="15"/>
                <w:szCs w:val="20"/>
                <w:shd w:val="solid" w:color="000000" w:fill="000000"/>
                <w:fitText w:val="37" w:id="-1435823604"/>
                <w14:textFill>
                  <w14:solidFill>
                    <w14:schemeClr w14:val="tx1">
                      <w14:alpha w14:val="100000"/>
                    </w14:schemeClr>
                  </w14:solidFill>
                </w14:textFill>
              </w:rPr>
              <w:t xml:space="preserve">　</w:t>
            </w:r>
            <w:r w:rsidRPr="006F14E4">
              <w:rPr>
                <w:bCs w:val="0"/>
                <w:color w:val="000000" w:themeColor="text1"/>
                <w:w w:val="15"/>
                <w:szCs w:val="20"/>
                <w:shd w:val="solid" w:color="000000" w:fill="000000"/>
                <w:fitText w:val="37" w:id="-1435823604"/>
                <w14:textFill>
                  <w14:solidFill>
                    <w14:schemeClr w14:val="tx1">
                      <w14:alpha w14:val="100000"/>
                    </w14:schemeClr>
                  </w14:solidFill>
                </w14:textFill>
              </w:rPr>
              <w:t>|</w:t>
            </w:r>
            <w:r w:rsidRPr="006F14E4">
              <w:rPr>
                <w:rFonts w:hint="eastAsia"/>
                <w:bCs w:val="0"/>
                <w:color w:val="000000" w:themeColor="text1"/>
                <w:spacing w:val="-28"/>
                <w:w w:val="15"/>
                <w:szCs w:val="20"/>
                <w:shd w:val="solid" w:color="000000" w:fill="000000"/>
                <w:fitText w:val="37" w:id="-1435823604"/>
                <w14:textFill>
                  <w14:solidFill>
                    <w14:schemeClr w14:val="tx1">
                      <w14:alpha w14:val="100000"/>
                    </w14:schemeClr>
                  </w14:solidFill>
                </w14:textFill>
              </w:rPr>
              <w:t xml:space="preserve">　</w:t>
            </w:r>
            <w:r w:rsidRPr="00EB4495">
              <w:rPr>
                <w:color w:val="000000"/>
                <w:szCs w:val="20"/>
              </w:rPr>
              <w:t xml:space="preserve"> </w:t>
            </w:r>
            <w:r w:rsidR="00C32937" w:rsidRPr="00C32937">
              <w:rPr>
                <w:color w:val="000000"/>
                <w:szCs w:val="20"/>
                <w:vertAlign w:val="superscript"/>
              </w:rPr>
              <w:t>3</w:t>
            </w:r>
          </w:p>
        </w:tc>
      </w:tr>
      <w:tr w:rsidR="0041696C" w:rsidRPr="000E6572" w14:paraId="4B2B0D38" w14:textId="77777777" w:rsidTr="00C5577E">
        <w:tc>
          <w:tcPr>
            <w:tcW w:w="5000" w:type="pct"/>
            <w:gridSpan w:val="7"/>
            <w:shd w:val="clear" w:color="auto" w:fill="auto"/>
            <w:vAlign w:val="center"/>
          </w:tcPr>
          <w:p w14:paraId="09102368" w14:textId="33C6C905" w:rsidR="0041696C" w:rsidRPr="000E6572" w:rsidRDefault="00CA21DB" w:rsidP="00C5577E">
            <w:pPr>
              <w:pStyle w:val="In-tableHeading"/>
              <w:rPr>
                <w:szCs w:val="20"/>
              </w:rPr>
            </w:pPr>
            <w:r w:rsidRPr="000E6572">
              <w:rPr>
                <w:szCs w:val="20"/>
              </w:rPr>
              <w:t>Corrected e</w:t>
            </w:r>
            <w:r w:rsidR="0041696C" w:rsidRPr="000E6572">
              <w:rPr>
                <w:szCs w:val="20"/>
              </w:rPr>
              <w:t>stimated financial implications of oral azacitidine</w:t>
            </w:r>
            <w:r w:rsidRPr="000E6572">
              <w:rPr>
                <w:szCs w:val="20"/>
              </w:rPr>
              <w:t xml:space="preserve"> (as per PSCR and updated to account for reduced maximum quantity)</w:t>
            </w:r>
          </w:p>
        </w:tc>
      </w:tr>
      <w:tr w:rsidR="0041696C" w:rsidRPr="000E6572" w14:paraId="0806E8F6" w14:textId="77777777" w:rsidTr="00C5577E">
        <w:tc>
          <w:tcPr>
            <w:tcW w:w="1116" w:type="pct"/>
            <w:shd w:val="clear" w:color="auto" w:fill="auto"/>
            <w:vAlign w:val="center"/>
          </w:tcPr>
          <w:p w14:paraId="4DA6FF46" w14:textId="5260733D" w:rsidR="0041696C" w:rsidRPr="000E6572" w:rsidRDefault="0041696C" w:rsidP="00C5577E">
            <w:pPr>
              <w:pStyle w:val="TableText0"/>
              <w:rPr>
                <w:b/>
                <w:bCs w:val="0"/>
                <w:szCs w:val="20"/>
              </w:rPr>
            </w:pPr>
            <w:r w:rsidRPr="000E6572">
              <w:rPr>
                <w:b/>
                <w:bCs w:val="0"/>
                <w:szCs w:val="20"/>
              </w:rPr>
              <w:t>Net cost to PBS/RPBS (less copayments)</w:t>
            </w:r>
            <w:r w:rsidR="00334471">
              <w:rPr>
                <w:b/>
                <w:bCs w:val="0"/>
                <w:szCs w:val="20"/>
              </w:rPr>
              <w:t xml:space="preserve"> ($)</w:t>
            </w:r>
          </w:p>
        </w:tc>
        <w:tc>
          <w:tcPr>
            <w:tcW w:w="647" w:type="pct"/>
            <w:shd w:val="clear" w:color="auto" w:fill="auto"/>
            <w:vAlign w:val="center"/>
          </w:tcPr>
          <w:p w14:paraId="1A9C09C8" w14:textId="3E34952A" w:rsidR="0041696C" w:rsidRPr="00334471" w:rsidRDefault="00EB4495" w:rsidP="0041696C">
            <w:pPr>
              <w:pStyle w:val="TableText0"/>
              <w:jc w:val="center"/>
              <w:rPr>
                <w:b/>
                <w:bCs w:val="0"/>
                <w:color w:val="000000" w:themeColor="text1"/>
                <w:szCs w:val="20"/>
                <w:highlight w:val="lightGray"/>
              </w:rPr>
            </w:pPr>
            <w:r w:rsidRPr="00EB4495">
              <w:rPr>
                <w:rFonts w:hint="eastAsia"/>
                <w:b/>
                <w:bCs w:val="0"/>
                <w:color w:val="000000" w:themeColor="text1"/>
                <w:w w:val="15"/>
                <w:szCs w:val="20"/>
                <w:shd w:val="solid" w:color="000000" w:fill="000000"/>
                <w:fitText w:val="63" w:id="-1435823603"/>
                <w14:textFill>
                  <w14:solidFill>
                    <w14:schemeClr w14:val="tx1">
                      <w14:alpha w14:val="100000"/>
                    </w14:schemeClr>
                  </w14:solidFill>
                </w14:textFill>
              </w:rPr>
              <w:t xml:space="preserve">　</w:t>
            </w:r>
            <w:r w:rsidRPr="00EB4495">
              <w:rPr>
                <w:b/>
                <w:bCs w:val="0"/>
                <w:color w:val="000000" w:themeColor="text1"/>
                <w:w w:val="15"/>
                <w:szCs w:val="20"/>
                <w:shd w:val="solid" w:color="000000" w:fill="000000"/>
                <w:fitText w:val="63" w:id="-1435823603"/>
                <w14:textFill>
                  <w14:solidFill>
                    <w14:schemeClr w14:val="tx1">
                      <w14:alpha w14:val="100000"/>
                    </w14:schemeClr>
                  </w14:solidFill>
                </w14:textFill>
              </w:rPr>
              <w:t>|</w:t>
            </w:r>
            <w:r w:rsidRPr="00EB4495">
              <w:rPr>
                <w:rFonts w:hint="eastAsia"/>
                <w:b/>
                <w:bCs w:val="0"/>
                <w:color w:val="000000" w:themeColor="text1"/>
                <w:spacing w:val="-3"/>
                <w:w w:val="15"/>
                <w:szCs w:val="20"/>
                <w:shd w:val="solid" w:color="000000" w:fill="000000"/>
                <w:fitText w:val="63" w:id="-1435823603"/>
                <w14:textFill>
                  <w14:solidFill>
                    <w14:schemeClr w14:val="tx1">
                      <w14:alpha w14:val="100000"/>
                    </w14:schemeClr>
                  </w14:solidFill>
                </w14:textFill>
              </w:rPr>
              <w:t xml:space="preserve">　</w:t>
            </w:r>
            <w:r w:rsidR="00C32937" w:rsidRPr="00C32937">
              <w:rPr>
                <w:b/>
                <w:bCs w:val="0"/>
                <w:color w:val="000000" w:themeColor="text1"/>
                <w:szCs w:val="20"/>
                <w:vertAlign w:val="superscript"/>
              </w:rPr>
              <w:t>4</w:t>
            </w:r>
          </w:p>
        </w:tc>
        <w:tc>
          <w:tcPr>
            <w:tcW w:w="647" w:type="pct"/>
            <w:shd w:val="clear" w:color="auto" w:fill="auto"/>
            <w:vAlign w:val="center"/>
          </w:tcPr>
          <w:p w14:paraId="6F2FFFF7" w14:textId="583A7BF6" w:rsidR="0041696C" w:rsidRPr="00334471" w:rsidRDefault="00EB4495" w:rsidP="00C5577E">
            <w:pPr>
              <w:pStyle w:val="TableText0"/>
              <w:jc w:val="center"/>
              <w:rPr>
                <w:b/>
                <w:bCs w:val="0"/>
                <w:szCs w:val="20"/>
                <w:highlight w:val="lightGray"/>
              </w:rPr>
            </w:pPr>
            <w:r w:rsidRPr="00EB4495">
              <w:rPr>
                <w:rFonts w:hint="eastAsia"/>
                <w:b/>
                <w:bCs w:val="0"/>
                <w:color w:val="000000" w:themeColor="text1"/>
                <w:w w:val="15"/>
                <w:szCs w:val="20"/>
                <w:shd w:val="solid" w:color="000000" w:fill="000000"/>
                <w:fitText w:val="63" w:id="-1435823602"/>
                <w14:textFill>
                  <w14:solidFill>
                    <w14:schemeClr w14:val="tx1">
                      <w14:alpha w14:val="100000"/>
                    </w14:schemeClr>
                  </w14:solidFill>
                </w14:textFill>
              </w:rPr>
              <w:t xml:space="preserve">　</w:t>
            </w:r>
            <w:r w:rsidRPr="00EB4495">
              <w:rPr>
                <w:b/>
                <w:bCs w:val="0"/>
                <w:color w:val="000000" w:themeColor="text1"/>
                <w:w w:val="15"/>
                <w:szCs w:val="20"/>
                <w:shd w:val="solid" w:color="000000" w:fill="000000"/>
                <w:fitText w:val="63" w:id="-1435823602"/>
                <w14:textFill>
                  <w14:solidFill>
                    <w14:schemeClr w14:val="tx1">
                      <w14:alpha w14:val="100000"/>
                    </w14:schemeClr>
                  </w14:solidFill>
                </w14:textFill>
              </w:rPr>
              <w:t>|</w:t>
            </w:r>
            <w:r w:rsidRPr="00EB4495">
              <w:rPr>
                <w:rFonts w:hint="eastAsia"/>
                <w:b/>
                <w:bCs w:val="0"/>
                <w:color w:val="000000" w:themeColor="text1"/>
                <w:spacing w:val="-3"/>
                <w:w w:val="15"/>
                <w:szCs w:val="20"/>
                <w:shd w:val="solid" w:color="000000" w:fill="000000"/>
                <w:fitText w:val="63" w:id="-1435823602"/>
                <w14:textFill>
                  <w14:solidFill>
                    <w14:schemeClr w14:val="tx1">
                      <w14:alpha w14:val="100000"/>
                    </w14:schemeClr>
                  </w14:solidFill>
                </w14:textFill>
              </w:rPr>
              <w:t xml:space="preserve">　</w:t>
            </w:r>
            <w:r w:rsidR="00C32937" w:rsidRPr="00C32937">
              <w:rPr>
                <w:b/>
                <w:bCs w:val="0"/>
                <w:color w:val="000000" w:themeColor="text1"/>
                <w:szCs w:val="20"/>
                <w:vertAlign w:val="superscript"/>
              </w:rPr>
              <w:t>4</w:t>
            </w:r>
          </w:p>
        </w:tc>
        <w:tc>
          <w:tcPr>
            <w:tcW w:w="647" w:type="pct"/>
            <w:shd w:val="clear" w:color="auto" w:fill="auto"/>
            <w:vAlign w:val="center"/>
          </w:tcPr>
          <w:p w14:paraId="1F7B9D6B" w14:textId="01E8FA08" w:rsidR="0041696C" w:rsidRPr="00334471" w:rsidRDefault="00EB4495" w:rsidP="00C5577E">
            <w:pPr>
              <w:pStyle w:val="TableText0"/>
              <w:jc w:val="center"/>
              <w:rPr>
                <w:b/>
                <w:bCs w:val="0"/>
                <w:szCs w:val="20"/>
                <w:highlight w:val="lightGray"/>
              </w:rPr>
            </w:pPr>
            <w:r w:rsidRPr="00EB4495">
              <w:rPr>
                <w:rFonts w:hint="eastAsia"/>
                <w:b/>
                <w:bCs w:val="0"/>
                <w:color w:val="000000" w:themeColor="text1"/>
                <w:w w:val="15"/>
                <w:szCs w:val="20"/>
                <w:shd w:val="solid" w:color="000000" w:fill="000000"/>
                <w:fitText w:val="62" w:id="-1435823601"/>
                <w14:textFill>
                  <w14:solidFill>
                    <w14:schemeClr w14:val="tx1">
                      <w14:alpha w14:val="100000"/>
                    </w14:schemeClr>
                  </w14:solidFill>
                </w14:textFill>
              </w:rPr>
              <w:t xml:space="preserve">　</w:t>
            </w:r>
            <w:r w:rsidRPr="00EB4495">
              <w:rPr>
                <w:b/>
                <w:bCs w:val="0"/>
                <w:color w:val="000000" w:themeColor="text1"/>
                <w:w w:val="15"/>
                <w:szCs w:val="20"/>
                <w:shd w:val="solid" w:color="000000" w:fill="000000"/>
                <w:fitText w:val="62" w:id="-1435823601"/>
                <w14:textFill>
                  <w14:solidFill>
                    <w14:schemeClr w14:val="tx1">
                      <w14:alpha w14:val="100000"/>
                    </w14:schemeClr>
                  </w14:solidFill>
                </w14:textFill>
              </w:rPr>
              <w:t>|</w:t>
            </w:r>
            <w:r w:rsidRPr="00EB4495">
              <w:rPr>
                <w:rFonts w:hint="eastAsia"/>
                <w:b/>
                <w:bCs w:val="0"/>
                <w:color w:val="000000" w:themeColor="text1"/>
                <w:spacing w:val="-4"/>
                <w:w w:val="15"/>
                <w:szCs w:val="20"/>
                <w:shd w:val="solid" w:color="000000" w:fill="000000"/>
                <w:fitText w:val="62" w:id="-1435823601"/>
                <w14:textFill>
                  <w14:solidFill>
                    <w14:schemeClr w14:val="tx1">
                      <w14:alpha w14:val="100000"/>
                    </w14:schemeClr>
                  </w14:solidFill>
                </w14:textFill>
              </w:rPr>
              <w:t xml:space="preserve">　</w:t>
            </w:r>
            <w:r w:rsidR="00C32937" w:rsidRPr="00C32937">
              <w:rPr>
                <w:b/>
                <w:bCs w:val="0"/>
                <w:color w:val="000000" w:themeColor="text1"/>
                <w:szCs w:val="20"/>
                <w:vertAlign w:val="superscript"/>
              </w:rPr>
              <w:t>5</w:t>
            </w:r>
          </w:p>
        </w:tc>
        <w:tc>
          <w:tcPr>
            <w:tcW w:w="647" w:type="pct"/>
            <w:shd w:val="clear" w:color="auto" w:fill="auto"/>
            <w:vAlign w:val="center"/>
          </w:tcPr>
          <w:p w14:paraId="6452E0EB" w14:textId="2B136DD6" w:rsidR="0041696C" w:rsidRPr="00334471" w:rsidRDefault="00EB4495" w:rsidP="00C5577E">
            <w:pPr>
              <w:pStyle w:val="TableText0"/>
              <w:jc w:val="center"/>
              <w:rPr>
                <w:b/>
                <w:bCs w:val="0"/>
                <w:szCs w:val="20"/>
                <w:highlight w:val="lightGray"/>
              </w:rPr>
            </w:pPr>
            <w:r w:rsidRPr="00EB4495">
              <w:rPr>
                <w:rFonts w:hint="eastAsia"/>
                <w:b/>
                <w:bCs w:val="0"/>
                <w:color w:val="000000" w:themeColor="text1"/>
                <w:w w:val="15"/>
                <w:szCs w:val="20"/>
                <w:shd w:val="solid" w:color="000000" w:fill="000000"/>
                <w:fitText w:val="63" w:id="-1435823600"/>
                <w14:textFill>
                  <w14:solidFill>
                    <w14:schemeClr w14:val="tx1">
                      <w14:alpha w14:val="100000"/>
                    </w14:schemeClr>
                  </w14:solidFill>
                </w14:textFill>
              </w:rPr>
              <w:t xml:space="preserve">　</w:t>
            </w:r>
            <w:r w:rsidRPr="00EB4495">
              <w:rPr>
                <w:b/>
                <w:bCs w:val="0"/>
                <w:color w:val="000000" w:themeColor="text1"/>
                <w:w w:val="15"/>
                <w:szCs w:val="20"/>
                <w:shd w:val="solid" w:color="000000" w:fill="000000"/>
                <w:fitText w:val="63" w:id="-1435823600"/>
                <w14:textFill>
                  <w14:solidFill>
                    <w14:schemeClr w14:val="tx1">
                      <w14:alpha w14:val="100000"/>
                    </w14:schemeClr>
                  </w14:solidFill>
                </w14:textFill>
              </w:rPr>
              <w:t>|</w:t>
            </w:r>
            <w:r w:rsidRPr="00EB4495">
              <w:rPr>
                <w:rFonts w:hint="eastAsia"/>
                <w:b/>
                <w:bCs w:val="0"/>
                <w:color w:val="000000" w:themeColor="text1"/>
                <w:spacing w:val="-3"/>
                <w:w w:val="15"/>
                <w:szCs w:val="20"/>
                <w:shd w:val="solid" w:color="000000" w:fill="000000"/>
                <w:fitText w:val="63" w:id="-1435823600"/>
                <w14:textFill>
                  <w14:solidFill>
                    <w14:schemeClr w14:val="tx1">
                      <w14:alpha w14:val="100000"/>
                    </w14:schemeClr>
                  </w14:solidFill>
                </w14:textFill>
              </w:rPr>
              <w:t xml:space="preserve">　</w:t>
            </w:r>
            <w:r w:rsidR="00C32937" w:rsidRPr="00C32937">
              <w:rPr>
                <w:b/>
                <w:bCs w:val="0"/>
                <w:color w:val="000000" w:themeColor="text1"/>
                <w:szCs w:val="20"/>
                <w:vertAlign w:val="superscript"/>
              </w:rPr>
              <w:t>5</w:t>
            </w:r>
          </w:p>
        </w:tc>
        <w:tc>
          <w:tcPr>
            <w:tcW w:w="647" w:type="pct"/>
            <w:shd w:val="clear" w:color="auto" w:fill="auto"/>
            <w:vAlign w:val="center"/>
          </w:tcPr>
          <w:p w14:paraId="5A8B8969" w14:textId="5B0C38A0" w:rsidR="0041696C" w:rsidRPr="00334471" w:rsidRDefault="00EB4495" w:rsidP="00C5577E">
            <w:pPr>
              <w:pStyle w:val="TableText0"/>
              <w:jc w:val="center"/>
              <w:rPr>
                <w:b/>
                <w:bCs w:val="0"/>
                <w:szCs w:val="20"/>
                <w:highlight w:val="lightGray"/>
              </w:rPr>
            </w:pPr>
            <w:r w:rsidRPr="00EB4495">
              <w:rPr>
                <w:rFonts w:hint="eastAsia"/>
                <w:b/>
                <w:bCs w:val="0"/>
                <w:color w:val="000000" w:themeColor="text1"/>
                <w:w w:val="15"/>
                <w:szCs w:val="20"/>
                <w:shd w:val="solid" w:color="000000" w:fill="000000"/>
                <w:fitText w:val="62" w:id="-1435823616"/>
                <w14:textFill>
                  <w14:solidFill>
                    <w14:schemeClr w14:val="tx1">
                      <w14:alpha w14:val="100000"/>
                    </w14:schemeClr>
                  </w14:solidFill>
                </w14:textFill>
              </w:rPr>
              <w:t xml:space="preserve">　</w:t>
            </w:r>
            <w:r w:rsidRPr="00EB4495">
              <w:rPr>
                <w:b/>
                <w:bCs w:val="0"/>
                <w:color w:val="000000" w:themeColor="text1"/>
                <w:w w:val="15"/>
                <w:szCs w:val="20"/>
                <w:shd w:val="solid" w:color="000000" w:fill="000000"/>
                <w:fitText w:val="62" w:id="-1435823616"/>
                <w14:textFill>
                  <w14:solidFill>
                    <w14:schemeClr w14:val="tx1">
                      <w14:alpha w14:val="100000"/>
                    </w14:schemeClr>
                  </w14:solidFill>
                </w14:textFill>
              </w:rPr>
              <w:t>|</w:t>
            </w:r>
            <w:r w:rsidRPr="00EB4495">
              <w:rPr>
                <w:rFonts w:hint="eastAsia"/>
                <w:b/>
                <w:bCs w:val="0"/>
                <w:color w:val="000000" w:themeColor="text1"/>
                <w:spacing w:val="-4"/>
                <w:w w:val="15"/>
                <w:szCs w:val="20"/>
                <w:shd w:val="solid" w:color="000000" w:fill="000000"/>
                <w:fitText w:val="62" w:id="-1435823616"/>
                <w14:textFill>
                  <w14:solidFill>
                    <w14:schemeClr w14:val="tx1">
                      <w14:alpha w14:val="100000"/>
                    </w14:schemeClr>
                  </w14:solidFill>
                </w14:textFill>
              </w:rPr>
              <w:t xml:space="preserve">　</w:t>
            </w:r>
            <w:r w:rsidR="00C32937" w:rsidRPr="00C32937">
              <w:rPr>
                <w:b/>
                <w:bCs w:val="0"/>
                <w:color w:val="000000" w:themeColor="text1"/>
                <w:szCs w:val="20"/>
                <w:vertAlign w:val="superscript"/>
              </w:rPr>
              <w:t>5</w:t>
            </w:r>
          </w:p>
        </w:tc>
        <w:tc>
          <w:tcPr>
            <w:tcW w:w="649" w:type="pct"/>
            <w:vAlign w:val="center"/>
          </w:tcPr>
          <w:p w14:paraId="36236C85" w14:textId="6F17EEDD" w:rsidR="0041696C" w:rsidRPr="00334471" w:rsidRDefault="00EB4495" w:rsidP="00C5577E">
            <w:pPr>
              <w:pStyle w:val="TableText0"/>
              <w:jc w:val="center"/>
              <w:rPr>
                <w:b/>
                <w:bCs w:val="0"/>
                <w:szCs w:val="20"/>
                <w:highlight w:val="lightGray"/>
              </w:rPr>
            </w:pPr>
            <w:r w:rsidRPr="00EB4495">
              <w:rPr>
                <w:rFonts w:hint="eastAsia"/>
                <w:b/>
                <w:bCs w:val="0"/>
                <w:color w:val="000000" w:themeColor="text1"/>
                <w:w w:val="15"/>
                <w:szCs w:val="20"/>
                <w:shd w:val="solid" w:color="000000" w:fill="000000"/>
                <w:fitText w:val="63" w:id="-1435823615"/>
                <w14:textFill>
                  <w14:solidFill>
                    <w14:schemeClr w14:val="tx1">
                      <w14:alpha w14:val="100000"/>
                    </w14:schemeClr>
                  </w14:solidFill>
                </w14:textFill>
              </w:rPr>
              <w:t xml:space="preserve">　</w:t>
            </w:r>
            <w:r w:rsidRPr="00EB4495">
              <w:rPr>
                <w:b/>
                <w:bCs w:val="0"/>
                <w:color w:val="000000" w:themeColor="text1"/>
                <w:w w:val="15"/>
                <w:szCs w:val="20"/>
                <w:shd w:val="solid" w:color="000000" w:fill="000000"/>
                <w:fitText w:val="63" w:id="-1435823615"/>
                <w14:textFill>
                  <w14:solidFill>
                    <w14:schemeClr w14:val="tx1">
                      <w14:alpha w14:val="100000"/>
                    </w14:schemeClr>
                  </w14:solidFill>
                </w14:textFill>
              </w:rPr>
              <w:t>|</w:t>
            </w:r>
            <w:r w:rsidRPr="00EB4495">
              <w:rPr>
                <w:rFonts w:hint="eastAsia"/>
                <w:b/>
                <w:bCs w:val="0"/>
                <w:color w:val="000000" w:themeColor="text1"/>
                <w:spacing w:val="-3"/>
                <w:w w:val="15"/>
                <w:szCs w:val="20"/>
                <w:shd w:val="solid" w:color="000000" w:fill="000000"/>
                <w:fitText w:val="63" w:id="-1435823615"/>
                <w14:textFill>
                  <w14:solidFill>
                    <w14:schemeClr w14:val="tx1">
                      <w14:alpha w14:val="100000"/>
                    </w14:schemeClr>
                  </w14:solidFill>
                </w14:textFill>
              </w:rPr>
              <w:t xml:space="preserve">　</w:t>
            </w:r>
            <w:r w:rsidR="00C32937" w:rsidRPr="00C32937">
              <w:rPr>
                <w:b/>
                <w:bCs w:val="0"/>
                <w:color w:val="000000" w:themeColor="text1"/>
                <w:szCs w:val="20"/>
                <w:vertAlign w:val="superscript"/>
              </w:rPr>
              <w:t>5</w:t>
            </w:r>
          </w:p>
        </w:tc>
      </w:tr>
    </w:tbl>
    <w:p w14:paraId="623B70DC" w14:textId="5F36C155" w:rsidR="00AC36A2" w:rsidRPr="00E5131A" w:rsidRDefault="00AC36A2" w:rsidP="00AC36A2">
      <w:pPr>
        <w:pStyle w:val="TableFigureFooter"/>
        <w:rPr>
          <w:rStyle w:val="CommentReference"/>
          <w:snapToGrid/>
          <w:sz w:val="18"/>
          <w:szCs w:val="18"/>
        </w:rPr>
      </w:pPr>
      <w:r w:rsidRPr="00E5131A">
        <w:rPr>
          <w:szCs w:val="18"/>
        </w:rPr>
        <w:t xml:space="preserve">Source: </w:t>
      </w:r>
      <w:r w:rsidRPr="00E5131A">
        <w:rPr>
          <w:rFonts w:eastAsiaTheme="minorHAnsi" w:cs="Tahoma"/>
          <w:bCs/>
          <w:color w:val="000000"/>
          <w:szCs w:val="18"/>
          <w:lang w:eastAsia="en-GB"/>
        </w:rPr>
        <w:t xml:space="preserve">Table 89, p145, Table 90, p 145, Table 91, p146, </w:t>
      </w:r>
      <w:r w:rsidRPr="00E5131A">
        <w:rPr>
          <w:szCs w:val="18"/>
        </w:rPr>
        <w:t>Table 93, p147 of the submission</w:t>
      </w:r>
    </w:p>
    <w:p w14:paraId="3F5DD53A" w14:textId="70C48263" w:rsidR="00644839" w:rsidRPr="0010205E" w:rsidRDefault="009D15AF" w:rsidP="00AC36A2">
      <w:pPr>
        <w:pStyle w:val="TableFigureFooter"/>
        <w:rPr>
          <w:szCs w:val="18"/>
        </w:rPr>
      </w:pPr>
      <w:r w:rsidRPr="0010205E">
        <w:rPr>
          <w:szCs w:val="18"/>
        </w:rPr>
        <w:t xml:space="preserve">Notes: </w:t>
      </w:r>
    </w:p>
    <w:p w14:paraId="7977968B" w14:textId="5565C1C2" w:rsidR="00644839" w:rsidRPr="008C7EE4" w:rsidRDefault="00644839" w:rsidP="00AC36A2">
      <w:pPr>
        <w:pStyle w:val="TableFigureFooter"/>
        <w:rPr>
          <w:szCs w:val="18"/>
        </w:rPr>
      </w:pPr>
      <w:r w:rsidRPr="0010205E">
        <w:rPr>
          <w:szCs w:val="18"/>
        </w:rPr>
        <w:t xml:space="preserve">a: The </w:t>
      </w:r>
      <w:r w:rsidRPr="008C7EE4">
        <w:rPr>
          <w:szCs w:val="18"/>
        </w:rPr>
        <w:t>submission estim</w:t>
      </w:r>
      <w:r w:rsidR="00AE3F30" w:rsidRPr="008C7EE4">
        <w:rPr>
          <w:szCs w:val="18"/>
        </w:rPr>
        <w:t>ated patient years</w:t>
      </w:r>
      <w:r w:rsidR="00613E95" w:rsidRPr="008C7EE4">
        <w:rPr>
          <w:szCs w:val="18"/>
        </w:rPr>
        <w:t xml:space="preserve"> </w:t>
      </w:r>
      <w:r w:rsidR="00C43B78" w:rsidRPr="008C7EE4">
        <w:rPr>
          <w:szCs w:val="18"/>
        </w:rPr>
        <w:t>in Years 2 to 6</w:t>
      </w:r>
      <w:r w:rsidR="00AE3F30" w:rsidRPr="008C7EE4">
        <w:rPr>
          <w:szCs w:val="18"/>
        </w:rPr>
        <w:t xml:space="preserve"> based on the assumed mean duration of treatment of 18.1 months</w:t>
      </w:r>
      <w:r w:rsidR="00C01140" w:rsidRPr="008C7EE4">
        <w:rPr>
          <w:szCs w:val="18"/>
        </w:rPr>
        <w:t>.</w:t>
      </w:r>
    </w:p>
    <w:p w14:paraId="1D6590F9" w14:textId="0E21E343" w:rsidR="00AC36A2" w:rsidRPr="008C7EE4" w:rsidRDefault="00644839" w:rsidP="00AC36A2">
      <w:pPr>
        <w:pStyle w:val="TableFigureFooter"/>
        <w:rPr>
          <w:szCs w:val="18"/>
        </w:rPr>
      </w:pPr>
      <w:r w:rsidRPr="008C7EE4">
        <w:rPr>
          <w:szCs w:val="18"/>
        </w:rPr>
        <w:t xml:space="preserve">b: </w:t>
      </w:r>
      <w:r w:rsidR="00AC36A2" w:rsidRPr="008C7EE4">
        <w:rPr>
          <w:szCs w:val="18"/>
        </w:rPr>
        <w:t xml:space="preserve">Assuming 11.74 </w:t>
      </w:r>
      <w:r w:rsidR="00E135CE" w:rsidRPr="008C7EE4">
        <w:rPr>
          <w:szCs w:val="18"/>
        </w:rPr>
        <w:t>prescriptions</w:t>
      </w:r>
      <w:r w:rsidR="00AC36A2" w:rsidRPr="008C7EE4">
        <w:rPr>
          <w:szCs w:val="18"/>
        </w:rPr>
        <w:t xml:space="preserve"> per treatment duration as estimated by the submission</w:t>
      </w:r>
      <w:r w:rsidR="00C01140" w:rsidRPr="008C7EE4">
        <w:rPr>
          <w:szCs w:val="18"/>
        </w:rPr>
        <w:t xml:space="preserve">, based on the mean duration </w:t>
      </w:r>
      <w:r w:rsidR="00613E95" w:rsidRPr="008C7EE4">
        <w:rPr>
          <w:szCs w:val="18"/>
        </w:rPr>
        <w:t>of</w:t>
      </w:r>
      <w:r w:rsidR="00C01140" w:rsidRPr="008C7EE4">
        <w:rPr>
          <w:szCs w:val="18"/>
        </w:rPr>
        <w:t xml:space="preserve"> treatment of 18.1</w:t>
      </w:r>
      <w:r w:rsidR="00E5131A" w:rsidRPr="008C7EE4">
        <w:rPr>
          <w:szCs w:val="18"/>
        </w:rPr>
        <w:t> </w:t>
      </w:r>
      <w:r w:rsidR="00C01140" w:rsidRPr="008C7EE4">
        <w:rPr>
          <w:szCs w:val="18"/>
        </w:rPr>
        <w:t>months</w:t>
      </w:r>
      <w:r w:rsidR="00BB1E0F" w:rsidRPr="008C7EE4">
        <w:rPr>
          <w:szCs w:val="18"/>
        </w:rPr>
        <w:t>, assuming 21 packs of oral azacitidine</w:t>
      </w:r>
      <w:r w:rsidR="00EA0A0E" w:rsidRPr="008C7EE4">
        <w:rPr>
          <w:szCs w:val="18"/>
        </w:rPr>
        <w:t xml:space="preserve"> per </w:t>
      </w:r>
      <w:r w:rsidR="00E135CE" w:rsidRPr="008C7EE4">
        <w:rPr>
          <w:szCs w:val="18"/>
        </w:rPr>
        <w:t>prescription</w:t>
      </w:r>
      <w:r w:rsidR="00EA0A0E" w:rsidRPr="008C7EE4">
        <w:rPr>
          <w:szCs w:val="18"/>
        </w:rPr>
        <w:t xml:space="preserve"> and a compliance rate of 0.896 (based on relative dose intensity in QUAZAR).</w:t>
      </w:r>
    </w:p>
    <w:p w14:paraId="27A73DA4" w14:textId="4196C155" w:rsidR="000C5C16" w:rsidRDefault="000C5C16" w:rsidP="00BE331F">
      <w:pPr>
        <w:pStyle w:val="TableFigureFooter"/>
        <w:spacing w:after="240"/>
        <w:rPr>
          <w:szCs w:val="18"/>
        </w:rPr>
      </w:pPr>
      <w:r w:rsidRPr="008C7EE4">
        <w:rPr>
          <w:szCs w:val="18"/>
        </w:rPr>
        <w:t>c: Updated from results presented in the PSCR to account for reduced maximum quantity (14, instead of 21) and the associated change in the total number of prescriptions per treatment duration (17.61, instead of 11.74).</w:t>
      </w:r>
    </w:p>
    <w:p w14:paraId="4F83AE3F" w14:textId="09C094F6" w:rsidR="00C32937" w:rsidRDefault="00C32937" w:rsidP="00BE331F">
      <w:pPr>
        <w:pStyle w:val="TableFigureFooter"/>
        <w:spacing w:after="240"/>
        <w:rPr>
          <w:szCs w:val="18"/>
        </w:rPr>
      </w:pPr>
    </w:p>
    <w:p w14:paraId="180C9F65" w14:textId="77777777" w:rsidR="00C32937" w:rsidRPr="0014238F" w:rsidRDefault="00C32937" w:rsidP="00C32937">
      <w:pPr>
        <w:pStyle w:val="TableFigureFooter"/>
        <w:keepNext/>
        <w:spacing w:after="0"/>
        <w:contextualSpacing w:val="0"/>
        <w:rPr>
          <w:i/>
        </w:rPr>
      </w:pPr>
      <w:r w:rsidRPr="0014238F">
        <w:rPr>
          <w:i/>
        </w:rPr>
        <w:t>The redacted values correspond to the following ranges:</w:t>
      </w:r>
    </w:p>
    <w:p w14:paraId="3C1F4E53" w14:textId="3B476FE0" w:rsidR="00C32937" w:rsidRPr="00C32937" w:rsidRDefault="00C32937" w:rsidP="00BE331F">
      <w:pPr>
        <w:pStyle w:val="TableFigureFooter"/>
        <w:spacing w:after="240"/>
        <w:rPr>
          <w:i/>
          <w:iCs/>
          <w:szCs w:val="18"/>
        </w:rPr>
      </w:pPr>
      <w:r w:rsidRPr="00C32937">
        <w:rPr>
          <w:i/>
          <w:iCs/>
          <w:szCs w:val="18"/>
          <w:vertAlign w:val="superscript"/>
        </w:rPr>
        <w:t>1</w:t>
      </w:r>
      <w:r w:rsidRPr="00C32937">
        <w:rPr>
          <w:i/>
          <w:iCs/>
        </w:rPr>
        <w:t>&lt; 500</w:t>
      </w:r>
    </w:p>
    <w:p w14:paraId="3E9BAD48" w14:textId="053E2354" w:rsidR="00C32937" w:rsidRPr="00C32937" w:rsidRDefault="00C32937" w:rsidP="00BE331F">
      <w:pPr>
        <w:pStyle w:val="TableFigureFooter"/>
        <w:spacing w:after="240"/>
        <w:rPr>
          <w:i/>
          <w:iCs/>
          <w:szCs w:val="18"/>
        </w:rPr>
      </w:pPr>
      <w:r w:rsidRPr="00C32937">
        <w:rPr>
          <w:i/>
          <w:iCs/>
          <w:szCs w:val="18"/>
          <w:vertAlign w:val="superscript"/>
        </w:rPr>
        <w:t>2</w:t>
      </w:r>
      <w:r w:rsidRPr="00C32937">
        <w:rPr>
          <w:i/>
          <w:iCs/>
          <w:szCs w:val="18"/>
        </w:rPr>
        <w:t>500 to &lt; 5000</w:t>
      </w:r>
    </w:p>
    <w:p w14:paraId="02AB6F46" w14:textId="6447378D" w:rsidR="00C32937" w:rsidRPr="00C32937" w:rsidRDefault="00C32937" w:rsidP="00BE331F">
      <w:pPr>
        <w:pStyle w:val="TableFigureFooter"/>
        <w:spacing w:after="240"/>
        <w:rPr>
          <w:i/>
          <w:iCs/>
          <w:szCs w:val="18"/>
        </w:rPr>
      </w:pPr>
      <w:r w:rsidRPr="00C32937">
        <w:rPr>
          <w:i/>
          <w:iCs/>
          <w:szCs w:val="18"/>
          <w:vertAlign w:val="superscript"/>
        </w:rPr>
        <w:t>3</w:t>
      </w:r>
      <w:r w:rsidRPr="00C32937">
        <w:rPr>
          <w:i/>
          <w:iCs/>
          <w:szCs w:val="18"/>
        </w:rPr>
        <w:t>5000 to &lt; 10,000</w:t>
      </w:r>
    </w:p>
    <w:p w14:paraId="1B2B02BA" w14:textId="1CBF5E39" w:rsidR="00C32937" w:rsidRPr="00C32937" w:rsidRDefault="00C32937" w:rsidP="00BE331F">
      <w:pPr>
        <w:pStyle w:val="TableFigureFooter"/>
        <w:spacing w:after="240"/>
        <w:rPr>
          <w:i/>
          <w:iCs/>
          <w:szCs w:val="18"/>
        </w:rPr>
      </w:pPr>
      <w:r w:rsidRPr="00C32937">
        <w:rPr>
          <w:i/>
          <w:iCs/>
          <w:szCs w:val="18"/>
          <w:vertAlign w:val="superscript"/>
        </w:rPr>
        <w:t>4</w:t>
      </w:r>
      <w:r w:rsidRPr="00C32937">
        <w:rPr>
          <w:i/>
          <w:iCs/>
          <w:szCs w:val="18"/>
        </w:rPr>
        <w:t>$0 to &lt; $10 million</w:t>
      </w:r>
    </w:p>
    <w:p w14:paraId="748E61A2" w14:textId="5CF0A743" w:rsidR="00C32937" w:rsidRPr="00C32937" w:rsidRDefault="00C32937" w:rsidP="00BE331F">
      <w:pPr>
        <w:pStyle w:val="TableFigureFooter"/>
        <w:spacing w:after="240"/>
        <w:rPr>
          <w:i/>
          <w:iCs/>
          <w:szCs w:val="18"/>
        </w:rPr>
      </w:pPr>
      <w:r w:rsidRPr="00C32937">
        <w:rPr>
          <w:i/>
          <w:iCs/>
          <w:szCs w:val="18"/>
          <w:vertAlign w:val="superscript"/>
        </w:rPr>
        <w:t>5</w:t>
      </w:r>
      <w:r w:rsidRPr="00C32937">
        <w:rPr>
          <w:i/>
          <w:iCs/>
          <w:szCs w:val="18"/>
        </w:rPr>
        <w:t>$10 million to &lt; $20 million</w:t>
      </w:r>
    </w:p>
    <w:p w14:paraId="174D8BF6" w14:textId="2B565BBC" w:rsidR="00C32937" w:rsidRPr="00C32937" w:rsidRDefault="00C32937" w:rsidP="00BE331F">
      <w:pPr>
        <w:pStyle w:val="TableFigureFooter"/>
        <w:spacing w:after="240"/>
        <w:rPr>
          <w:i/>
          <w:iCs/>
          <w:szCs w:val="18"/>
        </w:rPr>
      </w:pPr>
      <w:r w:rsidRPr="00C32937">
        <w:rPr>
          <w:i/>
          <w:iCs/>
          <w:szCs w:val="18"/>
          <w:vertAlign w:val="superscript"/>
        </w:rPr>
        <w:t>6</w:t>
      </w:r>
      <w:r w:rsidRPr="00C32937">
        <w:rPr>
          <w:i/>
          <w:iCs/>
          <w:szCs w:val="18"/>
        </w:rPr>
        <w:t>$20 million to &lt; $30 million</w:t>
      </w:r>
    </w:p>
    <w:p w14:paraId="5C776D42" w14:textId="43940DDC" w:rsidR="00AC36A2" w:rsidRPr="0010205E" w:rsidRDefault="00AC36A2" w:rsidP="00AC36A2">
      <w:pPr>
        <w:pStyle w:val="3-BodyText"/>
      </w:pPr>
      <w:r w:rsidRPr="0010205E">
        <w:t>The</w:t>
      </w:r>
      <w:r w:rsidR="0041696C" w:rsidRPr="0010205E">
        <w:t xml:space="preserve"> </w:t>
      </w:r>
      <w:r w:rsidR="00CE31E7">
        <w:t>corrected</w:t>
      </w:r>
      <w:r w:rsidR="00CE31E7" w:rsidRPr="0010205E">
        <w:t xml:space="preserve"> </w:t>
      </w:r>
      <w:r w:rsidR="00CE31E7">
        <w:t xml:space="preserve">PSCR </w:t>
      </w:r>
      <w:r w:rsidR="0041696C" w:rsidRPr="0010205E">
        <w:t>estimates</w:t>
      </w:r>
      <w:r w:rsidR="00EC05C1" w:rsidRPr="0010205E">
        <w:t>,</w:t>
      </w:r>
      <w:r w:rsidR="000C5C16" w:rsidRPr="0010205E">
        <w:t xml:space="preserve"> updated to account for the reduction in the </w:t>
      </w:r>
      <w:r w:rsidR="00EC05C1" w:rsidRPr="0010205E">
        <w:t xml:space="preserve">proposed </w:t>
      </w:r>
      <w:r w:rsidR="000C5C16" w:rsidRPr="0010205E">
        <w:t>maximum quantity</w:t>
      </w:r>
      <w:r w:rsidR="00EC05C1" w:rsidRPr="0010205E">
        <w:t>,</w:t>
      </w:r>
      <w:r w:rsidR="000C5C16" w:rsidRPr="0010205E">
        <w:t xml:space="preserve"> </w:t>
      </w:r>
      <w:r w:rsidR="00E135CE" w:rsidRPr="0010205E">
        <w:t xml:space="preserve">estimated that the </w:t>
      </w:r>
      <w:r w:rsidRPr="0010205E">
        <w:t xml:space="preserve">total cost to the PBS/RPBS of listing oral azacitidine was </w:t>
      </w:r>
      <w:r w:rsidR="00C32937" w:rsidRPr="00C32937">
        <w:t>$10</w:t>
      </w:r>
      <w:r w:rsidR="001923C0">
        <w:t> </w:t>
      </w:r>
      <w:r w:rsidR="00C32937" w:rsidRPr="00C32937">
        <w:t>million</w:t>
      </w:r>
      <w:r w:rsidR="001923C0">
        <w:t> </w:t>
      </w:r>
      <w:r w:rsidR="00C32937" w:rsidRPr="00C32937">
        <w:t>to</w:t>
      </w:r>
      <w:r w:rsidR="001923C0">
        <w:t> </w:t>
      </w:r>
      <w:r w:rsidR="00C32937" w:rsidRPr="00C32937">
        <w:t>&lt;</w:t>
      </w:r>
      <w:r w:rsidR="001923C0">
        <w:t> </w:t>
      </w:r>
      <w:r w:rsidR="00C32937" w:rsidRPr="00C32937">
        <w:t>$20 million</w:t>
      </w:r>
      <w:r w:rsidR="00C32937">
        <w:t xml:space="preserve"> </w:t>
      </w:r>
      <w:r w:rsidRPr="0010205E">
        <w:t xml:space="preserve">in Year 6, and </w:t>
      </w:r>
      <w:r w:rsidR="00C32937" w:rsidRPr="00C32937">
        <w:t>$70</w:t>
      </w:r>
      <w:r w:rsidR="001923C0">
        <w:t> </w:t>
      </w:r>
      <w:r w:rsidR="00C32937" w:rsidRPr="00C32937">
        <w:t>million</w:t>
      </w:r>
      <w:r w:rsidR="001923C0">
        <w:t> </w:t>
      </w:r>
      <w:r w:rsidR="00C32937" w:rsidRPr="00C32937">
        <w:t>to</w:t>
      </w:r>
      <w:r w:rsidR="001923C0">
        <w:t> </w:t>
      </w:r>
      <w:r w:rsidR="00C32937" w:rsidRPr="00C32937">
        <w:t>&lt;</w:t>
      </w:r>
      <w:r w:rsidR="001923C0">
        <w:t> </w:t>
      </w:r>
      <w:r w:rsidR="00C32937" w:rsidRPr="00C32937">
        <w:t>$80 million</w:t>
      </w:r>
      <w:r w:rsidRPr="0010205E">
        <w:t xml:space="preserve"> </w:t>
      </w:r>
      <w:r w:rsidR="00E135CE" w:rsidRPr="0010205E">
        <w:t>over t</w:t>
      </w:r>
      <w:r w:rsidRPr="0010205E">
        <w:t>he first 6 years of listing.</w:t>
      </w:r>
      <w:r w:rsidR="0041696C" w:rsidRPr="0010205E">
        <w:t xml:space="preserve"> </w:t>
      </w:r>
    </w:p>
    <w:p w14:paraId="2B17A2C3" w14:textId="77777777" w:rsidR="004E77F2" w:rsidRDefault="00B33048" w:rsidP="00AC36A2">
      <w:pPr>
        <w:pStyle w:val="3-BodyText"/>
      </w:pPr>
      <w:r>
        <w:t xml:space="preserve">The submission assumed </w:t>
      </w:r>
      <w:r w:rsidRPr="008C7EE4">
        <w:t>that 81.5% of</w:t>
      </w:r>
      <w:r>
        <w:t xml:space="preserve"> patients would not receive a HSCT</w:t>
      </w:r>
      <w:r w:rsidRPr="00B33048">
        <w:t>, based on</w:t>
      </w:r>
      <w:r w:rsidR="004E77F2">
        <w:t>:</w:t>
      </w:r>
    </w:p>
    <w:p w14:paraId="5604CD5A" w14:textId="6D649148" w:rsidR="004E77F2" w:rsidRDefault="004E77F2" w:rsidP="004E77F2">
      <w:pPr>
        <w:pStyle w:val="3-BodyText"/>
        <w:numPr>
          <w:ilvl w:val="0"/>
          <w:numId w:val="39"/>
        </w:numPr>
      </w:pPr>
      <w:r>
        <w:t xml:space="preserve">Advice from an AML clinician </w:t>
      </w:r>
      <w:r w:rsidRPr="008C7EE4">
        <w:t>that 30 to 45% (</w:t>
      </w:r>
      <w:r w:rsidR="00BE331F" w:rsidRPr="008C7EE4">
        <w:t xml:space="preserve">the </w:t>
      </w:r>
      <w:r w:rsidRPr="008C7EE4">
        <w:t>mid-point of 37.5%</w:t>
      </w:r>
      <w:r w:rsidR="00BE331F" w:rsidRPr="008C7EE4">
        <w:t xml:space="preserve"> was used</w:t>
      </w:r>
      <w:r w:rsidRPr="008C7EE4">
        <w:t xml:space="preserve">) of those patients who </w:t>
      </w:r>
      <w:r w:rsidR="00B33048" w:rsidRPr="008C7EE4">
        <w:t xml:space="preserve">are fit for intensive chemotherapy (61%) </w:t>
      </w:r>
      <w:r w:rsidRPr="008C7EE4">
        <w:t>would</w:t>
      </w:r>
      <w:r w:rsidR="00B33048" w:rsidRPr="008C7EE4">
        <w:t xml:space="preserve"> receive a HSCT (i.e. 77.1%</w:t>
      </w:r>
      <w:r w:rsidRPr="008C7EE4">
        <w:t xml:space="preserve"> of all AML patients</w:t>
      </w:r>
      <w:r w:rsidR="00B33048" w:rsidRPr="008C7EE4">
        <w:t>)</w:t>
      </w:r>
      <w:r w:rsidRPr="008C7EE4">
        <w:t xml:space="preserve">, which aligned with </w:t>
      </w:r>
      <w:r w:rsidR="00B33048" w:rsidRPr="008C7EE4">
        <w:t xml:space="preserve">Nivison-Smith et al (2019) who found that </w:t>
      </w:r>
      <w:r w:rsidRPr="008C7EE4">
        <w:t>79.3% of AML patients in Australia and New Zealand between 2005</w:t>
      </w:r>
      <w:r w:rsidR="007A20FA" w:rsidRPr="008C7EE4">
        <w:t xml:space="preserve"> and </w:t>
      </w:r>
      <w:r w:rsidRPr="008C7EE4">
        <w:t>2013 did</w:t>
      </w:r>
      <w:r w:rsidR="00B33048" w:rsidRPr="008C7EE4">
        <w:t xml:space="preserve"> not receive a HSCT. </w:t>
      </w:r>
      <w:r w:rsidR="003E2D57" w:rsidRPr="008C7EE4">
        <w:t>The submission used the mid-point of these two estimates (78.2%)</w:t>
      </w:r>
      <w:r w:rsidR="00F55241" w:rsidRPr="008C7EE4">
        <w:t>. The PBAC</w:t>
      </w:r>
      <w:r w:rsidR="00F55241">
        <w:t xml:space="preserve"> noted that </w:t>
      </w:r>
      <w:r w:rsidR="00F55241" w:rsidRPr="00B33048">
        <w:t>Nivison-Smith et al (2019)</w:t>
      </w:r>
      <w:r w:rsidR="00F55241">
        <w:t xml:space="preserve"> was based on patients treated between </w:t>
      </w:r>
      <w:r w:rsidR="00F55241" w:rsidRPr="004E77F2">
        <w:t>2005</w:t>
      </w:r>
      <w:r w:rsidR="00F55241">
        <w:t xml:space="preserve"> and </w:t>
      </w:r>
      <w:r w:rsidR="00F55241" w:rsidRPr="004E77F2">
        <w:t>2013</w:t>
      </w:r>
      <w:r w:rsidR="00F55241">
        <w:t xml:space="preserve"> and may not reflect the </w:t>
      </w:r>
      <w:r w:rsidR="00F55241">
        <w:rPr>
          <w:lang w:val="en-GB"/>
        </w:rPr>
        <w:t>increasing use of haploidentical transplant</w:t>
      </w:r>
      <w:r w:rsidR="003E2D57">
        <w:t>;</w:t>
      </w:r>
    </w:p>
    <w:p w14:paraId="611BC05E" w14:textId="4B454709" w:rsidR="00B33048" w:rsidRPr="008C7EE4" w:rsidRDefault="00B33048" w:rsidP="004E77F2">
      <w:pPr>
        <w:pStyle w:val="3-BodyText"/>
        <w:numPr>
          <w:ilvl w:val="0"/>
          <w:numId w:val="39"/>
        </w:numPr>
      </w:pPr>
      <w:r w:rsidRPr="00B33048">
        <w:t xml:space="preserve">In addition, </w:t>
      </w:r>
      <w:r w:rsidR="004E77F2">
        <w:t xml:space="preserve">the submission stated that </w:t>
      </w:r>
      <w:r w:rsidR="004E77F2" w:rsidRPr="004E77F2">
        <w:t xml:space="preserve">because </w:t>
      </w:r>
      <w:r w:rsidR="004E77F2" w:rsidRPr="0010205E">
        <w:t xml:space="preserve">oral azacitidine </w:t>
      </w:r>
      <w:r w:rsidR="004E77F2" w:rsidRPr="004E77F2">
        <w:t xml:space="preserve">provides a longer opportunity to find a suitable donor for HSCT due to the extension in OS and RFS, </w:t>
      </w:r>
      <w:r w:rsidR="004E77F2">
        <w:t xml:space="preserve">a </w:t>
      </w:r>
      <w:r w:rsidR="004E77F2" w:rsidRPr="008C7EE4">
        <w:t>further 15% (based on expert opinion) of those patients who did not have a transplant prior to commencing oral azacitidine may become suitably fit with time and be eligible for a transplant following</w:t>
      </w:r>
      <w:r w:rsidR="003E2D57" w:rsidRPr="008C7EE4">
        <w:t xml:space="preserve"> oral azacitidine treatment. The submission estimated that a total of 3.3% of patients become eligible for transplant after receiving oral azacitidine based on: (100% − 78.2%) </w:t>
      </w:r>
      <w:r w:rsidR="007A20FA" w:rsidRPr="008C7EE4">
        <w:rPr>
          <w:rFonts w:cstheme="minorHAnsi"/>
        </w:rPr>
        <w:t>×</w:t>
      </w:r>
      <w:r w:rsidR="003E2D57" w:rsidRPr="008C7EE4">
        <w:t xml:space="preserve"> 15% = 3.3%. The rational for adding these p</w:t>
      </w:r>
      <w:r w:rsidR="00BE331F" w:rsidRPr="008C7EE4">
        <w:t>atients</w:t>
      </w:r>
      <w:r w:rsidR="003E2D57" w:rsidRPr="008C7EE4">
        <w:t xml:space="preserve"> to the eligible population was unclear. </w:t>
      </w:r>
    </w:p>
    <w:p w14:paraId="2B115CA2" w14:textId="175265A4" w:rsidR="00F55241" w:rsidRDefault="00AC36A2" w:rsidP="00AC36A2">
      <w:pPr>
        <w:pStyle w:val="3-BodyText"/>
      </w:pPr>
      <w:r w:rsidRPr="0010205E">
        <w:t xml:space="preserve">The submission presented a number of sensitivity analyses by varying the input values </w:t>
      </w:r>
      <w:r w:rsidR="00DA02B6" w:rsidRPr="0010205E">
        <w:rPr>
          <w:rFonts w:cstheme="minorHAnsi"/>
        </w:rPr>
        <w:t>±</w:t>
      </w:r>
      <w:r w:rsidRPr="0010205E">
        <w:t>10%</w:t>
      </w:r>
      <w:r w:rsidR="009D15AF" w:rsidRPr="0010205E">
        <w:t xml:space="preserve"> for</w:t>
      </w:r>
      <w:r w:rsidRPr="0010205E">
        <w:t xml:space="preserve"> the following parameters: proportion of patients treated with intensive chemotherapy, proportion of patients with FLT3- and FLT3+ treated with midostaurin, proportion of patients that achieve CR/CRi, proportion of patients that do not receive HSCT</w:t>
      </w:r>
      <w:r w:rsidR="009D15AF" w:rsidRPr="0010205E">
        <w:t xml:space="preserve"> and the</w:t>
      </w:r>
      <w:r w:rsidRPr="0010205E">
        <w:t xml:space="preserve"> assumed uptake rate per year</w:t>
      </w:r>
      <w:r w:rsidR="009D15AF" w:rsidRPr="0010205E">
        <w:t>.</w:t>
      </w:r>
      <w:r w:rsidR="00D3360E" w:rsidRPr="0010205E">
        <w:t xml:space="preserve"> </w:t>
      </w:r>
      <w:r w:rsidR="00E135CE" w:rsidRPr="0010205E">
        <w:t>T</w:t>
      </w:r>
      <w:r w:rsidR="00067DCE" w:rsidRPr="0010205E">
        <w:t xml:space="preserve">he sensitivity analyses </w:t>
      </w:r>
      <w:r w:rsidR="00E135CE" w:rsidRPr="0010205E">
        <w:t>resulted in</w:t>
      </w:r>
      <w:r w:rsidR="00692F11" w:rsidRPr="0010205E">
        <w:t xml:space="preserve"> change</w:t>
      </w:r>
      <w:r w:rsidR="00E135CE" w:rsidRPr="0010205E">
        <w:t>s</w:t>
      </w:r>
      <w:r w:rsidR="00692F11" w:rsidRPr="0010205E">
        <w:t xml:space="preserve"> of between</w:t>
      </w:r>
      <w:r w:rsidR="00591C8E" w:rsidRPr="0010205E">
        <w:t xml:space="preserve"> </w:t>
      </w:r>
      <w:r w:rsidR="00591C8E" w:rsidRPr="0010205E">
        <w:rPr>
          <w:rFonts w:cstheme="minorHAnsi"/>
        </w:rPr>
        <w:t>±</w:t>
      </w:r>
      <w:r w:rsidR="00692F11" w:rsidRPr="0010205E">
        <w:t xml:space="preserve"> 11%</w:t>
      </w:r>
      <w:r w:rsidR="00010E66" w:rsidRPr="0010205E">
        <w:t xml:space="preserve"> to </w:t>
      </w:r>
      <w:r w:rsidR="00591C8E" w:rsidRPr="0010205E">
        <w:rPr>
          <w:rFonts w:cstheme="minorHAnsi"/>
        </w:rPr>
        <w:t>±</w:t>
      </w:r>
      <w:r w:rsidR="00010E66" w:rsidRPr="0010205E">
        <w:t xml:space="preserve"> 33%. A </w:t>
      </w:r>
      <w:r w:rsidR="00AC0DFC" w:rsidRPr="0010205E">
        <w:t>sensitivity</w:t>
      </w:r>
      <w:r w:rsidR="00010E66" w:rsidRPr="0010205E">
        <w:t xml:space="preserve"> analysis conducted during </w:t>
      </w:r>
      <w:r w:rsidR="005D2E81" w:rsidRPr="0010205E">
        <w:t xml:space="preserve">the </w:t>
      </w:r>
      <w:r w:rsidR="00AC0DFC" w:rsidRPr="0010205E">
        <w:t>evaluation</w:t>
      </w:r>
      <w:r w:rsidR="00010E66" w:rsidRPr="0010205E">
        <w:t xml:space="preserve"> </w:t>
      </w:r>
      <w:r w:rsidR="00B4284F" w:rsidRPr="0010205E">
        <w:t>applying a</w:t>
      </w:r>
      <w:r w:rsidR="00010E66" w:rsidRPr="0010205E">
        <w:t xml:space="preserve"> C</w:t>
      </w:r>
      <w:r w:rsidR="00AC0DFC" w:rsidRPr="0010205E">
        <w:t>R</w:t>
      </w:r>
      <w:r w:rsidR="00010E66" w:rsidRPr="0010205E">
        <w:t>/CRi rate of 54%</w:t>
      </w:r>
      <w:r w:rsidR="00B4284F" w:rsidRPr="0010205E">
        <w:t xml:space="preserve"> </w:t>
      </w:r>
      <w:r w:rsidR="00A10BE6" w:rsidRPr="0010205E">
        <w:t xml:space="preserve">(from Chua et al., </w:t>
      </w:r>
      <w:r w:rsidR="001C46EE" w:rsidRPr="0010205E">
        <w:t>2020</w:t>
      </w:r>
      <w:r w:rsidR="00A10BE6" w:rsidRPr="0010205E">
        <w:t xml:space="preserve">) showed that there was a </w:t>
      </w:r>
      <w:r w:rsidR="00591C8E" w:rsidRPr="0010205E">
        <w:t xml:space="preserve">32% </w:t>
      </w:r>
      <w:r w:rsidR="00A10BE6" w:rsidRPr="0010205E">
        <w:t xml:space="preserve">decrease in </w:t>
      </w:r>
      <w:r w:rsidR="00B4284F" w:rsidRPr="0010205E">
        <w:t xml:space="preserve">cost to the </w:t>
      </w:r>
      <w:r w:rsidR="00A10BE6" w:rsidRPr="0010205E">
        <w:t>PBS/RP</w:t>
      </w:r>
      <w:r w:rsidR="00591C8E" w:rsidRPr="0010205E">
        <w:t>B</w:t>
      </w:r>
      <w:r w:rsidR="00A10BE6" w:rsidRPr="0010205E">
        <w:t xml:space="preserve">S </w:t>
      </w:r>
      <w:r w:rsidR="00B4284F" w:rsidRPr="0010205E">
        <w:t>compared</w:t>
      </w:r>
      <w:r w:rsidR="00AC0DFC" w:rsidRPr="0010205E">
        <w:t xml:space="preserve"> to </w:t>
      </w:r>
      <w:r w:rsidR="00B4284F" w:rsidRPr="0010205E">
        <w:t xml:space="preserve">the </w:t>
      </w:r>
      <w:r w:rsidR="00AC0DFC" w:rsidRPr="0010205E">
        <w:t>base case.</w:t>
      </w:r>
      <w:r w:rsidR="00692F11" w:rsidRPr="0010205E">
        <w:t xml:space="preserve"> </w:t>
      </w:r>
    </w:p>
    <w:p w14:paraId="26A48ABE" w14:textId="42F465D6" w:rsidR="00AC36A2" w:rsidRPr="0010205E" w:rsidRDefault="005878F9" w:rsidP="00AC36A2">
      <w:pPr>
        <w:pStyle w:val="3-BodyText"/>
      </w:pPr>
      <w:r w:rsidRPr="0010205E">
        <w:t xml:space="preserve">The ESC considered that time on treatment should be consistent </w:t>
      </w:r>
      <w:r w:rsidR="00110BCA">
        <w:t xml:space="preserve">between </w:t>
      </w:r>
      <w:r w:rsidRPr="0010205E">
        <w:t>the economic model</w:t>
      </w:r>
      <w:r w:rsidR="00110BCA">
        <w:t xml:space="preserve"> and financial estimates</w:t>
      </w:r>
      <w:r w:rsidRPr="0010205E">
        <w:t xml:space="preserve">, i.e. based on </w:t>
      </w:r>
      <w:r w:rsidR="00E5131A">
        <w:t>Kaplan–Meier</w:t>
      </w:r>
      <w:r w:rsidRPr="0010205E">
        <w:t xml:space="preserve"> data from the QUAZAR trial.</w:t>
      </w:r>
      <w:r w:rsidR="00F55241">
        <w:t xml:space="preserve"> The PBAC noted that</w:t>
      </w:r>
      <w:r w:rsidR="00110BCA">
        <w:t xml:space="preserve"> this inconsistency would be resolved</w:t>
      </w:r>
      <w:r w:rsidR="00F55241">
        <w:t xml:space="preserve"> </w:t>
      </w:r>
      <w:r w:rsidR="00110BCA">
        <w:t>if the treatment duration in the economic model were corrected (refer to</w:t>
      </w:r>
      <w:r w:rsidR="00110BCA" w:rsidRPr="00110BCA">
        <w:t xml:space="preserve"> </w:t>
      </w:r>
      <w:r w:rsidR="00110BCA">
        <w:rPr>
          <w:lang w:val="en-GB"/>
        </w:rPr>
        <w:t xml:space="preserve">paragraph </w:t>
      </w:r>
      <w:r w:rsidR="00110BCA">
        <w:rPr>
          <w:lang w:val="en-GB"/>
        </w:rPr>
        <w:fldChar w:fldCharType="begin" w:fldLock="1"/>
      </w:r>
      <w:r w:rsidR="00110BCA">
        <w:rPr>
          <w:lang w:val="en-GB"/>
        </w:rPr>
        <w:instrText xml:space="preserve"> REF _Ref110862045 \r \h </w:instrText>
      </w:r>
      <w:r w:rsidR="00110BCA">
        <w:rPr>
          <w:lang w:val="en-GB"/>
        </w:rPr>
      </w:r>
      <w:r w:rsidR="00110BCA">
        <w:rPr>
          <w:lang w:val="en-GB"/>
        </w:rPr>
        <w:fldChar w:fldCharType="separate"/>
      </w:r>
      <w:r w:rsidR="007A20FA">
        <w:rPr>
          <w:lang w:val="en-GB"/>
        </w:rPr>
        <w:t>6.37</w:t>
      </w:r>
      <w:r w:rsidR="00110BCA">
        <w:rPr>
          <w:lang w:val="en-GB"/>
        </w:rPr>
        <w:fldChar w:fldCharType="end"/>
      </w:r>
      <w:r w:rsidR="00110BCA">
        <w:rPr>
          <w:lang w:val="en-GB"/>
        </w:rPr>
        <w:t>).</w:t>
      </w:r>
    </w:p>
    <w:p w14:paraId="116B6B33" w14:textId="0DA60D35" w:rsidR="00AC36A2" w:rsidRPr="00C9624D" w:rsidRDefault="00AC36A2" w:rsidP="00AC36A2">
      <w:pPr>
        <w:pStyle w:val="4-SubsectionHeading"/>
      </w:pPr>
      <w:bookmarkStart w:id="80" w:name="_Toc22897648"/>
      <w:bookmarkStart w:id="81" w:name="_Toc103244687"/>
      <w:r w:rsidRPr="00C9624D">
        <w:t>Quality Use of Medicines</w:t>
      </w:r>
      <w:bookmarkEnd w:id="80"/>
      <w:bookmarkEnd w:id="81"/>
    </w:p>
    <w:p w14:paraId="60FC44A3" w14:textId="3184812B" w:rsidR="00AC36A2" w:rsidRPr="00D649A1" w:rsidRDefault="00AC36A2" w:rsidP="00AC36A2">
      <w:pPr>
        <w:pStyle w:val="3-BodyText"/>
      </w:pPr>
      <w:r w:rsidRPr="00D649A1">
        <w:t>The submission stated that there have been no safety concerns identified in clinical studies specific to the oral formulation of azacitidine. In addition, the injectable form of azacitidine has been registered</w:t>
      </w:r>
      <w:r w:rsidR="00B00262">
        <w:t xml:space="preserve"> and PBS listed</w:t>
      </w:r>
      <w:r w:rsidRPr="00D649A1">
        <w:t xml:space="preserve"> for use in Australia since 2009, with a well-known safety profile. The submission stated that routine pharmacovigilance is considered adequate for oral azacitidine.</w:t>
      </w:r>
    </w:p>
    <w:p w14:paraId="48E21B7F" w14:textId="163C4E5D" w:rsidR="00AC36A2" w:rsidRPr="007F034A" w:rsidRDefault="00AC36A2" w:rsidP="00AC36A2">
      <w:pPr>
        <w:pStyle w:val="3-BodyText"/>
        <w:rPr>
          <w:iCs/>
        </w:rPr>
      </w:pPr>
      <w:r w:rsidRPr="00D649A1">
        <w:t xml:space="preserve">The </w:t>
      </w:r>
      <w:r w:rsidR="004626AA">
        <w:t>approved</w:t>
      </w:r>
      <w:r w:rsidRPr="00D649A1">
        <w:t xml:space="preserve"> P</w:t>
      </w:r>
      <w:r w:rsidR="00E135CE">
        <w:t xml:space="preserve">roduct </w:t>
      </w:r>
      <w:r w:rsidRPr="00D649A1">
        <w:t>I</w:t>
      </w:r>
      <w:r w:rsidR="00E135CE">
        <w:t>nformation</w:t>
      </w:r>
      <w:r w:rsidRPr="00D649A1">
        <w:t xml:space="preserve"> stipulates that oral azacitidine should not be used interchangeably with injectable azacitidine due to differences in the exposure, dose and schedule of treatment. </w:t>
      </w:r>
      <w:r w:rsidR="004626AA" w:rsidRPr="007F034A">
        <w:rPr>
          <w:iCs/>
        </w:rPr>
        <w:t xml:space="preserve"> Despite th</w:t>
      </w:r>
      <w:r w:rsidR="00B56950" w:rsidRPr="007F034A">
        <w:rPr>
          <w:iCs/>
        </w:rPr>
        <w:t>is</w:t>
      </w:r>
      <w:r w:rsidR="004626AA" w:rsidRPr="007F034A">
        <w:rPr>
          <w:iCs/>
        </w:rPr>
        <w:t xml:space="preserve"> statement, there is a possibility of use in patients for whom injectable azacitidine is PBS subsidised, including those with del-5q myelodysplastic syndrome where there is no published data on the use of oral azacitidine. </w:t>
      </w:r>
    </w:p>
    <w:p w14:paraId="2545C1C3" w14:textId="77777777" w:rsidR="00AC36A2" w:rsidRPr="00C9624D" w:rsidRDefault="00AC36A2" w:rsidP="00AC36A2">
      <w:pPr>
        <w:pStyle w:val="4-SubsectionHeading"/>
      </w:pPr>
      <w:bookmarkStart w:id="82" w:name="_Toc22897649"/>
      <w:bookmarkStart w:id="83" w:name="_Toc103244688"/>
      <w:r w:rsidRPr="00C9624D">
        <w:t>Financial Management – Risk Sharing Arrangements</w:t>
      </w:r>
      <w:bookmarkEnd w:id="82"/>
      <w:bookmarkEnd w:id="83"/>
    </w:p>
    <w:p w14:paraId="00271B87" w14:textId="1C1A3343" w:rsidR="00AC36A2" w:rsidRDefault="00AC36A2" w:rsidP="00213149">
      <w:pPr>
        <w:pStyle w:val="ListParagraph"/>
        <w:numPr>
          <w:ilvl w:val="1"/>
          <w:numId w:val="1"/>
        </w:numPr>
        <w:ind w:left="720"/>
      </w:pPr>
      <w:r w:rsidRPr="0095652E">
        <w:t xml:space="preserve">The submission stated that the sponsor is willing to enter a risk-sharing arrangement (RSA) related to expenditure in this disease state, including the potential for subsidisation caps. </w:t>
      </w:r>
    </w:p>
    <w:p w14:paraId="342D530E" w14:textId="7E5F7932" w:rsidR="0010205E" w:rsidRPr="0010205E" w:rsidRDefault="0010205E" w:rsidP="0010205E">
      <w:pPr>
        <w:pStyle w:val="3-BodyText"/>
        <w:numPr>
          <w:ilvl w:val="0"/>
          <w:numId w:val="0"/>
        </w:numPr>
        <w:ind w:left="720"/>
        <w:rPr>
          <w:i/>
          <w:iCs/>
        </w:rPr>
      </w:pPr>
      <w:r w:rsidRPr="0010205E">
        <w:rPr>
          <w:i/>
          <w:iCs/>
        </w:rPr>
        <w:t>For more detail on PBAC’s view, see section 7 PBAC outcome.</w:t>
      </w:r>
    </w:p>
    <w:p w14:paraId="03654206" w14:textId="77777777" w:rsidR="0010205E" w:rsidRPr="0090150D" w:rsidRDefault="0010205E" w:rsidP="0010205E">
      <w:pPr>
        <w:pStyle w:val="2-SectionHeading"/>
      </w:pPr>
      <w:bookmarkStart w:id="84" w:name="_Hlk76381249"/>
      <w:bookmarkStart w:id="85" w:name="_Hlk76377955"/>
      <w:bookmarkEnd w:id="54"/>
      <w:r w:rsidRPr="0090150D">
        <w:t>PBAC Outcome</w:t>
      </w:r>
    </w:p>
    <w:p w14:paraId="4F29CB40" w14:textId="458CA76A" w:rsidR="00957685" w:rsidRDefault="00957685" w:rsidP="0010205E">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did not recommend oral azacitidine as maintenance therapy in patients with acute myeloid leukaemia (AML) who achieve complete remission (CR) or complete remission with incomplete blood count recovery (CRi) following induction chemotherapy with or without consolidation treatment, and who are not candidates for, including those who choose not to proceed to, haematopoietic stem cell transplantation (HSCT). Although the PBAC was satisfied that oral azacitidine provides, for some patients, a significant improvement in efficacy including improved overall survival (OS) and relapse free survival (RFS), the PBAC considered that </w:t>
      </w:r>
      <w:r w:rsidR="004852CC" w:rsidRPr="004852CC">
        <w:rPr>
          <w:rFonts w:asciiTheme="minorHAnsi" w:hAnsiTheme="minorHAnsi"/>
          <w:snapToGrid w:val="0"/>
          <w:lang w:val="en-GB"/>
        </w:rPr>
        <w:t xml:space="preserve">changes to the economic model </w:t>
      </w:r>
      <w:r w:rsidR="004852CC">
        <w:rPr>
          <w:rFonts w:asciiTheme="minorHAnsi" w:hAnsiTheme="minorHAnsi"/>
          <w:snapToGrid w:val="0"/>
          <w:lang w:val="en-GB"/>
        </w:rPr>
        <w:t>parameters</w:t>
      </w:r>
      <w:r w:rsidR="004852CC" w:rsidRPr="004852CC">
        <w:rPr>
          <w:rFonts w:asciiTheme="minorHAnsi" w:hAnsiTheme="minorHAnsi"/>
          <w:snapToGrid w:val="0"/>
          <w:lang w:val="en-GB"/>
        </w:rPr>
        <w:t xml:space="preserve">, including a reduction </w:t>
      </w:r>
      <w:r w:rsidR="004852CC">
        <w:rPr>
          <w:rFonts w:asciiTheme="minorHAnsi" w:hAnsiTheme="minorHAnsi"/>
          <w:snapToGrid w:val="0"/>
          <w:lang w:val="en-GB"/>
        </w:rPr>
        <w:t>to</w:t>
      </w:r>
      <w:r w:rsidR="004852CC" w:rsidRPr="004852CC">
        <w:rPr>
          <w:rFonts w:asciiTheme="minorHAnsi" w:hAnsiTheme="minorHAnsi"/>
          <w:snapToGrid w:val="0"/>
          <w:lang w:val="en-GB"/>
        </w:rPr>
        <w:t xml:space="preserve"> the price of</w:t>
      </w:r>
      <w:r w:rsidR="004852CC">
        <w:rPr>
          <w:rFonts w:asciiTheme="minorHAnsi" w:hAnsiTheme="minorHAnsi"/>
          <w:snapToGrid w:val="0"/>
          <w:lang w:val="en-GB"/>
        </w:rPr>
        <w:t xml:space="preserve"> oral azacitidine</w:t>
      </w:r>
      <w:r w:rsidR="004852CC" w:rsidRPr="004852CC">
        <w:rPr>
          <w:rFonts w:asciiTheme="minorHAnsi" w:hAnsiTheme="minorHAnsi"/>
          <w:snapToGrid w:val="0"/>
          <w:lang w:val="en-GB"/>
        </w:rPr>
        <w:t>, would be required to achieve acceptable incremental cost-effectiveness</w:t>
      </w:r>
      <w:r w:rsidR="004852CC">
        <w:rPr>
          <w:rFonts w:asciiTheme="minorHAnsi" w:hAnsiTheme="minorHAnsi"/>
          <w:snapToGrid w:val="0"/>
          <w:lang w:val="en-GB"/>
        </w:rPr>
        <w:t xml:space="preserve">. </w:t>
      </w:r>
      <w:r w:rsidR="00110BCA">
        <w:rPr>
          <w:rFonts w:asciiTheme="minorHAnsi" w:hAnsiTheme="minorHAnsi"/>
          <w:snapToGrid w:val="0"/>
          <w:lang w:val="en-GB"/>
        </w:rPr>
        <w:t xml:space="preserve">Further, the PBAC considered </w:t>
      </w:r>
      <w:r>
        <w:rPr>
          <w:rFonts w:asciiTheme="minorHAnsi" w:hAnsiTheme="minorHAnsi"/>
          <w:snapToGrid w:val="0"/>
          <w:lang w:val="en-GB"/>
        </w:rPr>
        <w:t>that the financial implications were overestimated.</w:t>
      </w:r>
    </w:p>
    <w:p w14:paraId="6D2D68F9" w14:textId="5321E01F" w:rsidR="00957685" w:rsidRDefault="00957685" w:rsidP="0010205E">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PBAC considered that there was a high unmet need for effective therapies to treat this condition.</w:t>
      </w:r>
    </w:p>
    <w:p w14:paraId="559FE29F" w14:textId="6494681A" w:rsidR="00957685" w:rsidRDefault="00957685" w:rsidP="0010205E">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considered that the proposed place in therapy was reasonable </w:t>
      </w:r>
      <w:r w:rsidR="000051C4">
        <w:rPr>
          <w:rFonts w:asciiTheme="minorHAnsi" w:hAnsiTheme="minorHAnsi"/>
          <w:snapToGrid w:val="0"/>
          <w:lang w:val="en-GB"/>
        </w:rPr>
        <w:t>and that the proposed treatment algorithm was largely consistent with current practice in Australia.</w:t>
      </w:r>
    </w:p>
    <w:p w14:paraId="7741F9D2" w14:textId="15DA384C" w:rsidR="00046545" w:rsidRPr="00602E88" w:rsidRDefault="00046545" w:rsidP="0010205E">
      <w:pPr>
        <w:widowControl w:val="0"/>
        <w:numPr>
          <w:ilvl w:val="1"/>
          <w:numId w:val="1"/>
        </w:numPr>
        <w:spacing w:after="120"/>
        <w:ind w:left="720"/>
        <w:rPr>
          <w:rFonts w:asciiTheme="minorHAnsi" w:hAnsiTheme="minorHAnsi"/>
          <w:snapToGrid w:val="0"/>
          <w:lang w:val="en-GB"/>
        </w:rPr>
      </w:pPr>
      <w:bookmarkStart w:id="86" w:name="_Ref111126136"/>
      <w:r>
        <w:rPr>
          <w:rFonts w:asciiTheme="minorHAnsi" w:hAnsiTheme="minorHAnsi"/>
          <w:snapToGrid w:val="0"/>
          <w:lang w:val="en-GB"/>
        </w:rPr>
        <w:t xml:space="preserve">The PBAC noted that the proposed restriction did not align with the inclusion criteria of the QUAZAR trial as it did not restrict access to oral azacitidine on the basis of cytogenetic risk. The PBAC considered that the restriction should only allow treatment in patients with intermediate- or poor-risk cytogenetics (i.e. exclude patients with favourable-risk cytogenetics) to align with the enrolment criteria of the QUAZAR trial and with the </w:t>
      </w:r>
      <w:r w:rsidR="007A20FA">
        <w:rPr>
          <w:rFonts w:asciiTheme="minorHAnsi" w:hAnsiTheme="minorHAnsi"/>
          <w:snapToGrid w:val="0"/>
          <w:lang w:val="en-GB"/>
        </w:rPr>
        <w:t xml:space="preserve">National Comprehensive Cancer Network </w:t>
      </w:r>
      <w:r w:rsidR="0022677B">
        <w:rPr>
          <w:rFonts w:asciiTheme="minorHAnsi" w:hAnsiTheme="minorHAnsi"/>
          <w:snapToGrid w:val="0"/>
          <w:lang w:val="en-GB"/>
        </w:rPr>
        <w:t>guidelines</w:t>
      </w:r>
      <w:r>
        <w:rPr>
          <w:rFonts w:asciiTheme="minorHAnsi" w:hAnsiTheme="minorHAnsi"/>
          <w:snapToGrid w:val="0"/>
          <w:lang w:val="en-GB"/>
        </w:rPr>
        <w:t xml:space="preserve">. </w:t>
      </w:r>
      <w:r w:rsidR="00890660">
        <w:rPr>
          <w:rFonts w:asciiTheme="minorHAnsi" w:hAnsiTheme="minorHAnsi"/>
          <w:snapToGrid w:val="0"/>
          <w:lang w:val="en-GB"/>
        </w:rPr>
        <w:t xml:space="preserve">Further the PBAC </w:t>
      </w:r>
      <w:r w:rsidR="00890660" w:rsidRPr="00602E88">
        <w:rPr>
          <w:rFonts w:asciiTheme="minorHAnsi" w:hAnsiTheme="minorHAnsi"/>
          <w:snapToGrid w:val="0"/>
          <w:lang w:val="en-GB"/>
        </w:rPr>
        <w:t xml:space="preserve">considered that, as patients with favourable risk </w:t>
      </w:r>
      <w:r w:rsidR="003B6D3C" w:rsidRPr="00602E88">
        <w:rPr>
          <w:rFonts w:asciiTheme="minorHAnsi" w:hAnsiTheme="minorHAnsi"/>
          <w:snapToGrid w:val="0"/>
          <w:lang w:val="en-GB"/>
        </w:rPr>
        <w:t xml:space="preserve">have a high cure rate with intensive chemotherapy without HSCT, the availability of oral azacitidine in this patient group may result in unnecessary treatment </w:t>
      </w:r>
      <w:r w:rsidR="00632F9E" w:rsidRPr="00602E88">
        <w:rPr>
          <w:rFonts w:asciiTheme="minorHAnsi" w:hAnsiTheme="minorHAnsi"/>
          <w:snapToGrid w:val="0"/>
          <w:lang w:val="en-GB"/>
        </w:rPr>
        <w:t>and</w:t>
      </w:r>
      <w:r w:rsidR="003B6D3C" w:rsidRPr="00602E88">
        <w:rPr>
          <w:rFonts w:asciiTheme="minorHAnsi" w:hAnsiTheme="minorHAnsi"/>
          <w:snapToGrid w:val="0"/>
          <w:lang w:val="en-GB"/>
        </w:rPr>
        <w:t xml:space="preserve"> toxicity.</w:t>
      </w:r>
      <w:bookmarkEnd w:id="86"/>
    </w:p>
    <w:p w14:paraId="6CDCC794" w14:textId="2E85005A" w:rsidR="00BB1DEF" w:rsidRPr="00602E88" w:rsidRDefault="00BB1DEF" w:rsidP="0010205E">
      <w:pPr>
        <w:widowControl w:val="0"/>
        <w:numPr>
          <w:ilvl w:val="1"/>
          <w:numId w:val="1"/>
        </w:numPr>
        <w:spacing w:after="120"/>
        <w:ind w:left="720"/>
        <w:rPr>
          <w:rFonts w:asciiTheme="minorHAnsi" w:hAnsiTheme="minorHAnsi"/>
          <w:snapToGrid w:val="0"/>
          <w:lang w:val="en-GB"/>
        </w:rPr>
      </w:pPr>
      <w:bookmarkStart w:id="87" w:name="_Ref111127019"/>
      <w:r w:rsidRPr="00602E88">
        <w:rPr>
          <w:rFonts w:asciiTheme="minorHAnsi" w:hAnsiTheme="minorHAnsi"/>
          <w:snapToGrid w:val="0"/>
          <w:lang w:val="en-GB"/>
        </w:rPr>
        <w:t>The PBAC noted that the QUAZAR trial allowed dose escalation for patients with disease relapse (i.e. blasts of 5-15% in either the peripheral blood or bone marrow), with the aim of continuing treatment and re-initiating remission.</w:t>
      </w:r>
      <w:r w:rsidR="001177D0" w:rsidRPr="00602E88">
        <w:rPr>
          <w:rFonts w:asciiTheme="minorHAnsi" w:hAnsiTheme="minorHAnsi"/>
          <w:snapToGrid w:val="0"/>
          <w:lang w:val="en-GB"/>
        </w:rPr>
        <w:t xml:space="preserve"> The </w:t>
      </w:r>
      <w:r w:rsidR="007A20FA">
        <w:rPr>
          <w:rFonts w:asciiTheme="minorHAnsi" w:hAnsiTheme="minorHAnsi"/>
          <w:snapToGrid w:val="0"/>
          <w:lang w:val="en-GB"/>
        </w:rPr>
        <w:t>‘</w:t>
      </w:r>
      <w:r w:rsidR="001177D0" w:rsidRPr="00602E88">
        <w:rPr>
          <w:rFonts w:asciiTheme="minorHAnsi" w:hAnsiTheme="minorHAnsi"/>
          <w:snapToGrid w:val="0"/>
          <w:lang w:val="en-GB"/>
        </w:rPr>
        <w:t>dose escalation</w:t>
      </w:r>
      <w:r w:rsidR="007A20FA">
        <w:rPr>
          <w:rFonts w:asciiTheme="minorHAnsi" w:hAnsiTheme="minorHAnsi"/>
          <w:snapToGrid w:val="0"/>
          <w:lang w:val="en-GB"/>
        </w:rPr>
        <w:t>’</w:t>
      </w:r>
      <w:r w:rsidR="001177D0" w:rsidRPr="00602E88">
        <w:rPr>
          <w:rFonts w:asciiTheme="minorHAnsi" w:hAnsiTheme="minorHAnsi"/>
          <w:snapToGrid w:val="0"/>
          <w:lang w:val="en-GB"/>
        </w:rPr>
        <w:t xml:space="preserve"> extended the dosage schedule from 14 days to 21 days of repeated 28-day treatment cycles.</w:t>
      </w:r>
      <w:r w:rsidRPr="00602E88">
        <w:rPr>
          <w:rFonts w:asciiTheme="minorHAnsi" w:hAnsiTheme="minorHAnsi"/>
          <w:snapToGrid w:val="0"/>
          <w:lang w:val="en-GB"/>
        </w:rPr>
        <w:t xml:space="preserve"> The PBAC noted that such use is inconsistent with </w:t>
      </w:r>
      <w:r w:rsidR="00D81985" w:rsidRPr="00602E88">
        <w:rPr>
          <w:rFonts w:asciiTheme="minorHAnsi" w:hAnsiTheme="minorHAnsi"/>
          <w:snapToGrid w:val="0"/>
          <w:lang w:val="en-GB"/>
        </w:rPr>
        <w:t xml:space="preserve">the restrictions for </w:t>
      </w:r>
      <w:r w:rsidR="001177D0" w:rsidRPr="00602E88">
        <w:rPr>
          <w:rFonts w:asciiTheme="minorHAnsi" w:hAnsiTheme="minorHAnsi"/>
          <w:snapToGrid w:val="0"/>
          <w:lang w:val="en-GB"/>
        </w:rPr>
        <w:t xml:space="preserve">other AML therapies </w:t>
      </w:r>
      <w:r w:rsidR="0045598A" w:rsidRPr="00602E88">
        <w:rPr>
          <w:rFonts w:asciiTheme="minorHAnsi" w:hAnsiTheme="minorHAnsi"/>
          <w:snapToGrid w:val="0"/>
          <w:lang w:val="en-GB"/>
        </w:rPr>
        <w:t>(</w:t>
      </w:r>
      <w:r w:rsidR="001177D0" w:rsidRPr="00602E88">
        <w:rPr>
          <w:rFonts w:asciiTheme="minorHAnsi" w:hAnsiTheme="minorHAnsi"/>
          <w:snapToGrid w:val="0"/>
          <w:lang w:val="en-GB"/>
        </w:rPr>
        <w:t xml:space="preserve">which have </w:t>
      </w:r>
      <w:r w:rsidR="001177D0" w:rsidRPr="00602E88">
        <w:t>defined progressive disease as &gt; 5% blasts in the marrow</w:t>
      </w:r>
      <w:r w:rsidR="0045598A" w:rsidRPr="00602E88">
        <w:t>)</w:t>
      </w:r>
      <w:r w:rsidR="001177D0" w:rsidRPr="00602E88">
        <w:t xml:space="preserve"> and </w:t>
      </w:r>
      <w:r w:rsidR="001177D0" w:rsidRPr="00602E88">
        <w:rPr>
          <w:bCs/>
        </w:rPr>
        <w:t>inconsistent with the clinical positioning of oral azacitidine as maintenance therapy (a therapy given post CR/CRi)</w:t>
      </w:r>
      <w:r w:rsidR="001177D0" w:rsidRPr="00602E88">
        <w:t xml:space="preserve">. </w:t>
      </w:r>
      <w:r w:rsidR="005E3597" w:rsidRPr="00602E88">
        <w:t xml:space="preserve">Further, the PBAC considered that it was unclear if the results of the QUAZAR trial could be generalised for the purpose of reinitiating remission. </w:t>
      </w:r>
      <w:r w:rsidR="0045598A" w:rsidRPr="00602E88">
        <w:t>However, the PBAC also noted that</w:t>
      </w:r>
      <w:r w:rsidR="0045598A" w:rsidRPr="00602E88">
        <w:rPr>
          <w:rFonts w:asciiTheme="minorHAnsi" w:hAnsiTheme="minorHAnsi"/>
          <w:snapToGrid w:val="0"/>
          <w:lang w:val="en-GB"/>
        </w:rPr>
        <w:t xml:space="preserve"> </w:t>
      </w:r>
      <w:r w:rsidR="0045598A" w:rsidRPr="00602E88">
        <w:rPr>
          <w:color w:val="000000" w:themeColor="text1"/>
        </w:rPr>
        <w:t xml:space="preserve">21% of patients in the oral azacitidine arm of </w:t>
      </w:r>
      <w:r w:rsidR="0045598A" w:rsidRPr="00602E88">
        <w:rPr>
          <w:rFonts w:asciiTheme="minorHAnsi" w:hAnsiTheme="minorHAnsi"/>
          <w:snapToGrid w:val="0"/>
          <w:lang w:val="en-GB"/>
        </w:rPr>
        <w:t xml:space="preserve">the QUAZAR trial </w:t>
      </w:r>
      <w:r w:rsidR="0045598A" w:rsidRPr="00602E88">
        <w:rPr>
          <w:color w:val="000000" w:themeColor="text1"/>
        </w:rPr>
        <w:t>received a dose escalation at AML relapse</w:t>
      </w:r>
      <w:r w:rsidR="005E3597" w:rsidRPr="00602E88">
        <w:rPr>
          <w:color w:val="000000" w:themeColor="text1"/>
        </w:rPr>
        <w:t xml:space="preserve"> and that </w:t>
      </w:r>
      <w:r w:rsidRPr="00602E88">
        <w:rPr>
          <w:rFonts w:asciiTheme="minorHAnsi" w:hAnsiTheme="minorHAnsi"/>
          <w:snapToGrid w:val="0"/>
          <w:lang w:val="en-GB"/>
        </w:rPr>
        <w:t xml:space="preserve">the benefits of such use were captured in the efficacy results of the trial and </w:t>
      </w:r>
      <w:r w:rsidR="00795B5B" w:rsidRPr="00602E88">
        <w:rPr>
          <w:rFonts w:asciiTheme="minorHAnsi" w:hAnsiTheme="minorHAnsi"/>
          <w:snapToGrid w:val="0"/>
          <w:lang w:val="en-GB"/>
        </w:rPr>
        <w:t xml:space="preserve">were </w:t>
      </w:r>
      <w:r w:rsidRPr="00602E88">
        <w:rPr>
          <w:rFonts w:asciiTheme="minorHAnsi" w:hAnsiTheme="minorHAnsi"/>
          <w:snapToGrid w:val="0"/>
          <w:lang w:val="en-GB"/>
        </w:rPr>
        <w:t>thus inc</w:t>
      </w:r>
      <w:r w:rsidR="00795B5B" w:rsidRPr="00602E88">
        <w:rPr>
          <w:rFonts w:asciiTheme="minorHAnsi" w:hAnsiTheme="minorHAnsi"/>
          <w:snapToGrid w:val="0"/>
          <w:lang w:val="en-GB"/>
        </w:rPr>
        <w:t xml:space="preserve">orporated </w:t>
      </w:r>
      <w:r w:rsidRPr="00602E88">
        <w:rPr>
          <w:rFonts w:asciiTheme="minorHAnsi" w:hAnsiTheme="minorHAnsi"/>
          <w:snapToGrid w:val="0"/>
          <w:lang w:val="en-GB"/>
        </w:rPr>
        <w:t xml:space="preserve">in the efficacy </w:t>
      </w:r>
      <w:r w:rsidR="00795B5B" w:rsidRPr="00602E88">
        <w:rPr>
          <w:rFonts w:asciiTheme="minorHAnsi" w:hAnsiTheme="minorHAnsi"/>
          <w:snapToGrid w:val="0"/>
          <w:lang w:val="en-GB"/>
        </w:rPr>
        <w:t xml:space="preserve">inputs </w:t>
      </w:r>
      <w:r w:rsidRPr="00602E88">
        <w:rPr>
          <w:rFonts w:asciiTheme="minorHAnsi" w:hAnsiTheme="minorHAnsi"/>
          <w:snapToGrid w:val="0"/>
          <w:lang w:val="en-GB"/>
        </w:rPr>
        <w:t>in the economic model</w:t>
      </w:r>
      <w:r w:rsidR="005E3597" w:rsidRPr="00602E88">
        <w:rPr>
          <w:rFonts w:asciiTheme="minorHAnsi" w:hAnsiTheme="minorHAnsi"/>
          <w:snapToGrid w:val="0"/>
          <w:lang w:val="en-GB"/>
        </w:rPr>
        <w:t>.</w:t>
      </w:r>
      <w:r w:rsidRPr="00602E88">
        <w:rPr>
          <w:rFonts w:asciiTheme="minorHAnsi" w:hAnsiTheme="minorHAnsi"/>
          <w:snapToGrid w:val="0"/>
          <w:lang w:val="en-GB"/>
        </w:rPr>
        <w:t xml:space="preserve"> </w:t>
      </w:r>
      <w:r w:rsidR="001177D0" w:rsidRPr="00602E88">
        <w:rPr>
          <w:rFonts w:asciiTheme="minorHAnsi" w:hAnsiTheme="minorHAnsi"/>
          <w:snapToGrid w:val="0"/>
          <w:lang w:val="en-GB"/>
        </w:rPr>
        <w:t xml:space="preserve">However, the PBAC noted that </w:t>
      </w:r>
      <w:r w:rsidRPr="00602E88">
        <w:rPr>
          <w:rFonts w:asciiTheme="minorHAnsi" w:hAnsiTheme="minorHAnsi"/>
          <w:snapToGrid w:val="0"/>
          <w:lang w:val="en-GB"/>
        </w:rPr>
        <w:t xml:space="preserve">the costs of such use </w:t>
      </w:r>
      <w:r w:rsidR="001201F5" w:rsidRPr="00602E88">
        <w:rPr>
          <w:rFonts w:asciiTheme="minorHAnsi" w:hAnsiTheme="minorHAnsi"/>
          <w:snapToGrid w:val="0"/>
          <w:lang w:val="en-GB"/>
        </w:rPr>
        <w:t>did</w:t>
      </w:r>
      <w:r w:rsidR="001177D0" w:rsidRPr="00602E88">
        <w:rPr>
          <w:rFonts w:asciiTheme="minorHAnsi" w:hAnsiTheme="minorHAnsi"/>
          <w:snapToGrid w:val="0"/>
          <w:lang w:val="en-GB"/>
        </w:rPr>
        <w:t xml:space="preserve"> not</w:t>
      </w:r>
      <w:r w:rsidR="001201F5" w:rsidRPr="00602E88">
        <w:rPr>
          <w:rFonts w:asciiTheme="minorHAnsi" w:hAnsiTheme="minorHAnsi"/>
          <w:snapToGrid w:val="0"/>
          <w:lang w:val="en-GB"/>
        </w:rPr>
        <w:t xml:space="preserve"> appear to be</w:t>
      </w:r>
      <w:r w:rsidRPr="00602E88">
        <w:rPr>
          <w:rFonts w:asciiTheme="minorHAnsi" w:hAnsiTheme="minorHAnsi"/>
          <w:snapToGrid w:val="0"/>
          <w:lang w:val="en-GB"/>
        </w:rPr>
        <w:t xml:space="preserve"> incorporated into the </w:t>
      </w:r>
      <w:r w:rsidR="005E3597" w:rsidRPr="00602E88">
        <w:rPr>
          <w:rFonts w:asciiTheme="minorHAnsi" w:hAnsiTheme="minorHAnsi"/>
          <w:snapToGrid w:val="0"/>
          <w:lang w:val="en-GB"/>
        </w:rPr>
        <w:t xml:space="preserve">base case of the </w:t>
      </w:r>
      <w:r w:rsidRPr="00602E88">
        <w:rPr>
          <w:rFonts w:asciiTheme="minorHAnsi" w:hAnsiTheme="minorHAnsi"/>
          <w:snapToGrid w:val="0"/>
          <w:lang w:val="en-GB"/>
        </w:rPr>
        <w:t>economic model</w:t>
      </w:r>
      <w:r w:rsidR="003F4060" w:rsidRPr="00602E88">
        <w:t xml:space="preserve">, but also acknowledged that in clinical </w:t>
      </w:r>
      <w:r w:rsidR="003F4060" w:rsidRPr="00602E88">
        <w:rPr>
          <w:rFonts w:asciiTheme="minorHAnsi" w:hAnsiTheme="minorHAnsi"/>
          <w:snapToGrid w:val="0"/>
          <w:lang w:val="en-GB"/>
        </w:rPr>
        <w:t>practice patients are unlikely to have bone marrow biopsies as frequently as in the trial, thus the relative number of patients identified with blasts between 5 and 15% may be lower</w:t>
      </w:r>
      <w:r w:rsidRPr="00602E88">
        <w:rPr>
          <w:rFonts w:asciiTheme="minorHAnsi" w:hAnsiTheme="minorHAnsi"/>
          <w:snapToGrid w:val="0"/>
          <w:lang w:val="en-GB"/>
        </w:rPr>
        <w:t xml:space="preserve">. </w:t>
      </w:r>
      <w:r w:rsidR="005E3597" w:rsidRPr="00602E88">
        <w:rPr>
          <w:rFonts w:asciiTheme="minorHAnsi" w:hAnsiTheme="minorHAnsi"/>
          <w:snapToGrid w:val="0"/>
          <w:lang w:val="en-GB"/>
        </w:rPr>
        <w:t>The PBAC considered that, if post-relapse dose escalation were to be permitted under the PBS, then</w:t>
      </w:r>
      <w:r w:rsidR="001201F5" w:rsidRPr="00602E88">
        <w:rPr>
          <w:rFonts w:asciiTheme="minorHAnsi" w:hAnsiTheme="minorHAnsi"/>
          <w:snapToGrid w:val="0"/>
          <w:lang w:val="en-GB"/>
        </w:rPr>
        <w:t xml:space="preserve"> the</w:t>
      </w:r>
      <w:r w:rsidR="005E3597" w:rsidRPr="00602E88">
        <w:rPr>
          <w:rFonts w:asciiTheme="minorHAnsi" w:hAnsiTheme="minorHAnsi"/>
          <w:snapToGrid w:val="0"/>
          <w:lang w:val="en-GB"/>
        </w:rPr>
        <w:t xml:space="preserve"> risk of such use not being cost-effective would need to be managed, for example through a</w:t>
      </w:r>
      <w:r w:rsidR="00153C88" w:rsidRPr="00602E88">
        <w:rPr>
          <w:rFonts w:asciiTheme="minorHAnsi" w:hAnsiTheme="minorHAnsi"/>
          <w:snapToGrid w:val="0"/>
          <w:lang w:val="en-GB"/>
        </w:rPr>
        <w:t>n</w:t>
      </w:r>
      <w:r w:rsidR="005E3597" w:rsidRPr="00602E88">
        <w:rPr>
          <w:rFonts w:asciiTheme="minorHAnsi" w:hAnsiTheme="minorHAnsi"/>
          <w:snapToGrid w:val="0"/>
          <w:lang w:val="en-GB"/>
        </w:rPr>
        <w:t xml:space="preserve"> RSA. Further, t</w:t>
      </w:r>
      <w:r w:rsidRPr="00602E88">
        <w:rPr>
          <w:rFonts w:asciiTheme="minorHAnsi" w:hAnsiTheme="minorHAnsi"/>
          <w:snapToGrid w:val="0"/>
          <w:lang w:val="en-GB"/>
        </w:rPr>
        <w:t xml:space="preserve">he PBAC considered that a separate restriction </w:t>
      </w:r>
      <w:r w:rsidR="00153537" w:rsidRPr="00602E88">
        <w:rPr>
          <w:rFonts w:asciiTheme="minorHAnsi" w:hAnsiTheme="minorHAnsi"/>
          <w:snapToGrid w:val="0"/>
          <w:lang w:val="en-GB"/>
        </w:rPr>
        <w:t>would</w:t>
      </w:r>
      <w:r w:rsidRPr="00602E88">
        <w:rPr>
          <w:rFonts w:asciiTheme="minorHAnsi" w:hAnsiTheme="minorHAnsi"/>
          <w:snapToGrid w:val="0"/>
          <w:lang w:val="en-GB"/>
        </w:rPr>
        <w:t xml:space="preserve"> be required for such use </w:t>
      </w:r>
      <w:r w:rsidR="00153537" w:rsidRPr="00602E88">
        <w:rPr>
          <w:rFonts w:asciiTheme="minorHAnsi" w:hAnsiTheme="minorHAnsi"/>
          <w:snapToGrid w:val="0"/>
          <w:lang w:val="en-GB"/>
        </w:rPr>
        <w:t>to</w:t>
      </w:r>
      <w:r w:rsidR="00153537" w:rsidRPr="00602E88">
        <w:t xml:space="preserve"> ensure </w:t>
      </w:r>
      <w:r w:rsidR="00153537" w:rsidRPr="00602E88">
        <w:rPr>
          <w:rFonts w:asciiTheme="minorHAnsi" w:hAnsiTheme="minorHAnsi"/>
          <w:snapToGrid w:val="0"/>
          <w:lang w:val="en-GB"/>
        </w:rPr>
        <w:t>oral azacitidine is used as a continuing therapy (not an initial therapy) in this context</w:t>
      </w:r>
      <w:r w:rsidR="005E3597" w:rsidRPr="00602E88">
        <w:rPr>
          <w:rFonts w:asciiTheme="minorHAnsi" w:hAnsiTheme="minorHAnsi"/>
          <w:snapToGrid w:val="0"/>
          <w:lang w:val="en-GB"/>
        </w:rPr>
        <w:t>.</w:t>
      </w:r>
      <w:bookmarkEnd w:id="87"/>
    </w:p>
    <w:p w14:paraId="1F0D14B6" w14:textId="4E3B1C31" w:rsidR="00D63863" w:rsidRPr="00602E88" w:rsidRDefault="00D63863" w:rsidP="0010205E">
      <w:pPr>
        <w:widowControl w:val="0"/>
        <w:numPr>
          <w:ilvl w:val="1"/>
          <w:numId w:val="1"/>
        </w:numPr>
        <w:spacing w:after="120"/>
        <w:ind w:left="720"/>
        <w:rPr>
          <w:rFonts w:asciiTheme="minorHAnsi" w:hAnsiTheme="minorHAnsi"/>
          <w:snapToGrid w:val="0"/>
          <w:lang w:val="en-GB"/>
        </w:rPr>
      </w:pPr>
      <w:bookmarkStart w:id="88" w:name="_Ref111126138"/>
      <w:r w:rsidRPr="00602E88">
        <w:rPr>
          <w:rFonts w:asciiTheme="minorHAnsi" w:hAnsiTheme="minorHAnsi"/>
          <w:snapToGrid w:val="0"/>
          <w:lang w:val="en-GB"/>
        </w:rPr>
        <w:t>In terms of the proposed restriction</w:t>
      </w:r>
      <w:r w:rsidR="009B4CCD" w:rsidRPr="00602E88">
        <w:rPr>
          <w:rFonts w:asciiTheme="minorHAnsi" w:hAnsiTheme="minorHAnsi"/>
          <w:snapToGrid w:val="0"/>
          <w:lang w:val="en-GB"/>
        </w:rPr>
        <w:t>s</w:t>
      </w:r>
      <w:r w:rsidR="00695B86" w:rsidRPr="00602E88">
        <w:rPr>
          <w:rFonts w:asciiTheme="minorHAnsi" w:hAnsiTheme="minorHAnsi"/>
          <w:snapToGrid w:val="0"/>
          <w:lang w:val="en-GB"/>
        </w:rPr>
        <w:t xml:space="preserve"> the PBAC agreed with the </w:t>
      </w:r>
      <w:r w:rsidR="00150DAE" w:rsidRPr="00602E88">
        <w:rPr>
          <w:rFonts w:asciiTheme="minorHAnsi" w:hAnsiTheme="minorHAnsi"/>
          <w:snapToGrid w:val="0"/>
          <w:lang w:val="en-GB"/>
        </w:rPr>
        <w:t>advice provided</w:t>
      </w:r>
      <w:r w:rsidR="00695B86" w:rsidRPr="00602E88">
        <w:rPr>
          <w:rFonts w:asciiTheme="minorHAnsi" w:hAnsiTheme="minorHAnsi"/>
          <w:snapToGrid w:val="0"/>
          <w:lang w:val="en-GB"/>
        </w:rPr>
        <w:t xml:space="preserve"> by </w:t>
      </w:r>
      <w:r w:rsidR="00150DAE" w:rsidRPr="00602E88">
        <w:rPr>
          <w:rFonts w:asciiTheme="minorHAnsi" w:hAnsiTheme="minorHAnsi"/>
          <w:snapToGrid w:val="0"/>
          <w:lang w:val="en-GB"/>
        </w:rPr>
        <w:t xml:space="preserve">the </w:t>
      </w:r>
      <w:r w:rsidR="00695B86" w:rsidRPr="00602E88">
        <w:rPr>
          <w:rFonts w:asciiTheme="minorHAnsi" w:hAnsiTheme="minorHAnsi"/>
          <w:snapToGrid w:val="0"/>
          <w:lang w:val="en-GB"/>
        </w:rPr>
        <w:t xml:space="preserve">ESC </w:t>
      </w:r>
      <w:r w:rsidR="00150DAE" w:rsidRPr="00602E88">
        <w:rPr>
          <w:rFonts w:asciiTheme="minorHAnsi" w:hAnsiTheme="minorHAnsi"/>
          <w:snapToGrid w:val="0"/>
          <w:lang w:val="en-GB"/>
        </w:rPr>
        <w:t>in</w:t>
      </w:r>
      <w:r w:rsidR="00695B86" w:rsidRPr="00602E88">
        <w:rPr>
          <w:rFonts w:asciiTheme="minorHAnsi" w:hAnsiTheme="minorHAnsi"/>
          <w:snapToGrid w:val="0"/>
          <w:lang w:val="en-GB"/>
        </w:rPr>
        <w:t xml:space="preserve"> paragraphs </w:t>
      </w:r>
      <w:r w:rsidR="00D62E5F" w:rsidRPr="00602E88">
        <w:rPr>
          <w:rFonts w:asciiTheme="minorHAnsi" w:hAnsiTheme="minorHAnsi"/>
          <w:snapToGrid w:val="0"/>
          <w:lang w:val="en-GB"/>
        </w:rPr>
        <w:fldChar w:fldCharType="begin" w:fldLock="1"/>
      </w:r>
      <w:r w:rsidR="00D62E5F" w:rsidRPr="00602E88">
        <w:rPr>
          <w:rFonts w:asciiTheme="minorHAnsi" w:hAnsiTheme="minorHAnsi"/>
          <w:snapToGrid w:val="0"/>
          <w:lang w:val="en-GB"/>
        </w:rPr>
        <w:instrText xml:space="preserve"> REF _Ref110936311 \r \h </w:instrText>
      </w:r>
      <w:r w:rsidR="00602E88">
        <w:rPr>
          <w:rFonts w:asciiTheme="minorHAnsi" w:hAnsiTheme="minorHAnsi"/>
          <w:snapToGrid w:val="0"/>
          <w:lang w:val="en-GB"/>
        </w:rPr>
        <w:instrText xml:space="preserve"> \* MERGEFORMAT </w:instrText>
      </w:r>
      <w:r w:rsidR="00D62E5F" w:rsidRPr="00602E88">
        <w:rPr>
          <w:rFonts w:asciiTheme="minorHAnsi" w:hAnsiTheme="minorHAnsi"/>
          <w:snapToGrid w:val="0"/>
          <w:lang w:val="en-GB"/>
        </w:rPr>
      </w:r>
      <w:r w:rsidR="00D62E5F" w:rsidRPr="00602E88">
        <w:rPr>
          <w:rFonts w:asciiTheme="minorHAnsi" w:hAnsiTheme="minorHAnsi"/>
          <w:snapToGrid w:val="0"/>
          <w:lang w:val="en-GB"/>
        </w:rPr>
        <w:fldChar w:fldCharType="separate"/>
      </w:r>
      <w:r w:rsidR="00602E88">
        <w:rPr>
          <w:rFonts w:asciiTheme="minorHAnsi" w:hAnsiTheme="minorHAnsi"/>
          <w:snapToGrid w:val="0"/>
          <w:lang w:val="en-GB"/>
        </w:rPr>
        <w:t>3.9</w:t>
      </w:r>
      <w:r w:rsidR="00D62E5F" w:rsidRPr="00602E88">
        <w:rPr>
          <w:rFonts w:asciiTheme="minorHAnsi" w:hAnsiTheme="minorHAnsi"/>
          <w:snapToGrid w:val="0"/>
          <w:lang w:val="en-GB"/>
        </w:rPr>
        <w:fldChar w:fldCharType="end"/>
      </w:r>
      <w:r w:rsidR="00695B86" w:rsidRPr="00602E88">
        <w:rPr>
          <w:rFonts w:asciiTheme="minorHAnsi" w:hAnsiTheme="minorHAnsi"/>
          <w:snapToGrid w:val="0"/>
          <w:lang w:val="en-GB"/>
        </w:rPr>
        <w:t xml:space="preserve"> to</w:t>
      </w:r>
      <w:r w:rsidR="00D62E5F" w:rsidRPr="00602E88">
        <w:rPr>
          <w:rFonts w:asciiTheme="minorHAnsi" w:hAnsiTheme="minorHAnsi"/>
          <w:snapToGrid w:val="0"/>
          <w:lang w:val="en-GB"/>
        </w:rPr>
        <w:t xml:space="preserve"> </w:t>
      </w:r>
      <w:r w:rsidR="00D62E5F" w:rsidRPr="00602E88">
        <w:rPr>
          <w:rFonts w:asciiTheme="minorHAnsi" w:hAnsiTheme="minorHAnsi"/>
          <w:snapToGrid w:val="0"/>
          <w:lang w:val="en-GB"/>
        </w:rPr>
        <w:fldChar w:fldCharType="begin" w:fldLock="1"/>
      </w:r>
      <w:r w:rsidR="00D62E5F" w:rsidRPr="00602E88">
        <w:rPr>
          <w:rFonts w:asciiTheme="minorHAnsi" w:hAnsiTheme="minorHAnsi"/>
          <w:snapToGrid w:val="0"/>
          <w:lang w:val="en-GB"/>
        </w:rPr>
        <w:instrText xml:space="preserve"> REF _Ref110936326 \r \h </w:instrText>
      </w:r>
      <w:r w:rsidR="00602E88">
        <w:rPr>
          <w:rFonts w:asciiTheme="minorHAnsi" w:hAnsiTheme="minorHAnsi"/>
          <w:snapToGrid w:val="0"/>
          <w:lang w:val="en-GB"/>
        </w:rPr>
        <w:instrText xml:space="preserve"> \* MERGEFORMAT </w:instrText>
      </w:r>
      <w:r w:rsidR="00D62E5F" w:rsidRPr="00602E88">
        <w:rPr>
          <w:rFonts w:asciiTheme="minorHAnsi" w:hAnsiTheme="minorHAnsi"/>
          <w:snapToGrid w:val="0"/>
          <w:lang w:val="en-GB"/>
        </w:rPr>
      </w:r>
      <w:r w:rsidR="00D62E5F" w:rsidRPr="00602E88">
        <w:rPr>
          <w:rFonts w:asciiTheme="minorHAnsi" w:hAnsiTheme="minorHAnsi"/>
          <w:snapToGrid w:val="0"/>
          <w:lang w:val="en-GB"/>
        </w:rPr>
        <w:fldChar w:fldCharType="separate"/>
      </w:r>
      <w:r w:rsidR="00602E88">
        <w:rPr>
          <w:rFonts w:asciiTheme="minorHAnsi" w:hAnsiTheme="minorHAnsi"/>
          <w:snapToGrid w:val="0"/>
          <w:lang w:val="en-GB"/>
        </w:rPr>
        <w:t>3.11</w:t>
      </w:r>
      <w:r w:rsidR="00D62E5F" w:rsidRPr="00602E88">
        <w:rPr>
          <w:rFonts w:asciiTheme="minorHAnsi" w:hAnsiTheme="minorHAnsi"/>
          <w:snapToGrid w:val="0"/>
          <w:lang w:val="en-GB"/>
        </w:rPr>
        <w:fldChar w:fldCharType="end"/>
      </w:r>
      <w:r w:rsidRPr="00602E88">
        <w:rPr>
          <w:rFonts w:asciiTheme="minorHAnsi" w:hAnsiTheme="minorHAnsi"/>
          <w:snapToGrid w:val="0"/>
          <w:lang w:val="en-GB"/>
        </w:rPr>
        <w:t xml:space="preserve">, </w:t>
      </w:r>
      <w:r w:rsidR="00695B86" w:rsidRPr="00602E88">
        <w:rPr>
          <w:rFonts w:asciiTheme="minorHAnsi" w:hAnsiTheme="minorHAnsi"/>
          <w:snapToGrid w:val="0"/>
          <w:lang w:val="en-GB"/>
        </w:rPr>
        <w:t>and</w:t>
      </w:r>
      <w:r w:rsidRPr="00602E88">
        <w:rPr>
          <w:rFonts w:asciiTheme="minorHAnsi" w:hAnsiTheme="minorHAnsi"/>
          <w:snapToGrid w:val="0"/>
          <w:lang w:val="en-GB"/>
        </w:rPr>
        <w:t xml:space="preserve"> also considered that:</w:t>
      </w:r>
      <w:bookmarkEnd w:id="88"/>
    </w:p>
    <w:p w14:paraId="060E78D0" w14:textId="4B9E5648" w:rsidR="00FB4051" w:rsidRPr="00602E88" w:rsidRDefault="0041605A" w:rsidP="00FB4051">
      <w:pPr>
        <w:widowControl w:val="0"/>
        <w:numPr>
          <w:ilvl w:val="1"/>
          <w:numId w:val="37"/>
        </w:numPr>
        <w:spacing w:after="120"/>
        <w:ind w:left="1077" w:hanging="357"/>
        <w:rPr>
          <w:rFonts w:asciiTheme="minorHAnsi" w:hAnsiTheme="minorHAnsi"/>
          <w:snapToGrid w:val="0"/>
          <w:lang w:val="en-GB"/>
        </w:rPr>
      </w:pPr>
      <w:r w:rsidRPr="00602E88">
        <w:rPr>
          <w:rFonts w:asciiTheme="minorHAnsi" w:hAnsiTheme="minorHAnsi"/>
          <w:snapToGrid w:val="0"/>
          <w:lang w:val="en-GB"/>
        </w:rPr>
        <w:t>t</w:t>
      </w:r>
      <w:r w:rsidR="00FB4051" w:rsidRPr="00602E88">
        <w:rPr>
          <w:rFonts w:asciiTheme="minorHAnsi" w:hAnsiTheme="minorHAnsi"/>
          <w:snapToGrid w:val="0"/>
          <w:lang w:val="en-GB"/>
        </w:rPr>
        <w:t xml:space="preserve">he initial supply restriction should be Authority Required (telephone/online) with continuing supply available as an Authority Required (Streamlined) </w:t>
      </w:r>
      <w:r w:rsidR="007542BA" w:rsidRPr="00602E88">
        <w:rPr>
          <w:rFonts w:asciiTheme="minorHAnsi" w:hAnsiTheme="minorHAnsi"/>
          <w:snapToGrid w:val="0"/>
          <w:lang w:val="en-GB"/>
        </w:rPr>
        <w:t>to align with i</w:t>
      </w:r>
      <w:r w:rsidR="00FB4051" w:rsidRPr="00602E88">
        <w:rPr>
          <w:rFonts w:asciiTheme="minorHAnsi" w:hAnsiTheme="minorHAnsi"/>
          <w:snapToGrid w:val="0"/>
          <w:lang w:val="en-GB"/>
        </w:rPr>
        <w:t>njectable azacitidine</w:t>
      </w:r>
      <w:r w:rsidRPr="00602E88">
        <w:rPr>
          <w:rFonts w:asciiTheme="minorHAnsi" w:hAnsiTheme="minorHAnsi"/>
          <w:snapToGrid w:val="0"/>
          <w:lang w:val="en-GB"/>
        </w:rPr>
        <w:t xml:space="preserve">; </w:t>
      </w:r>
    </w:p>
    <w:p w14:paraId="40DDF623" w14:textId="1460DBA1" w:rsidR="009B4CCD" w:rsidRPr="00602E88" w:rsidRDefault="0041605A" w:rsidP="00FB4051">
      <w:pPr>
        <w:widowControl w:val="0"/>
        <w:numPr>
          <w:ilvl w:val="1"/>
          <w:numId w:val="37"/>
        </w:numPr>
        <w:spacing w:after="120"/>
        <w:ind w:left="1077" w:hanging="357"/>
        <w:rPr>
          <w:rFonts w:asciiTheme="minorHAnsi" w:hAnsiTheme="minorHAnsi"/>
          <w:snapToGrid w:val="0"/>
          <w:lang w:val="en-GB"/>
        </w:rPr>
      </w:pPr>
      <w:r w:rsidRPr="00602E88">
        <w:rPr>
          <w:rFonts w:asciiTheme="minorHAnsi" w:hAnsiTheme="minorHAnsi"/>
          <w:snapToGrid w:val="0"/>
          <w:lang w:val="en-GB"/>
        </w:rPr>
        <w:t>t</w:t>
      </w:r>
      <w:r w:rsidR="00FB4051" w:rsidRPr="00602E88">
        <w:rPr>
          <w:rFonts w:asciiTheme="minorHAnsi" w:hAnsiTheme="minorHAnsi"/>
          <w:snapToGrid w:val="0"/>
          <w:lang w:val="en-GB"/>
        </w:rPr>
        <w:t>he restrictions should include a caution stating that oral azacitidine should not be used interchangeably with injectable azacitidine due to differences in the exposure, dose and schedule of treatment</w:t>
      </w:r>
      <w:r w:rsidR="002E02D4" w:rsidRPr="00602E88">
        <w:rPr>
          <w:rFonts w:asciiTheme="minorHAnsi" w:hAnsiTheme="minorHAnsi"/>
          <w:snapToGrid w:val="0"/>
          <w:lang w:val="en-GB"/>
        </w:rPr>
        <w:t>; and</w:t>
      </w:r>
    </w:p>
    <w:p w14:paraId="3E476AEB" w14:textId="2A63288B" w:rsidR="00BF7B6F" w:rsidRDefault="00BF7B6F" w:rsidP="00FB4051">
      <w:pPr>
        <w:widowControl w:val="0"/>
        <w:numPr>
          <w:ilvl w:val="1"/>
          <w:numId w:val="37"/>
        </w:numPr>
        <w:spacing w:after="120"/>
        <w:ind w:left="1077" w:hanging="357"/>
        <w:rPr>
          <w:rFonts w:asciiTheme="minorHAnsi" w:hAnsiTheme="minorHAnsi"/>
          <w:snapToGrid w:val="0"/>
          <w:lang w:val="en-GB"/>
        </w:rPr>
      </w:pPr>
      <w:r w:rsidRPr="00602E88">
        <w:rPr>
          <w:rFonts w:asciiTheme="minorHAnsi" w:hAnsiTheme="minorHAnsi"/>
          <w:snapToGrid w:val="0"/>
          <w:lang w:val="en-GB"/>
        </w:rPr>
        <w:t>the restrictions should include an appropriate caution regarding pregnancy given</w:t>
      </w:r>
      <w:r>
        <w:rPr>
          <w:rFonts w:asciiTheme="minorHAnsi" w:hAnsiTheme="minorHAnsi"/>
          <w:snapToGrid w:val="0"/>
          <w:lang w:val="en-GB"/>
        </w:rPr>
        <w:t xml:space="preserve"> that azacitidine is a Category X drug.</w:t>
      </w:r>
    </w:p>
    <w:p w14:paraId="1E2F324E" w14:textId="17E26DD7" w:rsidR="000051C4" w:rsidRDefault="000051C4" w:rsidP="0010205E">
      <w:pPr>
        <w:widowControl w:val="0"/>
        <w:numPr>
          <w:ilvl w:val="1"/>
          <w:numId w:val="1"/>
        </w:numPr>
        <w:spacing w:after="120"/>
        <w:ind w:left="720"/>
        <w:rPr>
          <w:rFonts w:asciiTheme="minorHAnsi" w:hAnsiTheme="minorHAnsi"/>
          <w:snapToGrid w:val="0"/>
          <w:lang w:val="en-GB"/>
        </w:rPr>
      </w:pPr>
      <w:bookmarkStart w:id="89" w:name="_Ref111200618"/>
      <w:r>
        <w:rPr>
          <w:rFonts w:asciiTheme="minorHAnsi" w:hAnsiTheme="minorHAnsi"/>
          <w:snapToGrid w:val="0"/>
          <w:lang w:val="en-GB"/>
        </w:rPr>
        <w:t>The PBAC considered that the nominated comparator of best supportive care (BSC) was appropriate.</w:t>
      </w:r>
      <w:bookmarkEnd w:id="89"/>
    </w:p>
    <w:p w14:paraId="0CA09C69" w14:textId="2A298020" w:rsidR="00BC1195" w:rsidRPr="006563ED" w:rsidRDefault="000051C4" w:rsidP="006563ED">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considered that the claim that oral azacitidine demonstrated superior efficacy compared to BSC in the key clinical trial, QUAZAR, was reasonable. The PBAC noted that treatment with oral azacitidine was associated with a statistically significant improvement in OS </w:t>
      </w:r>
      <w:r w:rsidR="00BC1195">
        <w:rPr>
          <w:rFonts w:asciiTheme="minorHAnsi" w:hAnsiTheme="minorHAnsi"/>
          <w:snapToGrid w:val="0"/>
          <w:lang w:val="en-GB"/>
        </w:rPr>
        <w:t>with a median OS in the oral azacitidine arm of 24.7</w:t>
      </w:r>
      <w:r w:rsidR="007A20FA">
        <w:rPr>
          <w:rFonts w:asciiTheme="minorHAnsi" w:hAnsiTheme="minorHAnsi"/>
          <w:snapToGrid w:val="0"/>
          <w:lang w:val="en-GB"/>
        </w:rPr>
        <w:t> </w:t>
      </w:r>
      <w:r w:rsidR="00BC1195">
        <w:rPr>
          <w:rFonts w:asciiTheme="minorHAnsi" w:hAnsiTheme="minorHAnsi"/>
          <w:snapToGrid w:val="0"/>
          <w:lang w:val="en-GB"/>
        </w:rPr>
        <w:t xml:space="preserve">months compared to 14.8 months in the BSC arm </w:t>
      </w:r>
      <w:r>
        <w:rPr>
          <w:rFonts w:asciiTheme="minorHAnsi" w:hAnsiTheme="minorHAnsi"/>
          <w:snapToGrid w:val="0"/>
          <w:lang w:val="en-GB"/>
        </w:rPr>
        <w:t>(</w:t>
      </w:r>
      <w:r w:rsidRPr="00414C34">
        <w:rPr>
          <w:rFonts w:asciiTheme="minorHAnsi" w:hAnsiTheme="minorHAnsi"/>
          <w:snapToGrid w:val="0"/>
          <w:lang w:val="en-GB"/>
        </w:rPr>
        <w:t>HR = 0.</w:t>
      </w:r>
      <w:r w:rsidR="00414C34">
        <w:rPr>
          <w:rFonts w:asciiTheme="minorHAnsi" w:hAnsiTheme="minorHAnsi"/>
          <w:snapToGrid w:val="0"/>
          <w:lang w:val="en-GB"/>
        </w:rPr>
        <w:t>6</w:t>
      </w:r>
      <w:r w:rsidRPr="00414C34">
        <w:rPr>
          <w:rFonts w:asciiTheme="minorHAnsi" w:hAnsiTheme="minorHAnsi"/>
          <w:snapToGrid w:val="0"/>
          <w:lang w:val="en-GB"/>
        </w:rPr>
        <w:t>9; 95% CI: 0.56, 0.86</w:t>
      </w:r>
      <w:r>
        <w:rPr>
          <w:rFonts w:asciiTheme="minorHAnsi" w:hAnsiTheme="minorHAnsi"/>
          <w:snapToGrid w:val="0"/>
          <w:lang w:val="en-GB"/>
        </w:rPr>
        <w:t>)</w:t>
      </w:r>
      <w:r w:rsidR="00BC1195">
        <w:rPr>
          <w:rFonts w:asciiTheme="minorHAnsi" w:hAnsiTheme="minorHAnsi"/>
          <w:snapToGrid w:val="0"/>
          <w:lang w:val="en-GB"/>
        </w:rPr>
        <w:t xml:space="preserve"> at a median follow-up of 51.7 months. </w:t>
      </w:r>
      <w:r>
        <w:rPr>
          <w:rFonts w:asciiTheme="minorHAnsi" w:hAnsiTheme="minorHAnsi"/>
          <w:snapToGrid w:val="0"/>
          <w:lang w:val="en-GB"/>
        </w:rPr>
        <w:t xml:space="preserve"> RFS </w:t>
      </w:r>
      <w:r w:rsidR="00BC1195">
        <w:rPr>
          <w:rFonts w:asciiTheme="minorHAnsi" w:hAnsiTheme="minorHAnsi"/>
          <w:snapToGrid w:val="0"/>
          <w:lang w:val="en-GB"/>
        </w:rPr>
        <w:t xml:space="preserve">was also statistically significantly improved in the oral azacitidine arm (10.2 months) compared to the BSC arm (4.8 months; </w:t>
      </w:r>
      <w:r>
        <w:rPr>
          <w:rFonts w:asciiTheme="minorHAnsi" w:hAnsiTheme="minorHAnsi"/>
          <w:snapToGrid w:val="0"/>
          <w:lang w:val="en-GB"/>
        </w:rPr>
        <w:t>HR</w:t>
      </w:r>
      <w:r w:rsidR="007A20FA">
        <w:rPr>
          <w:rFonts w:asciiTheme="minorHAnsi" w:hAnsiTheme="minorHAnsi"/>
          <w:snapToGrid w:val="0"/>
          <w:lang w:val="en-GB"/>
        </w:rPr>
        <w:t> </w:t>
      </w:r>
      <w:r>
        <w:rPr>
          <w:rFonts w:asciiTheme="minorHAnsi" w:hAnsiTheme="minorHAnsi"/>
          <w:snapToGrid w:val="0"/>
          <w:lang w:val="en-GB"/>
        </w:rPr>
        <w:t>=</w:t>
      </w:r>
      <w:r w:rsidR="007A20FA">
        <w:rPr>
          <w:rFonts w:asciiTheme="minorHAnsi" w:hAnsiTheme="minorHAnsi"/>
          <w:snapToGrid w:val="0"/>
          <w:lang w:val="en-GB"/>
        </w:rPr>
        <w:t> </w:t>
      </w:r>
      <w:r>
        <w:rPr>
          <w:rFonts w:asciiTheme="minorHAnsi" w:hAnsiTheme="minorHAnsi"/>
          <w:snapToGrid w:val="0"/>
          <w:lang w:val="en-GB"/>
        </w:rPr>
        <w:t>0.65; 95% CI: 0.52, 0.</w:t>
      </w:r>
      <w:r w:rsidR="0011410F">
        <w:rPr>
          <w:rFonts w:asciiTheme="minorHAnsi" w:hAnsiTheme="minorHAnsi"/>
          <w:snapToGrid w:val="0"/>
          <w:lang w:val="en-GB"/>
        </w:rPr>
        <w:t>81</w:t>
      </w:r>
      <w:r>
        <w:rPr>
          <w:rFonts w:asciiTheme="minorHAnsi" w:hAnsiTheme="minorHAnsi"/>
          <w:snapToGrid w:val="0"/>
          <w:lang w:val="en-GB"/>
        </w:rPr>
        <w:t>).</w:t>
      </w:r>
    </w:p>
    <w:p w14:paraId="649C8DA5" w14:textId="36A462C6" w:rsidR="000051C4" w:rsidRDefault="000051C4" w:rsidP="0010205E">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considered that the claim that oral azacitidine was inferior in terms of safety compared to BSC was reasonable, noting that oral azacitidine was associated with higher rates of </w:t>
      </w:r>
      <w:r w:rsidR="00BC1195">
        <w:rPr>
          <w:rFonts w:asciiTheme="minorHAnsi" w:hAnsiTheme="minorHAnsi"/>
          <w:snapToGrid w:val="0"/>
          <w:lang w:val="en-GB"/>
        </w:rPr>
        <w:t xml:space="preserve">Grade </w:t>
      </w:r>
      <w:r w:rsidR="00BC1195">
        <w:rPr>
          <w:rFonts w:asciiTheme="minorHAnsi" w:hAnsiTheme="minorHAnsi" w:cstheme="minorHAnsi"/>
          <w:snapToGrid w:val="0"/>
          <w:lang w:val="en-GB"/>
        </w:rPr>
        <w:t>≥</w:t>
      </w:r>
      <w:r w:rsidR="00BC1195">
        <w:rPr>
          <w:rFonts w:asciiTheme="minorHAnsi" w:hAnsiTheme="minorHAnsi"/>
          <w:snapToGrid w:val="0"/>
          <w:lang w:val="en-GB"/>
        </w:rPr>
        <w:t xml:space="preserve"> 3 treatment</w:t>
      </w:r>
      <w:r w:rsidR="006563ED">
        <w:rPr>
          <w:rFonts w:asciiTheme="minorHAnsi" w:hAnsiTheme="minorHAnsi"/>
          <w:snapToGrid w:val="0"/>
          <w:lang w:val="en-GB"/>
        </w:rPr>
        <w:t>-</w:t>
      </w:r>
      <w:r w:rsidR="00BC1195">
        <w:rPr>
          <w:rFonts w:asciiTheme="minorHAnsi" w:hAnsiTheme="minorHAnsi"/>
          <w:snapToGrid w:val="0"/>
          <w:lang w:val="en-GB"/>
        </w:rPr>
        <w:t>emergent adverse events (TEAEs) and TEAEs resulting in treatment discontinuation.</w:t>
      </w:r>
    </w:p>
    <w:p w14:paraId="3EE5A15D" w14:textId="550EDB0C" w:rsidR="00084FCC" w:rsidRDefault="006563ED" w:rsidP="0010205E">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noted that the submission claimed that oral azacitidine was noninferior to BSC in terms of health-related quality of life (HRQoL). </w:t>
      </w:r>
      <w:r w:rsidR="00084FCC">
        <w:rPr>
          <w:rFonts w:asciiTheme="minorHAnsi" w:hAnsiTheme="minorHAnsi"/>
          <w:snapToGrid w:val="0"/>
          <w:lang w:val="en-GB"/>
        </w:rPr>
        <w:t xml:space="preserve">The PBAC </w:t>
      </w:r>
      <w:r w:rsidR="00543F4D">
        <w:rPr>
          <w:rFonts w:asciiTheme="minorHAnsi" w:hAnsiTheme="minorHAnsi"/>
          <w:snapToGrid w:val="0"/>
          <w:lang w:val="en-GB"/>
        </w:rPr>
        <w:t>considered</w:t>
      </w:r>
      <w:r w:rsidR="00084FCC">
        <w:rPr>
          <w:rFonts w:asciiTheme="minorHAnsi" w:hAnsiTheme="minorHAnsi"/>
          <w:snapToGrid w:val="0"/>
          <w:lang w:val="en-GB"/>
        </w:rPr>
        <w:t xml:space="preserve"> that </w:t>
      </w:r>
      <w:r w:rsidR="00543F4D">
        <w:rPr>
          <w:rFonts w:asciiTheme="minorHAnsi" w:hAnsiTheme="minorHAnsi"/>
          <w:snapToGrid w:val="0"/>
          <w:lang w:val="en-GB"/>
        </w:rPr>
        <w:t xml:space="preserve">although </w:t>
      </w:r>
      <w:r w:rsidR="00084FCC">
        <w:rPr>
          <w:rFonts w:asciiTheme="minorHAnsi" w:hAnsiTheme="minorHAnsi"/>
          <w:snapToGrid w:val="0"/>
          <w:lang w:val="en-GB"/>
        </w:rPr>
        <w:t>t</w:t>
      </w:r>
      <w:r>
        <w:rPr>
          <w:rFonts w:asciiTheme="minorHAnsi" w:hAnsiTheme="minorHAnsi"/>
          <w:snapToGrid w:val="0"/>
          <w:lang w:val="en-GB"/>
        </w:rPr>
        <w:t>here were no statistically significant or clinically meaningful differences between the oral azacitidine and BSC arms in terms of changes from baseline in either the EQ-5D-3L instrument or the FACIT-Fatigue scale at Cycle 34</w:t>
      </w:r>
      <w:r w:rsidR="00543F4D">
        <w:rPr>
          <w:rFonts w:asciiTheme="minorHAnsi" w:hAnsiTheme="minorHAnsi"/>
          <w:snapToGrid w:val="0"/>
          <w:lang w:val="en-GB"/>
        </w:rPr>
        <w:t xml:space="preserve">, </w:t>
      </w:r>
      <w:r>
        <w:rPr>
          <w:rFonts w:asciiTheme="minorHAnsi" w:hAnsiTheme="minorHAnsi"/>
          <w:snapToGrid w:val="0"/>
          <w:lang w:val="en-GB"/>
        </w:rPr>
        <w:t>it was difficult to conclude noninferiority</w:t>
      </w:r>
      <w:r w:rsidR="00084FCC">
        <w:rPr>
          <w:rFonts w:asciiTheme="minorHAnsi" w:hAnsiTheme="minorHAnsi"/>
          <w:snapToGrid w:val="0"/>
          <w:lang w:val="en-GB"/>
        </w:rPr>
        <w:t xml:space="preserve"> given: </w:t>
      </w:r>
    </w:p>
    <w:p w14:paraId="7493D42D" w14:textId="5C4613DD" w:rsidR="00084FCC" w:rsidRPr="00084FCC" w:rsidRDefault="00084FCC" w:rsidP="00114B24">
      <w:pPr>
        <w:widowControl w:val="0"/>
        <w:numPr>
          <w:ilvl w:val="1"/>
          <w:numId w:val="36"/>
        </w:numPr>
        <w:spacing w:after="120"/>
        <w:ind w:left="1077" w:hanging="357"/>
        <w:rPr>
          <w:rFonts w:asciiTheme="minorHAnsi" w:hAnsiTheme="minorHAnsi"/>
          <w:snapToGrid w:val="0"/>
          <w:lang w:val="en-GB"/>
        </w:rPr>
      </w:pPr>
      <w:r w:rsidRPr="007F034A">
        <w:t>HRQoL change from baseline appeared to be superior in the BSC arm compared to the oral azacitidine arm at various time points throughout the follow-up period</w:t>
      </w:r>
      <w:r>
        <w:t>;</w:t>
      </w:r>
      <w:r w:rsidRPr="007F034A">
        <w:t xml:space="preserve"> </w:t>
      </w:r>
    </w:p>
    <w:p w14:paraId="66EAD202" w14:textId="77777777" w:rsidR="00084FCC" w:rsidRPr="00084FCC" w:rsidRDefault="00084FCC" w:rsidP="00114B24">
      <w:pPr>
        <w:widowControl w:val="0"/>
        <w:numPr>
          <w:ilvl w:val="1"/>
          <w:numId w:val="36"/>
        </w:numPr>
        <w:spacing w:after="120"/>
        <w:ind w:left="1077" w:hanging="357"/>
        <w:rPr>
          <w:rFonts w:asciiTheme="minorHAnsi" w:hAnsiTheme="minorHAnsi"/>
          <w:snapToGrid w:val="0"/>
          <w:lang w:val="en-GB"/>
        </w:rPr>
      </w:pPr>
      <w:r w:rsidRPr="007F034A">
        <w:t>the number of patients remaining available to make HRQoL assessments over time decreased</w:t>
      </w:r>
      <w:r>
        <w:t>; and</w:t>
      </w:r>
    </w:p>
    <w:p w14:paraId="789442C3" w14:textId="3D373E2D" w:rsidR="006563ED" w:rsidRDefault="00084FCC" w:rsidP="00114B24">
      <w:pPr>
        <w:widowControl w:val="0"/>
        <w:numPr>
          <w:ilvl w:val="1"/>
          <w:numId w:val="36"/>
        </w:numPr>
        <w:spacing w:after="120"/>
        <w:ind w:left="1077" w:hanging="357"/>
        <w:rPr>
          <w:rFonts w:asciiTheme="minorHAnsi" w:hAnsiTheme="minorHAnsi"/>
          <w:snapToGrid w:val="0"/>
          <w:lang w:val="en-GB"/>
        </w:rPr>
      </w:pPr>
      <w:r>
        <w:t xml:space="preserve">the </w:t>
      </w:r>
      <w:r w:rsidR="007542BA">
        <w:t xml:space="preserve">adverse event profile of oral azacitidine and the </w:t>
      </w:r>
      <w:r>
        <w:t>claim of inferior safety.</w:t>
      </w:r>
      <w:r w:rsidRPr="007F034A">
        <w:t xml:space="preserve"> </w:t>
      </w:r>
      <w:r w:rsidR="006563ED">
        <w:rPr>
          <w:rFonts w:asciiTheme="minorHAnsi" w:hAnsiTheme="minorHAnsi"/>
          <w:snapToGrid w:val="0"/>
          <w:lang w:val="en-GB"/>
        </w:rPr>
        <w:t xml:space="preserve"> </w:t>
      </w:r>
    </w:p>
    <w:p w14:paraId="42B03422" w14:textId="51A796EA" w:rsidR="00376AEF" w:rsidRDefault="00376AEF" w:rsidP="0010205E">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submission presented a cost</w:t>
      </w:r>
      <w:r w:rsidR="007A20FA">
        <w:rPr>
          <w:rFonts w:asciiTheme="minorHAnsi" w:hAnsiTheme="minorHAnsi"/>
          <w:snapToGrid w:val="0"/>
          <w:lang w:val="en-GB"/>
        </w:rPr>
        <w:t>-</w:t>
      </w:r>
      <w:r>
        <w:rPr>
          <w:rFonts w:asciiTheme="minorHAnsi" w:hAnsiTheme="minorHAnsi"/>
          <w:snapToGrid w:val="0"/>
          <w:lang w:val="en-GB"/>
        </w:rPr>
        <w:t>utility analysis comparing oral azacitidine to BSC</w:t>
      </w:r>
      <w:r w:rsidR="00543F4D">
        <w:rPr>
          <w:rFonts w:asciiTheme="minorHAnsi" w:hAnsiTheme="minorHAnsi"/>
          <w:snapToGrid w:val="0"/>
          <w:lang w:val="en-GB"/>
        </w:rPr>
        <w:t xml:space="preserve"> applying data from the QUAZAR trial</w:t>
      </w:r>
      <w:r w:rsidR="00342502">
        <w:rPr>
          <w:rFonts w:asciiTheme="minorHAnsi" w:hAnsiTheme="minorHAnsi"/>
          <w:snapToGrid w:val="0"/>
          <w:lang w:val="en-GB"/>
        </w:rPr>
        <w:t xml:space="preserve"> with a</w:t>
      </w:r>
      <w:r w:rsidR="00543F4D">
        <w:rPr>
          <w:rFonts w:asciiTheme="minorHAnsi" w:hAnsiTheme="minorHAnsi"/>
          <w:snapToGrid w:val="0"/>
          <w:lang w:val="en-GB"/>
        </w:rPr>
        <w:t xml:space="preserve"> base case ICER </w:t>
      </w:r>
      <w:r w:rsidR="00342502">
        <w:rPr>
          <w:rFonts w:asciiTheme="minorHAnsi" w:hAnsiTheme="minorHAnsi"/>
          <w:snapToGrid w:val="0"/>
          <w:lang w:val="en-GB"/>
        </w:rPr>
        <w:t>o</w:t>
      </w:r>
      <w:r w:rsidR="00F01712">
        <w:rPr>
          <w:rFonts w:asciiTheme="minorHAnsi" w:hAnsiTheme="minorHAnsi"/>
          <w:snapToGrid w:val="0"/>
          <w:lang w:val="en-GB"/>
        </w:rPr>
        <w:t>f</w:t>
      </w:r>
      <w:r w:rsidR="00543F4D">
        <w:rPr>
          <w:rFonts w:asciiTheme="minorHAnsi" w:hAnsiTheme="minorHAnsi"/>
          <w:snapToGrid w:val="0"/>
          <w:lang w:val="en-GB"/>
        </w:rPr>
        <w:t xml:space="preserve"> </w:t>
      </w:r>
      <w:r w:rsidR="00C32937" w:rsidRPr="00C32937">
        <w:rPr>
          <w:rFonts w:asciiTheme="minorHAnsi" w:hAnsiTheme="minorHAnsi"/>
          <w:snapToGrid w:val="0"/>
          <w:lang w:val="en-GB"/>
        </w:rPr>
        <w:t>$75,000 to &lt; $95,000</w:t>
      </w:r>
      <w:r w:rsidR="00DA72FB">
        <w:rPr>
          <w:rFonts w:asciiTheme="minorHAnsi" w:hAnsiTheme="minorHAnsi"/>
          <w:snapToGrid w:val="0"/>
          <w:lang w:val="en-GB"/>
        </w:rPr>
        <w:t xml:space="preserve"> </w:t>
      </w:r>
      <w:r w:rsidR="00543F4D">
        <w:rPr>
          <w:rFonts w:asciiTheme="minorHAnsi" w:hAnsiTheme="minorHAnsi"/>
          <w:snapToGrid w:val="0"/>
          <w:lang w:val="en-GB"/>
        </w:rPr>
        <w:t>per quality adjusted life year (QALY).</w:t>
      </w:r>
    </w:p>
    <w:p w14:paraId="1AEC90CD" w14:textId="02E14763" w:rsidR="00ED249F" w:rsidRDefault="00543F4D" w:rsidP="00ED249F">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PBAC noted</w:t>
      </w:r>
      <w:r w:rsidR="00ED249F">
        <w:rPr>
          <w:rFonts w:asciiTheme="minorHAnsi" w:hAnsiTheme="minorHAnsi"/>
          <w:snapToGrid w:val="0"/>
          <w:lang w:val="en-GB"/>
        </w:rPr>
        <w:t xml:space="preserve"> the following issues with the </w:t>
      </w:r>
      <w:r w:rsidR="00632F9E">
        <w:rPr>
          <w:rFonts w:asciiTheme="minorHAnsi" w:hAnsiTheme="minorHAnsi"/>
          <w:snapToGrid w:val="0"/>
          <w:lang w:val="en-GB"/>
        </w:rPr>
        <w:t xml:space="preserve">submission’s </w:t>
      </w:r>
      <w:r w:rsidR="00ED249F">
        <w:rPr>
          <w:rFonts w:asciiTheme="minorHAnsi" w:hAnsiTheme="minorHAnsi"/>
          <w:snapToGrid w:val="0"/>
          <w:lang w:val="en-GB"/>
        </w:rPr>
        <w:t>economic model:</w:t>
      </w:r>
    </w:p>
    <w:p w14:paraId="202B51E6" w14:textId="3C67C952" w:rsidR="00ED249F" w:rsidRDefault="00ED249F" w:rsidP="006367A0">
      <w:pPr>
        <w:widowControl w:val="0"/>
        <w:numPr>
          <w:ilvl w:val="1"/>
          <w:numId w:val="36"/>
        </w:numPr>
        <w:spacing w:after="120"/>
        <w:ind w:left="1077" w:hanging="357"/>
        <w:rPr>
          <w:rFonts w:asciiTheme="minorHAnsi" w:hAnsiTheme="minorHAnsi"/>
          <w:snapToGrid w:val="0"/>
          <w:lang w:val="en-GB"/>
        </w:rPr>
      </w:pPr>
      <w:r>
        <w:rPr>
          <w:rFonts w:asciiTheme="minorHAnsi" w:hAnsiTheme="minorHAnsi"/>
          <w:snapToGrid w:val="0"/>
          <w:lang w:val="en-GB"/>
        </w:rPr>
        <w:t>The same utility value was applied to both treatment arms in the relapse free health state</w:t>
      </w:r>
      <w:r w:rsidR="00A0612A">
        <w:rPr>
          <w:rFonts w:asciiTheme="minorHAnsi" w:hAnsiTheme="minorHAnsi"/>
          <w:snapToGrid w:val="0"/>
          <w:lang w:val="en-GB"/>
        </w:rPr>
        <w:t xml:space="preserve"> (paragraph </w:t>
      </w:r>
      <w:r w:rsidR="007A20FA">
        <w:rPr>
          <w:rFonts w:asciiTheme="minorHAnsi" w:hAnsiTheme="minorHAnsi"/>
          <w:snapToGrid w:val="0"/>
          <w:lang w:val="en-GB"/>
        </w:rPr>
        <w:fldChar w:fldCharType="begin" w:fldLock="1"/>
      </w:r>
      <w:r w:rsidR="007A20FA">
        <w:rPr>
          <w:rFonts w:asciiTheme="minorHAnsi" w:hAnsiTheme="minorHAnsi"/>
          <w:snapToGrid w:val="0"/>
          <w:lang w:val="en-GB"/>
        </w:rPr>
        <w:instrText xml:space="preserve"> REF _Ref111200609 \r \h </w:instrText>
      </w:r>
      <w:r w:rsidR="007A20FA">
        <w:rPr>
          <w:rFonts w:asciiTheme="minorHAnsi" w:hAnsiTheme="minorHAnsi"/>
          <w:snapToGrid w:val="0"/>
          <w:lang w:val="en-GB"/>
        </w:rPr>
      </w:r>
      <w:r w:rsidR="007A20FA">
        <w:rPr>
          <w:rFonts w:asciiTheme="minorHAnsi" w:hAnsiTheme="minorHAnsi"/>
          <w:snapToGrid w:val="0"/>
          <w:lang w:val="en-GB"/>
        </w:rPr>
        <w:fldChar w:fldCharType="separate"/>
      </w:r>
      <w:r w:rsidR="007A20FA">
        <w:rPr>
          <w:rFonts w:asciiTheme="minorHAnsi" w:hAnsiTheme="minorHAnsi"/>
          <w:snapToGrid w:val="0"/>
          <w:lang w:val="en-GB"/>
        </w:rPr>
        <w:t>6.38</w:t>
      </w:r>
      <w:r w:rsidR="007A20FA">
        <w:rPr>
          <w:rFonts w:asciiTheme="minorHAnsi" w:hAnsiTheme="minorHAnsi"/>
          <w:snapToGrid w:val="0"/>
          <w:lang w:val="en-GB"/>
        </w:rPr>
        <w:fldChar w:fldCharType="end"/>
      </w:r>
      <w:r w:rsidR="00A0612A">
        <w:rPr>
          <w:rFonts w:asciiTheme="minorHAnsi" w:hAnsiTheme="minorHAnsi"/>
          <w:snapToGrid w:val="0"/>
          <w:lang w:val="en-GB"/>
        </w:rPr>
        <w:t>)</w:t>
      </w:r>
      <w:r>
        <w:rPr>
          <w:rFonts w:asciiTheme="minorHAnsi" w:hAnsiTheme="minorHAnsi"/>
          <w:snapToGrid w:val="0"/>
          <w:lang w:val="en-GB"/>
        </w:rPr>
        <w:t xml:space="preserve">. The PBAC considered that this </w:t>
      </w:r>
      <w:r w:rsidR="00E845D5">
        <w:rPr>
          <w:rFonts w:asciiTheme="minorHAnsi" w:hAnsiTheme="minorHAnsi"/>
          <w:snapToGrid w:val="0"/>
          <w:lang w:val="en-GB"/>
        </w:rPr>
        <w:t>was not adequately justified</w:t>
      </w:r>
      <w:r>
        <w:rPr>
          <w:rFonts w:asciiTheme="minorHAnsi" w:hAnsiTheme="minorHAnsi"/>
          <w:snapToGrid w:val="0"/>
          <w:lang w:val="en-GB"/>
        </w:rPr>
        <w:t xml:space="preserve"> given the </w:t>
      </w:r>
      <w:r w:rsidR="00E845D5">
        <w:rPr>
          <w:rFonts w:asciiTheme="minorHAnsi" w:hAnsiTheme="minorHAnsi"/>
          <w:snapToGrid w:val="0"/>
          <w:lang w:val="en-GB"/>
        </w:rPr>
        <w:t xml:space="preserve">adverse event profile of oral </w:t>
      </w:r>
      <w:r w:rsidR="00F01712">
        <w:rPr>
          <w:rFonts w:asciiTheme="minorHAnsi" w:hAnsiTheme="minorHAnsi"/>
          <w:snapToGrid w:val="0"/>
          <w:lang w:val="en-GB"/>
        </w:rPr>
        <w:t>azacitidine</w:t>
      </w:r>
      <w:r w:rsidR="00A0612A">
        <w:rPr>
          <w:rFonts w:asciiTheme="minorHAnsi" w:hAnsiTheme="minorHAnsi"/>
          <w:snapToGrid w:val="0"/>
          <w:lang w:val="en-GB"/>
        </w:rPr>
        <w:t xml:space="preserve"> (paragraph </w:t>
      </w:r>
      <w:r w:rsidR="007A20FA">
        <w:rPr>
          <w:rFonts w:asciiTheme="minorHAnsi" w:hAnsiTheme="minorHAnsi"/>
          <w:snapToGrid w:val="0"/>
          <w:lang w:val="en-GB"/>
        </w:rPr>
        <w:fldChar w:fldCharType="begin" w:fldLock="1"/>
      </w:r>
      <w:r w:rsidR="007A20FA">
        <w:rPr>
          <w:rFonts w:asciiTheme="minorHAnsi" w:hAnsiTheme="minorHAnsi"/>
          <w:snapToGrid w:val="0"/>
          <w:lang w:val="en-GB"/>
        </w:rPr>
        <w:instrText xml:space="preserve"> REF _Ref111200618 \r \h </w:instrText>
      </w:r>
      <w:r w:rsidR="007A20FA">
        <w:rPr>
          <w:rFonts w:asciiTheme="minorHAnsi" w:hAnsiTheme="minorHAnsi"/>
          <w:snapToGrid w:val="0"/>
          <w:lang w:val="en-GB"/>
        </w:rPr>
      </w:r>
      <w:r w:rsidR="007A20FA">
        <w:rPr>
          <w:rFonts w:asciiTheme="minorHAnsi" w:hAnsiTheme="minorHAnsi"/>
          <w:snapToGrid w:val="0"/>
          <w:lang w:val="en-GB"/>
        </w:rPr>
        <w:fldChar w:fldCharType="separate"/>
      </w:r>
      <w:r w:rsidR="007A20FA">
        <w:rPr>
          <w:rFonts w:asciiTheme="minorHAnsi" w:hAnsiTheme="minorHAnsi"/>
          <w:snapToGrid w:val="0"/>
          <w:lang w:val="en-GB"/>
        </w:rPr>
        <w:t>7.7</w:t>
      </w:r>
      <w:r w:rsidR="007A20FA">
        <w:rPr>
          <w:rFonts w:asciiTheme="minorHAnsi" w:hAnsiTheme="minorHAnsi"/>
          <w:snapToGrid w:val="0"/>
          <w:lang w:val="en-GB"/>
        </w:rPr>
        <w:fldChar w:fldCharType="end"/>
      </w:r>
      <w:r w:rsidR="00A0612A">
        <w:rPr>
          <w:rFonts w:asciiTheme="minorHAnsi" w:hAnsiTheme="minorHAnsi"/>
          <w:snapToGrid w:val="0"/>
          <w:lang w:val="en-GB"/>
        </w:rPr>
        <w:t>)</w:t>
      </w:r>
      <w:r>
        <w:rPr>
          <w:rFonts w:asciiTheme="minorHAnsi" w:hAnsiTheme="minorHAnsi"/>
          <w:snapToGrid w:val="0"/>
          <w:lang w:val="en-GB"/>
        </w:rPr>
        <w:t>.</w:t>
      </w:r>
    </w:p>
    <w:p w14:paraId="41F91239" w14:textId="6272A13F" w:rsidR="00ED249F" w:rsidRDefault="00ED249F" w:rsidP="006367A0">
      <w:pPr>
        <w:widowControl w:val="0"/>
        <w:numPr>
          <w:ilvl w:val="1"/>
          <w:numId w:val="36"/>
        </w:numPr>
        <w:spacing w:after="120"/>
        <w:ind w:left="1077" w:hanging="357"/>
        <w:rPr>
          <w:rFonts w:asciiTheme="minorHAnsi" w:hAnsiTheme="minorHAnsi"/>
          <w:snapToGrid w:val="0"/>
          <w:lang w:val="en-GB"/>
        </w:rPr>
      </w:pPr>
      <w:r>
        <w:rPr>
          <w:rFonts w:asciiTheme="minorHAnsi" w:hAnsiTheme="minorHAnsi"/>
          <w:snapToGrid w:val="0"/>
          <w:lang w:val="en-GB"/>
        </w:rPr>
        <w:t xml:space="preserve">The incorrect cost </w:t>
      </w:r>
      <w:r w:rsidR="00A0612A">
        <w:rPr>
          <w:rFonts w:asciiTheme="minorHAnsi" w:hAnsiTheme="minorHAnsi"/>
          <w:snapToGrid w:val="0"/>
          <w:lang w:val="en-GB"/>
        </w:rPr>
        <w:t xml:space="preserve">of </w:t>
      </w:r>
      <w:r>
        <w:rPr>
          <w:rFonts w:asciiTheme="minorHAnsi" w:hAnsiTheme="minorHAnsi"/>
          <w:snapToGrid w:val="0"/>
          <w:lang w:val="en-GB"/>
        </w:rPr>
        <w:t xml:space="preserve">HSCT </w:t>
      </w:r>
      <w:r w:rsidR="00CC7E95">
        <w:rPr>
          <w:rFonts w:asciiTheme="minorHAnsi" w:hAnsiTheme="minorHAnsi"/>
          <w:snapToGrid w:val="0"/>
          <w:lang w:val="en-GB"/>
        </w:rPr>
        <w:t xml:space="preserve">was </w:t>
      </w:r>
      <w:r w:rsidR="00A0612A">
        <w:rPr>
          <w:rFonts w:asciiTheme="minorHAnsi" w:hAnsiTheme="minorHAnsi"/>
          <w:snapToGrid w:val="0"/>
          <w:lang w:val="en-GB"/>
        </w:rPr>
        <w:t>applied</w:t>
      </w:r>
      <w:r w:rsidR="00BF5FA0">
        <w:rPr>
          <w:rFonts w:asciiTheme="minorHAnsi" w:hAnsiTheme="minorHAnsi"/>
          <w:snapToGrid w:val="0"/>
          <w:lang w:val="en-GB"/>
        </w:rPr>
        <w:t xml:space="preserve"> as it was based on autologous rather than allogenic transplants</w:t>
      </w:r>
      <w:r w:rsidR="00A0612A">
        <w:rPr>
          <w:rFonts w:asciiTheme="minorHAnsi" w:hAnsiTheme="minorHAnsi"/>
          <w:snapToGrid w:val="0"/>
          <w:lang w:val="en-GB"/>
        </w:rPr>
        <w:t xml:space="preserve"> (paragraph </w:t>
      </w:r>
      <w:r w:rsidR="007A20FA">
        <w:rPr>
          <w:rFonts w:asciiTheme="minorHAnsi" w:hAnsiTheme="minorHAnsi"/>
          <w:snapToGrid w:val="0"/>
          <w:lang w:val="en-GB"/>
        </w:rPr>
        <w:fldChar w:fldCharType="begin" w:fldLock="1"/>
      </w:r>
      <w:r w:rsidR="007A20FA">
        <w:rPr>
          <w:rFonts w:asciiTheme="minorHAnsi" w:hAnsiTheme="minorHAnsi"/>
          <w:snapToGrid w:val="0"/>
          <w:lang w:val="en-GB"/>
        </w:rPr>
        <w:instrText xml:space="preserve"> REF _Ref110862045 \r \h </w:instrText>
      </w:r>
      <w:r w:rsidR="007A20FA">
        <w:rPr>
          <w:rFonts w:asciiTheme="minorHAnsi" w:hAnsiTheme="minorHAnsi"/>
          <w:snapToGrid w:val="0"/>
          <w:lang w:val="en-GB"/>
        </w:rPr>
      </w:r>
      <w:r w:rsidR="007A20FA">
        <w:rPr>
          <w:rFonts w:asciiTheme="minorHAnsi" w:hAnsiTheme="minorHAnsi"/>
          <w:snapToGrid w:val="0"/>
          <w:lang w:val="en-GB"/>
        </w:rPr>
        <w:fldChar w:fldCharType="separate"/>
      </w:r>
      <w:r w:rsidR="007A20FA">
        <w:rPr>
          <w:rFonts w:asciiTheme="minorHAnsi" w:hAnsiTheme="minorHAnsi"/>
          <w:snapToGrid w:val="0"/>
          <w:lang w:val="en-GB"/>
        </w:rPr>
        <w:t>6.37</w:t>
      </w:r>
      <w:r w:rsidR="007A20FA">
        <w:rPr>
          <w:rFonts w:asciiTheme="minorHAnsi" w:hAnsiTheme="minorHAnsi"/>
          <w:snapToGrid w:val="0"/>
          <w:lang w:val="en-GB"/>
        </w:rPr>
        <w:fldChar w:fldCharType="end"/>
      </w:r>
      <w:r w:rsidR="00A0612A">
        <w:rPr>
          <w:rFonts w:asciiTheme="minorHAnsi" w:hAnsiTheme="minorHAnsi"/>
          <w:snapToGrid w:val="0"/>
          <w:lang w:val="en-GB"/>
        </w:rPr>
        <w:t>). The PBAC noted that the correct cost was $123,956.</w:t>
      </w:r>
    </w:p>
    <w:p w14:paraId="0D28D6F2" w14:textId="2872CBC9" w:rsidR="00A0612A" w:rsidRDefault="00A0612A" w:rsidP="006367A0">
      <w:pPr>
        <w:widowControl w:val="0"/>
        <w:numPr>
          <w:ilvl w:val="1"/>
          <w:numId w:val="36"/>
        </w:numPr>
        <w:spacing w:after="120"/>
        <w:ind w:left="1077" w:hanging="357"/>
        <w:rPr>
          <w:rFonts w:asciiTheme="minorHAnsi" w:hAnsiTheme="minorHAnsi"/>
          <w:snapToGrid w:val="0"/>
          <w:lang w:val="en-GB"/>
        </w:rPr>
      </w:pPr>
      <w:r>
        <w:rPr>
          <w:rFonts w:asciiTheme="minorHAnsi" w:hAnsiTheme="minorHAnsi"/>
          <w:snapToGrid w:val="0"/>
          <w:lang w:val="en-GB"/>
        </w:rPr>
        <w:t xml:space="preserve">The </w:t>
      </w:r>
      <w:r w:rsidR="00F93DF0">
        <w:rPr>
          <w:rFonts w:asciiTheme="minorHAnsi" w:hAnsiTheme="minorHAnsi"/>
          <w:snapToGrid w:val="0"/>
          <w:lang w:val="en-GB"/>
        </w:rPr>
        <w:t xml:space="preserve">way that the average </w:t>
      </w:r>
      <w:r>
        <w:rPr>
          <w:rFonts w:asciiTheme="minorHAnsi" w:hAnsiTheme="minorHAnsi"/>
          <w:snapToGrid w:val="0"/>
          <w:lang w:val="en-GB"/>
        </w:rPr>
        <w:t xml:space="preserve">treatment duration </w:t>
      </w:r>
      <w:r w:rsidR="00F93DF0">
        <w:rPr>
          <w:rFonts w:asciiTheme="minorHAnsi" w:hAnsiTheme="minorHAnsi"/>
          <w:snapToGrid w:val="0"/>
          <w:lang w:val="en-GB"/>
        </w:rPr>
        <w:t xml:space="preserve">was applied </w:t>
      </w:r>
      <w:r w:rsidR="00CC7E95">
        <w:rPr>
          <w:rFonts w:asciiTheme="minorHAnsi" w:hAnsiTheme="minorHAnsi"/>
          <w:snapToGrid w:val="0"/>
          <w:lang w:val="en-GB"/>
        </w:rPr>
        <w:t xml:space="preserve">resulted in an average </w:t>
      </w:r>
      <w:r w:rsidR="00BF5FA0">
        <w:rPr>
          <w:rFonts w:asciiTheme="minorHAnsi" w:hAnsiTheme="minorHAnsi"/>
          <w:snapToGrid w:val="0"/>
          <w:lang w:val="en-GB"/>
        </w:rPr>
        <w:t xml:space="preserve">treatment </w:t>
      </w:r>
      <w:r w:rsidR="00CC7E95" w:rsidRPr="00C96A84">
        <w:rPr>
          <w:rFonts w:asciiTheme="minorHAnsi" w:hAnsiTheme="minorHAnsi"/>
          <w:snapToGrid w:val="0"/>
          <w:lang w:val="en-GB"/>
        </w:rPr>
        <w:t xml:space="preserve">duration of 15 months being </w:t>
      </w:r>
      <w:r w:rsidR="00F93DF0" w:rsidRPr="00C96A84">
        <w:rPr>
          <w:rFonts w:asciiTheme="minorHAnsi" w:hAnsiTheme="minorHAnsi"/>
          <w:snapToGrid w:val="0"/>
          <w:lang w:val="en-GB"/>
        </w:rPr>
        <w:t>estimat</w:t>
      </w:r>
      <w:r w:rsidR="00CC7E95" w:rsidRPr="00C96A84">
        <w:rPr>
          <w:rFonts w:asciiTheme="minorHAnsi" w:hAnsiTheme="minorHAnsi"/>
          <w:snapToGrid w:val="0"/>
          <w:lang w:val="en-GB"/>
        </w:rPr>
        <w:t xml:space="preserve">ed, rather than </w:t>
      </w:r>
      <w:r w:rsidRPr="00C96A84">
        <w:rPr>
          <w:rFonts w:asciiTheme="minorHAnsi" w:hAnsiTheme="minorHAnsi"/>
          <w:snapToGrid w:val="0"/>
          <w:lang w:val="en-GB"/>
        </w:rPr>
        <w:t>18.1 months (paragraph</w:t>
      </w:r>
      <w:r w:rsidR="00110BCA" w:rsidRPr="00C96A84">
        <w:rPr>
          <w:rFonts w:asciiTheme="minorHAnsi" w:hAnsiTheme="minorHAnsi"/>
          <w:snapToGrid w:val="0"/>
          <w:lang w:val="en-GB"/>
        </w:rPr>
        <w:t xml:space="preserve"> </w:t>
      </w:r>
      <w:r w:rsidR="00110BCA" w:rsidRPr="00C96A84">
        <w:rPr>
          <w:rFonts w:asciiTheme="minorHAnsi" w:hAnsiTheme="minorHAnsi"/>
          <w:snapToGrid w:val="0"/>
          <w:lang w:val="en-GB"/>
        </w:rPr>
        <w:fldChar w:fldCharType="begin" w:fldLock="1"/>
      </w:r>
      <w:r w:rsidR="00110BCA" w:rsidRPr="00C96A84">
        <w:rPr>
          <w:rFonts w:asciiTheme="minorHAnsi" w:hAnsiTheme="minorHAnsi"/>
          <w:snapToGrid w:val="0"/>
          <w:lang w:val="en-GB"/>
        </w:rPr>
        <w:instrText xml:space="preserve"> REF _Ref110933607 \r \h </w:instrText>
      </w:r>
      <w:r w:rsidR="00C96A84">
        <w:rPr>
          <w:rFonts w:asciiTheme="minorHAnsi" w:hAnsiTheme="minorHAnsi"/>
          <w:snapToGrid w:val="0"/>
          <w:lang w:val="en-GB"/>
        </w:rPr>
        <w:instrText xml:space="preserve"> \* MERGEFORMAT </w:instrText>
      </w:r>
      <w:r w:rsidR="00110BCA" w:rsidRPr="00C96A84">
        <w:rPr>
          <w:rFonts w:asciiTheme="minorHAnsi" w:hAnsiTheme="minorHAnsi"/>
          <w:snapToGrid w:val="0"/>
          <w:lang w:val="en-GB"/>
        </w:rPr>
      </w:r>
      <w:r w:rsidR="00110BCA" w:rsidRPr="00C96A84">
        <w:rPr>
          <w:rFonts w:asciiTheme="minorHAnsi" w:hAnsiTheme="minorHAnsi"/>
          <w:snapToGrid w:val="0"/>
          <w:lang w:val="en-GB"/>
        </w:rPr>
        <w:fldChar w:fldCharType="separate"/>
      </w:r>
      <w:r w:rsidR="007A20FA" w:rsidRPr="00C96A84">
        <w:rPr>
          <w:rFonts w:asciiTheme="minorHAnsi" w:hAnsiTheme="minorHAnsi"/>
          <w:snapToGrid w:val="0"/>
          <w:lang w:val="en-GB"/>
        </w:rPr>
        <w:t>6.35</w:t>
      </w:r>
      <w:r w:rsidR="00110BCA" w:rsidRPr="00C96A84">
        <w:rPr>
          <w:rFonts w:asciiTheme="minorHAnsi" w:hAnsiTheme="minorHAnsi"/>
          <w:snapToGrid w:val="0"/>
          <w:lang w:val="en-GB"/>
        </w:rPr>
        <w:fldChar w:fldCharType="end"/>
      </w:r>
      <w:r w:rsidRPr="00C96A84">
        <w:rPr>
          <w:rFonts w:asciiTheme="minorHAnsi" w:hAnsiTheme="minorHAnsi"/>
          <w:snapToGrid w:val="0"/>
          <w:lang w:val="en-GB"/>
        </w:rPr>
        <w:t>). The PBAC considered that applying the Kaplan</w:t>
      </w:r>
      <w:r w:rsidR="000E6572" w:rsidRPr="00C96A84">
        <w:rPr>
          <w:rFonts w:asciiTheme="minorHAnsi" w:hAnsiTheme="minorHAnsi"/>
          <w:snapToGrid w:val="0"/>
          <w:lang w:val="en-GB"/>
        </w:rPr>
        <w:t>–</w:t>
      </w:r>
      <w:r w:rsidRPr="00C96A84">
        <w:rPr>
          <w:rFonts w:asciiTheme="minorHAnsi" w:hAnsiTheme="minorHAnsi"/>
          <w:snapToGrid w:val="0"/>
          <w:lang w:val="en-GB"/>
        </w:rPr>
        <w:t>Meier time on treatment data from QUAZAR</w:t>
      </w:r>
      <w:r w:rsidR="00F01712" w:rsidRPr="00C96A84">
        <w:rPr>
          <w:rFonts w:asciiTheme="minorHAnsi" w:hAnsiTheme="minorHAnsi"/>
          <w:snapToGrid w:val="0"/>
          <w:lang w:val="en-GB"/>
        </w:rPr>
        <w:t>,</w:t>
      </w:r>
      <w:r w:rsidRPr="00C96A84">
        <w:rPr>
          <w:rFonts w:asciiTheme="minorHAnsi" w:hAnsiTheme="minorHAnsi"/>
          <w:snapToGrid w:val="0"/>
          <w:lang w:val="en-GB"/>
        </w:rPr>
        <w:t xml:space="preserve"> which resulted in the patients receiving an average of 18 months treatment</w:t>
      </w:r>
      <w:r w:rsidR="00F01712">
        <w:rPr>
          <w:rFonts w:asciiTheme="minorHAnsi" w:hAnsiTheme="minorHAnsi"/>
          <w:snapToGrid w:val="0"/>
          <w:lang w:val="en-GB"/>
        </w:rPr>
        <w:t>,</w:t>
      </w:r>
      <w:r>
        <w:rPr>
          <w:rFonts w:asciiTheme="minorHAnsi" w:hAnsiTheme="minorHAnsi"/>
          <w:snapToGrid w:val="0"/>
          <w:lang w:val="en-GB"/>
        </w:rPr>
        <w:t xml:space="preserve"> was appropriate.</w:t>
      </w:r>
    </w:p>
    <w:p w14:paraId="2A96B10F" w14:textId="79D2F880" w:rsidR="00A0612A" w:rsidRDefault="00A0612A" w:rsidP="006367A0">
      <w:pPr>
        <w:widowControl w:val="0"/>
        <w:numPr>
          <w:ilvl w:val="1"/>
          <w:numId w:val="36"/>
        </w:numPr>
        <w:spacing w:after="120"/>
        <w:ind w:left="1077" w:hanging="357"/>
        <w:rPr>
          <w:rFonts w:asciiTheme="minorHAnsi" w:hAnsiTheme="minorHAnsi"/>
          <w:snapToGrid w:val="0"/>
          <w:lang w:val="en-GB"/>
        </w:rPr>
      </w:pPr>
      <w:r>
        <w:rPr>
          <w:rFonts w:asciiTheme="minorHAnsi" w:hAnsiTheme="minorHAnsi"/>
          <w:snapToGrid w:val="0"/>
          <w:lang w:val="en-GB"/>
        </w:rPr>
        <w:t xml:space="preserve">The point of extrapolation of the OS curves (paragraph </w:t>
      </w:r>
      <w:r w:rsidR="007A20FA">
        <w:rPr>
          <w:rFonts w:asciiTheme="minorHAnsi" w:hAnsiTheme="minorHAnsi"/>
          <w:snapToGrid w:val="0"/>
          <w:lang w:val="en-GB"/>
        </w:rPr>
        <w:fldChar w:fldCharType="begin" w:fldLock="1"/>
      </w:r>
      <w:r w:rsidR="007A20FA">
        <w:rPr>
          <w:rFonts w:asciiTheme="minorHAnsi" w:hAnsiTheme="minorHAnsi"/>
          <w:snapToGrid w:val="0"/>
          <w:lang w:val="en-GB"/>
        </w:rPr>
        <w:instrText xml:space="preserve"> REF _Ref111200687 \r \h </w:instrText>
      </w:r>
      <w:r w:rsidR="007A20FA">
        <w:rPr>
          <w:rFonts w:asciiTheme="minorHAnsi" w:hAnsiTheme="minorHAnsi"/>
          <w:snapToGrid w:val="0"/>
          <w:lang w:val="en-GB"/>
        </w:rPr>
      </w:r>
      <w:r w:rsidR="007A20FA">
        <w:rPr>
          <w:rFonts w:asciiTheme="minorHAnsi" w:hAnsiTheme="minorHAnsi"/>
          <w:snapToGrid w:val="0"/>
          <w:lang w:val="en-GB"/>
        </w:rPr>
        <w:fldChar w:fldCharType="separate"/>
      </w:r>
      <w:r w:rsidR="007A20FA">
        <w:rPr>
          <w:rFonts w:asciiTheme="minorHAnsi" w:hAnsiTheme="minorHAnsi"/>
          <w:snapToGrid w:val="0"/>
          <w:lang w:val="en-GB"/>
        </w:rPr>
        <w:t>6.33</w:t>
      </w:r>
      <w:r w:rsidR="007A20FA">
        <w:rPr>
          <w:rFonts w:asciiTheme="minorHAnsi" w:hAnsiTheme="minorHAnsi"/>
          <w:snapToGrid w:val="0"/>
          <w:lang w:val="en-GB"/>
        </w:rPr>
        <w:fldChar w:fldCharType="end"/>
      </w:r>
      <w:r>
        <w:rPr>
          <w:rFonts w:asciiTheme="minorHAnsi" w:hAnsiTheme="minorHAnsi"/>
          <w:snapToGrid w:val="0"/>
          <w:lang w:val="en-GB"/>
        </w:rPr>
        <w:t xml:space="preserve">). The PBAC noted that the OS curves were </w:t>
      </w:r>
      <w:r w:rsidRPr="00C96A84">
        <w:rPr>
          <w:rFonts w:asciiTheme="minorHAnsi" w:hAnsiTheme="minorHAnsi"/>
          <w:snapToGrid w:val="0"/>
          <w:lang w:val="en-GB"/>
        </w:rPr>
        <w:t xml:space="preserve">extrapolated from 69 cycles at which point 6.7% of patients in the oral azacitidine arm and 5.1% of patients in the BSC arm were at risk. </w:t>
      </w:r>
      <w:r w:rsidR="00EE756D" w:rsidRPr="00C96A84">
        <w:rPr>
          <w:rFonts w:asciiTheme="minorHAnsi" w:hAnsiTheme="minorHAnsi"/>
          <w:snapToGrid w:val="0"/>
          <w:lang w:val="en-GB"/>
        </w:rPr>
        <w:t xml:space="preserve">The PBAC noted that the data at this point may have been unreliable due to significant censoring </w:t>
      </w:r>
      <w:r w:rsidR="002E02D4" w:rsidRPr="00C96A84">
        <w:rPr>
          <w:rFonts w:asciiTheme="minorHAnsi" w:hAnsiTheme="minorHAnsi"/>
          <w:snapToGrid w:val="0"/>
          <w:lang w:val="en-GB"/>
        </w:rPr>
        <w:t xml:space="preserve">and small numbers of patients remaining event-free. The PBAC </w:t>
      </w:r>
      <w:r w:rsidRPr="00C96A84">
        <w:rPr>
          <w:rFonts w:asciiTheme="minorHAnsi" w:hAnsiTheme="minorHAnsi"/>
          <w:snapToGrid w:val="0"/>
          <w:lang w:val="en-GB"/>
        </w:rPr>
        <w:t>considered that it w</w:t>
      </w:r>
      <w:r w:rsidR="00EE756D" w:rsidRPr="00C96A84">
        <w:rPr>
          <w:rFonts w:asciiTheme="minorHAnsi" w:hAnsiTheme="minorHAnsi"/>
          <w:snapToGrid w:val="0"/>
          <w:lang w:val="en-GB"/>
        </w:rPr>
        <w:t>ould be</w:t>
      </w:r>
      <w:r w:rsidRPr="00C96A84">
        <w:rPr>
          <w:rFonts w:asciiTheme="minorHAnsi" w:hAnsiTheme="minorHAnsi"/>
          <w:snapToGrid w:val="0"/>
          <w:lang w:val="en-GB"/>
        </w:rPr>
        <w:t xml:space="preserve"> more appropriate to extrapolate</w:t>
      </w:r>
      <w:r w:rsidR="008463F1" w:rsidRPr="00C96A84">
        <w:rPr>
          <w:rFonts w:asciiTheme="minorHAnsi" w:hAnsiTheme="minorHAnsi"/>
          <w:snapToGrid w:val="0"/>
          <w:lang w:val="en-GB"/>
        </w:rPr>
        <w:t xml:space="preserve"> OS</w:t>
      </w:r>
      <w:r w:rsidRPr="00C96A84">
        <w:rPr>
          <w:rFonts w:asciiTheme="minorHAnsi" w:hAnsiTheme="minorHAnsi"/>
          <w:snapToGrid w:val="0"/>
          <w:lang w:val="en-GB"/>
        </w:rPr>
        <w:t xml:space="preserve"> from </w:t>
      </w:r>
      <w:r w:rsidR="002E02D4" w:rsidRPr="00C96A84">
        <w:rPr>
          <w:rFonts w:asciiTheme="minorHAnsi" w:hAnsiTheme="minorHAnsi"/>
          <w:snapToGrid w:val="0"/>
          <w:lang w:val="en-GB"/>
        </w:rPr>
        <w:t>an earlier time</w:t>
      </w:r>
      <w:r w:rsidR="008463F1" w:rsidRPr="00C96A84">
        <w:rPr>
          <w:rFonts w:asciiTheme="minorHAnsi" w:hAnsiTheme="minorHAnsi"/>
          <w:snapToGrid w:val="0"/>
          <w:lang w:val="en-GB"/>
        </w:rPr>
        <w:t xml:space="preserve"> </w:t>
      </w:r>
      <w:r w:rsidR="002E02D4" w:rsidRPr="00C96A84">
        <w:rPr>
          <w:rFonts w:asciiTheme="minorHAnsi" w:hAnsiTheme="minorHAnsi"/>
          <w:snapToGrid w:val="0"/>
          <w:lang w:val="en-GB"/>
        </w:rPr>
        <w:t xml:space="preserve">point </w:t>
      </w:r>
      <w:r w:rsidR="008463F1" w:rsidRPr="00C96A84">
        <w:rPr>
          <w:rFonts w:asciiTheme="minorHAnsi" w:hAnsiTheme="minorHAnsi"/>
          <w:snapToGrid w:val="0"/>
          <w:lang w:val="en-GB"/>
        </w:rPr>
        <w:t xml:space="preserve">where the </w:t>
      </w:r>
      <w:r w:rsidR="00E5131A" w:rsidRPr="00C96A84">
        <w:rPr>
          <w:rFonts w:asciiTheme="minorHAnsi" w:hAnsiTheme="minorHAnsi"/>
          <w:snapToGrid w:val="0"/>
          <w:lang w:val="en-GB"/>
        </w:rPr>
        <w:t>Kaplan–Meier</w:t>
      </w:r>
      <w:r w:rsidR="008463F1" w:rsidRPr="00C96A84">
        <w:rPr>
          <w:rFonts w:asciiTheme="minorHAnsi" w:hAnsiTheme="minorHAnsi"/>
          <w:snapToGrid w:val="0"/>
          <w:lang w:val="en-GB"/>
        </w:rPr>
        <w:t xml:space="preserve"> curves are more reliable, </w:t>
      </w:r>
      <w:r w:rsidR="002F7D64" w:rsidRPr="00C96A84">
        <w:rPr>
          <w:rFonts w:asciiTheme="minorHAnsi" w:hAnsiTheme="minorHAnsi"/>
          <w:snapToGrid w:val="0"/>
          <w:lang w:val="en-GB"/>
        </w:rPr>
        <w:t xml:space="preserve">and for example noted that at </w:t>
      </w:r>
      <w:r w:rsidRPr="00C96A84">
        <w:rPr>
          <w:rFonts w:asciiTheme="minorHAnsi" w:hAnsiTheme="minorHAnsi"/>
          <w:snapToGrid w:val="0"/>
          <w:lang w:val="en-GB"/>
        </w:rPr>
        <w:t xml:space="preserve">the median follow-up point </w:t>
      </w:r>
      <w:r w:rsidR="003F6796" w:rsidRPr="00C96A84">
        <w:rPr>
          <w:rFonts w:asciiTheme="minorHAnsi" w:hAnsiTheme="minorHAnsi"/>
          <w:snapToGrid w:val="0"/>
          <w:lang w:val="en-GB"/>
        </w:rPr>
        <w:t>(55 cycles)</w:t>
      </w:r>
      <w:r w:rsidR="00F01712" w:rsidRPr="00C96A84">
        <w:rPr>
          <w:rFonts w:asciiTheme="minorHAnsi" w:hAnsiTheme="minorHAnsi"/>
          <w:snapToGrid w:val="0"/>
          <w:lang w:val="en-GB"/>
        </w:rPr>
        <w:t>,</w:t>
      </w:r>
      <w:r w:rsidR="003F6796" w:rsidRPr="00C96A84">
        <w:rPr>
          <w:rFonts w:asciiTheme="minorHAnsi" w:hAnsiTheme="minorHAnsi"/>
          <w:snapToGrid w:val="0"/>
          <w:lang w:val="en-GB"/>
        </w:rPr>
        <w:t xml:space="preserve"> </w:t>
      </w:r>
      <w:r w:rsidRPr="00C96A84">
        <w:rPr>
          <w:rFonts w:asciiTheme="minorHAnsi" w:hAnsiTheme="minorHAnsi"/>
          <w:snapToGrid w:val="0"/>
          <w:lang w:val="en-GB"/>
        </w:rPr>
        <w:t>16% of patients in the oral azacitidine arm and 10%</w:t>
      </w:r>
      <w:r>
        <w:rPr>
          <w:rFonts w:asciiTheme="minorHAnsi" w:hAnsiTheme="minorHAnsi"/>
          <w:snapToGrid w:val="0"/>
          <w:lang w:val="en-GB"/>
        </w:rPr>
        <w:t xml:space="preserve"> of patients in the BSC arm </w:t>
      </w:r>
      <w:r w:rsidR="00EE756D">
        <w:rPr>
          <w:rFonts w:asciiTheme="minorHAnsi" w:hAnsiTheme="minorHAnsi"/>
          <w:snapToGrid w:val="0"/>
          <w:lang w:val="en-GB"/>
        </w:rPr>
        <w:t>remained</w:t>
      </w:r>
      <w:r>
        <w:rPr>
          <w:rFonts w:asciiTheme="minorHAnsi" w:hAnsiTheme="minorHAnsi"/>
          <w:snapToGrid w:val="0"/>
          <w:lang w:val="en-GB"/>
        </w:rPr>
        <w:t xml:space="preserve"> at risk</w:t>
      </w:r>
      <w:r w:rsidR="008463F1">
        <w:rPr>
          <w:rFonts w:asciiTheme="minorHAnsi" w:hAnsiTheme="minorHAnsi"/>
          <w:snapToGrid w:val="0"/>
          <w:lang w:val="en-GB"/>
        </w:rPr>
        <w:t>, and considered this would be a more appropriate time point</w:t>
      </w:r>
      <w:r w:rsidR="00632F9E">
        <w:rPr>
          <w:rFonts w:asciiTheme="minorHAnsi" w:hAnsiTheme="minorHAnsi"/>
          <w:snapToGrid w:val="0"/>
          <w:lang w:val="en-GB"/>
        </w:rPr>
        <w:t xml:space="preserve"> from which</w:t>
      </w:r>
      <w:r w:rsidR="008463F1">
        <w:rPr>
          <w:rFonts w:asciiTheme="minorHAnsi" w:hAnsiTheme="minorHAnsi"/>
          <w:snapToGrid w:val="0"/>
          <w:lang w:val="en-GB"/>
        </w:rPr>
        <w:t xml:space="preserve"> to extrapolate</w:t>
      </w:r>
      <w:r>
        <w:rPr>
          <w:rFonts w:asciiTheme="minorHAnsi" w:hAnsiTheme="minorHAnsi"/>
          <w:snapToGrid w:val="0"/>
          <w:lang w:val="en-GB"/>
        </w:rPr>
        <w:t>.</w:t>
      </w:r>
    </w:p>
    <w:p w14:paraId="479707D6" w14:textId="238587D0" w:rsidR="00543F4D" w:rsidRDefault="00EE756D" w:rsidP="0010205E">
      <w:pPr>
        <w:widowControl w:val="0"/>
        <w:numPr>
          <w:ilvl w:val="1"/>
          <w:numId w:val="1"/>
        </w:numPr>
        <w:spacing w:after="120"/>
        <w:ind w:left="720"/>
        <w:rPr>
          <w:rFonts w:asciiTheme="minorHAnsi" w:hAnsiTheme="minorHAnsi"/>
          <w:snapToGrid w:val="0"/>
          <w:lang w:val="en-GB"/>
        </w:rPr>
      </w:pPr>
      <w:bookmarkStart w:id="90" w:name="_Ref111200890"/>
      <w:r>
        <w:rPr>
          <w:rFonts w:asciiTheme="minorHAnsi" w:hAnsiTheme="minorHAnsi"/>
          <w:snapToGrid w:val="0"/>
          <w:lang w:val="en-GB"/>
        </w:rPr>
        <w:t xml:space="preserve">The PBAC noted that the pre-PBAC response provided </w:t>
      </w:r>
      <w:r w:rsidR="006367A0">
        <w:rPr>
          <w:rFonts w:asciiTheme="minorHAnsi" w:hAnsiTheme="minorHAnsi"/>
          <w:snapToGrid w:val="0"/>
          <w:lang w:val="en-GB"/>
        </w:rPr>
        <w:t xml:space="preserve">a revised base case which applied the corrected cost of allogenic HSCT and treatment specific utility weights to the relapse free health state and resulted in an ICER of </w:t>
      </w:r>
      <w:r w:rsidR="00C32937" w:rsidRPr="00C32937">
        <w:rPr>
          <w:rFonts w:asciiTheme="minorHAnsi" w:hAnsiTheme="minorHAnsi"/>
          <w:snapToGrid w:val="0"/>
          <w:lang w:val="en-GB"/>
        </w:rPr>
        <w:t>$55,000</w:t>
      </w:r>
      <w:r w:rsidR="001923C0">
        <w:rPr>
          <w:rFonts w:asciiTheme="minorHAnsi" w:hAnsiTheme="minorHAnsi"/>
          <w:snapToGrid w:val="0"/>
          <w:lang w:val="en-GB"/>
        </w:rPr>
        <w:t> </w:t>
      </w:r>
      <w:r w:rsidR="00C32937" w:rsidRPr="00C32937">
        <w:rPr>
          <w:rFonts w:asciiTheme="minorHAnsi" w:hAnsiTheme="minorHAnsi"/>
          <w:snapToGrid w:val="0"/>
          <w:lang w:val="en-GB"/>
        </w:rPr>
        <w:t>to</w:t>
      </w:r>
      <w:r w:rsidR="001923C0">
        <w:rPr>
          <w:rFonts w:asciiTheme="minorHAnsi" w:hAnsiTheme="minorHAnsi"/>
          <w:snapToGrid w:val="0"/>
          <w:lang w:val="en-GB"/>
        </w:rPr>
        <w:t> </w:t>
      </w:r>
      <w:r w:rsidR="00C32937" w:rsidRPr="00C32937">
        <w:rPr>
          <w:rFonts w:asciiTheme="minorHAnsi" w:hAnsiTheme="minorHAnsi"/>
          <w:snapToGrid w:val="0"/>
          <w:lang w:val="en-GB"/>
        </w:rPr>
        <w:t>&lt;</w:t>
      </w:r>
      <w:r w:rsidR="001923C0">
        <w:rPr>
          <w:rFonts w:asciiTheme="minorHAnsi" w:hAnsiTheme="minorHAnsi"/>
          <w:snapToGrid w:val="0"/>
          <w:lang w:val="en-GB"/>
        </w:rPr>
        <w:t> </w:t>
      </w:r>
      <w:r w:rsidR="00C32937" w:rsidRPr="00C32937">
        <w:rPr>
          <w:rFonts w:asciiTheme="minorHAnsi" w:hAnsiTheme="minorHAnsi"/>
          <w:snapToGrid w:val="0"/>
          <w:lang w:val="en-GB"/>
        </w:rPr>
        <w:t xml:space="preserve">$75,000 </w:t>
      </w:r>
      <w:r w:rsidR="006367A0">
        <w:rPr>
          <w:rFonts w:asciiTheme="minorHAnsi" w:hAnsiTheme="minorHAnsi"/>
          <w:snapToGrid w:val="0"/>
          <w:lang w:val="en-GB"/>
        </w:rPr>
        <w:t>per QALY. The PBAC considered that an appropriate base case would also apply the Kaplan</w:t>
      </w:r>
      <w:r w:rsidR="000E6572">
        <w:rPr>
          <w:rFonts w:asciiTheme="minorHAnsi" w:hAnsiTheme="minorHAnsi"/>
          <w:snapToGrid w:val="0"/>
          <w:lang w:val="en-GB"/>
        </w:rPr>
        <w:t>–</w:t>
      </w:r>
      <w:r w:rsidR="006367A0">
        <w:rPr>
          <w:rFonts w:asciiTheme="minorHAnsi" w:hAnsiTheme="minorHAnsi"/>
          <w:snapToGrid w:val="0"/>
          <w:lang w:val="en-GB"/>
        </w:rPr>
        <w:t xml:space="preserve">Meier time on treatment data from the QUAZAR trial and extrapolate the OS curves from the median follow-up point. </w:t>
      </w:r>
      <w:r w:rsidR="000907F4">
        <w:rPr>
          <w:rFonts w:asciiTheme="minorHAnsi" w:hAnsiTheme="minorHAnsi"/>
          <w:snapToGrid w:val="0"/>
          <w:lang w:val="en-GB"/>
        </w:rPr>
        <w:t xml:space="preserve">The PBAC noted that, under this scenario, the </w:t>
      </w:r>
      <w:r w:rsidR="000907F4" w:rsidRPr="000907F4">
        <w:rPr>
          <w:rFonts w:asciiTheme="minorHAnsi" w:hAnsiTheme="minorHAnsi"/>
          <w:snapToGrid w:val="0"/>
          <w:lang w:val="en-GB"/>
        </w:rPr>
        <w:t xml:space="preserve">ICER </w:t>
      </w:r>
      <w:r w:rsidR="000907F4">
        <w:rPr>
          <w:rFonts w:asciiTheme="minorHAnsi" w:hAnsiTheme="minorHAnsi"/>
          <w:snapToGrid w:val="0"/>
          <w:lang w:val="en-GB"/>
        </w:rPr>
        <w:t xml:space="preserve">would </w:t>
      </w:r>
      <w:r w:rsidR="000907F4" w:rsidRPr="000907F4">
        <w:rPr>
          <w:rFonts w:asciiTheme="minorHAnsi" w:hAnsiTheme="minorHAnsi"/>
          <w:snapToGrid w:val="0"/>
          <w:lang w:val="en-GB"/>
        </w:rPr>
        <w:t xml:space="preserve">increase to </w:t>
      </w:r>
      <w:r w:rsidR="008F5FFE" w:rsidRPr="008F5FFE">
        <w:rPr>
          <w:rFonts w:asciiTheme="minorHAnsi" w:hAnsiTheme="minorHAnsi"/>
          <w:snapToGrid w:val="0"/>
          <w:lang w:val="en-GB"/>
        </w:rPr>
        <w:t>$75,000</w:t>
      </w:r>
      <w:r w:rsidR="001923C0">
        <w:rPr>
          <w:rFonts w:asciiTheme="minorHAnsi" w:hAnsiTheme="minorHAnsi"/>
          <w:snapToGrid w:val="0"/>
          <w:lang w:val="en-GB"/>
        </w:rPr>
        <w:t> </w:t>
      </w:r>
      <w:r w:rsidR="008F5FFE" w:rsidRPr="008F5FFE">
        <w:rPr>
          <w:rFonts w:asciiTheme="minorHAnsi" w:hAnsiTheme="minorHAnsi"/>
          <w:snapToGrid w:val="0"/>
          <w:lang w:val="en-GB"/>
        </w:rPr>
        <w:t>to</w:t>
      </w:r>
      <w:r w:rsidR="001923C0">
        <w:rPr>
          <w:rFonts w:asciiTheme="minorHAnsi" w:hAnsiTheme="minorHAnsi"/>
          <w:snapToGrid w:val="0"/>
          <w:lang w:val="en-GB"/>
        </w:rPr>
        <w:t> </w:t>
      </w:r>
      <w:r w:rsidR="008F5FFE" w:rsidRPr="008F5FFE">
        <w:rPr>
          <w:rFonts w:asciiTheme="minorHAnsi" w:hAnsiTheme="minorHAnsi"/>
          <w:snapToGrid w:val="0"/>
          <w:lang w:val="en-GB"/>
        </w:rPr>
        <w:t>&lt;</w:t>
      </w:r>
      <w:r w:rsidR="001923C0">
        <w:rPr>
          <w:rFonts w:asciiTheme="minorHAnsi" w:hAnsiTheme="minorHAnsi"/>
          <w:snapToGrid w:val="0"/>
          <w:lang w:val="en-GB"/>
        </w:rPr>
        <w:t> </w:t>
      </w:r>
      <w:r w:rsidR="008F5FFE" w:rsidRPr="008F5FFE">
        <w:rPr>
          <w:rFonts w:asciiTheme="minorHAnsi" w:hAnsiTheme="minorHAnsi"/>
          <w:snapToGrid w:val="0"/>
          <w:lang w:val="en-GB"/>
        </w:rPr>
        <w:t>$95,000</w:t>
      </w:r>
      <w:r w:rsidR="00DA72FB">
        <w:rPr>
          <w:rFonts w:asciiTheme="minorHAnsi" w:hAnsiTheme="minorHAnsi"/>
          <w:snapToGrid w:val="0"/>
          <w:lang w:val="en-GB"/>
        </w:rPr>
        <w:t xml:space="preserve"> </w:t>
      </w:r>
      <w:r w:rsidR="000907F4" w:rsidRPr="000907F4">
        <w:rPr>
          <w:rFonts w:asciiTheme="minorHAnsi" w:hAnsiTheme="minorHAnsi"/>
          <w:snapToGrid w:val="0"/>
          <w:lang w:val="en-GB"/>
        </w:rPr>
        <w:t>per QALY</w:t>
      </w:r>
      <w:r w:rsidR="000907F4">
        <w:rPr>
          <w:rFonts w:asciiTheme="minorHAnsi" w:hAnsiTheme="minorHAnsi"/>
          <w:snapToGrid w:val="0"/>
          <w:lang w:val="en-GB"/>
        </w:rPr>
        <w:t>.</w:t>
      </w:r>
      <w:r w:rsidR="000907F4" w:rsidRPr="000907F4">
        <w:rPr>
          <w:rFonts w:asciiTheme="minorHAnsi" w:hAnsiTheme="minorHAnsi"/>
          <w:snapToGrid w:val="0"/>
          <w:lang w:val="en-GB"/>
        </w:rPr>
        <w:t xml:space="preserve"> </w:t>
      </w:r>
      <w:r w:rsidR="006367A0">
        <w:rPr>
          <w:rFonts w:asciiTheme="minorHAnsi" w:hAnsiTheme="minorHAnsi"/>
          <w:snapToGrid w:val="0"/>
          <w:lang w:val="en-GB"/>
        </w:rPr>
        <w:t xml:space="preserve">The PBAC </w:t>
      </w:r>
      <w:r w:rsidR="00E845D5">
        <w:rPr>
          <w:rFonts w:asciiTheme="minorHAnsi" w:hAnsiTheme="minorHAnsi"/>
          <w:snapToGrid w:val="0"/>
          <w:lang w:val="en-GB"/>
        </w:rPr>
        <w:t>considered</w:t>
      </w:r>
      <w:r w:rsidR="006367A0">
        <w:rPr>
          <w:rFonts w:asciiTheme="minorHAnsi" w:hAnsiTheme="minorHAnsi"/>
          <w:snapToGrid w:val="0"/>
          <w:lang w:val="en-GB"/>
        </w:rPr>
        <w:t xml:space="preserve"> that an ICER of approximately </w:t>
      </w:r>
      <w:r w:rsidR="006F356A" w:rsidRPr="00C32937">
        <w:rPr>
          <w:rFonts w:asciiTheme="minorHAnsi" w:hAnsiTheme="minorHAnsi"/>
          <w:snapToGrid w:val="0"/>
          <w:lang w:val="en-GB"/>
        </w:rPr>
        <w:t>$55,000</w:t>
      </w:r>
      <w:r w:rsidR="001923C0">
        <w:rPr>
          <w:rFonts w:asciiTheme="minorHAnsi" w:hAnsiTheme="minorHAnsi"/>
          <w:snapToGrid w:val="0"/>
          <w:lang w:val="en-GB"/>
        </w:rPr>
        <w:t> </w:t>
      </w:r>
      <w:r w:rsidR="006F356A" w:rsidRPr="00C32937">
        <w:rPr>
          <w:rFonts w:asciiTheme="minorHAnsi" w:hAnsiTheme="minorHAnsi"/>
          <w:snapToGrid w:val="0"/>
          <w:lang w:val="en-GB"/>
        </w:rPr>
        <w:t>to</w:t>
      </w:r>
      <w:r w:rsidR="001923C0">
        <w:rPr>
          <w:rFonts w:asciiTheme="minorHAnsi" w:hAnsiTheme="minorHAnsi"/>
          <w:snapToGrid w:val="0"/>
          <w:lang w:val="en-GB"/>
        </w:rPr>
        <w:t> </w:t>
      </w:r>
      <w:r w:rsidR="006F356A" w:rsidRPr="00C32937">
        <w:rPr>
          <w:rFonts w:asciiTheme="minorHAnsi" w:hAnsiTheme="minorHAnsi"/>
          <w:snapToGrid w:val="0"/>
          <w:lang w:val="en-GB"/>
        </w:rPr>
        <w:t>&lt;</w:t>
      </w:r>
      <w:r w:rsidR="001923C0">
        <w:rPr>
          <w:rFonts w:asciiTheme="minorHAnsi" w:hAnsiTheme="minorHAnsi"/>
          <w:snapToGrid w:val="0"/>
          <w:lang w:val="en-GB"/>
        </w:rPr>
        <w:t> </w:t>
      </w:r>
      <w:r w:rsidR="006F356A" w:rsidRPr="00C32937">
        <w:rPr>
          <w:rFonts w:asciiTheme="minorHAnsi" w:hAnsiTheme="minorHAnsi"/>
          <w:snapToGrid w:val="0"/>
          <w:lang w:val="en-GB"/>
        </w:rPr>
        <w:t xml:space="preserve">$75,000 </w:t>
      </w:r>
      <w:r w:rsidR="006367A0">
        <w:rPr>
          <w:rFonts w:asciiTheme="minorHAnsi" w:hAnsiTheme="minorHAnsi"/>
          <w:snapToGrid w:val="0"/>
          <w:lang w:val="en-GB"/>
        </w:rPr>
        <w:t>per QALY would be acceptabl</w:t>
      </w:r>
      <w:r w:rsidR="00E845D5">
        <w:rPr>
          <w:rFonts w:asciiTheme="minorHAnsi" w:hAnsiTheme="minorHAnsi"/>
          <w:snapToGrid w:val="0"/>
          <w:lang w:val="en-GB"/>
        </w:rPr>
        <w:t xml:space="preserve">y cost-effective </w:t>
      </w:r>
      <w:r w:rsidR="00823CA3">
        <w:rPr>
          <w:rFonts w:asciiTheme="minorHAnsi" w:hAnsiTheme="minorHAnsi"/>
          <w:snapToGrid w:val="0"/>
          <w:lang w:val="en-GB"/>
        </w:rPr>
        <w:t xml:space="preserve">and </w:t>
      </w:r>
      <w:r w:rsidR="00E845D5">
        <w:rPr>
          <w:rFonts w:asciiTheme="minorHAnsi" w:hAnsiTheme="minorHAnsi"/>
          <w:snapToGrid w:val="0"/>
          <w:lang w:val="en-GB"/>
        </w:rPr>
        <w:t xml:space="preserve">noted </w:t>
      </w:r>
      <w:r w:rsidR="00823CA3">
        <w:rPr>
          <w:rFonts w:asciiTheme="minorHAnsi" w:hAnsiTheme="minorHAnsi"/>
          <w:snapToGrid w:val="0"/>
          <w:lang w:val="en-GB"/>
        </w:rPr>
        <w:t>that a price reduction would be required</w:t>
      </w:r>
      <w:r w:rsidR="00FD5E22">
        <w:rPr>
          <w:rFonts w:asciiTheme="minorHAnsi" w:hAnsiTheme="minorHAnsi"/>
          <w:snapToGrid w:val="0"/>
          <w:lang w:val="en-GB"/>
        </w:rPr>
        <w:t xml:space="preserve"> to achieve this ICER</w:t>
      </w:r>
      <w:r w:rsidR="006367A0">
        <w:rPr>
          <w:rFonts w:asciiTheme="minorHAnsi" w:hAnsiTheme="minorHAnsi"/>
          <w:snapToGrid w:val="0"/>
          <w:lang w:val="en-GB"/>
        </w:rPr>
        <w:t>.</w:t>
      </w:r>
      <w:bookmarkEnd w:id="90"/>
    </w:p>
    <w:p w14:paraId="15A3AFFE" w14:textId="463817A2" w:rsidR="006367A0" w:rsidRDefault="00141831" w:rsidP="0010205E">
      <w:pPr>
        <w:widowControl w:val="0"/>
        <w:numPr>
          <w:ilvl w:val="1"/>
          <w:numId w:val="1"/>
        </w:numPr>
        <w:spacing w:after="120"/>
        <w:ind w:left="720"/>
        <w:rPr>
          <w:rFonts w:asciiTheme="minorHAnsi" w:hAnsiTheme="minorHAnsi"/>
          <w:snapToGrid w:val="0"/>
          <w:lang w:val="en-GB"/>
        </w:rPr>
      </w:pPr>
      <w:bookmarkStart w:id="91" w:name="_Ref111200900"/>
      <w:r>
        <w:rPr>
          <w:rFonts w:asciiTheme="minorHAnsi" w:hAnsiTheme="minorHAnsi"/>
          <w:snapToGrid w:val="0"/>
          <w:lang w:val="en-GB"/>
        </w:rPr>
        <w:t xml:space="preserve">The PBAC considered that the financial impact of listing oral azacitidine was overestimated, noting that the submission estimated that in Year 6 approximately 25% of all AML patients would be initiating treatment with oral azacitidine. The PBAC considered that the proportion of patients who achieved CR/CRi applied in the submission of 80% was likely overestimated as it was based on </w:t>
      </w:r>
      <w:r w:rsidR="00B84D3D">
        <w:rPr>
          <w:rFonts w:asciiTheme="minorHAnsi" w:hAnsiTheme="minorHAnsi"/>
          <w:snapToGrid w:val="0"/>
          <w:lang w:val="en-GB"/>
        </w:rPr>
        <w:t>a small cohort of younger patients (18</w:t>
      </w:r>
      <w:r w:rsidR="00EE01C8">
        <w:rPr>
          <w:rFonts w:asciiTheme="minorHAnsi" w:hAnsiTheme="minorHAnsi"/>
          <w:snapToGrid w:val="0"/>
          <w:lang w:val="en-GB"/>
        </w:rPr>
        <w:t xml:space="preserve"> to </w:t>
      </w:r>
      <w:r w:rsidR="00B84D3D">
        <w:rPr>
          <w:rFonts w:asciiTheme="minorHAnsi" w:hAnsiTheme="minorHAnsi"/>
          <w:snapToGrid w:val="0"/>
          <w:lang w:val="en-GB"/>
        </w:rPr>
        <w:t>64 years) with an FLT3 mutation only.</w:t>
      </w:r>
      <w:r w:rsidR="003B6D3C">
        <w:rPr>
          <w:rFonts w:asciiTheme="minorHAnsi" w:hAnsiTheme="minorHAnsi"/>
          <w:snapToGrid w:val="0"/>
          <w:lang w:val="en-GB"/>
        </w:rPr>
        <w:t xml:space="preserve"> The PBAC considered this cohort of patients </w:t>
      </w:r>
      <w:r w:rsidR="00632F9E">
        <w:rPr>
          <w:rFonts w:asciiTheme="minorHAnsi" w:hAnsiTheme="minorHAnsi"/>
          <w:snapToGrid w:val="0"/>
          <w:lang w:val="en-GB"/>
        </w:rPr>
        <w:t>was likely to</w:t>
      </w:r>
      <w:r w:rsidR="003B6D3C">
        <w:rPr>
          <w:rFonts w:asciiTheme="minorHAnsi" w:hAnsiTheme="minorHAnsi"/>
          <w:snapToGrid w:val="0"/>
          <w:lang w:val="en-GB"/>
        </w:rPr>
        <w:t xml:space="preserve"> </w:t>
      </w:r>
      <w:r w:rsidR="00150DAE">
        <w:rPr>
          <w:rFonts w:asciiTheme="minorHAnsi" w:hAnsiTheme="minorHAnsi"/>
          <w:snapToGrid w:val="0"/>
          <w:lang w:val="en-GB"/>
        </w:rPr>
        <w:t>have higher response rates than the requested PBS population. Further, t</w:t>
      </w:r>
      <w:r w:rsidR="00B84D3D">
        <w:rPr>
          <w:rFonts w:asciiTheme="minorHAnsi" w:hAnsiTheme="minorHAnsi"/>
          <w:snapToGrid w:val="0"/>
          <w:lang w:val="en-GB"/>
        </w:rPr>
        <w:t>he PBAC noted that other trial results and expert opinion estimated a rate of CR/CRi of 54% to 70%</w:t>
      </w:r>
      <w:r w:rsidR="00F55241">
        <w:rPr>
          <w:rFonts w:asciiTheme="minorHAnsi" w:hAnsiTheme="minorHAnsi"/>
          <w:snapToGrid w:val="0"/>
          <w:lang w:val="en-GB"/>
        </w:rPr>
        <w:t xml:space="preserve"> and considered that this would be a more appropriate range for estimating the proportion of patients achieving a CR/C</w:t>
      </w:r>
      <w:r w:rsidR="00DB786C">
        <w:rPr>
          <w:rFonts w:asciiTheme="minorHAnsi" w:hAnsiTheme="minorHAnsi"/>
          <w:snapToGrid w:val="0"/>
          <w:lang w:val="en-GB"/>
        </w:rPr>
        <w:t>R</w:t>
      </w:r>
      <w:r w:rsidR="00F55241">
        <w:rPr>
          <w:rFonts w:asciiTheme="minorHAnsi" w:hAnsiTheme="minorHAnsi"/>
          <w:snapToGrid w:val="0"/>
          <w:lang w:val="en-GB"/>
        </w:rPr>
        <w:t>i</w:t>
      </w:r>
      <w:r w:rsidR="00DB786C">
        <w:rPr>
          <w:rFonts w:asciiTheme="minorHAnsi" w:hAnsiTheme="minorHAnsi"/>
          <w:snapToGrid w:val="0"/>
          <w:lang w:val="en-GB"/>
        </w:rPr>
        <w:t xml:space="preserve">, </w:t>
      </w:r>
      <w:r w:rsidR="000C0F44">
        <w:rPr>
          <w:rFonts w:asciiTheme="minorHAnsi" w:hAnsiTheme="minorHAnsi"/>
          <w:snapToGrid w:val="0"/>
          <w:lang w:val="en-GB"/>
        </w:rPr>
        <w:t>but that this</w:t>
      </w:r>
      <w:r w:rsidR="00DB786C">
        <w:rPr>
          <w:rFonts w:asciiTheme="minorHAnsi" w:hAnsiTheme="minorHAnsi"/>
          <w:snapToGrid w:val="0"/>
          <w:lang w:val="en-GB"/>
        </w:rPr>
        <w:t xml:space="preserve"> would be further reduced in patients with intermediate- or poor-risk cytogenetics</w:t>
      </w:r>
      <w:r w:rsidR="00B84D3D">
        <w:rPr>
          <w:rFonts w:asciiTheme="minorHAnsi" w:hAnsiTheme="minorHAnsi"/>
          <w:snapToGrid w:val="0"/>
          <w:lang w:val="en-GB"/>
        </w:rPr>
        <w:t>.</w:t>
      </w:r>
      <w:bookmarkEnd w:id="91"/>
      <w:r w:rsidR="00E142A1">
        <w:rPr>
          <w:rFonts w:asciiTheme="minorHAnsi" w:hAnsiTheme="minorHAnsi"/>
          <w:snapToGrid w:val="0"/>
          <w:lang w:val="en-GB"/>
        </w:rPr>
        <w:t xml:space="preserve"> </w:t>
      </w:r>
    </w:p>
    <w:p w14:paraId="44D3CE84" w14:textId="149AB2F2" w:rsidR="00B84D3D" w:rsidRDefault="00B84D3D" w:rsidP="0010205E">
      <w:pPr>
        <w:widowControl w:val="0"/>
        <w:numPr>
          <w:ilvl w:val="1"/>
          <w:numId w:val="1"/>
        </w:numPr>
        <w:spacing w:after="120"/>
        <w:ind w:left="720"/>
        <w:rPr>
          <w:rFonts w:asciiTheme="minorHAnsi" w:hAnsiTheme="minorHAnsi"/>
          <w:snapToGrid w:val="0"/>
          <w:lang w:val="en-GB"/>
        </w:rPr>
      </w:pPr>
      <w:bookmarkStart w:id="92" w:name="_Ref111200902"/>
      <w:r>
        <w:rPr>
          <w:rFonts w:asciiTheme="minorHAnsi" w:hAnsiTheme="minorHAnsi"/>
          <w:snapToGrid w:val="0"/>
          <w:lang w:val="en-GB"/>
        </w:rPr>
        <w:t>The PBAC also considered that the proportion of patients who would not be candidates for</w:t>
      </w:r>
      <w:r w:rsidR="002F7D64">
        <w:rPr>
          <w:rFonts w:asciiTheme="minorHAnsi" w:hAnsiTheme="minorHAnsi"/>
          <w:snapToGrid w:val="0"/>
          <w:lang w:val="en-GB"/>
        </w:rPr>
        <w:t>,</w:t>
      </w:r>
      <w:r>
        <w:rPr>
          <w:rFonts w:asciiTheme="minorHAnsi" w:hAnsiTheme="minorHAnsi"/>
          <w:snapToGrid w:val="0"/>
          <w:lang w:val="en-GB"/>
        </w:rPr>
        <w:t xml:space="preserve"> or who would choose not to undergo</w:t>
      </w:r>
      <w:r w:rsidR="002F7D64">
        <w:rPr>
          <w:rFonts w:asciiTheme="minorHAnsi" w:hAnsiTheme="minorHAnsi"/>
          <w:snapToGrid w:val="0"/>
          <w:lang w:val="en-GB"/>
        </w:rPr>
        <w:t>,</w:t>
      </w:r>
      <w:r>
        <w:rPr>
          <w:rFonts w:asciiTheme="minorHAnsi" w:hAnsiTheme="minorHAnsi"/>
          <w:snapToGrid w:val="0"/>
          <w:lang w:val="en-GB"/>
        </w:rPr>
        <w:t xml:space="preserve"> HSCT </w:t>
      </w:r>
      <w:r w:rsidRPr="00607726">
        <w:rPr>
          <w:rFonts w:asciiTheme="minorHAnsi" w:hAnsiTheme="minorHAnsi"/>
          <w:snapToGrid w:val="0"/>
          <w:lang w:val="en-GB"/>
        </w:rPr>
        <w:t>of 81.5%</w:t>
      </w:r>
      <w:r>
        <w:rPr>
          <w:rFonts w:asciiTheme="minorHAnsi" w:hAnsiTheme="minorHAnsi"/>
          <w:snapToGrid w:val="0"/>
          <w:lang w:val="en-GB"/>
        </w:rPr>
        <w:t xml:space="preserve"> was overestimated. </w:t>
      </w:r>
      <w:r w:rsidR="00A24D49">
        <w:rPr>
          <w:rFonts w:asciiTheme="minorHAnsi" w:hAnsiTheme="minorHAnsi"/>
          <w:snapToGrid w:val="0"/>
          <w:lang w:val="en-GB"/>
        </w:rPr>
        <w:t>The PBAC noted that a rate of 70</w:t>
      </w:r>
      <w:r w:rsidR="00EE01C8">
        <w:rPr>
          <w:rFonts w:asciiTheme="minorHAnsi" w:hAnsiTheme="minorHAnsi"/>
          <w:snapToGrid w:val="0"/>
          <w:lang w:val="en-GB"/>
        </w:rPr>
        <w:t xml:space="preserve">% to </w:t>
      </w:r>
      <w:r w:rsidR="00A24D49">
        <w:rPr>
          <w:rFonts w:asciiTheme="minorHAnsi" w:hAnsiTheme="minorHAnsi"/>
          <w:snapToGrid w:val="0"/>
          <w:lang w:val="en-GB"/>
        </w:rPr>
        <w:t xml:space="preserve">80% was accepted </w:t>
      </w:r>
      <w:r w:rsidR="00E97AA1">
        <w:rPr>
          <w:rFonts w:asciiTheme="minorHAnsi" w:hAnsiTheme="minorHAnsi"/>
          <w:snapToGrid w:val="0"/>
          <w:lang w:val="en-GB"/>
        </w:rPr>
        <w:t>for midostaurin in 2017 (paragraph 6.48, midostaurin PSD, November 2017</w:t>
      </w:r>
      <w:r w:rsidR="00EE01C8">
        <w:rPr>
          <w:rFonts w:asciiTheme="minorHAnsi" w:hAnsiTheme="minorHAnsi"/>
          <w:snapToGrid w:val="0"/>
          <w:lang w:val="en-GB"/>
        </w:rPr>
        <w:t xml:space="preserve"> PBAC Meeting</w:t>
      </w:r>
      <w:r w:rsidR="00E97AA1">
        <w:rPr>
          <w:rFonts w:asciiTheme="minorHAnsi" w:hAnsiTheme="minorHAnsi"/>
          <w:snapToGrid w:val="0"/>
          <w:lang w:val="en-GB"/>
        </w:rPr>
        <w:t xml:space="preserve">), </w:t>
      </w:r>
      <w:r w:rsidR="004F14DD">
        <w:rPr>
          <w:rFonts w:asciiTheme="minorHAnsi" w:hAnsiTheme="minorHAnsi"/>
          <w:snapToGrid w:val="0"/>
          <w:lang w:val="en-GB"/>
        </w:rPr>
        <w:t>and further</w:t>
      </w:r>
      <w:r w:rsidR="00E97AA1">
        <w:rPr>
          <w:rFonts w:asciiTheme="minorHAnsi" w:hAnsiTheme="minorHAnsi"/>
          <w:snapToGrid w:val="0"/>
          <w:lang w:val="en-GB"/>
        </w:rPr>
        <w:t xml:space="preserve"> considered that t</w:t>
      </w:r>
      <w:r>
        <w:rPr>
          <w:rFonts w:asciiTheme="minorHAnsi" w:hAnsiTheme="minorHAnsi"/>
          <w:snapToGrid w:val="0"/>
          <w:lang w:val="en-GB"/>
        </w:rPr>
        <w:t xml:space="preserve">he increasing use of haploidentical transplant would result in </w:t>
      </w:r>
      <w:r w:rsidR="00EB716B">
        <w:rPr>
          <w:rFonts w:asciiTheme="minorHAnsi" w:hAnsiTheme="minorHAnsi"/>
          <w:snapToGrid w:val="0"/>
          <w:lang w:val="en-GB"/>
        </w:rPr>
        <w:t xml:space="preserve">a higher proportion of </w:t>
      </w:r>
      <w:r>
        <w:rPr>
          <w:rFonts w:asciiTheme="minorHAnsi" w:hAnsiTheme="minorHAnsi"/>
          <w:snapToGrid w:val="0"/>
          <w:lang w:val="en-GB"/>
        </w:rPr>
        <w:t>fit patients</w:t>
      </w:r>
      <w:r w:rsidR="00F55241">
        <w:rPr>
          <w:rFonts w:asciiTheme="minorHAnsi" w:hAnsiTheme="minorHAnsi"/>
          <w:snapToGrid w:val="0"/>
          <w:lang w:val="en-GB"/>
        </w:rPr>
        <w:t xml:space="preserve"> having donors and thus</w:t>
      </w:r>
      <w:r>
        <w:rPr>
          <w:rFonts w:asciiTheme="minorHAnsi" w:hAnsiTheme="minorHAnsi"/>
          <w:snapToGrid w:val="0"/>
          <w:lang w:val="en-GB"/>
        </w:rPr>
        <w:t xml:space="preserve"> receiving a HSCT.</w:t>
      </w:r>
      <w:r w:rsidR="00A24D49">
        <w:rPr>
          <w:rFonts w:asciiTheme="minorHAnsi" w:hAnsiTheme="minorHAnsi"/>
          <w:snapToGrid w:val="0"/>
          <w:lang w:val="en-GB"/>
        </w:rPr>
        <w:t xml:space="preserve"> </w:t>
      </w:r>
      <w:r w:rsidR="004F14DD">
        <w:rPr>
          <w:rFonts w:asciiTheme="minorHAnsi" w:hAnsiTheme="minorHAnsi"/>
          <w:snapToGrid w:val="0"/>
          <w:lang w:val="en-GB"/>
        </w:rPr>
        <w:t>Overall, the PBAC considered that</w:t>
      </w:r>
      <w:r w:rsidR="00F55241">
        <w:rPr>
          <w:rFonts w:asciiTheme="minorHAnsi" w:hAnsiTheme="minorHAnsi"/>
          <w:snapToGrid w:val="0"/>
          <w:lang w:val="en-GB"/>
        </w:rPr>
        <w:t>, based on current practices,</w:t>
      </w:r>
      <w:r w:rsidR="004F14DD">
        <w:rPr>
          <w:rFonts w:asciiTheme="minorHAnsi" w:hAnsiTheme="minorHAnsi"/>
          <w:snapToGrid w:val="0"/>
          <w:lang w:val="en-GB"/>
        </w:rPr>
        <w:t xml:space="preserve"> the proportion of patients who do not undergo a HSCT is likely to be at the lower end of the range accepted for midostaurin (i.e. close to 70%).</w:t>
      </w:r>
      <w:bookmarkEnd w:id="92"/>
    </w:p>
    <w:p w14:paraId="632D8752" w14:textId="4652EEAF" w:rsidR="00A24D49" w:rsidRDefault="00A24D49" w:rsidP="0010205E">
      <w:pPr>
        <w:widowControl w:val="0"/>
        <w:numPr>
          <w:ilvl w:val="1"/>
          <w:numId w:val="1"/>
        </w:numPr>
        <w:spacing w:after="120"/>
        <w:ind w:left="720"/>
        <w:rPr>
          <w:rFonts w:asciiTheme="minorHAnsi" w:hAnsiTheme="minorHAnsi"/>
          <w:snapToGrid w:val="0"/>
          <w:lang w:val="en-GB"/>
        </w:rPr>
      </w:pPr>
      <w:bookmarkStart w:id="93" w:name="_Ref111200903"/>
      <w:r>
        <w:rPr>
          <w:rFonts w:asciiTheme="minorHAnsi" w:hAnsiTheme="minorHAnsi"/>
          <w:snapToGrid w:val="0"/>
          <w:lang w:val="en-GB"/>
        </w:rPr>
        <w:t xml:space="preserve">The PBAC considered that </w:t>
      </w:r>
      <w:r w:rsidR="008C391F">
        <w:rPr>
          <w:rFonts w:asciiTheme="minorHAnsi" w:hAnsiTheme="minorHAnsi"/>
          <w:snapToGrid w:val="0"/>
          <w:lang w:val="en-GB"/>
        </w:rPr>
        <w:t xml:space="preserve">the financial </w:t>
      </w:r>
      <w:r>
        <w:rPr>
          <w:rFonts w:asciiTheme="minorHAnsi" w:hAnsiTheme="minorHAnsi"/>
          <w:snapToGrid w:val="0"/>
          <w:lang w:val="en-GB"/>
        </w:rPr>
        <w:t xml:space="preserve">estimates would also </w:t>
      </w:r>
      <w:r w:rsidR="008C391F">
        <w:rPr>
          <w:rFonts w:asciiTheme="minorHAnsi" w:hAnsiTheme="minorHAnsi"/>
          <w:snapToGrid w:val="0"/>
          <w:lang w:val="en-GB"/>
        </w:rPr>
        <w:t xml:space="preserve">need to be revised to </w:t>
      </w:r>
      <w:r>
        <w:rPr>
          <w:rFonts w:asciiTheme="minorHAnsi" w:hAnsiTheme="minorHAnsi"/>
          <w:snapToGrid w:val="0"/>
          <w:lang w:val="en-GB"/>
        </w:rPr>
        <w:t xml:space="preserve">align with </w:t>
      </w:r>
      <w:r w:rsidR="008C391F">
        <w:rPr>
          <w:rFonts w:asciiTheme="minorHAnsi" w:hAnsiTheme="minorHAnsi"/>
          <w:snapToGrid w:val="0"/>
          <w:lang w:val="en-GB"/>
        </w:rPr>
        <w:t xml:space="preserve">its advice that the listing should restrict use to </w:t>
      </w:r>
      <w:r w:rsidR="008C391F" w:rsidRPr="003B6D3C">
        <w:rPr>
          <w:rFonts w:asciiTheme="minorHAnsi" w:hAnsiTheme="minorHAnsi"/>
          <w:snapToGrid w:val="0"/>
          <w:lang w:val="en-GB"/>
        </w:rPr>
        <w:t>patients with intermediate- or poor-risk cytogenetics</w:t>
      </w:r>
      <w:r w:rsidR="008C391F">
        <w:rPr>
          <w:rFonts w:asciiTheme="minorHAnsi" w:hAnsiTheme="minorHAnsi"/>
          <w:snapToGrid w:val="0"/>
          <w:lang w:val="en-GB"/>
        </w:rPr>
        <w:t xml:space="preserve"> only (i.e. exclude those with favourable</w:t>
      </w:r>
      <w:r w:rsidR="00632F9E">
        <w:rPr>
          <w:rFonts w:asciiTheme="minorHAnsi" w:hAnsiTheme="minorHAnsi"/>
          <w:snapToGrid w:val="0"/>
          <w:lang w:val="en-GB"/>
        </w:rPr>
        <w:t>-risk</w:t>
      </w:r>
      <w:r w:rsidR="008C391F">
        <w:rPr>
          <w:rFonts w:asciiTheme="minorHAnsi" w:hAnsiTheme="minorHAnsi"/>
          <w:snapToGrid w:val="0"/>
          <w:lang w:val="en-GB"/>
        </w:rPr>
        <w:t xml:space="preserve"> cytogenetics). The PBAC considered that the other changes to the restriction were unlikely to materially impact patient numbers.</w:t>
      </w:r>
      <w:bookmarkEnd w:id="93"/>
      <w:r w:rsidR="008C391F">
        <w:rPr>
          <w:rFonts w:asciiTheme="minorHAnsi" w:hAnsiTheme="minorHAnsi"/>
          <w:snapToGrid w:val="0"/>
          <w:lang w:val="en-GB"/>
        </w:rPr>
        <w:t xml:space="preserve"> </w:t>
      </w:r>
    </w:p>
    <w:p w14:paraId="43E53E1A" w14:textId="67832952" w:rsidR="00E97AA1" w:rsidRDefault="00E97AA1" w:rsidP="0010205E">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PBAC considered that the outstanding issues could be easily resolve</w:t>
      </w:r>
      <w:r w:rsidR="00B708F6">
        <w:rPr>
          <w:rFonts w:asciiTheme="minorHAnsi" w:hAnsiTheme="minorHAnsi"/>
          <w:snapToGrid w:val="0"/>
          <w:lang w:val="en-GB"/>
        </w:rPr>
        <w:t>d</w:t>
      </w:r>
      <w:r>
        <w:rPr>
          <w:rFonts w:asciiTheme="minorHAnsi" w:hAnsiTheme="minorHAnsi"/>
          <w:snapToGrid w:val="0"/>
          <w:lang w:val="en-GB"/>
        </w:rPr>
        <w:t xml:space="preserve"> in a simple resubmission for oral azacitidine. The PBAC also considered that oral azacitidine addresses a high and urgent unmet clinical need and was expected to provide a substantial and clinically relevant improvement in efficacy over any alternative therapies. Therefore, the PBAC considered an early resolution pathway would be acceptable. If the sponsor accepts this pathway, then </w:t>
      </w:r>
      <w:r w:rsidR="002F7D64">
        <w:rPr>
          <w:rFonts w:asciiTheme="minorHAnsi" w:hAnsiTheme="minorHAnsi"/>
          <w:snapToGrid w:val="0"/>
          <w:lang w:val="en-GB"/>
        </w:rPr>
        <w:t xml:space="preserve">the </w:t>
      </w:r>
      <w:r>
        <w:rPr>
          <w:rFonts w:asciiTheme="minorHAnsi" w:hAnsiTheme="minorHAnsi"/>
          <w:snapToGrid w:val="0"/>
          <w:lang w:val="en-GB"/>
        </w:rPr>
        <w:t>following changes may address these outstanding issues without requiring further re-evaluation:</w:t>
      </w:r>
    </w:p>
    <w:p w14:paraId="7003B6E6" w14:textId="215CD50D" w:rsidR="00795B5B" w:rsidRPr="00602E88" w:rsidRDefault="00E97AA1" w:rsidP="00CB1E25">
      <w:pPr>
        <w:widowControl w:val="0"/>
        <w:numPr>
          <w:ilvl w:val="1"/>
          <w:numId w:val="38"/>
        </w:numPr>
        <w:spacing w:after="120"/>
        <w:ind w:left="1077" w:hanging="357"/>
        <w:rPr>
          <w:rFonts w:asciiTheme="minorHAnsi" w:hAnsiTheme="minorHAnsi"/>
          <w:snapToGrid w:val="0"/>
          <w:lang w:val="en-GB"/>
        </w:rPr>
      </w:pPr>
      <w:r w:rsidRPr="00602E88">
        <w:rPr>
          <w:rFonts w:asciiTheme="minorHAnsi" w:hAnsiTheme="minorHAnsi"/>
          <w:snapToGrid w:val="0"/>
          <w:lang w:val="en-GB"/>
        </w:rPr>
        <w:t xml:space="preserve">a revised restriction that incorporates the changes suggested in paragraphs </w:t>
      </w:r>
      <w:r w:rsidR="00795B5B" w:rsidRPr="00602E88">
        <w:rPr>
          <w:rFonts w:asciiTheme="minorHAnsi" w:hAnsiTheme="minorHAnsi"/>
          <w:snapToGrid w:val="0"/>
          <w:lang w:val="en-GB"/>
        </w:rPr>
        <w:fldChar w:fldCharType="begin" w:fldLock="1"/>
      </w:r>
      <w:r w:rsidR="00795B5B" w:rsidRPr="00602E88">
        <w:rPr>
          <w:rFonts w:asciiTheme="minorHAnsi" w:hAnsiTheme="minorHAnsi"/>
          <w:snapToGrid w:val="0"/>
          <w:lang w:val="en-GB"/>
        </w:rPr>
        <w:instrText xml:space="preserve"> REF _Ref111126136 \r \h </w:instrText>
      </w:r>
      <w:r w:rsidR="00602E88">
        <w:rPr>
          <w:rFonts w:asciiTheme="minorHAnsi" w:hAnsiTheme="minorHAnsi"/>
          <w:snapToGrid w:val="0"/>
          <w:lang w:val="en-GB"/>
        </w:rPr>
        <w:instrText xml:space="preserve"> \* MERGEFORMAT </w:instrText>
      </w:r>
      <w:r w:rsidR="00795B5B" w:rsidRPr="00602E88">
        <w:rPr>
          <w:rFonts w:asciiTheme="minorHAnsi" w:hAnsiTheme="minorHAnsi"/>
          <w:snapToGrid w:val="0"/>
          <w:lang w:val="en-GB"/>
        </w:rPr>
      </w:r>
      <w:r w:rsidR="00795B5B" w:rsidRPr="00602E88">
        <w:rPr>
          <w:rFonts w:asciiTheme="minorHAnsi" w:hAnsiTheme="minorHAnsi"/>
          <w:snapToGrid w:val="0"/>
          <w:lang w:val="en-GB"/>
        </w:rPr>
        <w:fldChar w:fldCharType="separate"/>
      </w:r>
      <w:r w:rsidR="00602E88">
        <w:rPr>
          <w:rFonts w:asciiTheme="minorHAnsi" w:hAnsiTheme="minorHAnsi"/>
          <w:snapToGrid w:val="0"/>
          <w:lang w:val="en-GB"/>
        </w:rPr>
        <w:t>7.4</w:t>
      </w:r>
      <w:r w:rsidR="00795B5B" w:rsidRPr="00602E88">
        <w:rPr>
          <w:rFonts w:asciiTheme="minorHAnsi" w:hAnsiTheme="minorHAnsi"/>
          <w:snapToGrid w:val="0"/>
          <w:lang w:val="en-GB"/>
        </w:rPr>
        <w:fldChar w:fldCharType="end"/>
      </w:r>
      <w:r w:rsidR="00795B5B" w:rsidRPr="00602E88">
        <w:rPr>
          <w:rFonts w:asciiTheme="minorHAnsi" w:hAnsiTheme="minorHAnsi"/>
          <w:snapToGrid w:val="0"/>
          <w:lang w:val="en-GB"/>
        </w:rPr>
        <w:t xml:space="preserve"> and </w:t>
      </w:r>
      <w:r w:rsidR="00795B5B" w:rsidRPr="00602E88">
        <w:rPr>
          <w:rFonts w:asciiTheme="minorHAnsi" w:hAnsiTheme="minorHAnsi"/>
          <w:snapToGrid w:val="0"/>
          <w:lang w:val="en-GB"/>
        </w:rPr>
        <w:fldChar w:fldCharType="begin" w:fldLock="1"/>
      </w:r>
      <w:r w:rsidR="00795B5B" w:rsidRPr="00602E88">
        <w:rPr>
          <w:rFonts w:asciiTheme="minorHAnsi" w:hAnsiTheme="minorHAnsi"/>
          <w:snapToGrid w:val="0"/>
          <w:lang w:val="en-GB"/>
        </w:rPr>
        <w:instrText xml:space="preserve"> REF _Ref111126138 \r \h </w:instrText>
      </w:r>
      <w:r w:rsidR="00602E88">
        <w:rPr>
          <w:rFonts w:asciiTheme="minorHAnsi" w:hAnsiTheme="minorHAnsi"/>
          <w:snapToGrid w:val="0"/>
          <w:lang w:val="en-GB"/>
        </w:rPr>
        <w:instrText xml:space="preserve"> \* MERGEFORMAT </w:instrText>
      </w:r>
      <w:r w:rsidR="00795B5B" w:rsidRPr="00602E88">
        <w:rPr>
          <w:rFonts w:asciiTheme="minorHAnsi" w:hAnsiTheme="minorHAnsi"/>
          <w:snapToGrid w:val="0"/>
          <w:lang w:val="en-GB"/>
        </w:rPr>
      </w:r>
      <w:r w:rsidR="00795B5B" w:rsidRPr="00602E88">
        <w:rPr>
          <w:rFonts w:asciiTheme="minorHAnsi" w:hAnsiTheme="minorHAnsi"/>
          <w:snapToGrid w:val="0"/>
          <w:lang w:val="en-GB"/>
        </w:rPr>
        <w:fldChar w:fldCharType="separate"/>
      </w:r>
      <w:r w:rsidR="00602E88">
        <w:rPr>
          <w:rFonts w:asciiTheme="minorHAnsi" w:hAnsiTheme="minorHAnsi"/>
          <w:snapToGrid w:val="0"/>
          <w:lang w:val="en-GB"/>
        </w:rPr>
        <w:t>7.6</w:t>
      </w:r>
      <w:r w:rsidR="00795B5B" w:rsidRPr="00602E88">
        <w:rPr>
          <w:rFonts w:asciiTheme="minorHAnsi" w:hAnsiTheme="minorHAnsi"/>
          <w:snapToGrid w:val="0"/>
          <w:lang w:val="en-GB"/>
        </w:rPr>
        <w:fldChar w:fldCharType="end"/>
      </w:r>
      <w:r w:rsidR="00795B5B" w:rsidRPr="00602E88">
        <w:rPr>
          <w:rFonts w:asciiTheme="minorHAnsi" w:hAnsiTheme="minorHAnsi"/>
          <w:snapToGrid w:val="0"/>
          <w:lang w:val="en-GB"/>
        </w:rPr>
        <w:t>;</w:t>
      </w:r>
    </w:p>
    <w:p w14:paraId="5F9AC635" w14:textId="3648E3DC" w:rsidR="00E97AA1" w:rsidRPr="00602E88" w:rsidRDefault="00795B5B" w:rsidP="00CB1E25">
      <w:pPr>
        <w:widowControl w:val="0"/>
        <w:numPr>
          <w:ilvl w:val="1"/>
          <w:numId w:val="38"/>
        </w:numPr>
        <w:spacing w:after="120"/>
        <w:ind w:left="1077" w:hanging="357"/>
        <w:rPr>
          <w:rFonts w:asciiTheme="minorHAnsi" w:hAnsiTheme="minorHAnsi"/>
          <w:snapToGrid w:val="0"/>
          <w:lang w:val="en-GB"/>
        </w:rPr>
      </w:pPr>
      <w:r w:rsidRPr="00602E88">
        <w:rPr>
          <w:rFonts w:asciiTheme="minorHAnsi" w:hAnsiTheme="minorHAnsi"/>
          <w:snapToGrid w:val="0"/>
          <w:lang w:val="en-GB"/>
        </w:rPr>
        <w:t xml:space="preserve">address the issues </w:t>
      </w:r>
      <w:r w:rsidR="00153537" w:rsidRPr="00602E88">
        <w:rPr>
          <w:rFonts w:asciiTheme="minorHAnsi" w:hAnsiTheme="minorHAnsi"/>
          <w:snapToGrid w:val="0"/>
          <w:lang w:val="en-GB"/>
        </w:rPr>
        <w:t xml:space="preserve">around dose escalation for patients who experience disease relapse while on </w:t>
      </w:r>
      <w:r w:rsidR="00153537" w:rsidRPr="00602E88">
        <w:rPr>
          <w:bCs/>
        </w:rPr>
        <w:t xml:space="preserve">oral azacitidine, in particular managing the </w:t>
      </w:r>
      <w:r w:rsidR="00153537" w:rsidRPr="00602E88">
        <w:rPr>
          <w:rFonts w:asciiTheme="minorHAnsi" w:hAnsiTheme="minorHAnsi"/>
          <w:snapToGrid w:val="0"/>
          <w:lang w:val="en-GB"/>
        </w:rPr>
        <w:t xml:space="preserve">risk of such use not being cost-effective, for example through a RSA (per paragraph </w:t>
      </w:r>
      <w:r w:rsidR="00153537" w:rsidRPr="00602E88">
        <w:rPr>
          <w:rFonts w:asciiTheme="minorHAnsi" w:hAnsiTheme="minorHAnsi"/>
          <w:snapToGrid w:val="0"/>
          <w:lang w:val="en-GB"/>
        </w:rPr>
        <w:fldChar w:fldCharType="begin" w:fldLock="1"/>
      </w:r>
      <w:r w:rsidR="00153537" w:rsidRPr="00602E88">
        <w:rPr>
          <w:rFonts w:asciiTheme="minorHAnsi" w:hAnsiTheme="minorHAnsi"/>
          <w:snapToGrid w:val="0"/>
          <w:lang w:val="en-GB"/>
        </w:rPr>
        <w:instrText xml:space="preserve"> REF _Ref111127019 \r \h </w:instrText>
      </w:r>
      <w:r w:rsidR="00602E88">
        <w:rPr>
          <w:rFonts w:asciiTheme="minorHAnsi" w:hAnsiTheme="minorHAnsi"/>
          <w:snapToGrid w:val="0"/>
          <w:lang w:val="en-GB"/>
        </w:rPr>
        <w:instrText xml:space="preserve"> \* MERGEFORMAT </w:instrText>
      </w:r>
      <w:r w:rsidR="00153537" w:rsidRPr="00602E88">
        <w:rPr>
          <w:rFonts w:asciiTheme="minorHAnsi" w:hAnsiTheme="minorHAnsi"/>
          <w:snapToGrid w:val="0"/>
          <w:lang w:val="en-GB"/>
        </w:rPr>
      </w:r>
      <w:r w:rsidR="00153537" w:rsidRPr="00602E88">
        <w:rPr>
          <w:rFonts w:asciiTheme="minorHAnsi" w:hAnsiTheme="minorHAnsi"/>
          <w:snapToGrid w:val="0"/>
          <w:lang w:val="en-GB"/>
        </w:rPr>
        <w:fldChar w:fldCharType="separate"/>
      </w:r>
      <w:r w:rsidR="00602E88">
        <w:rPr>
          <w:rFonts w:asciiTheme="minorHAnsi" w:hAnsiTheme="minorHAnsi"/>
          <w:snapToGrid w:val="0"/>
          <w:lang w:val="en-GB"/>
        </w:rPr>
        <w:t>7.5</w:t>
      </w:r>
      <w:r w:rsidR="00153537" w:rsidRPr="00602E88">
        <w:rPr>
          <w:rFonts w:asciiTheme="minorHAnsi" w:hAnsiTheme="minorHAnsi"/>
          <w:snapToGrid w:val="0"/>
          <w:lang w:val="en-GB"/>
        </w:rPr>
        <w:fldChar w:fldCharType="end"/>
      </w:r>
      <w:r w:rsidR="00153537" w:rsidRPr="00602E88">
        <w:rPr>
          <w:rFonts w:asciiTheme="minorHAnsi" w:hAnsiTheme="minorHAnsi"/>
          <w:snapToGrid w:val="0"/>
          <w:lang w:val="en-GB"/>
        </w:rPr>
        <w:t>). An alternative way to manage this risk could be through incorporating dose escalation into the base case of the economic model (noting the PBAC’s advice that an ICER of approximately $</w:t>
      </w:r>
      <w:r w:rsidR="007D7D97" w:rsidRPr="00C32937">
        <w:rPr>
          <w:rFonts w:asciiTheme="minorHAnsi" w:hAnsiTheme="minorHAnsi"/>
          <w:snapToGrid w:val="0"/>
          <w:lang w:val="en-GB"/>
        </w:rPr>
        <w:t>55,000</w:t>
      </w:r>
      <w:r w:rsidR="001923C0">
        <w:rPr>
          <w:rFonts w:asciiTheme="minorHAnsi" w:hAnsiTheme="minorHAnsi"/>
          <w:snapToGrid w:val="0"/>
          <w:lang w:val="en-GB"/>
        </w:rPr>
        <w:t> </w:t>
      </w:r>
      <w:r w:rsidR="007D7D97" w:rsidRPr="00C32937">
        <w:rPr>
          <w:rFonts w:asciiTheme="minorHAnsi" w:hAnsiTheme="minorHAnsi"/>
          <w:snapToGrid w:val="0"/>
          <w:lang w:val="en-GB"/>
        </w:rPr>
        <w:t>to</w:t>
      </w:r>
      <w:r w:rsidR="001923C0">
        <w:rPr>
          <w:rFonts w:asciiTheme="minorHAnsi" w:hAnsiTheme="minorHAnsi"/>
          <w:snapToGrid w:val="0"/>
          <w:lang w:val="en-GB"/>
        </w:rPr>
        <w:t> </w:t>
      </w:r>
      <w:r w:rsidR="007D7D97" w:rsidRPr="00C32937">
        <w:rPr>
          <w:rFonts w:asciiTheme="minorHAnsi" w:hAnsiTheme="minorHAnsi"/>
          <w:snapToGrid w:val="0"/>
          <w:lang w:val="en-GB"/>
        </w:rPr>
        <w:t>&lt;</w:t>
      </w:r>
      <w:r w:rsidR="001923C0">
        <w:rPr>
          <w:rFonts w:asciiTheme="minorHAnsi" w:hAnsiTheme="minorHAnsi"/>
          <w:snapToGrid w:val="0"/>
          <w:lang w:val="en-GB"/>
        </w:rPr>
        <w:t> </w:t>
      </w:r>
      <w:r w:rsidR="007D7D97" w:rsidRPr="00C32937">
        <w:rPr>
          <w:rFonts w:asciiTheme="minorHAnsi" w:hAnsiTheme="minorHAnsi"/>
          <w:snapToGrid w:val="0"/>
          <w:lang w:val="en-GB"/>
        </w:rPr>
        <w:t xml:space="preserve">$75,000 </w:t>
      </w:r>
      <w:r w:rsidR="00153537" w:rsidRPr="00602E88">
        <w:rPr>
          <w:rFonts w:asciiTheme="minorHAnsi" w:hAnsiTheme="minorHAnsi"/>
          <w:snapToGrid w:val="0"/>
          <w:lang w:val="en-GB"/>
        </w:rPr>
        <w:t xml:space="preserve">per QALY would be acceptably cost-effective); </w:t>
      </w:r>
    </w:p>
    <w:p w14:paraId="651C428F" w14:textId="0DBD488F" w:rsidR="00823CA3" w:rsidRDefault="00E97AA1" w:rsidP="00CB1E25">
      <w:pPr>
        <w:widowControl w:val="0"/>
        <w:numPr>
          <w:ilvl w:val="1"/>
          <w:numId w:val="38"/>
        </w:numPr>
        <w:spacing w:after="120"/>
        <w:ind w:left="1077" w:hanging="357"/>
        <w:rPr>
          <w:rFonts w:asciiTheme="minorHAnsi" w:hAnsiTheme="minorHAnsi"/>
          <w:snapToGrid w:val="0"/>
          <w:lang w:val="en-GB"/>
        </w:rPr>
      </w:pPr>
      <w:r>
        <w:rPr>
          <w:rFonts w:asciiTheme="minorHAnsi" w:hAnsiTheme="minorHAnsi"/>
          <w:snapToGrid w:val="0"/>
          <w:lang w:val="en-GB"/>
        </w:rPr>
        <w:t xml:space="preserve">a revised economic model </w:t>
      </w:r>
      <w:r w:rsidR="00823CA3">
        <w:rPr>
          <w:rFonts w:asciiTheme="minorHAnsi" w:hAnsiTheme="minorHAnsi"/>
          <w:snapToGrid w:val="0"/>
          <w:lang w:val="en-GB"/>
        </w:rPr>
        <w:t xml:space="preserve">that </w:t>
      </w:r>
      <w:r w:rsidR="00CB1E25">
        <w:rPr>
          <w:rFonts w:asciiTheme="minorHAnsi" w:hAnsiTheme="minorHAnsi"/>
          <w:snapToGrid w:val="0"/>
          <w:lang w:val="en-GB"/>
        </w:rPr>
        <w:t xml:space="preserve">incorporates the changes outlined in paragraph </w:t>
      </w:r>
      <w:r w:rsidR="00B708F6">
        <w:rPr>
          <w:rFonts w:asciiTheme="minorHAnsi" w:hAnsiTheme="minorHAnsi"/>
          <w:snapToGrid w:val="0"/>
          <w:lang w:val="en-GB"/>
        </w:rPr>
        <w:fldChar w:fldCharType="begin" w:fldLock="1"/>
      </w:r>
      <w:r w:rsidR="00B708F6">
        <w:rPr>
          <w:rFonts w:asciiTheme="minorHAnsi" w:hAnsiTheme="minorHAnsi"/>
          <w:snapToGrid w:val="0"/>
          <w:lang w:val="en-GB"/>
        </w:rPr>
        <w:instrText xml:space="preserve"> REF _Ref111200890 \r \h </w:instrText>
      </w:r>
      <w:r w:rsidR="00B708F6">
        <w:rPr>
          <w:rFonts w:asciiTheme="minorHAnsi" w:hAnsiTheme="minorHAnsi"/>
          <w:snapToGrid w:val="0"/>
          <w:lang w:val="en-GB"/>
        </w:rPr>
      </w:r>
      <w:r w:rsidR="00B708F6">
        <w:rPr>
          <w:rFonts w:asciiTheme="minorHAnsi" w:hAnsiTheme="minorHAnsi"/>
          <w:snapToGrid w:val="0"/>
          <w:lang w:val="en-GB"/>
        </w:rPr>
        <w:fldChar w:fldCharType="separate"/>
      </w:r>
      <w:r w:rsidR="00B708F6">
        <w:rPr>
          <w:rFonts w:asciiTheme="minorHAnsi" w:hAnsiTheme="minorHAnsi"/>
          <w:snapToGrid w:val="0"/>
          <w:lang w:val="en-GB"/>
        </w:rPr>
        <w:t>7.13</w:t>
      </w:r>
      <w:r w:rsidR="00B708F6">
        <w:rPr>
          <w:rFonts w:asciiTheme="minorHAnsi" w:hAnsiTheme="minorHAnsi"/>
          <w:snapToGrid w:val="0"/>
          <w:lang w:val="en-GB"/>
        </w:rPr>
        <w:fldChar w:fldCharType="end"/>
      </w:r>
      <w:r w:rsidR="00B708F6">
        <w:rPr>
          <w:rFonts w:asciiTheme="minorHAnsi" w:hAnsiTheme="minorHAnsi"/>
          <w:snapToGrid w:val="0"/>
          <w:lang w:val="en-GB"/>
        </w:rPr>
        <w:t xml:space="preserve"> </w:t>
      </w:r>
      <w:r w:rsidR="00CB1E25">
        <w:rPr>
          <w:rFonts w:asciiTheme="minorHAnsi" w:hAnsiTheme="minorHAnsi"/>
          <w:snapToGrid w:val="0"/>
          <w:lang w:val="en-GB"/>
        </w:rPr>
        <w:t xml:space="preserve">and </w:t>
      </w:r>
      <w:r w:rsidR="00823CA3">
        <w:rPr>
          <w:rFonts w:asciiTheme="minorHAnsi" w:hAnsiTheme="minorHAnsi"/>
          <w:snapToGrid w:val="0"/>
          <w:lang w:val="en-GB"/>
        </w:rPr>
        <w:t xml:space="preserve">results in an ICER of approximately </w:t>
      </w:r>
      <w:r w:rsidR="00854458" w:rsidRPr="00602E88">
        <w:rPr>
          <w:rFonts w:asciiTheme="minorHAnsi" w:hAnsiTheme="minorHAnsi"/>
          <w:snapToGrid w:val="0"/>
          <w:lang w:val="en-GB"/>
        </w:rPr>
        <w:t>$</w:t>
      </w:r>
      <w:r w:rsidR="00854458" w:rsidRPr="00C32937">
        <w:rPr>
          <w:rFonts w:asciiTheme="minorHAnsi" w:hAnsiTheme="minorHAnsi"/>
          <w:snapToGrid w:val="0"/>
          <w:lang w:val="en-GB"/>
        </w:rPr>
        <w:t>55,000</w:t>
      </w:r>
      <w:r w:rsidR="001923C0">
        <w:rPr>
          <w:rFonts w:asciiTheme="minorHAnsi" w:hAnsiTheme="minorHAnsi"/>
          <w:snapToGrid w:val="0"/>
          <w:lang w:val="en-GB"/>
        </w:rPr>
        <w:t> </w:t>
      </w:r>
      <w:r w:rsidR="00854458" w:rsidRPr="00C32937">
        <w:rPr>
          <w:rFonts w:asciiTheme="minorHAnsi" w:hAnsiTheme="minorHAnsi"/>
          <w:snapToGrid w:val="0"/>
          <w:lang w:val="en-GB"/>
        </w:rPr>
        <w:t>to</w:t>
      </w:r>
      <w:r w:rsidR="001923C0">
        <w:rPr>
          <w:rFonts w:asciiTheme="minorHAnsi" w:hAnsiTheme="minorHAnsi"/>
          <w:snapToGrid w:val="0"/>
          <w:lang w:val="en-GB"/>
        </w:rPr>
        <w:t> </w:t>
      </w:r>
      <w:r w:rsidR="00854458" w:rsidRPr="00C32937">
        <w:rPr>
          <w:rFonts w:asciiTheme="minorHAnsi" w:hAnsiTheme="minorHAnsi"/>
          <w:snapToGrid w:val="0"/>
          <w:lang w:val="en-GB"/>
        </w:rPr>
        <w:t>&lt;</w:t>
      </w:r>
      <w:r w:rsidR="001923C0">
        <w:rPr>
          <w:rFonts w:asciiTheme="minorHAnsi" w:hAnsiTheme="minorHAnsi"/>
          <w:snapToGrid w:val="0"/>
          <w:lang w:val="en-GB"/>
        </w:rPr>
        <w:t> </w:t>
      </w:r>
      <w:r w:rsidR="00854458" w:rsidRPr="00C32937">
        <w:rPr>
          <w:rFonts w:asciiTheme="minorHAnsi" w:hAnsiTheme="minorHAnsi"/>
          <w:snapToGrid w:val="0"/>
          <w:lang w:val="en-GB"/>
        </w:rPr>
        <w:t xml:space="preserve">$75,000 </w:t>
      </w:r>
      <w:r w:rsidR="00823CA3">
        <w:rPr>
          <w:rFonts w:asciiTheme="minorHAnsi" w:hAnsiTheme="minorHAnsi"/>
          <w:snapToGrid w:val="0"/>
          <w:lang w:val="en-GB"/>
        </w:rPr>
        <w:t>per QALY; and</w:t>
      </w:r>
    </w:p>
    <w:p w14:paraId="5D76BA5A" w14:textId="59613DEC" w:rsidR="00E97AA1" w:rsidRDefault="00CB1E25" w:rsidP="00CB1E25">
      <w:pPr>
        <w:widowControl w:val="0"/>
        <w:numPr>
          <w:ilvl w:val="1"/>
          <w:numId w:val="38"/>
        </w:numPr>
        <w:spacing w:after="120"/>
        <w:ind w:left="1077" w:hanging="357"/>
        <w:rPr>
          <w:rFonts w:asciiTheme="minorHAnsi" w:hAnsiTheme="minorHAnsi"/>
          <w:snapToGrid w:val="0"/>
          <w:lang w:val="en-GB"/>
        </w:rPr>
      </w:pPr>
      <w:r>
        <w:rPr>
          <w:rFonts w:asciiTheme="minorHAnsi" w:hAnsiTheme="minorHAnsi"/>
          <w:snapToGrid w:val="0"/>
          <w:lang w:val="en-GB"/>
        </w:rPr>
        <w:t xml:space="preserve">revised financial impact estimates which incorporate the changes outlined in paragraphs </w:t>
      </w:r>
      <w:r w:rsidR="00B708F6">
        <w:rPr>
          <w:rFonts w:asciiTheme="minorHAnsi" w:hAnsiTheme="minorHAnsi"/>
          <w:snapToGrid w:val="0"/>
          <w:lang w:val="en-GB"/>
        </w:rPr>
        <w:fldChar w:fldCharType="begin" w:fldLock="1"/>
      </w:r>
      <w:r w:rsidR="00B708F6">
        <w:rPr>
          <w:rFonts w:asciiTheme="minorHAnsi" w:hAnsiTheme="minorHAnsi"/>
          <w:snapToGrid w:val="0"/>
          <w:lang w:val="en-GB"/>
        </w:rPr>
        <w:instrText xml:space="preserve"> REF _Ref111200900 \r \h </w:instrText>
      </w:r>
      <w:r w:rsidR="00B708F6">
        <w:rPr>
          <w:rFonts w:asciiTheme="minorHAnsi" w:hAnsiTheme="minorHAnsi"/>
          <w:snapToGrid w:val="0"/>
          <w:lang w:val="en-GB"/>
        </w:rPr>
      </w:r>
      <w:r w:rsidR="00B708F6">
        <w:rPr>
          <w:rFonts w:asciiTheme="minorHAnsi" w:hAnsiTheme="minorHAnsi"/>
          <w:snapToGrid w:val="0"/>
          <w:lang w:val="en-GB"/>
        </w:rPr>
        <w:fldChar w:fldCharType="separate"/>
      </w:r>
      <w:r w:rsidR="00B708F6">
        <w:rPr>
          <w:rFonts w:asciiTheme="minorHAnsi" w:hAnsiTheme="minorHAnsi"/>
          <w:snapToGrid w:val="0"/>
          <w:lang w:val="en-GB"/>
        </w:rPr>
        <w:t>7.14</w:t>
      </w:r>
      <w:r w:rsidR="00B708F6">
        <w:rPr>
          <w:rFonts w:asciiTheme="minorHAnsi" w:hAnsiTheme="minorHAnsi"/>
          <w:snapToGrid w:val="0"/>
          <w:lang w:val="en-GB"/>
        </w:rPr>
        <w:fldChar w:fldCharType="end"/>
      </w:r>
      <w:r w:rsidR="00B708F6">
        <w:rPr>
          <w:rFonts w:asciiTheme="minorHAnsi" w:hAnsiTheme="minorHAnsi"/>
          <w:snapToGrid w:val="0"/>
          <w:lang w:val="en-GB"/>
        </w:rPr>
        <w:t xml:space="preserve">, </w:t>
      </w:r>
      <w:r w:rsidR="00B708F6">
        <w:rPr>
          <w:rFonts w:asciiTheme="minorHAnsi" w:hAnsiTheme="minorHAnsi"/>
          <w:snapToGrid w:val="0"/>
          <w:lang w:val="en-GB"/>
        </w:rPr>
        <w:fldChar w:fldCharType="begin" w:fldLock="1"/>
      </w:r>
      <w:r w:rsidR="00B708F6">
        <w:rPr>
          <w:rFonts w:asciiTheme="minorHAnsi" w:hAnsiTheme="minorHAnsi"/>
          <w:snapToGrid w:val="0"/>
          <w:lang w:val="en-GB"/>
        </w:rPr>
        <w:instrText xml:space="preserve"> REF _Ref111200902 \r \h </w:instrText>
      </w:r>
      <w:r w:rsidR="00B708F6">
        <w:rPr>
          <w:rFonts w:asciiTheme="minorHAnsi" w:hAnsiTheme="minorHAnsi"/>
          <w:snapToGrid w:val="0"/>
          <w:lang w:val="en-GB"/>
        </w:rPr>
      </w:r>
      <w:r w:rsidR="00B708F6">
        <w:rPr>
          <w:rFonts w:asciiTheme="minorHAnsi" w:hAnsiTheme="minorHAnsi"/>
          <w:snapToGrid w:val="0"/>
          <w:lang w:val="en-GB"/>
        </w:rPr>
        <w:fldChar w:fldCharType="separate"/>
      </w:r>
      <w:r w:rsidR="00B708F6">
        <w:rPr>
          <w:rFonts w:asciiTheme="minorHAnsi" w:hAnsiTheme="minorHAnsi"/>
          <w:snapToGrid w:val="0"/>
          <w:lang w:val="en-GB"/>
        </w:rPr>
        <w:t>7.15</w:t>
      </w:r>
      <w:r w:rsidR="00B708F6">
        <w:rPr>
          <w:rFonts w:asciiTheme="minorHAnsi" w:hAnsiTheme="minorHAnsi"/>
          <w:snapToGrid w:val="0"/>
          <w:lang w:val="en-GB"/>
        </w:rPr>
        <w:fldChar w:fldCharType="end"/>
      </w:r>
      <w:r w:rsidR="00B708F6">
        <w:rPr>
          <w:rFonts w:asciiTheme="minorHAnsi" w:hAnsiTheme="minorHAnsi"/>
          <w:snapToGrid w:val="0"/>
          <w:lang w:val="en-GB"/>
        </w:rPr>
        <w:t xml:space="preserve"> and </w:t>
      </w:r>
      <w:r w:rsidR="00B708F6">
        <w:rPr>
          <w:rFonts w:asciiTheme="minorHAnsi" w:hAnsiTheme="minorHAnsi"/>
          <w:snapToGrid w:val="0"/>
          <w:lang w:val="en-GB"/>
        </w:rPr>
        <w:fldChar w:fldCharType="begin" w:fldLock="1"/>
      </w:r>
      <w:r w:rsidR="00B708F6">
        <w:rPr>
          <w:rFonts w:asciiTheme="minorHAnsi" w:hAnsiTheme="minorHAnsi"/>
          <w:snapToGrid w:val="0"/>
          <w:lang w:val="en-GB"/>
        </w:rPr>
        <w:instrText xml:space="preserve"> REF _Ref111200903 \r \h </w:instrText>
      </w:r>
      <w:r w:rsidR="00B708F6">
        <w:rPr>
          <w:rFonts w:asciiTheme="minorHAnsi" w:hAnsiTheme="minorHAnsi"/>
          <w:snapToGrid w:val="0"/>
          <w:lang w:val="en-GB"/>
        </w:rPr>
      </w:r>
      <w:r w:rsidR="00B708F6">
        <w:rPr>
          <w:rFonts w:asciiTheme="minorHAnsi" w:hAnsiTheme="minorHAnsi"/>
          <w:snapToGrid w:val="0"/>
          <w:lang w:val="en-GB"/>
        </w:rPr>
        <w:fldChar w:fldCharType="separate"/>
      </w:r>
      <w:r w:rsidR="00B708F6">
        <w:rPr>
          <w:rFonts w:asciiTheme="minorHAnsi" w:hAnsiTheme="minorHAnsi"/>
          <w:snapToGrid w:val="0"/>
          <w:lang w:val="en-GB"/>
        </w:rPr>
        <w:t>7.16</w:t>
      </w:r>
      <w:r w:rsidR="00B708F6">
        <w:rPr>
          <w:rFonts w:asciiTheme="minorHAnsi" w:hAnsiTheme="minorHAnsi"/>
          <w:snapToGrid w:val="0"/>
          <w:lang w:val="en-GB"/>
        </w:rPr>
        <w:fldChar w:fldCharType="end"/>
      </w:r>
      <w:r>
        <w:rPr>
          <w:rFonts w:asciiTheme="minorHAnsi" w:hAnsiTheme="minorHAnsi"/>
          <w:snapToGrid w:val="0"/>
          <w:lang w:val="en-GB"/>
        </w:rPr>
        <w:t xml:space="preserve">. </w:t>
      </w:r>
    </w:p>
    <w:p w14:paraId="25F02281" w14:textId="76395BE6" w:rsidR="00CB1E25" w:rsidRDefault="0010205E" w:rsidP="00CB1E25">
      <w:pPr>
        <w:widowControl w:val="0"/>
        <w:spacing w:after="120"/>
        <w:ind w:left="720"/>
        <w:rPr>
          <w:rFonts w:cstheme="minorHAnsi"/>
        </w:rPr>
      </w:pPr>
      <w:r w:rsidRPr="00783D74">
        <w:rPr>
          <w:rFonts w:asciiTheme="minorHAnsi" w:hAnsiTheme="minorHAnsi"/>
          <w:snapToGrid w:val="0"/>
          <w:lang w:val="en-GB"/>
        </w:rPr>
        <w:t>The early resolution resubmission must be lodged by week 7 of the current PBAC cycle or the next cycle. If the issues cannot be addressed by the sponsor in a simple resubmission and the early resolution timing is not acceptable, a standard re-entry pathway is available.</w:t>
      </w:r>
    </w:p>
    <w:p w14:paraId="62499BD5" w14:textId="1408173D" w:rsidR="0010205E" w:rsidRPr="00525B39" w:rsidRDefault="0010205E" w:rsidP="0010205E">
      <w:pPr>
        <w:widowControl w:val="0"/>
        <w:numPr>
          <w:ilvl w:val="1"/>
          <w:numId w:val="1"/>
        </w:numPr>
        <w:spacing w:after="120"/>
        <w:ind w:left="720"/>
        <w:rPr>
          <w:rFonts w:asciiTheme="minorHAnsi" w:hAnsiTheme="minorHAnsi"/>
          <w:bCs/>
          <w:snapToGrid w:val="0"/>
          <w:lang w:val="en-GB"/>
        </w:rPr>
      </w:pPr>
      <w:r w:rsidRPr="00525B39">
        <w:rPr>
          <w:rFonts w:asciiTheme="minorHAnsi" w:hAnsiTheme="minorHAnsi"/>
          <w:bCs/>
          <w:snapToGrid w:val="0"/>
          <w:lang w:val="en-GB"/>
        </w:rPr>
        <w:t>The PBAC noted that this submission is eligible for an Independent Review.</w:t>
      </w:r>
      <w:r>
        <w:rPr>
          <w:rFonts w:asciiTheme="minorHAnsi" w:hAnsiTheme="minorHAnsi"/>
          <w:bCs/>
          <w:snapToGrid w:val="0"/>
          <w:lang w:val="en-GB"/>
        </w:rPr>
        <w:t xml:space="preserve"> </w:t>
      </w:r>
      <w:r w:rsidRPr="00611FB4" w:rsidDel="00611FB4">
        <w:rPr>
          <w:rFonts w:asciiTheme="minorHAnsi" w:hAnsiTheme="minorHAnsi"/>
          <w:bCs/>
          <w:snapToGrid w:val="0"/>
          <w:lang w:val="en-GB"/>
        </w:rPr>
        <w:t xml:space="preserve"> </w:t>
      </w:r>
      <w:r>
        <w:rPr>
          <w:rFonts w:asciiTheme="minorHAnsi" w:hAnsiTheme="minorHAnsi"/>
          <w:bCs/>
          <w:snapToGrid w:val="0"/>
          <w:lang w:val="en-GB"/>
        </w:rPr>
        <w:t xml:space="preserve"> </w:t>
      </w:r>
    </w:p>
    <w:p w14:paraId="3B07D08B" w14:textId="77777777" w:rsidR="0010205E" w:rsidRPr="00525B39" w:rsidRDefault="0010205E" w:rsidP="0010205E">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35D84408" w14:textId="0973A88D" w:rsidR="0010205E" w:rsidRPr="00153537" w:rsidRDefault="0010205E" w:rsidP="0010205E">
      <w:pPr>
        <w:rPr>
          <w:rFonts w:asciiTheme="minorHAnsi" w:hAnsiTheme="minorHAnsi"/>
          <w:bCs/>
          <w:snapToGrid w:val="0"/>
          <w:lang w:val="en-GB"/>
        </w:rPr>
      </w:pPr>
      <w:r w:rsidRPr="00153537">
        <w:rPr>
          <w:rFonts w:asciiTheme="minorHAnsi" w:hAnsiTheme="minorHAnsi"/>
          <w:bCs/>
          <w:snapToGrid w:val="0"/>
          <w:lang w:val="en-GB"/>
        </w:rPr>
        <w:t xml:space="preserve">Not recommended </w:t>
      </w:r>
    </w:p>
    <w:p w14:paraId="3C40FBB4" w14:textId="571418E3" w:rsidR="00835984" w:rsidRPr="00835984" w:rsidRDefault="00835984" w:rsidP="00835984">
      <w:pPr>
        <w:pStyle w:val="2-SectionHeading"/>
      </w:pPr>
      <w:bookmarkStart w:id="94" w:name="_Hlk112834232"/>
      <w:r w:rsidRPr="00C07617">
        <w:t>Context for Decision</w:t>
      </w:r>
    </w:p>
    <w:p w14:paraId="24050142" w14:textId="77777777" w:rsidR="00835984" w:rsidRPr="007129F2" w:rsidRDefault="00835984" w:rsidP="001F6424">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F0E04C9" w14:textId="570F6A6E" w:rsidR="00835984" w:rsidRPr="00835984" w:rsidRDefault="00835984" w:rsidP="00835984">
      <w:pPr>
        <w:pStyle w:val="2-SectionHeading"/>
      </w:pPr>
      <w:r>
        <w:t>Sponsor’s Comment</w:t>
      </w:r>
    </w:p>
    <w:bookmarkEnd w:id="94"/>
    <w:p w14:paraId="458EC2FC" w14:textId="729AA838" w:rsidR="00235534" w:rsidRPr="001179AC" w:rsidRDefault="00235534" w:rsidP="001F6424">
      <w:pPr>
        <w:spacing w:after="120"/>
        <w:ind w:left="720"/>
        <w:rPr>
          <w:bCs/>
        </w:rPr>
      </w:pPr>
      <w:r w:rsidRPr="00235534">
        <w:rPr>
          <w:bCs/>
        </w:rPr>
        <w:t>The Sponsor welcomes the PBAC’s decision to resubmit via an early resolution pathway and looks forward to continuing to work with the PBAC and the Department of Health to provide access of oral azacitidine (Onureg) to patients.</w:t>
      </w:r>
    </w:p>
    <w:bookmarkEnd w:id="84"/>
    <w:bookmarkEnd w:id="85"/>
    <w:p w14:paraId="126FF343" w14:textId="2D8B69E3" w:rsidR="001F6424" w:rsidRDefault="001F6424">
      <w:pPr>
        <w:jc w:val="left"/>
      </w:pPr>
      <w:r>
        <w:br w:type="page"/>
      </w:r>
    </w:p>
    <w:p w14:paraId="39BAF2D2" w14:textId="75B19D25" w:rsidR="0025400C" w:rsidRPr="001F6424" w:rsidRDefault="0025400C" w:rsidP="001F6424">
      <w:pPr>
        <w:pStyle w:val="1MainTitle"/>
        <w:ind w:left="1134" w:hanging="1134"/>
        <w:jc w:val="left"/>
        <w:rPr>
          <w:rFonts w:eastAsia="Calibri"/>
          <w:color w:val="FF0000"/>
          <w:sz w:val="28"/>
          <w:szCs w:val="28"/>
        </w:rPr>
      </w:pPr>
      <w:r w:rsidRPr="009C4137">
        <w:rPr>
          <w:rFonts w:eastAsia="Calibri"/>
          <w:color w:val="FF0000"/>
          <w:sz w:val="28"/>
          <w:szCs w:val="28"/>
        </w:rPr>
        <w:t xml:space="preserve">Addendum to the </w:t>
      </w:r>
      <w:r>
        <w:rPr>
          <w:rFonts w:eastAsia="Calibri"/>
          <w:color w:val="FF0000"/>
          <w:sz w:val="28"/>
          <w:szCs w:val="28"/>
        </w:rPr>
        <w:t>July 2022</w:t>
      </w:r>
      <w:r w:rsidRPr="009C4137">
        <w:rPr>
          <w:rFonts w:eastAsia="Calibri"/>
          <w:color w:val="FF0000"/>
          <w:sz w:val="28"/>
          <w:szCs w:val="28"/>
        </w:rPr>
        <w:t xml:space="preserve"> PBAC </w:t>
      </w:r>
      <w:r w:rsidR="00A27B09">
        <w:rPr>
          <w:rFonts w:eastAsia="Calibri"/>
          <w:color w:val="FF0000"/>
          <w:sz w:val="28"/>
          <w:szCs w:val="28"/>
        </w:rPr>
        <w:t>PSD</w:t>
      </w:r>
      <w:r w:rsidRPr="009C4137">
        <w:rPr>
          <w:rFonts w:eastAsia="Calibri"/>
          <w:color w:val="FF0000"/>
          <w:sz w:val="28"/>
          <w:szCs w:val="28"/>
        </w:rPr>
        <w:t>:</w:t>
      </w:r>
    </w:p>
    <w:p w14:paraId="54023156" w14:textId="77777777" w:rsidR="0025400C" w:rsidRDefault="0025400C" w:rsidP="0024132A">
      <w:pPr>
        <w:pStyle w:val="1-MainHeading"/>
      </w:pPr>
      <w:r>
        <w:t>7.01</w:t>
      </w:r>
      <w:r>
        <w:tab/>
        <w:t>AZACITIDINE,</w:t>
      </w:r>
      <w:r>
        <w:br/>
        <w:t>Tablet 200 mg, Tablet 300 mg,</w:t>
      </w:r>
      <w:r>
        <w:br/>
        <w:t>Onureg</w:t>
      </w:r>
      <w:r w:rsidRPr="004A6040">
        <w:rPr>
          <w:vertAlign w:val="superscript"/>
        </w:rPr>
        <w:t>®</w:t>
      </w:r>
      <w:r w:rsidRPr="004A6040">
        <w:t>,</w:t>
      </w:r>
      <w:r w:rsidRPr="004A6040">
        <w:br/>
      </w:r>
      <w:r>
        <w:t>Celgene Pty Limited</w:t>
      </w:r>
      <w:r w:rsidRPr="004A6040">
        <w:t>.</w:t>
      </w:r>
    </w:p>
    <w:p w14:paraId="732BA248" w14:textId="77777777" w:rsidR="0025400C" w:rsidRPr="0046360F" w:rsidRDefault="0025400C" w:rsidP="0025400C">
      <w:pPr>
        <w:pStyle w:val="2-SectionHeading"/>
        <w:numPr>
          <w:ilvl w:val="0"/>
          <w:numId w:val="1"/>
        </w:numPr>
      </w:pPr>
      <w:r>
        <w:t>Background</w:t>
      </w:r>
    </w:p>
    <w:p w14:paraId="6BFD8F87" w14:textId="77777777" w:rsidR="0025400C" w:rsidRPr="00725AB5" w:rsidRDefault="0025400C" w:rsidP="0025400C">
      <w:pPr>
        <w:pStyle w:val="ExecSumBodyText"/>
        <w:numPr>
          <w:ilvl w:val="1"/>
          <w:numId w:val="1"/>
        </w:numPr>
        <w:ind w:left="720"/>
      </w:pPr>
      <w:r w:rsidRPr="00725AB5">
        <w:t xml:space="preserve">The resubmission requested a Section 85 (General Schedule) listing for oral azacitidine for maintenance therapy in certain patients with acute myeloid leukaemia (AML) who are not candidates for, including those who choose not to proceed to, haematopoietic stem cell transplantation (HSCT). </w:t>
      </w:r>
    </w:p>
    <w:p w14:paraId="7978131E" w14:textId="77777777" w:rsidR="0025400C" w:rsidRDefault="0025400C" w:rsidP="0025400C">
      <w:pPr>
        <w:pStyle w:val="3-BodyText"/>
      </w:pPr>
      <w:r>
        <w:t>The resubmission was made under the early resolution pathway and sought to address the PBAC’s concerns from</w:t>
      </w:r>
      <w:r w:rsidRPr="00EB39C8">
        <w:t xml:space="preserve"> its </w:t>
      </w:r>
      <w:r>
        <w:t>July 2022 meeting.</w:t>
      </w:r>
    </w:p>
    <w:p w14:paraId="0E826774" w14:textId="77777777" w:rsidR="0025400C" w:rsidRPr="00B6677F" w:rsidRDefault="0025400C" w:rsidP="0025400C">
      <w:pPr>
        <w:pStyle w:val="2-SectionHeading"/>
        <w:numPr>
          <w:ilvl w:val="0"/>
          <w:numId w:val="1"/>
        </w:numPr>
      </w:pPr>
      <w:r w:rsidRPr="00B6677F">
        <w:t>Consideration of the evidence</w:t>
      </w:r>
    </w:p>
    <w:p w14:paraId="3BC782DD" w14:textId="77777777" w:rsidR="0025400C" w:rsidRPr="00B77EFE" w:rsidRDefault="0025400C" w:rsidP="0025400C">
      <w:pPr>
        <w:pStyle w:val="3-BodyText"/>
      </w:pPr>
      <w:r>
        <w:t>In July 2022 t</w:t>
      </w:r>
      <w:r w:rsidRPr="005E4194">
        <w:rPr>
          <w:lang w:eastAsia="en-US"/>
        </w:rPr>
        <w:t xml:space="preserve">he PBAC </w:t>
      </w:r>
      <w:r w:rsidRPr="00380CDB">
        <w:rPr>
          <w:rFonts w:ascii="Calibri" w:hAnsi="Calibri"/>
          <w:bCs/>
          <w:snapToGrid/>
          <w:lang w:eastAsia="en-US"/>
        </w:rPr>
        <w:t>considered the outstanding issues could be resolved in a simple resubmission</w:t>
      </w:r>
      <w:r>
        <w:rPr>
          <w:rFonts w:ascii="Calibri" w:hAnsi="Calibri"/>
          <w:bCs/>
          <w:snapToGrid/>
          <w:lang w:eastAsia="en-US"/>
        </w:rPr>
        <w:t xml:space="preserve">. The PBAC considered that if the following issues were addressed, then the resubmission would not require </w:t>
      </w:r>
      <w:r w:rsidRPr="00674C0F">
        <w:rPr>
          <w:lang w:val="en-GB"/>
        </w:rPr>
        <w:t>further re-evaluation</w:t>
      </w:r>
      <w:r>
        <w:rPr>
          <w:lang w:val="en-GB"/>
        </w:rPr>
        <w:t>:</w:t>
      </w:r>
    </w:p>
    <w:p w14:paraId="6FF43B30" w14:textId="77777777" w:rsidR="0025400C" w:rsidRDefault="0025400C" w:rsidP="0025400C">
      <w:pPr>
        <w:pStyle w:val="3-BodyText"/>
        <w:numPr>
          <w:ilvl w:val="1"/>
          <w:numId w:val="20"/>
        </w:numPr>
        <w:spacing w:after="0"/>
        <w:ind w:left="1276" w:hanging="567"/>
      </w:pPr>
      <w:r>
        <w:t>a revised restriction that incorporates the changes suggested in paragraphs 7.4 and 7.6;</w:t>
      </w:r>
    </w:p>
    <w:p w14:paraId="078F97A7" w14:textId="24C037E5" w:rsidR="0025400C" w:rsidRDefault="0025400C" w:rsidP="0025400C">
      <w:pPr>
        <w:pStyle w:val="3-BodyText"/>
        <w:numPr>
          <w:ilvl w:val="1"/>
          <w:numId w:val="20"/>
        </w:numPr>
        <w:spacing w:after="0"/>
        <w:ind w:left="1276" w:hanging="567"/>
      </w:pPr>
      <w:r>
        <w:t xml:space="preserve">address the issues around dose escalation for patients who experience disease relapse while on oral azacitidine, in particular managing the risk of such use not being cost-effective, for example through a RSA (per paragraph 7.5). An alternative way to manage this risk could be through incorporating dose escalation into the base case of the economic model (noting the PBAC’s advice that an ICER of approximately </w:t>
      </w:r>
      <w:r w:rsidR="007C0223" w:rsidRPr="007C0223">
        <w:t>$55,000</w:t>
      </w:r>
      <w:r w:rsidR="001923C0">
        <w:t> </w:t>
      </w:r>
      <w:r w:rsidR="007C0223" w:rsidRPr="007C0223">
        <w:t>to</w:t>
      </w:r>
      <w:r w:rsidR="001923C0">
        <w:t> </w:t>
      </w:r>
      <w:r w:rsidR="007C0223" w:rsidRPr="007C0223">
        <w:t>&lt;</w:t>
      </w:r>
      <w:r w:rsidR="001923C0">
        <w:t> </w:t>
      </w:r>
      <w:r w:rsidR="007C0223" w:rsidRPr="007C0223">
        <w:t xml:space="preserve">$75,000 </w:t>
      </w:r>
      <w:r>
        <w:t xml:space="preserve">per QALY would be acceptably cost-effective); </w:t>
      </w:r>
    </w:p>
    <w:p w14:paraId="2AB994D8" w14:textId="02386FF4" w:rsidR="0025400C" w:rsidRDefault="0025400C" w:rsidP="0025400C">
      <w:pPr>
        <w:pStyle w:val="3-BodyText"/>
        <w:numPr>
          <w:ilvl w:val="1"/>
          <w:numId w:val="20"/>
        </w:numPr>
        <w:spacing w:after="0"/>
        <w:ind w:left="1276" w:hanging="567"/>
      </w:pPr>
      <w:r>
        <w:t xml:space="preserve">a revised economic model that incorporates the changes outlined in paragraph 7.13 and results in an ICER of approximately </w:t>
      </w:r>
      <w:r w:rsidR="007C0223" w:rsidRPr="007C0223">
        <w:t>$55,000</w:t>
      </w:r>
      <w:r w:rsidR="001923C0">
        <w:t> </w:t>
      </w:r>
      <w:r w:rsidR="007C0223" w:rsidRPr="007C0223">
        <w:t>to</w:t>
      </w:r>
      <w:r w:rsidR="001923C0">
        <w:t> </w:t>
      </w:r>
      <w:r w:rsidR="007C0223" w:rsidRPr="007C0223">
        <w:t>&lt;</w:t>
      </w:r>
      <w:r w:rsidR="001923C0">
        <w:t> </w:t>
      </w:r>
      <w:r w:rsidR="007C0223" w:rsidRPr="007C0223">
        <w:t xml:space="preserve">$75,000 </w:t>
      </w:r>
      <w:r>
        <w:t>per QALY; and</w:t>
      </w:r>
    </w:p>
    <w:p w14:paraId="2C8FFEA2" w14:textId="77777777" w:rsidR="0025400C" w:rsidRDefault="0025400C" w:rsidP="0025400C">
      <w:pPr>
        <w:pStyle w:val="3-BodyText"/>
        <w:numPr>
          <w:ilvl w:val="1"/>
          <w:numId w:val="20"/>
        </w:numPr>
        <w:ind w:left="1276" w:hanging="567"/>
      </w:pPr>
      <w:r>
        <w:t xml:space="preserve">revised financial impact estimates which incorporate the changes outlined in paragraphs 7.14, 7.15 and 7.16. </w:t>
      </w:r>
    </w:p>
    <w:p w14:paraId="2B28505D" w14:textId="77777777" w:rsidR="0025400C" w:rsidRDefault="0025400C" w:rsidP="0025400C">
      <w:pPr>
        <w:widowControl w:val="0"/>
        <w:numPr>
          <w:ilvl w:val="1"/>
          <w:numId w:val="1"/>
        </w:numPr>
        <w:spacing w:after="120"/>
        <w:ind w:left="720"/>
        <w:rPr>
          <w:lang w:eastAsia="en-US"/>
        </w:rPr>
      </w:pPr>
      <w:r>
        <w:rPr>
          <w:lang w:eastAsia="en-US"/>
        </w:rPr>
        <w:fldChar w:fldCharType="begin" w:fldLock="1"/>
      </w:r>
      <w:r>
        <w:rPr>
          <w:lang w:eastAsia="en-US"/>
        </w:rPr>
        <w:instrText xml:space="preserve"> REF _Ref113284044 \h  \* MERGEFORMAT </w:instrText>
      </w:r>
      <w:r>
        <w:rPr>
          <w:lang w:eastAsia="en-US"/>
        </w:rPr>
      </w:r>
      <w:r>
        <w:rPr>
          <w:lang w:eastAsia="en-US"/>
        </w:rPr>
        <w:fldChar w:fldCharType="separate"/>
      </w:r>
      <w:r w:rsidRPr="00E77B5C">
        <w:rPr>
          <w:lang w:eastAsia="en-US"/>
        </w:rPr>
        <w:t>Table 19</w:t>
      </w:r>
      <w:r>
        <w:rPr>
          <w:lang w:eastAsia="en-US"/>
        </w:rPr>
        <w:fldChar w:fldCharType="end"/>
      </w:r>
      <w:r>
        <w:rPr>
          <w:lang w:eastAsia="en-US"/>
        </w:rPr>
        <w:t xml:space="preserve"> summarises how the resubmission addressed each of these issues. </w:t>
      </w:r>
    </w:p>
    <w:p w14:paraId="449FCC83" w14:textId="77777777" w:rsidR="0025400C" w:rsidRPr="00E77B5C" w:rsidRDefault="0025400C" w:rsidP="0025400C">
      <w:pPr>
        <w:pStyle w:val="Caption"/>
        <w:keepNext/>
        <w:spacing w:after="0"/>
        <w:rPr>
          <w:rFonts w:ascii="Arial Narrow" w:hAnsi="Arial Narrow" w:cstheme="minorHAnsi"/>
          <w:b w:val="0"/>
          <w:bCs w:val="0"/>
          <w:color w:val="auto"/>
          <w:sz w:val="20"/>
          <w:szCs w:val="20"/>
        </w:rPr>
      </w:pPr>
      <w:bookmarkStart w:id="95" w:name="_Ref113284044"/>
      <w:r w:rsidRPr="00E77B5C">
        <w:rPr>
          <w:rFonts w:ascii="Arial Narrow" w:hAnsi="Arial Narrow"/>
          <w:color w:val="auto"/>
          <w:sz w:val="20"/>
          <w:szCs w:val="20"/>
        </w:rPr>
        <w:t xml:space="preserve">Table </w:t>
      </w:r>
      <w:r w:rsidRPr="00E77B5C">
        <w:rPr>
          <w:rFonts w:ascii="Arial Narrow" w:hAnsi="Arial Narrow"/>
          <w:color w:val="auto"/>
          <w:sz w:val="20"/>
          <w:szCs w:val="20"/>
        </w:rPr>
        <w:fldChar w:fldCharType="begin" w:fldLock="1"/>
      </w:r>
      <w:r w:rsidRPr="00E77B5C">
        <w:rPr>
          <w:rFonts w:ascii="Arial Narrow" w:hAnsi="Arial Narrow"/>
          <w:color w:val="auto"/>
          <w:sz w:val="20"/>
          <w:szCs w:val="20"/>
        </w:rPr>
        <w:instrText xml:space="preserve"> SEQ Table \* ARABIC </w:instrText>
      </w:r>
      <w:r w:rsidRPr="00E77B5C">
        <w:rPr>
          <w:rFonts w:ascii="Arial Narrow" w:hAnsi="Arial Narrow"/>
          <w:color w:val="auto"/>
          <w:sz w:val="20"/>
          <w:szCs w:val="20"/>
        </w:rPr>
        <w:fldChar w:fldCharType="separate"/>
      </w:r>
      <w:r>
        <w:rPr>
          <w:rFonts w:ascii="Arial Narrow" w:hAnsi="Arial Narrow"/>
          <w:noProof/>
          <w:color w:val="auto"/>
          <w:sz w:val="20"/>
          <w:szCs w:val="20"/>
        </w:rPr>
        <w:t>19</w:t>
      </w:r>
      <w:r w:rsidRPr="00E77B5C">
        <w:rPr>
          <w:rFonts w:ascii="Arial Narrow" w:hAnsi="Arial Narrow"/>
          <w:color w:val="auto"/>
          <w:sz w:val="20"/>
          <w:szCs w:val="20"/>
        </w:rPr>
        <w:fldChar w:fldCharType="end"/>
      </w:r>
      <w:bookmarkEnd w:id="95"/>
      <w:r w:rsidRPr="00E77B5C">
        <w:rPr>
          <w:rFonts w:ascii="Arial Narrow" w:hAnsi="Arial Narrow"/>
          <w:color w:val="auto"/>
          <w:sz w:val="20"/>
          <w:szCs w:val="20"/>
        </w:rPr>
        <w:t xml:space="preserve">: </w:t>
      </w:r>
      <w:r w:rsidRPr="00E77B5C">
        <w:rPr>
          <w:rFonts w:ascii="Arial Narrow" w:hAnsi="Arial Narrow" w:cstheme="minorHAnsi"/>
          <w:color w:val="auto"/>
          <w:sz w:val="20"/>
          <w:szCs w:val="20"/>
        </w:rPr>
        <w:t xml:space="preserve"> Summary of changes made in the resubmission </w:t>
      </w:r>
    </w:p>
    <w:tbl>
      <w:tblPr>
        <w:tblStyle w:val="TableGrid"/>
        <w:tblW w:w="9261" w:type="dxa"/>
        <w:tblLook w:val="04A0" w:firstRow="1" w:lastRow="0" w:firstColumn="1" w:lastColumn="0" w:noHBand="0" w:noVBand="1"/>
      </w:tblPr>
      <w:tblGrid>
        <w:gridCol w:w="4531"/>
        <w:gridCol w:w="4721"/>
        <w:gridCol w:w="9"/>
      </w:tblGrid>
      <w:tr w:rsidR="0025400C" w14:paraId="2D06A83E" w14:textId="77777777" w:rsidTr="00E26E55">
        <w:trPr>
          <w:gridAfter w:val="1"/>
          <w:wAfter w:w="9" w:type="dxa"/>
          <w:cantSplit/>
          <w:tblHeader/>
        </w:trPr>
        <w:tc>
          <w:tcPr>
            <w:tcW w:w="4531" w:type="dxa"/>
          </w:tcPr>
          <w:p w14:paraId="4175976E" w14:textId="60A906D3" w:rsidR="0025400C" w:rsidRPr="000E0775" w:rsidRDefault="0025400C" w:rsidP="00E26E55">
            <w:pPr>
              <w:jc w:val="center"/>
              <w:rPr>
                <w:rFonts w:ascii="Arial Narrow" w:hAnsi="Arial Narrow"/>
                <w:b/>
                <w:bCs/>
                <w:sz w:val="20"/>
                <w:szCs w:val="20"/>
              </w:rPr>
            </w:pPr>
            <w:r>
              <w:rPr>
                <w:rFonts w:ascii="Arial Narrow" w:hAnsi="Arial Narrow"/>
                <w:b/>
                <w:bCs/>
                <w:sz w:val="20"/>
                <w:szCs w:val="20"/>
              </w:rPr>
              <w:t xml:space="preserve">Outstanding issues from the July 2022 </w:t>
            </w:r>
            <w:r w:rsidRPr="000E0775">
              <w:rPr>
                <w:rFonts w:ascii="Arial Narrow" w:hAnsi="Arial Narrow"/>
                <w:b/>
                <w:bCs/>
                <w:sz w:val="20"/>
                <w:szCs w:val="20"/>
              </w:rPr>
              <w:t xml:space="preserve">PBAC </w:t>
            </w:r>
            <w:r w:rsidR="00A27B09">
              <w:rPr>
                <w:rFonts w:ascii="Arial Narrow" w:hAnsi="Arial Narrow"/>
                <w:b/>
                <w:bCs/>
                <w:sz w:val="20"/>
                <w:szCs w:val="20"/>
              </w:rPr>
              <w:t>PSD</w:t>
            </w:r>
            <w:r w:rsidR="00A27B09" w:rsidRPr="000E0775">
              <w:rPr>
                <w:rFonts w:ascii="Arial Narrow" w:hAnsi="Arial Narrow"/>
                <w:b/>
                <w:bCs/>
                <w:sz w:val="20"/>
                <w:szCs w:val="20"/>
              </w:rPr>
              <w:t xml:space="preserve"> </w:t>
            </w:r>
          </w:p>
        </w:tc>
        <w:tc>
          <w:tcPr>
            <w:tcW w:w="4721" w:type="dxa"/>
          </w:tcPr>
          <w:p w14:paraId="573F28A2" w14:textId="77777777" w:rsidR="0025400C" w:rsidRPr="000E0775" w:rsidRDefault="0025400C" w:rsidP="00E26E55">
            <w:pPr>
              <w:jc w:val="center"/>
              <w:rPr>
                <w:rFonts w:ascii="Arial Narrow" w:hAnsi="Arial Narrow"/>
                <w:b/>
                <w:bCs/>
                <w:sz w:val="20"/>
                <w:szCs w:val="20"/>
              </w:rPr>
            </w:pPr>
            <w:r>
              <w:rPr>
                <w:rFonts w:ascii="Arial Narrow" w:hAnsi="Arial Narrow"/>
                <w:b/>
                <w:bCs/>
                <w:sz w:val="20"/>
                <w:szCs w:val="20"/>
              </w:rPr>
              <w:t>How the issue was addressed in the e</w:t>
            </w:r>
            <w:r w:rsidRPr="000E0775">
              <w:rPr>
                <w:rFonts w:ascii="Arial Narrow" w:hAnsi="Arial Narrow"/>
                <w:b/>
                <w:bCs/>
                <w:sz w:val="20"/>
                <w:szCs w:val="20"/>
              </w:rPr>
              <w:t>arly resolution resubmission</w:t>
            </w:r>
          </w:p>
        </w:tc>
      </w:tr>
      <w:tr w:rsidR="0025400C" w14:paraId="2D31EDEB" w14:textId="77777777" w:rsidTr="00E26E55">
        <w:trPr>
          <w:gridAfter w:val="1"/>
          <w:wAfter w:w="9" w:type="dxa"/>
          <w:cantSplit/>
        </w:trPr>
        <w:tc>
          <w:tcPr>
            <w:tcW w:w="4531" w:type="dxa"/>
          </w:tcPr>
          <w:p w14:paraId="737120BF" w14:textId="77777777" w:rsidR="0025400C" w:rsidRPr="00D0546B" w:rsidRDefault="0025400C" w:rsidP="00E26E55">
            <w:pPr>
              <w:rPr>
                <w:rFonts w:ascii="Arial Narrow" w:hAnsi="Arial Narrow"/>
                <w:sz w:val="20"/>
                <w:szCs w:val="20"/>
              </w:rPr>
            </w:pPr>
            <w:r>
              <w:rPr>
                <w:rFonts w:ascii="Arial Narrow" w:hAnsi="Arial Narrow"/>
                <w:sz w:val="20"/>
                <w:szCs w:val="20"/>
              </w:rPr>
              <w:t>A</w:t>
            </w:r>
            <w:r w:rsidRPr="00D0546B">
              <w:rPr>
                <w:rFonts w:ascii="Arial Narrow" w:hAnsi="Arial Narrow"/>
                <w:sz w:val="20"/>
                <w:szCs w:val="20"/>
              </w:rPr>
              <w:t xml:space="preserve"> reduction to the price would be required to achieve</w:t>
            </w:r>
            <w:r>
              <w:rPr>
                <w:rFonts w:ascii="Arial Narrow" w:hAnsi="Arial Narrow"/>
                <w:sz w:val="20"/>
                <w:szCs w:val="20"/>
              </w:rPr>
              <w:t xml:space="preserve"> an</w:t>
            </w:r>
            <w:r w:rsidRPr="00D0546B">
              <w:rPr>
                <w:rFonts w:ascii="Arial Narrow" w:hAnsi="Arial Narrow"/>
                <w:sz w:val="20"/>
                <w:szCs w:val="20"/>
              </w:rPr>
              <w:t xml:space="preserve"> acceptable</w:t>
            </w:r>
            <w:r>
              <w:rPr>
                <w:rFonts w:ascii="Arial Narrow" w:hAnsi="Arial Narrow"/>
                <w:sz w:val="20"/>
                <w:szCs w:val="20"/>
              </w:rPr>
              <w:t xml:space="preserve"> ICER</w:t>
            </w:r>
            <w:r w:rsidRPr="00D0546B">
              <w:rPr>
                <w:rFonts w:ascii="Arial Narrow" w:hAnsi="Arial Narrow"/>
                <w:sz w:val="20"/>
                <w:szCs w:val="20"/>
              </w:rPr>
              <w:t xml:space="preserve"> (Para 7.1)</w:t>
            </w:r>
            <w:r>
              <w:rPr>
                <w:rFonts w:ascii="Arial Narrow" w:hAnsi="Arial Narrow"/>
                <w:sz w:val="20"/>
                <w:szCs w:val="20"/>
              </w:rPr>
              <w:t>.</w:t>
            </w:r>
          </w:p>
        </w:tc>
        <w:tc>
          <w:tcPr>
            <w:tcW w:w="4721" w:type="dxa"/>
          </w:tcPr>
          <w:p w14:paraId="56023180" w14:textId="158079DE" w:rsidR="0025400C" w:rsidRPr="00D0546B" w:rsidRDefault="0025400C" w:rsidP="00E26E55">
            <w:pPr>
              <w:rPr>
                <w:rFonts w:ascii="Arial Narrow" w:hAnsi="Arial Narrow"/>
                <w:sz w:val="20"/>
                <w:szCs w:val="20"/>
              </w:rPr>
            </w:pPr>
            <w:r>
              <w:rPr>
                <w:rFonts w:ascii="Arial Narrow" w:hAnsi="Arial Narrow"/>
                <w:sz w:val="20"/>
                <w:szCs w:val="20"/>
              </w:rPr>
              <w:t xml:space="preserve">The resubmission reduced the AEMP of oral azacitidine by </w:t>
            </w:r>
            <w:r w:rsidRPr="00D0546B">
              <w:rPr>
                <w:rFonts w:ascii="Arial Narrow" w:hAnsi="Arial Narrow"/>
                <w:sz w:val="20"/>
                <w:szCs w:val="20"/>
              </w:rPr>
              <w:t>16.6%</w:t>
            </w:r>
            <w:r>
              <w:rPr>
                <w:rFonts w:ascii="Arial Narrow" w:hAnsi="Arial Narrow"/>
                <w:sz w:val="20"/>
                <w:szCs w:val="20"/>
              </w:rPr>
              <w:t xml:space="preserve"> </w:t>
            </w:r>
            <w:r w:rsidRPr="00D0546B">
              <w:rPr>
                <w:rFonts w:ascii="Arial Narrow" w:hAnsi="Arial Narrow"/>
                <w:sz w:val="20"/>
                <w:szCs w:val="20"/>
              </w:rPr>
              <w:t xml:space="preserve">(effective AEMP </w:t>
            </w:r>
            <w:r>
              <w:rPr>
                <w:rFonts w:ascii="Arial Narrow" w:hAnsi="Arial Narrow"/>
                <w:sz w:val="20"/>
                <w:szCs w:val="20"/>
              </w:rPr>
              <w:t xml:space="preserve">was </w:t>
            </w:r>
            <w:r w:rsidRPr="00D0546B">
              <w:rPr>
                <w:rFonts w:ascii="Arial Narrow" w:hAnsi="Arial Narrow"/>
                <w:sz w:val="20"/>
                <w:szCs w:val="20"/>
              </w:rPr>
              <w:t>reduced from $</w:t>
            </w:r>
            <w:r w:rsidR="005D733C" w:rsidRPr="00360C9D">
              <w:rPr>
                <w:rFonts w:ascii="Arial Narrow" w:hAnsi="Arial Narrow"/>
                <w:color w:val="000000"/>
                <w:spacing w:val="19"/>
                <w:sz w:val="20"/>
                <w:szCs w:val="20"/>
                <w:shd w:val="solid" w:color="000000" w:fill="000000"/>
                <w:fitText w:val="480" w:id="-1404864000"/>
                <w14:textFill>
                  <w14:solidFill>
                    <w14:srgbClr w14:val="000000">
                      <w14:alpha w14:val="100000"/>
                    </w14:srgbClr>
                  </w14:solidFill>
                </w14:textFill>
              </w:rPr>
              <w:t>|||  ||</w:t>
            </w:r>
            <w:r w:rsidR="005D733C" w:rsidRPr="00360C9D">
              <w:rPr>
                <w:rFonts w:ascii="Arial Narrow" w:hAnsi="Arial Narrow"/>
                <w:color w:val="000000"/>
                <w:spacing w:val="1"/>
                <w:sz w:val="20"/>
                <w:szCs w:val="20"/>
                <w:shd w:val="solid" w:color="000000" w:fill="000000"/>
                <w:fitText w:val="480" w:id="-1404864000"/>
                <w14:textFill>
                  <w14:solidFill>
                    <w14:srgbClr w14:val="000000">
                      <w14:alpha w14:val="100000"/>
                    </w14:srgbClr>
                  </w14:solidFill>
                </w14:textFill>
              </w:rPr>
              <w:t>|</w:t>
            </w:r>
            <w:r w:rsidRPr="00D0546B">
              <w:rPr>
                <w:rFonts w:ascii="Arial Narrow" w:hAnsi="Arial Narrow"/>
                <w:sz w:val="20"/>
                <w:szCs w:val="20"/>
              </w:rPr>
              <w:t xml:space="preserve"> to $</w:t>
            </w:r>
            <w:r w:rsidR="005D733C" w:rsidRPr="00360C9D">
              <w:rPr>
                <w:rFonts w:ascii="Arial Narrow" w:hAnsi="Arial Narrow"/>
                <w:color w:val="000000"/>
                <w:spacing w:val="19"/>
                <w:sz w:val="20"/>
                <w:szCs w:val="20"/>
                <w:shd w:val="solid" w:color="000000" w:fill="000000"/>
                <w:fitText w:val="480" w:id="-1404863999"/>
                <w14:textFill>
                  <w14:solidFill>
                    <w14:srgbClr w14:val="000000">
                      <w14:alpha w14:val="100000"/>
                    </w14:srgbClr>
                  </w14:solidFill>
                </w14:textFill>
              </w:rPr>
              <w:t>|||  ||</w:t>
            </w:r>
            <w:r w:rsidR="005D733C" w:rsidRPr="00360C9D">
              <w:rPr>
                <w:rFonts w:ascii="Arial Narrow" w:hAnsi="Arial Narrow"/>
                <w:color w:val="000000"/>
                <w:spacing w:val="1"/>
                <w:sz w:val="20"/>
                <w:szCs w:val="20"/>
                <w:shd w:val="solid" w:color="000000" w:fill="000000"/>
                <w:fitText w:val="480" w:id="-1404863999"/>
                <w14:textFill>
                  <w14:solidFill>
                    <w14:srgbClr w14:val="000000">
                      <w14:alpha w14:val="100000"/>
                    </w14:srgbClr>
                  </w14:solidFill>
                </w14:textFill>
              </w:rPr>
              <w:t>|</w:t>
            </w:r>
            <w:r w:rsidRPr="00D0546B">
              <w:rPr>
                <w:rFonts w:ascii="Arial Narrow" w:hAnsi="Arial Narrow"/>
                <w:sz w:val="20"/>
                <w:szCs w:val="20"/>
              </w:rPr>
              <w:t>)</w:t>
            </w:r>
            <w:r>
              <w:rPr>
                <w:rFonts w:ascii="Arial Narrow" w:hAnsi="Arial Narrow"/>
                <w:sz w:val="20"/>
                <w:szCs w:val="20"/>
              </w:rPr>
              <w:t>.</w:t>
            </w:r>
            <w:r w:rsidR="00CC4D9A">
              <w:rPr>
                <w:rFonts w:ascii="Arial Narrow" w:hAnsi="Arial Narrow"/>
                <w:sz w:val="20"/>
                <w:szCs w:val="20"/>
              </w:rPr>
              <w:t xml:space="preserve"> This was further reduced following the identification of an error in the model post PBAC </w:t>
            </w:r>
            <w:r w:rsidR="00433508">
              <w:rPr>
                <w:rFonts w:ascii="Arial Narrow" w:hAnsi="Arial Narrow"/>
                <w:sz w:val="20"/>
                <w:szCs w:val="20"/>
              </w:rPr>
              <w:t xml:space="preserve">consideration </w:t>
            </w:r>
            <w:r w:rsidR="00CC4D9A">
              <w:rPr>
                <w:rFonts w:ascii="Arial Narrow" w:hAnsi="Arial Narrow"/>
                <w:sz w:val="20"/>
                <w:szCs w:val="20"/>
              </w:rPr>
              <w:t>to $</w:t>
            </w:r>
            <w:r w:rsidR="005B3F49" w:rsidRPr="005B3F49">
              <w:rPr>
                <w:rFonts w:ascii="Arial Narrow" w:hAnsi="Arial Narrow"/>
                <w:color w:val="000000"/>
                <w:spacing w:val="9"/>
                <w:sz w:val="20"/>
                <w:szCs w:val="20"/>
                <w:shd w:val="solid" w:color="000000" w:fill="000000"/>
                <w:fitText w:val="310" w:id="-1210902784"/>
                <w14:textFill>
                  <w14:solidFill>
                    <w14:srgbClr w14:val="000000">
                      <w14:alpha w14:val="100000"/>
                    </w14:srgbClr>
                  </w14:solidFill>
                </w14:textFill>
              </w:rPr>
              <w:t>||  |</w:t>
            </w:r>
            <w:r w:rsidR="005B3F49" w:rsidRPr="005B3F49">
              <w:rPr>
                <w:rFonts w:ascii="Arial Narrow" w:hAnsi="Arial Narrow"/>
                <w:color w:val="000000"/>
                <w:spacing w:val="1"/>
                <w:sz w:val="20"/>
                <w:szCs w:val="20"/>
                <w:shd w:val="solid" w:color="000000" w:fill="000000"/>
                <w:fitText w:val="310" w:id="-1210902784"/>
                <w14:textFill>
                  <w14:solidFill>
                    <w14:srgbClr w14:val="000000">
                      <w14:alpha w14:val="100000"/>
                    </w14:srgbClr>
                  </w14:solidFill>
                </w14:textFill>
              </w:rPr>
              <w:t>|</w:t>
            </w:r>
            <w:r w:rsidR="00CC4D9A">
              <w:rPr>
                <w:rFonts w:ascii="Arial Narrow" w:hAnsi="Arial Narrow"/>
                <w:sz w:val="20"/>
                <w:szCs w:val="20"/>
              </w:rPr>
              <w:t xml:space="preserve"> (see paragraph </w:t>
            </w:r>
            <w:r w:rsidR="00CC4D9A">
              <w:rPr>
                <w:rFonts w:ascii="Arial Narrow" w:hAnsi="Arial Narrow"/>
                <w:sz w:val="20"/>
                <w:szCs w:val="20"/>
              </w:rPr>
              <w:fldChar w:fldCharType="begin"/>
            </w:r>
            <w:r w:rsidR="00CC4D9A">
              <w:rPr>
                <w:rFonts w:ascii="Arial Narrow" w:hAnsi="Arial Narrow"/>
                <w:sz w:val="20"/>
                <w:szCs w:val="20"/>
              </w:rPr>
              <w:instrText xml:space="preserve"> REF _Ref138944086 \r \h </w:instrText>
            </w:r>
            <w:r w:rsidR="00CC4D9A">
              <w:rPr>
                <w:rFonts w:ascii="Arial Narrow" w:hAnsi="Arial Narrow"/>
                <w:sz w:val="20"/>
                <w:szCs w:val="20"/>
              </w:rPr>
            </w:r>
            <w:r w:rsidR="00CC4D9A">
              <w:rPr>
                <w:rFonts w:ascii="Arial Narrow" w:hAnsi="Arial Narrow"/>
                <w:sz w:val="20"/>
                <w:szCs w:val="20"/>
              </w:rPr>
              <w:fldChar w:fldCharType="separate"/>
            </w:r>
            <w:r w:rsidR="00CC4D9A">
              <w:rPr>
                <w:rFonts w:ascii="Arial Narrow" w:hAnsi="Arial Narrow"/>
                <w:sz w:val="20"/>
                <w:szCs w:val="20"/>
              </w:rPr>
              <w:t>11.5</w:t>
            </w:r>
            <w:r w:rsidR="00CC4D9A">
              <w:rPr>
                <w:rFonts w:ascii="Arial Narrow" w:hAnsi="Arial Narrow"/>
                <w:sz w:val="20"/>
                <w:szCs w:val="20"/>
              </w:rPr>
              <w:fldChar w:fldCharType="end"/>
            </w:r>
            <w:r w:rsidR="00CC4D9A">
              <w:rPr>
                <w:rFonts w:ascii="Arial Narrow" w:hAnsi="Arial Narrow"/>
                <w:sz w:val="20"/>
                <w:szCs w:val="20"/>
              </w:rPr>
              <w:t>).</w:t>
            </w:r>
          </w:p>
        </w:tc>
      </w:tr>
      <w:tr w:rsidR="0025400C" w14:paraId="4596F552" w14:textId="77777777" w:rsidTr="00E26E55">
        <w:trPr>
          <w:cantSplit/>
        </w:trPr>
        <w:tc>
          <w:tcPr>
            <w:tcW w:w="9261" w:type="dxa"/>
            <w:gridSpan w:val="3"/>
          </w:tcPr>
          <w:p w14:paraId="6F8111DB" w14:textId="77777777" w:rsidR="0025400C" w:rsidRPr="000E0775" w:rsidRDefault="0025400C" w:rsidP="00E26E55">
            <w:pPr>
              <w:rPr>
                <w:rFonts w:ascii="Arial Narrow" w:hAnsi="Arial Narrow"/>
                <w:b/>
                <w:bCs/>
                <w:sz w:val="20"/>
                <w:szCs w:val="20"/>
              </w:rPr>
            </w:pPr>
            <w:r>
              <w:rPr>
                <w:rFonts w:ascii="Arial Narrow" w:hAnsi="Arial Narrow"/>
                <w:b/>
                <w:bCs/>
                <w:sz w:val="20"/>
                <w:szCs w:val="20"/>
              </w:rPr>
              <w:t>Restriction</w:t>
            </w:r>
          </w:p>
        </w:tc>
      </w:tr>
      <w:tr w:rsidR="0025400C" w14:paraId="3D12ECB1" w14:textId="77777777" w:rsidTr="00E26E55">
        <w:trPr>
          <w:gridAfter w:val="1"/>
          <w:wAfter w:w="9" w:type="dxa"/>
          <w:cantSplit/>
        </w:trPr>
        <w:tc>
          <w:tcPr>
            <w:tcW w:w="4531" w:type="dxa"/>
          </w:tcPr>
          <w:p w14:paraId="4B4E20E2" w14:textId="77777777" w:rsidR="0025400C" w:rsidRPr="006B1A52" w:rsidRDefault="0025400C" w:rsidP="00E26E55">
            <w:pPr>
              <w:rPr>
                <w:rFonts w:ascii="Arial Narrow" w:hAnsi="Arial Narrow"/>
                <w:sz w:val="20"/>
                <w:szCs w:val="20"/>
              </w:rPr>
            </w:pPr>
            <w:r>
              <w:rPr>
                <w:rFonts w:ascii="Arial Narrow" w:hAnsi="Arial Narrow"/>
                <w:sz w:val="20"/>
                <w:szCs w:val="20"/>
              </w:rPr>
              <w:t>Th</w:t>
            </w:r>
            <w:r w:rsidRPr="00EE0A73">
              <w:rPr>
                <w:rFonts w:ascii="Arial Narrow" w:hAnsi="Arial Narrow"/>
                <w:sz w:val="20"/>
                <w:szCs w:val="20"/>
              </w:rPr>
              <w:t xml:space="preserve">e initial supply restriction should be Authority Required (telephone/online) with continuing supply available as an Authority Required (Streamlined) </w:t>
            </w:r>
            <w:r>
              <w:rPr>
                <w:rFonts w:ascii="Arial Narrow" w:hAnsi="Arial Narrow"/>
                <w:sz w:val="20"/>
                <w:szCs w:val="20"/>
              </w:rPr>
              <w:t>(Para 7.6).</w:t>
            </w:r>
          </w:p>
        </w:tc>
        <w:tc>
          <w:tcPr>
            <w:tcW w:w="4721" w:type="dxa"/>
          </w:tcPr>
          <w:p w14:paraId="0F504CA1" w14:textId="77777777" w:rsidR="0025400C" w:rsidRPr="00E77B5C" w:rsidRDefault="0025400C" w:rsidP="00E26E55">
            <w:pPr>
              <w:contextualSpacing/>
              <w:jc w:val="left"/>
              <w:rPr>
                <w:rFonts w:ascii="Arial Narrow" w:hAnsi="Arial Narrow"/>
                <w:sz w:val="20"/>
                <w:szCs w:val="20"/>
              </w:rPr>
            </w:pPr>
            <w:r>
              <w:rPr>
                <w:rFonts w:ascii="Arial Narrow" w:hAnsi="Arial Narrow"/>
                <w:sz w:val="20"/>
                <w:szCs w:val="20"/>
              </w:rPr>
              <w:t>A</w:t>
            </w:r>
            <w:r w:rsidRPr="00E77B5C">
              <w:rPr>
                <w:rFonts w:ascii="Arial Narrow" w:hAnsi="Arial Narrow"/>
                <w:sz w:val="20"/>
                <w:szCs w:val="20"/>
              </w:rPr>
              <w:t>uthority Required (Telephone/online) for Initial</w:t>
            </w:r>
          </w:p>
          <w:p w14:paraId="16987DC1" w14:textId="77777777" w:rsidR="0025400C" w:rsidRPr="00E77B5C" w:rsidRDefault="0025400C" w:rsidP="00E26E55">
            <w:pPr>
              <w:contextualSpacing/>
              <w:jc w:val="left"/>
              <w:rPr>
                <w:rFonts w:ascii="Arial Narrow" w:hAnsi="Arial Narrow"/>
                <w:sz w:val="20"/>
                <w:szCs w:val="20"/>
              </w:rPr>
            </w:pPr>
            <w:r>
              <w:rPr>
                <w:rFonts w:ascii="Arial Narrow" w:hAnsi="Arial Narrow"/>
                <w:sz w:val="20"/>
                <w:szCs w:val="20"/>
              </w:rPr>
              <w:t>A</w:t>
            </w:r>
            <w:r w:rsidRPr="00E77B5C">
              <w:rPr>
                <w:rFonts w:ascii="Arial Narrow" w:hAnsi="Arial Narrow"/>
                <w:sz w:val="20"/>
                <w:szCs w:val="20"/>
              </w:rPr>
              <w:t xml:space="preserve">uthority Required </w:t>
            </w:r>
            <w:r>
              <w:rPr>
                <w:rFonts w:ascii="Arial Narrow" w:hAnsi="Arial Narrow"/>
                <w:sz w:val="20"/>
                <w:szCs w:val="20"/>
              </w:rPr>
              <w:t>(</w:t>
            </w:r>
            <w:r w:rsidRPr="00E77B5C">
              <w:rPr>
                <w:rFonts w:ascii="Arial Narrow" w:hAnsi="Arial Narrow"/>
                <w:sz w:val="20"/>
                <w:szCs w:val="20"/>
              </w:rPr>
              <w:t>Streamlined</w:t>
            </w:r>
            <w:r>
              <w:rPr>
                <w:rFonts w:ascii="Arial Narrow" w:hAnsi="Arial Narrow"/>
                <w:sz w:val="20"/>
                <w:szCs w:val="20"/>
              </w:rPr>
              <w:t>)</w:t>
            </w:r>
            <w:r w:rsidRPr="00E77B5C">
              <w:rPr>
                <w:rFonts w:ascii="Arial Narrow" w:hAnsi="Arial Narrow"/>
                <w:sz w:val="20"/>
                <w:szCs w:val="20"/>
              </w:rPr>
              <w:t xml:space="preserve"> for Continuing</w:t>
            </w:r>
          </w:p>
          <w:p w14:paraId="731D109B" w14:textId="77777777" w:rsidR="0025400C" w:rsidRPr="006B1A52" w:rsidRDefault="0025400C" w:rsidP="00E26E55">
            <w:pPr>
              <w:rPr>
                <w:rFonts w:ascii="Arial Narrow" w:hAnsi="Arial Narrow"/>
                <w:sz w:val="20"/>
                <w:szCs w:val="20"/>
              </w:rPr>
            </w:pPr>
          </w:p>
        </w:tc>
      </w:tr>
      <w:tr w:rsidR="0025400C" w14:paraId="035D815A" w14:textId="77777777" w:rsidTr="00E26E55">
        <w:trPr>
          <w:gridAfter w:val="1"/>
          <w:wAfter w:w="9" w:type="dxa"/>
          <w:cantSplit/>
        </w:trPr>
        <w:tc>
          <w:tcPr>
            <w:tcW w:w="4531" w:type="dxa"/>
          </w:tcPr>
          <w:p w14:paraId="1A0F08D0" w14:textId="77777777" w:rsidR="0025400C" w:rsidRPr="00EE0A73" w:rsidRDefault="0025400C" w:rsidP="00E26E55">
            <w:pPr>
              <w:rPr>
                <w:rFonts w:ascii="Arial Narrow" w:hAnsi="Arial Narrow"/>
                <w:sz w:val="20"/>
                <w:szCs w:val="20"/>
              </w:rPr>
            </w:pPr>
            <w:r>
              <w:rPr>
                <w:rFonts w:ascii="Arial Narrow" w:hAnsi="Arial Narrow"/>
                <w:sz w:val="20"/>
                <w:szCs w:val="20"/>
              </w:rPr>
              <w:t>A</w:t>
            </w:r>
            <w:r w:rsidRPr="00EE0A73">
              <w:rPr>
                <w:rFonts w:ascii="Arial Narrow" w:hAnsi="Arial Narrow"/>
                <w:sz w:val="20"/>
                <w:szCs w:val="20"/>
              </w:rPr>
              <w:t xml:space="preserve"> separate restriction would be required for dose escalation </w:t>
            </w:r>
            <w:r>
              <w:rPr>
                <w:rFonts w:ascii="Arial Narrow" w:hAnsi="Arial Narrow"/>
                <w:sz w:val="20"/>
                <w:szCs w:val="20"/>
              </w:rPr>
              <w:t>in</w:t>
            </w:r>
            <w:r w:rsidRPr="00EE0A73">
              <w:rPr>
                <w:rFonts w:ascii="Arial Narrow" w:hAnsi="Arial Narrow"/>
                <w:sz w:val="20"/>
                <w:szCs w:val="20"/>
              </w:rPr>
              <w:t xml:space="preserve"> disease relapse to ensure oral azacitidine is used as a continuing therapy (not an initial therapy) in this context (Para 7.5)</w:t>
            </w:r>
            <w:r>
              <w:rPr>
                <w:rFonts w:ascii="Arial Narrow" w:hAnsi="Arial Narrow"/>
                <w:sz w:val="20"/>
                <w:szCs w:val="20"/>
              </w:rPr>
              <w:t>.</w:t>
            </w:r>
          </w:p>
        </w:tc>
        <w:tc>
          <w:tcPr>
            <w:tcW w:w="4721" w:type="dxa"/>
          </w:tcPr>
          <w:p w14:paraId="4DD1C41E" w14:textId="77777777" w:rsidR="0025400C" w:rsidRPr="00E6031D" w:rsidRDefault="0025400C" w:rsidP="00E26E55">
            <w:pPr>
              <w:rPr>
                <w:rFonts w:ascii="Arial Narrow" w:hAnsi="Arial Narrow"/>
                <w:sz w:val="20"/>
                <w:szCs w:val="20"/>
              </w:rPr>
            </w:pPr>
            <w:r>
              <w:rPr>
                <w:rFonts w:ascii="Arial Narrow" w:hAnsi="Arial Narrow"/>
                <w:sz w:val="20"/>
                <w:szCs w:val="20"/>
              </w:rPr>
              <w:t>A s</w:t>
            </w:r>
            <w:r w:rsidRPr="00E6031D">
              <w:rPr>
                <w:rFonts w:ascii="Arial Narrow" w:hAnsi="Arial Narrow"/>
                <w:sz w:val="20"/>
                <w:szCs w:val="20"/>
              </w:rPr>
              <w:t xml:space="preserve">eparate </w:t>
            </w:r>
            <w:r w:rsidRPr="006B1A52">
              <w:rPr>
                <w:rFonts w:ascii="Arial Narrow" w:hAnsi="Arial Narrow"/>
                <w:sz w:val="20"/>
                <w:szCs w:val="20"/>
              </w:rPr>
              <w:t>Authority required (Written)</w:t>
            </w:r>
            <w:r>
              <w:rPr>
                <w:rFonts w:ascii="Arial Narrow" w:hAnsi="Arial Narrow"/>
                <w:sz w:val="20"/>
                <w:szCs w:val="20"/>
              </w:rPr>
              <w:t xml:space="preserve"> </w:t>
            </w:r>
            <w:r w:rsidRPr="00E6031D">
              <w:rPr>
                <w:rFonts w:ascii="Arial Narrow" w:hAnsi="Arial Narrow"/>
                <w:sz w:val="20"/>
                <w:szCs w:val="20"/>
              </w:rPr>
              <w:t xml:space="preserve">restriction </w:t>
            </w:r>
            <w:r>
              <w:rPr>
                <w:rFonts w:ascii="Arial Narrow" w:hAnsi="Arial Narrow"/>
                <w:sz w:val="20"/>
                <w:szCs w:val="20"/>
              </w:rPr>
              <w:t xml:space="preserve">was proposed </w:t>
            </w:r>
            <w:r w:rsidRPr="00E6031D">
              <w:rPr>
                <w:rFonts w:ascii="Arial Narrow" w:hAnsi="Arial Narrow"/>
                <w:sz w:val="20"/>
                <w:szCs w:val="20"/>
              </w:rPr>
              <w:t>for dose escalation</w:t>
            </w:r>
            <w:r>
              <w:rPr>
                <w:rFonts w:ascii="Arial Narrow" w:hAnsi="Arial Narrow"/>
                <w:sz w:val="20"/>
                <w:szCs w:val="20"/>
              </w:rPr>
              <w:t xml:space="preserve"> that allowed use in p</w:t>
            </w:r>
            <w:r w:rsidRPr="00E6031D">
              <w:rPr>
                <w:rFonts w:ascii="Arial Narrow" w:hAnsi="Arial Narrow"/>
                <w:sz w:val="20"/>
                <w:szCs w:val="20"/>
              </w:rPr>
              <w:t xml:space="preserve">atients </w:t>
            </w:r>
            <w:r>
              <w:rPr>
                <w:rFonts w:ascii="Arial Narrow" w:hAnsi="Arial Narrow"/>
                <w:sz w:val="20"/>
                <w:szCs w:val="20"/>
              </w:rPr>
              <w:t>with</w:t>
            </w:r>
            <w:r w:rsidRPr="00E6031D">
              <w:rPr>
                <w:rFonts w:ascii="Arial Narrow" w:hAnsi="Arial Narrow"/>
                <w:sz w:val="20"/>
                <w:szCs w:val="20"/>
              </w:rPr>
              <w:t xml:space="preserve"> 5% to 15% blasts </w:t>
            </w:r>
            <w:r>
              <w:rPr>
                <w:rFonts w:ascii="Arial Narrow" w:hAnsi="Arial Narrow"/>
                <w:sz w:val="20"/>
                <w:szCs w:val="20"/>
              </w:rPr>
              <w:t>who had already received oral azacitidine.</w:t>
            </w:r>
          </w:p>
        </w:tc>
      </w:tr>
      <w:tr w:rsidR="0025400C" w14:paraId="282E3F3A" w14:textId="77777777" w:rsidTr="00E26E55">
        <w:trPr>
          <w:gridAfter w:val="1"/>
          <w:wAfter w:w="9" w:type="dxa"/>
          <w:cantSplit/>
        </w:trPr>
        <w:tc>
          <w:tcPr>
            <w:tcW w:w="4531" w:type="dxa"/>
          </w:tcPr>
          <w:p w14:paraId="353813FE" w14:textId="77777777" w:rsidR="0025400C" w:rsidRDefault="0025400C" w:rsidP="00E26E55">
            <w:pPr>
              <w:rPr>
                <w:rFonts w:ascii="Arial Narrow" w:hAnsi="Arial Narrow"/>
                <w:sz w:val="20"/>
                <w:szCs w:val="20"/>
              </w:rPr>
            </w:pPr>
            <w:r>
              <w:rPr>
                <w:rFonts w:ascii="Arial Narrow" w:hAnsi="Arial Narrow"/>
                <w:sz w:val="20"/>
                <w:szCs w:val="20"/>
              </w:rPr>
              <w:t>T</w:t>
            </w:r>
            <w:r w:rsidRPr="00EE0A73">
              <w:rPr>
                <w:rFonts w:ascii="Arial Narrow" w:hAnsi="Arial Narrow"/>
                <w:sz w:val="20"/>
                <w:szCs w:val="20"/>
              </w:rPr>
              <w:t>he restriction should</w:t>
            </w:r>
            <w:r>
              <w:rPr>
                <w:rFonts w:ascii="Arial Narrow" w:hAnsi="Arial Narrow"/>
                <w:sz w:val="20"/>
                <w:szCs w:val="20"/>
              </w:rPr>
              <w:t>:</w:t>
            </w:r>
          </w:p>
          <w:p w14:paraId="4363B6E3" w14:textId="77777777" w:rsidR="0025400C" w:rsidRPr="00EE0A73" w:rsidRDefault="0025400C" w:rsidP="0025400C">
            <w:pPr>
              <w:pStyle w:val="ListParagraph"/>
              <w:numPr>
                <w:ilvl w:val="0"/>
                <w:numId w:val="43"/>
              </w:numPr>
              <w:spacing w:after="0"/>
              <w:ind w:left="175" w:hanging="142"/>
              <w:contextualSpacing/>
              <w:jc w:val="left"/>
              <w:rPr>
                <w:rFonts w:ascii="Arial Narrow" w:hAnsi="Arial Narrow"/>
                <w:sz w:val="20"/>
                <w:szCs w:val="20"/>
              </w:rPr>
            </w:pPr>
            <w:r w:rsidRPr="00EE0A73">
              <w:rPr>
                <w:rFonts w:ascii="Arial Narrow" w:hAnsi="Arial Narrow"/>
                <w:sz w:val="20"/>
                <w:szCs w:val="20"/>
              </w:rPr>
              <w:t>only allow treatment in patients with intermediate- or poor-risk cytogenetics (Para 7.4)</w:t>
            </w:r>
            <w:r>
              <w:rPr>
                <w:rFonts w:ascii="Arial Narrow" w:hAnsi="Arial Narrow"/>
                <w:sz w:val="20"/>
                <w:szCs w:val="20"/>
              </w:rPr>
              <w:t>;</w:t>
            </w:r>
          </w:p>
          <w:p w14:paraId="636C0478" w14:textId="77777777" w:rsidR="0025400C" w:rsidRPr="00EE0A73" w:rsidRDefault="0025400C" w:rsidP="0025400C">
            <w:pPr>
              <w:pStyle w:val="ListParagraph"/>
              <w:numPr>
                <w:ilvl w:val="0"/>
                <w:numId w:val="43"/>
              </w:numPr>
              <w:spacing w:after="0"/>
              <w:ind w:left="175" w:hanging="142"/>
              <w:contextualSpacing/>
              <w:jc w:val="left"/>
              <w:rPr>
                <w:rFonts w:ascii="Arial Narrow" w:hAnsi="Arial Narrow"/>
                <w:sz w:val="20"/>
                <w:szCs w:val="20"/>
              </w:rPr>
            </w:pPr>
            <w:r w:rsidRPr="00EE0A73">
              <w:rPr>
                <w:rFonts w:ascii="Arial Narrow" w:hAnsi="Arial Narrow"/>
                <w:sz w:val="20"/>
                <w:szCs w:val="20"/>
              </w:rPr>
              <w:t xml:space="preserve">include a caution that oral azacitidine should not be used interchangeably with injectable azacitidine </w:t>
            </w:r>
            <w:r>
              <w:rPr>
                <w:rFonts w:ascii="Arial Narrow" w:hAnsi="Arial Narrow"/>
                <w:sz w:val="20"/>
                <w:szCs w:val="20"/>
              </w:rPr>
              <w:t>(Para 7.6);</w:t>
            </w:r>
          </w:p>
          <w:p w14:paraId="41F45FE9" w14:textId="77777777" w:rsidR="0025400C" w:rsidRPr="00EE0A73" w:rsidRDefault="0025400C" w:rsidP="0025400C">
            <w:pPr>
              <w:pStyle w:val="ListParagraph"/>
              <w:numPr>
                <w:ilvl w:val="0"/>
                <w:numId w:val="43"/>
              </w:numPr>
              <w:spacing w:after="0"/>
              <w:ind w:left="175" w:hanging="142"/>
              <w:contextualSpacing/>
              <w:jc w:val="left"/>
              <w:rPr>
                <w:rFonts w:ascii="Arial Narrow" w:hAnsi="Arial Narrow"/>
                <w:sz w:val="20"/>
                <w:szCs w:val="20"/>
              </w:rPr>
            </w:pPr>
            <w:r w:rsidRPr="00EE0A73">
              <w:rPr>
                <w:rFonts w:ascii="Arial Narrow" w:hAnsi="Arial Narrow"/>
                <w:sz w:val="20"/>
                <w:szCs w:val="20"/>
              </w:rPr>
              <w:t xml:space="preserve">include </w:t>
            </w:r>
            <w:r>
              <w:rPr>
                <w:rFonts w:ascii="Arial Narrow" w:hAnsi="Arial Narrow"/>
                <w:sz w:val="20"/>
                <w:szCs w:val="20"/>
              </w:rPr>
              <w:t>a</w:t>
            </w:r>
            <w:r w:rsidRPr="00EE0A73">
              <w:rPr>
                <w:rFonts w:ascii="Arial Narrow" w:hAnsi="Arial Narrow"/>
                <w:sz w:val="20"/>
                <w:szCs w:val="20"/>
              </w:rPr>
              <w:t xml:space="preserve"> caution regarding pregnancy </w:t>
            </w:r>
            <w:r>
              <w:rPr>
                <w:rFonts w:ascii="Arial Narrow" w:hAnsi="Arial Narrow"/>
                <w:sz w:val="20"/>
                <w:szCs w:val="20"/>
              </w:rPr>
              <w:t>(Para 7.6).</w:t>
            </w:r>
          </w:p>
        </w:tc>
        <w:tc>
          <w:tcPr>
            <w:tcW w:w="4721" w:type="dxa"/>
          </w:tcPr>
          <w:p w14:paraId="57105232" w14:textId="3337A0F6" w:rsidR="0025400C" w:rsidRPr="00E6031D" w:rsidRDefault="0025400C" w:rsidP="00E26E55">
            <w:pPr>
              <w:rPr>
                <w:rFonts w:ascii="Arial Narrow" w:hAnsi="Arial Narrow"/>
                <w:sz w:val="20"/>
                <w:szCs w:val="20"/>
              </w:rPr>
            </w:pPr>
            <w:r>
              <w:rPr>
                <w:rFonts w:ascii="Arial Narrow" w:hAnsi="Arial Narrow"/>
                <w:sz w:val="20"/>
                <w:szCs w:val="20"/>
              </w:rPr>
              <w:t xml:space="preserve">The restriction was revised as requested (see Section </w:t>
            </w:r>
            <w:r w:rsidR="00363D0B">
              <w:rPr>
                <w:rFonts w:ascii="Arial Narrow" w:hAnsi="Arial Narrow"/>
                <w:sz w:val="20"/>
                <w:szCs w:val="20"/>
              </w:rPr>
              <w:t xml:space="preserve">12 </w:t>
            </w:r>
            <w:r>
              <w:rPr>
                <w:rFonts w:ascii="Arial Narrow" w:hAnsi="Arial Narrow"/>
                <w:sz w:val="20"/>
                <w:szCs w:val="20"/>
              </w:rPr>
              <w:t>– Requested listing)</w:t>
            </w:r>
          </w:p>
        </w:tc>
      </w:tr>
      <w:tr w:rsidR="0025400C" w14:paraId="542C4E04" w14:textId="77777777" w:rsidTr="00E26E55">
        <w:trPr>
          <w:cantSplit/>
        </w:trPr>
        <w:tc>
          <w:tcPr>
            <w:tcW w:w="9261" w:type="dxa"/>
            <w:gridSpan w:val="3"/>
          </w:tcPr>
          <w:p w14:paraId="113C5F9A" w14:textId="77777777" w:rsidR="0025400C" w:rsidRPr="000E0775" w:rsidRDefault="0025400C" w:rsidP="00E26E55">
            <w:pPr>
              <w:rPr>
                <w:rFonts w:ascii="Arial Narrow" w:hAnsi="Arial Narrow"/>
                <w:b/>
                <w:bCs/>
                <w:sz w:val="20"/>
                <w:szCs w:val="20"/>
              </w:rPr>
            </w:pPr>
            <w:r w:rsidRPr="000E0775">
              <w:rPr>
                <w:rFonts w:ascii="Arial Narrow" w:hAnsi="Arial Narrow"/>
                <w:b/>
                <w:bCs/>
                <w:sz w:val="20"/>
                <w:szCs w:val="20"/>
              </w:rPr>
              <w:t>Economic model</w:t>
            </w:r>
          </w:p>
        </w:tc>
      </w:tr>
      <w:tr w:rsidR="0025400C" w14:paraId="017A0894" w14:textId="77777777" w:rsidTr="00E26E55">
        <w:trPr>
          <w:gridAfter w:val="1"/>
          <w:wAfter w:w="9" w:type="dxa"/>
          <w:cantSplit/>
        </w:trPr>
        <w:tc>
          <w:tcPr>
            <w:tcW w:w="4531" w:type="dxa"/>
          </w:tcPr>
          <w:p w14:paraId="42B9DCB3" w14:textId="77777777" w:rsidR="0025400C" w:rsidRPr="002F4488" w:rsidRDefault="0025400C" w:rsidP="00E26E55">
            <w:pPr>
              <w:contextualSpacing/>
              <w:jc w:val="left"/>
              <w:rPr>
                <w:rFonts w:ascii="Arial Narrow" w:hAnsi="Arial Narrow"/>
                <w:sz w:val="20"/>
                <w:szCs w:val="20"/>
              </w:rPr>
            </w:pPr>
            <w:r>
              <w:rPr>
                <w:rFonts w:ascii="Arial Narrow" w:hAnsi="Arial Narrow"/>
                <w:sz w:val="20"/>
                <w:szCs w:val="20"/>
              </w:rPr>
              <w:t>The economic model should:</w:t>
            </w:r>
          </w:p>
          <w:p w14:paraId="6F54926C" w14:textId="77777777" w:rsidR="0025400C" w:rsidRDefault="0025400C" w:rsidP="0025400C">
            <w:pPr>
              <w:pStyle w:val="ListParagraph"/>
              <w:numPr>
                <w:ilvl w:val="0"/>
                <w:numId w:val="43"/>
              </w:numPr>
              <w:spacing w:after="0"/>
              <w:ind w:left="175" w:hanging="142"/>
              <w:contextualSpacing/>
              <w:jc w:val="left"/>
              <w:rPr>
                <w:rFonts w:ascii="Arial Narrow" w:hAnsi="Arial Narrow"/>
                <w:sz w:val="20"/>
                <w:szCs w:val="20"/>
              </w:rPr>
            </w:pPr>
            <w:r>
              <w:rPr>
                <w:rFonts w:ascii="Arial Narrow" w:hAnsi="Arial Narrow"/>
                <w:sz w:val="20"/>
                <w:szCs w:val="20"/>
              </w:rPr>
              <w:t>a</w:t>
            </w:r>
            <w:r w:rsidRPr="004715B2">
              <w:rPr>
                <w:rFonts w:ascii="Arial Narrow" w:hAnsi="Arial Narrow"/>
                <w:sz w:val="20"/>
                <w:szCs w:val="20"/>
              </w:rPr>
              <w:t xml:space="preserve">pply the Kaplan–Meier time on treatment data from the QUAZAR trial </w:t>
            </w:r>
            <w:r>
              <w:rPr>
                <w:rFonts w:ascii="Arial Narrow" w:hAnsi="Arial Narrow"/>
                <w:sz w:val="20"/>
                <w:szCs w:val="20"/>
              </w:rPr>
              <w:t>(Para 7.13)</w:t>
            </w:r>
          </w:p>
          <w:p w14:paraId="1A821972" w14:textId="77777777" w:rsidR="0025400C" w:rsidRDefault="0025400C" w:rsidP="0025400C">
            <w:pPr>
              <w:pStyle w:val="ListParagraph"/>
              <w:numPr>
                <w:ilvl w:val="0"/>
                <w:numId w:val="43"/>
              </w:numPr>
              <w:spacing w:after="0"/>
              <w:ind w:left="175" w:hanging="142"/>
              <w:contextualSpacing/>
              <w:jc w:val="left"/>
              <w:rPr>
                <w:rFonts w:ascii="Arial Narrow" w:hAnsi="Arial Narrow"/>
                <w:sz w:val="20"/>
                <w:szCs w:val="20"/>
              </w:rPr>
            </w:pPr>
            <w:r w:rsidRPr="004715B2">
              <w:rPr>
                <w:rFonts w:ascii="Arial Narrow" w:hAnsi="Arial Narrow"/>
                <w:sz w:val="20"/>
                <w:szCs w:val="20"/>
              </w:rPr>
              <w:t>extrapolate the OS curves from the median follow-up</w:t>
            </w:r>
            <w:r>
              <w:rPr>
                <w:rFonts w:ascii="Arial Narrow" w:hAnsi="Arial Narrow"/>
                <w:sz w:val="20"/>
                <w:szCs w:val="20"/>
              </w:rPr>
              <w:t xml:space="preserve"> (Para 7.13)</w:t>
            </w:r>
            <w:r w:rsidRPr="004715B2">
              <w:rPr>
                <w:rFonts w:ascii="Arial Narrow" w:hAnsi="Arial Narrow"/>
                <w:sz w:val="20"/>
                <w:szCs w:val="20"/>
              </w:rPr>
              <w:t xml:space="preserve"> </w:t>
            </w:r>
          </w:p>
          <w:p w14:paraId="0C16E696" w14:textId="21259E99" w:rsidR="0025400C" w:rsidRPr="004715B2" w:rsidRDefault="0025400C" w:rsidP="0025400C">
            <w:pPr>
              <w:pStyle w:val="ListParagraph"/>
              <w:numPr>
                <w:ilvl w:val="0"/>
                <w:numId w:val="43"/>
              </w:numPr>
              <w:spacing w:after="0"/>
              <w:ind w:left="175" w:hanging="142"/>
              <w:contextualSpacing/>
              <w:jc w:val="left"/>
              <w:rPr>
                <w:rFonts w:ascii="Arial Narrow" w:hAnsi="Arial Narrow"/>
                <w:sz w:val="20"/>
                <w:szCs w:val="20"/>
              </w:rPr>
            </w:pPr>
            <w:r>
              <w:rPr>
                <w:rFonts w:ascii="Arial Narrow" w:hAnsi="Arial Narrow"/>
                <w:sz w:val="20"/>
                <w:szCs w:val="20"/>
              </w:rPr>
              <w:t xml:space="preserve">result in </w:t>
            </w:r>
            <w:r w:rsidRPr="004715B2">
              <w:rPr>
                <w:rFonts w:ascii="Arial Narrow" w:hAnsi="Arial Narrow"/>
                <w:sz w:val="20"/>
                <w:szCs w:val="20"/>
              </w:rPr>
              <w:t>an ICER of approximately $</w:t>
            </w:r>
            <w:r w:rsidR="005D733C" w:rsidRPr="005B3F49">
              <w:rPr>
                <w:rFonts w:ascii="Arial Narrow" w:hAnsi="Arial Narrow"/>
                <w:color w:val="000000"/>
                <w:spacing w:val="42"/>
                <w:sz w:val="20"/>
                <w:szCs w:val="20"/>
                <w:shd w:val="solid" w:color="000000" w:fill="000000"/>
                <w:fitText w:val="470" w:id="-1404863998"/>
                <w14:textFill>
                  <w14:solidFill>
                    <w14:srgbClr w14:val="000000">
                      <w14:alpha w14:val="100000"/>
                    </w14:srgbClr>
                  </w14:solidFill>
                </w14:textFill>
              </w:rPr>
              <w:t>|||||</w:t>
            </w:r>
            <w:r w:rsidR="005D733C" w:rsidRPr="005B3F49">
              <w:rPr>
                <w:rFonts w:ascii="Arial Narrow" w:hAnsi="Arial Narrow"/>
                <w:color w:val="000000"/>
                <w:spacing w:val="2"/>
                <w:sz w:val="20"/>
                <w:szCs w:val="20"/>
                <w:shd w:val="solid" w:color="000000" w:fill="000000"/>
                <w:fitText w:val="470" w:id="-1404863998"/>
                <w14:textFill>
                  <w14:solidFill>
                    <w14:srgbClr w14:val="000000">
                      <w14:alpha w14:val="100000"/>
                    </w14:srgbClr>
                  </w14:solidFill>
                </w14:textFill>
              </w:rPr>
              <w:t>|</w:t>
            </w:r>
            <w:r w:rsidR="007C0223">
              <w:rPr>
                <w:rFonts w:ascii="Arial Narrow" w:hAnsi="Arial Narrow"/>
                <w:sz w:val="20"/>
                <w:szCs w:val="20"/>
                <w:vertAlign w:val="superscript"/>
              </w:rPr>
              <w:t>1</w:t>
            </w:r>
            <w:r w:rsidRPr="004715B2">
              <w:rPr>
                <w:rFonts w:ascii="Arial Narrow" w:hAnsi="Arial Narrow"/>
                <w:sz w:val="20"/>
                <w:szCs w:val="20"/>
              </w:rPr>
              <w:t xml:space="preserve"> per QALY </w:t>
            </w:r>
            <w:r>
              <w:rPr>
                <w:rFonts w:ascii="Arial Narrow" w:hAnsi="Arial Narrow"/>
                <w:sz w:val="20"/>
                <w:szCs w:val="20"/>
                <w:vertAlign w:val="superscript"/>
              </w:rPr>
              <w:t xml:space="preserve">a </w:t>
            </w:r>
            <w:r>
              <w:rPr>
                <w:rFonts w:ascii="Arial Narrow" w:hAnsi="Arial Narrow"/>
                <w:sz w:val="20"/>
                <w:szCs w:val="20"/>
              </w:rPr>
              <w:t>(Para 7.13)</w:t>
            </w:r>
          </w:p>
        </w:tc>
        <w:tc>
          <w:tcPr>
            <w:tcW w:w="4721" w:type="dxa"/>
          </w:tcPr>
          <w:p w14:paraId="6598B67F" w14:textId="77777777" w:rsidR="0025400C" w:rsidRDefault="0025400C" w:rsidP="00E26E55">
            <w:pPr>
              <w:rPr>
                <w:rFonts w:ascii="Arial Narrow" w:hAnsi="Arial Narrow" w:cstheme="minorHAnsi"/>
                <w:sz w:val="20"/>
                <w:szCs w:val="20"/>
              </w:rPr>
            </w:pPr>
            <w:r>
              <w:rPr>
                <w:rFonts w:ascii="Arial Narrow" w:hAnsi="Arial Narrow" w:cstheme="minorHAnsi"/>
                <w:sz w:val="20"/>
                <w:szCs w:val="20"/>
              </w:rPr>
              <w:t>Structural changes were made as requested. In addition, the AEMP of oral azacitidine was reduced by 16.6%.</w:t>
            </w:r>
          </w:p>
          <w:p w14:paraId="6EB8BEDB" w14:textId="77777777" w:rsidR="0025400C" w:rsidRDefault="0025400C" w:rsidP="00E26E55">
            <w:pPr>
              <w:rPr>
                <w:rFonts w:ascii="Arial Narrow" w:hAnsi="Arial Narrow" w:cstheme="minorHAnsi"/>
                <w:sz w:val="20"/>
                <w:szCs w:val="20"/>
              </w:rPr>
            </w:pPr>
            <w:r>
              <w:rPr>
                <w:rFonts w:ascii="Arial Narrow" w:hAnsi="Arial Narrow" w:cstheme="minorHAnsi"/>
                <w:sz w:val="20"/>
                <w:szCs w:val="20"/>
              </w:rPr>
              <w:t>The resultant ICER was $</w:t>
            </w:r>
            <w:r w:rsidR="005D733C" w:rsidRPr="00360C9D">
              <w:rPr>
                <w:rFonts w:ascii="Arial Narrow" w:hAnsi="Arial Narrow" w:cstheme="minorHAnsi"/>
                <w:color w:val="000000"/>
                <w:spacing w:val="19"/>
                <w:sz w:val="20"/>
                <w:szCs w:val="20"/>
                <w:shd w:val="solid" w:color="000000" w:fill="000000"/>
                <w:fitText w:val="480" w:id="-1404863997"/>
                <w14:textFill>
                  <w14:solidFill>
                    <w14:srgbClr w14:val="000000">
                      <w14:alpha w14:val="100000"/>
                    </w14:srgbClr>
                  </w14:solidFill>
                </w14:textFill>
              </w:rPr>
              <w:t>|||  ||</w:t>
            </w:r>
            <w:r w:rsidR="005D733C" w:rsidRPr="00360C9D">
              <w:rPr>
                <w:rFonts w:ascii="Arial Narrow" w:hAnsi="Arial Narrow" w:cstheme="minorHAnsi"/>
                <w:color w:val="000000"/>
                <w:spacing w:val="1"/>
                <w:sz w:val="20"/>
                <w:szCs w:val="20"/>
                <w:shd w:val="solid" w:color="000000" w:fill="000000"/>
                <w:fitText w:val="480" w:id="-1404863997"/>
                <w14:textFill>
                  <w14:solidFill>
                    <w14:srgbClr w14:val="000000">
                      <w14:alpha w14:val="100000"/>
                    </w14:srgbClr>
                  </w14:solidFill>
                </w14:textFill>
              </w:rPr>
              <w:t>|</w:t>
            </w:r>
            <w:r w:rsidR="007C0223">
              <w:rPr>
                <w:rFonts w:ascii="Arial Narrow" w:hAnsi="Arial Narrow" w:cstheme="minorHAnsi"/>
                <w:sz w:val="20"/>
                <w:szCs w:val="20"/>
                <w:vertAlign w:val="superscript"/>
              </w:rPr>
              <w:t>1</w:t>
            </w:r>
            <w:r>
              <w:rPr>
                <w:rFonts w:ascii="Arial Narrow" w:hAnsi="Arial Narrow" w:cstheme="minorHAnsi"/>
                <w:sz w:val="20"/>
                <w:szCs w:val="20"/>
              </w:rPr>
              <w:t>/QALY (resubmission stated that, using the 2021 dispensing fees, the ICER would be exactly $</w:t>
            </w:r>
            <w:r w:rsidR="005D733C" w:rsidRPr="00360C9D">
              <w:rPr>
                <w:rFonts w:ascii="Arial Narrow" w:hAnsi="Arial Narrow" w:cstheme="minorHAnsi"/>
                <w:color w:val="000000"/>
                <w:spacing w:val="19"/>
                <w:sz w:val="20"/>
                <w:szCs w:val="20"/>
                <w:shd w:val="solid" w:color="000000" w:fill="000000"/>
                <w:fitText w:val="480" w:id="-1404863996"/>
                <w14:textFill>
                  <w14:solidFill>
                    <w14:srgbClr w14:val="000000">
                      <w14:alpha w14:val="100000"/>
                    </w14:srgbClr>
                  </w14:solidFill>
                </w14:textFill>
              </w:rPr>
              <w:t>|||  ||</w:t>
            </w:r>
            <w:r w:rsidR="005D733C" w:rsidRPr="00360C9D">
              <w:rPr>
                <w:rFonts w:ascii="Arial Narrow" w:hAnsi="Arial Narrow" w:cstheme="minorHAnsi"/>
                <w:color w:val="000000"/>
                <w:spacing w:val="1"/>
                <w:sz w:val="20"/>
                <w:szCs w:val="20"/>
                <w:shd w:val="solid" w:color="000000" w:fill="000000"/>
                <w:fitText w:val="480" w:id="-1404863996"/>
                <w14:textFill>
                  <w14:solidFill>
                    <w14:srgbClr w14:val="000000">
                      <w14:alpha w14:val="100000"/>
                    </w14:srgbClr>
                  </w14:solidFill>
                </w14:textFill>
              </w:rPr>
              <w:t>|</w:t>
            </w:r>
            <w:r w:rsidR="007C0223">
              <w:rPr>
                <w:rFonts w:ascii="Arial Narrow" w:hAnsi="Arial Narrow" w:cstheme="minorHAnsi"/>
                <w:sz w:val="20"/>
                <w:szCs w:val="20"/>
                <w:vertAlign w:val="superscript"/>
              </w:rPr>
              <w:t>1</w:t>
            </w:r>
            <w:r>
              <w:rPr>
                <w:rFonts w:ascii="Arial Narrow" w:hAnsi="Arial Narrow" w:cstheme="minorHAnsi"/>
                <w:sz w:val="20"/>
                <w:szCs w:val="20"/>
              </w:rPr>
              <w:t>/QALY).</w:t>
            </w:r>
          </w:p>
          <w:p w14:paraId="2E9E1435" w14:textId="27C7B824" w:rsidR="00CC4D9A" w:rsidRPr="001073E5" w:rsidRDefault="00CC4D9A" w:rsidP="00E26E55">
            <w:pPr>
              <w:rPr>
                <w:rFonts w:ascii="Arial Narrow" w:hAnsi="Arial Narrow" w:cstheme="minorHAnsi"/>
                <w:sz w:val="20"/>
                <w:szCs w:val="20"/>
              </w:rPr>
            </w:pPr>
            <w:r>
              <w:rPr>
                <w:rFonts w:ascii="Arial Narrow" w:hAnsi="Arial Narrow" w:cstheme="minorHAnsi"/>
                <w:sz w:val="20"/>
                <w:szCs w:val="20"/>
              </w:rPr>
              <w:t xml:space="preserve">The model was further revised post PBAC </w:t>
            </w:r>
            <w:r w:rsidR="00433508">
              <w:rPr>
                <w:rFonts w:ascii="Arial Narrow" w:hAnsi="Arial Narrow" w:cstheme="minorHAnsi"/>
                <w:sz w:val="20"/>
                <w:szCs w:val="20"/>
              </w:rPr>
              <w:t xml:space="preserve">consideration </w:t>
            </w:r>
            <w:r>
              <w:rPr>
                <w:rFonts w:ascii="Arial Narrow" w:hAnsi="Arial Narrow" w:cstheme="minorHAnsi"/>
                <w:sz w:val="20"/>
                <w:szCs w:val="20"/>
              </w:rPr>
              <w:t>following the identification of an error (see paragraph 11.5)</w:t>
            </w:r>
          </w:p>
        </w:tc>
      </w:tr>
      <w:tr w:rsidR="0025400C" w14:paraId="2B3310E5" w14:textId="77777777" w:rsidTr="00E26E55">
        <w:trPr>
          <w:gridAfter w:val="1"/>
          <w:wAfter w:w="9" w:type="dxa"/>
          <w:cantSplit/>
        </w:trPr>
        <w:tc>
          <w:tcPr>
            <w:tcW w:w="4531" w:type="dxa"/>
          </w:tcPr>
          <w:p w14:paraId="41A7C8A4" w14:textId="77777777" w:rsidR="0025400C" w:rsidRPr="000E0775" w:rsidRDefault="0025400C" w:rsidP="00E26E55">
            <w:pPr>
              <w:rPr>
                <w:rFonts w:ascii="Arial Narrow" w:hAnsi="Arial Narrow"/>
                <w:sz w:val="20"/>
                <w:szCs w:val="20"/>
              </w:rPr>
            </w:pPr>
            <w:r>
              <w:rPr>
                <w:rFonts w:ascii="Arial Narrow" w:hAnsi="Arial Narrow"/>
                <w:sz w:val="20"/>
                <w:szCs w:val="20"/>
              </w:rPr>
              <w:t>Ensure cost-effectiveness of oral azacitidine in dose escalation (Para 7.5).</w:t>
            </w:r>
          </w:p>
        </w:tc>
        <w:tc>
          <w:tcPr>
            <w:tcW w:w="4721" w:type="dxa"/>
          </w:tcPr>
          <w:p w14:paraId="5CC9223B" w14:textId="77777777" w:rsidR="0025400C" w:rsidRPr="001073E5" w:rsidRDefault="0025400C" w:rsidP="00E26E55">
            <w:pPr>
              <w:rPr>
                <w:rFonts w:ascii="Arial Narrow" w:hAnsi="Arial Narrow" w:cstheme="minorHAnsi"/>
                <w:sz w:val="20"/>
                <w:szCs w:val="20"/>
              </w:rPr>
            </w:pPr>
            <w:r>
              <w:rPr>
                <w:rFonts w:ascii="Arial Narrow" w:hAnsi="Arial Narrow" w:cstheme="minorHAnsi"/>
                <w:sz w:val="20"/>
                <w:szCs w:val="20"/>
              </w:rPr>
              <w:t>The resubmission argued that t</w:t>
            </w:r>
            <w:r w:rsidRPr="004715B2">
              <w:rPr>
                <w:rFonts w:ascii="Arial Narrow" w:hAnsi="Arial Narrow" w:cstheme="minorHAnsi"/>
                <w:sz w:val="20"/>
                <w:szCs w:val="20"/>
              </w:rPr>
              <w:t xml:space="preserve">he economic model </w:t>
            </w:r>
            <w:r>
              <w:rPr>
                <w:rFonts w:ascii="Arial Narrow" w:hAnsi="Arial Narrow" w:cstheme="minorHAnsi"/>
                <w:sz w:val="20"/>
                <w:szCs w:val="20"/>
              </w:rPr>
              <w:t xml:space="preserve">already accounted for the costs of dose escalation as it applied the </w:t>
            </w:r>
            <w:r w:rsidRPr="004715B2">
              <w:rPr>
                <w:rFonts w:ascii="Arial Narrow" w:hAnsi="Arial Narrow" w:cstheme="minorHAnsi"/>
                <w:sz w:val="20"/>
                <w:szCs w:val="20"/>
              </w:rPr>
              <w:t xml:space="preserve">relative dose intensity </w:t>
            </w:r>
            <w:r>
              <w:rPr>
                <w:rFonts w:ascii="Arial Narrow" w:hAnsi="Arial Narrow" w:cstheme="minorHAnsi"/>
                <w:sz w:val="20"/>
                <w:szCs w:val="20"/>
              </w:rPr>
              <w:t xml:space="preserve">(89.6%) </w:t>
            </w:r>
            <w:r w:rsidRPr="004715B2">
              <w:rPr>
                <w:rFonts w:ascii="Arial Narrow" w:hAnsi="Arial Narrow" w:cstheme="minorHAnsi"/>
                <w:sz w:val="20"/>
                <w:szCs w:val="20"/>
              </w:rPr>
              <w:t>reported in the QUAZAR trial</w:t>
            </w:r>
            <w:r>
              <w:rPr>
                <w:rFonts w:ascii="Arial Narrow" w:hAnsi="Arial Narrow" w:cstheme="minorHAnsi"/>
                <w:sz w:val="20"/>
                <w:szCs w:val="20"/>
              </w:rPr>
              <w:t>, which incorporated the 25% of patients who had a dose reduction due to AEs, and the 21.6% who had a dose escalation.</w:t>
            </w:r>
          </w:p>
        </w:tc>
      </w:tr>
      <w:tr w:rsidR="0025400C" w14:paraId="06161AA3" w14:textId="77777777" w:rsidTr="00E26E55">
        <w:trPr>
          <w:cantSplit/>
        </w:trPr>
        <w:tc>
          <w:tcPr>
            <w:tcW w:w="9261" w:type="dxa"/>
            <w:gridSpan w:val="3"/>
          </w:tcPr>
          <w:p w14:paraId="611BE467" w14:textId="77777777" w:rsidR="0025400C" w:rsidRPr="000E0775" w:rsidRDefault="0025400C" w:rsidP="00E26E55">
            <w:pPr>
              <w:keepNext/>
              <w:keepLines/>
              <w:rPr>
                <w:rFonts w:ascii="Arial Narrow" w:hAnsi="Arial Narrow"/>
                <w:b/>
                <w:bCs/>
                <w:sz w:val="20"/>
                <w:szCs w:val="20"/>
              </w:rPr>
            </w:pPr>
            <w:r w:rsidRPr="000E0775">
              <w:rPr>
                <w:rFonts w:ascii="Arial Narrow" w:hAnsi="Arial Narrow"/>
                <w:b/>
                <w:bCs/>
                <w:sz w:val="20"/>
                <w:szCs w:val="20"/>
              </w:rPr>
              <w:t>Financial estimates</w:t>
            </w:r>
          </w:p>
        </w:tc>
      </w:tr>
      <w:tr w:rsidR="0025400C" w14:paraId="0F6A4DBE" w14:textId="77777777" w:rsidTr="00E26E55">
        <w:trPr>
          <w:gridAfter w:val="1"/>
          <w:wAfter w:w="9" w:type="dxa"/>
          <w:cantSplit/>
          <w:trHeight w:val="570"/>
        </w:trPr>
        <w:tc>
          <w:tcPr>
            <w:tcW w:w="4531" w:type="dxa"/>
          </w:tcPr>
          <w:p w14:paraId="1908A32D" w14:textId="77777777" w:rsidR="0025400C" w:rsidRDefault="0025400C" w:rsidP="00E26E55">
            <w:pPr>
              <w:keepNext/>
              <w:keepLines/>
              <w:widowControl w:val="0"/>
              <w:rPr>
                <w:rFonts w:ascii="Arial Narrow" w:hAnsi="Arial Narrow"/>
                <w:sz w:val="20"/>
                <w:szCs w:val="20"/>
              </w:rPr>
            </w:pPr>
            <w:r>
              <w:rPr>
                <w:rFonts w:ascii="Arial Narrow" w:hAnsi="Arial Narrow"/>
                <w:sz w:val="20"/>
                <w:szCs w:val="20"/>
              </w:rPr>
              <w:t>The f</w:t>
            </w:r>
            <w:r w:rsidRPr="00431E3D">
              <w:rPr>
                <w:rFonts w:ascii="Arial Narrow" w:hAnsi="Arial Narrow"/>
                <w:sz w:val="20"/>
                <w:szCs w:val="20"/>
              </w:rPr>
              <w:t>inancial impact was overestimated</w:t>
            </w:r>
            <w:r>
              <w:rPr>
                <w:rFonts w:ascii="Arial Narrow" w:hAnsi="Arial Narrow"/>
                <w:sz w:val="20"/>
                <w:szCs w:val="20"/>
              </w:rPr>
              <w:t xml:space="preserve"> (Paras 7.14, 7.15 and 7.16).</w:t>
            </w:r>
          </w:p>
          <w:p w14:paraId="7B68C585" w14:textId="77777777" w:rsidR="0025400C" w:rsidRPr="000E0775" w:rsidRDefault="0025400C" w:rsidP="00E26E55">
            <w:pPr>
              <w:keepNext/>
              <w:keepLines/>
              <w:widowControl w:val="0"/>
              <w:rPr>
                <w:rFonts w:ascii="Arial Narrow" w:hAnsi="Arial Narrow" w:cstheme="minorHAnsi"/>
                <w:sz w:val="20"/>
                <w:szCs w:val="20"/>
              </w:rPr>
            </w:pPr>
          </w:p>
        </w:tc>
        <w:tc>
          <w:tcPr>
            <w:tcW w:w="4721" w:type="dxa"/>
          </w:tcPr>
          <w:p w14:paraId="7D6E66CA" w14:textId="3E6760DE" w:rsidR="0025400C" w:rsidRPr="00086D36" w:rsidRDefault="0025400C" w:rsidP="00E26E55">
            <w:pPr>
              <w:keepNext/>
              <w:keepLines/>
              <w:rPr>
                <w:rFonts w:ascii="Arial Narrow" w:hAnsi="Arial Narrow" w:cstheme="minorHAnsi"/>
                <w:sz w:val="20"/>
                <w:szCs w:val="20"/>
              </w:rPr>
            </w:pPr>
            <w:r>
              <w:rPr>
                <w:rFonts w:ascii="Arial Narrow" w:hAnsi="Arial Narrow" w:cstheme="minorHAnsi"/>
                <w:sz w:val="20"/>
                <w:szCs w:val="20"/>
              </w:rPr>
              <w:t>The n</w:t>
            </w:r>
            <w:r w:rsidRPr="00086D36">
              <w:rPr>
                <w:rFonts w:ascii="Arial Narrow" w:hAnsi="Arial Narrow" w:cstheme="minorHAnsi"/>
                <w:sz w:val="20"/>
                <w:szCs w:val="20"/>
              </w:rPr>
              <w:t xml:space="preserve">et cost to R/PBS </w:t>
            </w:r>
            <w:r>
              <w:rPr>
                <w:rFonts w:ascii="Arial Narrow" w:hAnsi="Arial Narrow" w:cstheme="minorHAnsi"/>
                <w:sz w:val="20"/>
                <w:szCs w:val="20"/>
              </w:rPr>
              <w:t xml:space="preserve">was </w:t>
            </w:r>
            <w:r w:rsidRPr="00086D36">
              <w:rPr>
                <w:rFonts w:ascii="Arial Narrow" w:hAnsi="Arial Narrow" w:cstheme="minorHAnsi"/>
                <w:sz w:val="20"/>
                <w:szCs w:val="20"/>
              </w:rPr>
              <w:t>reduced from $</w:t>
            </w:r>
            <w:r w:rsidR="005D733C" w:rsidRPr="00360C9D">
              <w:rPr>
                <w:rFonts w:ascii="Arial Narrow" w:hAnsi="Arial Narrow" w:cstheme="minorHAnsi"/>
                <w:color w:val="000000"/>
                <w:spacing w:val="19"/>
                <w:sz w:val="20"/>
                <w:szCs w:val="20"/>
                <w:shd w:val="solid" w:color="000000" w:fill="000000"/>
                <w:fitText w:val="480" w:id="-1404863995"/>
                <w14:textFill>
                  <w14:solidFill>
                    <w14:srgbClr w14:val="000000">
                      <w14:alpha w14:val="100000"/>
                    </w14:srgbClr>
                  </w14:solidFill>
                </w14:textFill>
              </w:rPr>
              <w:t>|||  ||</w:t>
            </w:r>
            <w:r w:rsidR="005D733C" w:rsidRPr="00360C9D">
              <w:rPr>
                <w:rFonts w:ascii="Arial Narrow" w:hAnsi="Arial Narrow" w:cstheme="minorHAnsi"/>
                <w:color w:val="000000"/>
                <w:spacing w:val="1"/>
                <w:sz w:val="20"/>
                <w:szCs w:val="20"/>
                <w:shd w:val="solid" w:color="000000" w:fill="000000"/>
                <w:fitText w:val="480" w:id="-1404863995"/>
                <w14:textFill>
                  <w14:solidFill>
                    <w14:srgbClr w14:val="000000">
                      <w14:alpha w14:val="100000"/>
                    </w14:srgbClr>
                  </w14:solidFill>
                </w14:textFill>
              </w:rPr>
              <w:t>|</w:t>
            </w:r>
            <w:r w:rsidR="005D733C" w:rsidRPr="00360C9D">
              <w:rPr>
                <w:rFonts w:ascii="Arial Narrow" w:hAnsi="Arial Narrow" w:cstheme="minorHAnsi"/>
                <w:color w:val="000000"/>
                <w:spacing w:val="19"/>
                <w:sz w:val="20"/>
                <w:szCs w:val="20"/>
                <w:shd w:val="solid" w:color="000000" w:fill="000000"/>
                <w:fitText w:val="480" w:id="-1404863994"/>
                <w14:textFill>
                  <w14:solidFill>
                    <w14:srgbClr w14:val="000000">
                      <w14:alpha w14:val="100000"/>
                    </w14:srgbClr>
                  </w14:solidFill>
                </w14:textFill>
              </w:rPr>
              <w:t>|||  ||</w:t>
            </w:r>
            <w:r w:rsidR="005D733C" w:rsidRPr="00360C9D">
              <w:rPr>
                <w:rFonts w:ascii="Arial Narrow" w:hAnsi="Arial Narrow" w:cstheme="minorHAnsi"/>
                <w:color w:val="000000"/>
                <w:spacing w:val="1"/>
                <w:sz w:val="20"/>
                <w:szCs w:val="20"/>
                <w:shd w:val="solid" w:color="000000" w:fill="000000"/>
                <w:fitText w:val="480" w:id="-1404863994"/>
                <w14:textFill>
                  <w14:solidFill>
                    <w14:srgbClr w14:val="000000">
                      <w14:alpha w14:val="100000"/>
                    </w14:srgbClr>
                  </w14:solidFill>
                </w14:textFill>
              </w:rPr>
              <w:t>|</w:t>
            </w:r>
            <w:r w:rsidR="007C0223">
              <w:rPr>
                <w:rFonts w:ascii="Arial Narrow" w:hAnsi="Arial Narrow" w:cstheme="minorHAnsi"/>
                <w:sz w:val="20"/>
                <w:szCs w:val="20"/>
                <w:vertAlign w:val="superscript"/>
              </w:rPr>
              <w:t>2</w:t>
            </w:r>
            <w:r w:rsidRPr="00086D36">
              <w:rPr>
                <w:rFonts w:ascii="Arial Narrow" w:hAnsi="Arial Narrow" w:cstheme="minorHAnsi"/>
                <w:sz w:val="20"/>
                <w:szCs w:val="20"/>
              </w:rPr>
              <w:t xml:space="preserve"> over 6 years (in </w:t>
            </w:r>
            <w:r>
              <w:rPr>
                <w:rFonts w:ascii="Arial Narrow" w:hAnsi="Arial Narrow" w:cstheme="minorHAnsi"/>
                <w:sz w:val="20"/>
                <w:szCs w:val="20"/>
              </w:rPr>
              <w:t xml:space="preserve">the July 2022 </w:t>
            </w:r>
            <w:r w:rsidRPr="00086D36">
              <w:rPr>
                <w:rFonts w:ascii="Arial Narrow" w:hAnsi="Arial Narrow" w:cstheme="minorHAnsi"/>
                <w:sz w:val="20"/>
                <w:szCs w:val="20"/>
              </w:rPr>
              <w:t>pre-PBAC response) to $</w:t>
            </w:r>
            <w:r w:rsidR="005D733C" w:rsidRPr="00360C9D">
              <w:rPr>
                <w:rFonts w:ascii="Arial Narrow" w:hAnsi="Arial Narrow" w:cstheme="minorHAnsi"/>
                <w:color w:val="000000"/>
                <w:spacing w:val="19"/>
                <w:sz w:val="20"/>
                <w:szCs w:val="20"/>
                <w:shd w:val="solid" w:color="000000" w:fill="000000"/>
                <w:fitText w:val="480" w:id="-1404863993"/>
                <w14:textFill>
                  <w14:solidFill>
                    <w14:srgbClr w14:val="000000">
                      <w14:alpha w14:val="100000"/>
                    </w14:srgbClr>
                  </w14:solidFill>
                </w14:textFill>
              </w:rPr>
              <w:t>|||  ||</w:t>
            </w:r>
            <w:r w:rsidR="005D733C" w:rsidRPr="00360C9D">
              <w:rPr>
                <w:rFonts w:ascii="Arial Narrow" w:hAnsi="Arial Narrow" w:cstheme="minorHAnsi"/>
                <w:color w:val="000000"/>
                <w:spacing w:val="1"/>
                <w:sz w:val="20"/>
                <w:szCs w:val="20"/>
                <w:shd w:val="solid" w:color="000000" w:fill="000000"/>
                <w:fitText w:val="480" w:id="-1404863993"/>
                <w14:textFill>
                  <w14:solidFill>
                    <w14:srgbClr w14:val="000000">
                      <w14:alpha w14:val="100000"/>
                    </w14:srgbClr>
                  </w14:solidFill>
                </w14:textFill>
              </w:rPr>
              <w:t>|</w:t>
            </w:r>
            <w:r w:rsidR="005D733C" w:rsidRPr="005D733C">
              <w:rPr>
                <w:rFonts w:ascii="Arial Narrow" w:hAnsi="Arial Narrow" w:cstheme="minorHAnsi"/>
                <w:sz w:val="20"/>
                <w:szCs w:val="20"/>
              </w:rPr>
              <w:t xml:space="preserve"> </w:t>
            </w:r>
            <w:r w:rsidR="005D733C" w:rsidRPr="00360C9D">
              <w:rPr>
                <w:rFonts w:ascii="Arial Narrow" w:hAnsi="Arial Narrow" w:cstheme="minorHAnsi"/>
                <w:color w:val="000000"/>
                <w:spacing w:val="19"/>
                <w:sz w:val="20"/>
                <w:szCs w:val="20"/>
                <w:shd w:val="solid" w:color="000000" w:fill="000000"/>
                <w:fitText w:val="480" w:id="-1404863992"/>
                <w14:textFill>
                  <w14:solidFill>
                    <w14:srgbClr w14:val="000000">
                      <w14:alpha w14:val="100000"/>
                    </w14:srgbClr>
                  </w14:solidFill>
                </w14:textFill>
              </w:rPr>
              <w:t>|||  ||</w:t>
            </w:r>
            <w:r w:rsidR="005D733C" w:rsidRPr="00360C9D">
              <w:rPr>
                <w:rFonts w:ascii="Arial Narrow" w:hAnsi="Arial Narrow" w:cstheme="minorHAnsi"/>
                <w:color w:val="000000"/>
                <w:spacing w:val="1"/>
                <w:sz w:val="20"/>
                <w:szCs w:val="20"/>
                <w:shd w:val="solid" w:color="000000" w:fill="000000"/>
                <w:fitText w:val="480" w:id="-1404863992"/>
                <w14:textFill>
                  <w14:solidFill>
                    <w14:srgbClr w14:val="000000">
                      <w14:alpha w14:val="100000"/>
                    </w14:srgbClr>
                  </w14:solidFill>
                </w14:textFill>
              </w:rPr>
              <w:t>|</w:t>
            </w:r>
            <w:r w:rsidR="007C0223">
              <w:rPr>
                <w:rFonts w:ascii="Arial Narrow" w:hAnsi="Arial Narrow" w:cstheme="minorHAnsi"/>
                <w:sz w:val="20"/>
                <w:szCs w:val="20"/>
                <w:vertAlign w:val="superscript"/>
              </w:rPr>
              <w:t>3</w:t>
            </w:r>
            <w:r w:rsidRPr="00086D36">
              <w:rPr>
                <w:rFonts w:ascii="Arial Narrow" w:hAnsi="Arial Narrow" w:cstheme="minorHAnsi"/>
                <w:sz w:val="20"/>
                <w:szCs w:val="20"/>
              </w:rPr>
              <w:t xml:space="preserve"> over 6 years in resubmission</w:t>
            </w:r>
            <w:r>
              <w:rPr>
                <w:rFonts w:ascii="Arial Narrow" w:hAnsi="Arial Narrow" w:cstheme="minorHAnsi"/>
                <w:sz w:val="20"/>
                <w:szCs w:val="20"/>
              </w:rPr>
              <w:t xml:space="preserve">. </w:t>
            </w:r>
            <w:r w:rsidR="00CC4D9A">
              <w:rPr>
                <w:rFonts w:ascii="Arial Narrow" w:hAnsi="Arial Narrow" w:cstheme="minorHAnsi"/>
                <w:sz w:val="20"/>
                <w:szCs w:val="20"/>
              </w:rPr>
              <w:t>This was amended to $</w:t>
            </w:r>
            <w:r w:rsidR="005B3F49" w:rsidRPr="005B3F49">
              <w:rPr>
                <w:rFonts w:ascii="Arial Narrow" w:hAnsi="Arial Narrow" w:cstheme="minorHAnsi"/>
                <w:color w:val="000000"/>
                <w:spacing w:val="9"/>
                <w:sz w:val="20"/>
                <w:szCs w:val="20"/>
                <w:shd w:val="solid" w:color="000000" w:fill="000000"/>
                <w:fitText w:val="310" w:id="-1210902783"/>
                <w14:textFill>
                  <w14:solidFill>
                    <w14:srgbClr w14:val="000000">
                      <w14:alpha w14:val="100000"/>
                    </w14:srgbClr>
                  </w14:solidFill>
                </w14:textFill>
              </w:rPr>
              <w:t>||  |</w:t>
            </w:r>
            <w:r w:rsidR="005B3F49" w:rsidRPr="005B3F49">
              <w:rPr>
                <w:rFonts w:ascii="Arial Narrow" w:hAnsi="Arial Narrow" w:cstheme="minorHAnsi"/>
                <w:color w:val="000000"/>
                <w:spacing w:val="1"/>
                <w:sz w:val="20"/>
                <w:szCs w:val="20"/>
                <w:shd w:val="solid" w:color="000000" w:fill="000000"/>
                <w:fitText w:val="310" w:id="-1210902783"/>
                <w14:textFill>
                  <w14:solidFill>
                    <w14:srgbClr w14:val="000000">
                      <w14:alpha w14:val="100000"/>
                    </w14:srgbClr>
                  </w14:solidFill>
                </w14:textFill>
              </w:rPr>
              <w:t>|</w:t>
            </w:r>
            <w:r w:rsidR="005B3F49" w:rsidRPr="005B3F49">
              <w:rPr>
                <w:rFonts w:ascii="Arial Narrow" w:hAnsi="Arial Narrow" w:cstheme="minorHAnsi"/>
                <w:color w:val="000000"/>
                <w:spacing w:val="9"/>
                <w:sz w:val="20"/>
                <w:szCs w:val="20"/>
                <w:shd w:val="solid" w:color="000000" w:fill="000000"/>
                <w:fitText w:val="310" w:id="-1210902782"/>
                <w14:textFill>
                  <w14:solidFill>
                    <w14:srgbClr w14:val="000000">
                      <w14:alpha w14:val="100000"/>
                    </w14:srgbClr>
                  </w14:solidFill>
                </w14:textFill>
              </w:rPr>
              <w:t>||  |</w:t>
            </w:r>
            <w:r w:rsidR="005B3F49" w:rsidRPr="005B3F49">
              <w:rPr>
                <w:rFonts w:ascii="Arial Narrow" w:hAnsi="Arial Narrow" w:cstheme="minorHAnsi"/>
                <w:color w:val="000000"/>
                <w:spacing w:val="1"/>
                <w:sz w:val="20"/>
                <w:szCs w:val="20"/>
                <w:shd w:val="solid" w:color="000000" w:fill="000000"/>
                <w:fitText w:val="310" w:id="-1210902782"/>
                <w14:textFill>
                  <w14:solidFill>
                    <w14:srgbClr w14:val="000000">
                      <w14:alpha w14:val="100000"/>
                    </w14:srgbClr>
                  </w14:solidFill>
                </w14:textFill>
              </w:rPr>
              <w:t>|</w:t>
            </w:r>
            <w:r w:rsidR="00400F18">
              <w:rPr>
                <w:rFonts w:ascii="Arial Narrow" w:hAnsi="Arial Narrow" w:cstheme="minorHAnsi"/>
                <w:sz w:val="20"/>
                <w:szCs w:val="20"/>
                <w:vertAlign w:val="superscript"/>
              </w:rPr>
              <w:t>3</w:t>
            </w:r>
            <w:r w:rsidR="00CC4D9A">
              <w:rPr>
                <w:rFonts w:ascii="Arial Narrow" w:hAnsi="Arial Narrow" w:cstheme="minorHAnsi"/>
                <w:sz w:val="20"/>
                <w:szCs w:val="20"/>
              </w:rPr>
              <w:t xml:space="preserve"> over 6 years following correction of the modelling error (see paragraph </w:t>
            </w:r>
            <w:r w:rsidR="00CC4D9A">
              <w:rPr>
                <w:rFonts w:ascii="Arial Narrow" w:hAnsi="Arial Narrow" w:cstheme="minorHAnsi"/>
                <w:sz w:val="20"/>
                <w:szCs w:val="20"/>
              </w:rPr>
              <w:fldChar w:fldCharType="begin"/>
            </w:r>
            <w:r w:rsidR="00CC4D9A">
              <w:rPr>
                <w:rFonts w:ascii="Arial Narrow" w:hAnsi="Arial Narrow" w:cstheme="minorHAnsi"/>
                <w:sz w:val="20"/>
                <w:szCs w:val="20"/>
              </w:rPr>
              <w:instrText xml:space="preserve"> REF _Ref138945299 \r \h </w:instrText>
            </w:r>
            <w:r w:rsidR="00CC4D9A">
              <w:rPr>
                <w:rFonts w:ascii="Arial Narrow" w:hAnsi="Arial Narrow" w:cstheme="minorHAnsi"/>
                <w:sz w:val="20"/>
                <w:szCs w:val="20"/>
              </w:rPr>
            </w:r>
            <w:r w:rsidR="00CC4D9A">
              <w:rPr>
                <w:rFonts w:ascii="Arial Narrow" w:hAnsi="Arial Narrow" w:cstheme="minorHAnsi"/>
                <w:sz w:val="20"/>
                <w:szCs w:val="20"/>
              </w:rPr>
              <w:fldChar w:fldCharType="separate"/>
            </w:r>
            <w:r w:rsidR="00CC4D9A">
              <w:rPr>
                <w:rFonts w:ascii="Arial Narrow" w:hAnsi="Arial Narrow" w:cstheme="minorHAnsi"/>
                <w:sz w:val="20"/>
                <w:szCs w:val="20"/>
              </w:rPr>
              <w:t>11.9</w:t>
            </w:r>
            <w:r w:rsidR="00CC4D9A">
              <w:rPr>
                <w:rFonts w:ascii="Arial Narrow" w:hAnsi="Arial Narrow" w:cstheme="minorHAnsi"/>
                <w:sz w:val="20"/>
                <w:szCs w:val="20"/>
              </w:rPr>
              <w:fldChar w:fldCharType="end"/>
            </w:r>
            <w:r w:rsidR="00CC4D9A">
              <w:rPr>
                <w:rFonts w:ascii="Arial Narrow" w:hAnsi="Arial Narrow" w:cstheme="minorHAnsi"/>
                <w:sz w:val="20"/>
                <w:szCs w:val="20"/>
              </w:rPr>
              <w:t xml:space="preserve"> and </w:t>
            </w:r>
            <w:r w:rsidR="00CC4D9A">
              <w:rPr>
                <w:rFonts w:ascii="Arial Narrow" w:hAnsi="Arial Narrow" w:cstheme="minorHAnsi"/>
                <w:sz w:val="20"/>
                <w:szCs w:val="20"/>
              </w:rPr>
              <w:fldChar w:fldCharType="begin"/>
            </w:r>
            <w:r w:rsidR="00CC4D9A">
              <w:rPr>
                <w:rFonts w:ascii="Arial Narrow" w:hAnsi="Arial Narrow" w:cstheme="minorHAnsi"/>
                <w:sz w:val="20"/>
                <w:szCs w:val="20"/>
              </w:rPr>
              <w:instrText xml:space="preserve"> REF _Ref113289182 \h </w:instrText>
            </w:r>
            <w:r w:rsidR="00CC4D9A">
              <w:rPr>
                <w:rFonts w:ascii="Arial Narrow" w:hAnsi="Arial Narrow" w:cstheme="minorHAnsi"/>
                <w:sz w:val="20"/>
                <w:szCs w:val="20"/>
              </w:rPr>
            </w:r>
            <w:r w:rsidR="00CC4D9A">
              <w:rPr>
                <w:rFonts w:ascii="Arial Narrow" w:hAnsi="Arial Narrow" w:cstheme="minorHAnsi"/>
                <w:sz w:val="20"/>
                <w:szCs w:val="20"/>
              </w:rPr>
              <w:fldChar w:fldCharType="separate"/>
            </w:r>
            <w:r w:rsidR="00CC4D9A" w:rsidRPr="00980FFB">
              <w:rPr>
                <w:rFonts w:ascii="Arial Narrow" w:hAnsi="Arial Narrow"/>
                <w:sz w:val="20"/>
                <w:szCs w:val="20"/>
              </w:rPr>
              <w:t>Table 21</w:t>
            </w:r>
            <w:r w:rsidR="00CC4D9A">
              <w:rPr>
                <w:rFonts w:ascii="Arial Narrow" w:hAnsi="Arial Narrow" w:cstheme="minorHAnsi"/>
                <w:sz w:val="20"/>
                <w:szCs w:val="20"/>
              </w:rPr>
              <w:fldChar w:fldCharType="end"/>
            </w:r>
            <w:r w:rsidR="00CC4D9A">
              <w:rPr>
                <w:rFonts w:ascii="Arial Narrow" w:hAnsi="Arial Narrow" w:cstheme="minorHAnsi"/>
                <w:sz w:val="20"/>
                <w:szCs w:val="20"/>
              </w:rPr>
              <w:t>).</w:t>
            </w:r>
          </w:p>
        </w:tc>
      </w:tr>
      <w:tr w:rsidR="0025400C" w14:paraId="0E36079C" w14:textId="77777777" w:rsidTr="00E26E55">
        <w:trPr>
          <w:gridAfter w:val="1"/>
          <w:wAfter w:w="9" w:type="dxa"/>
          <w:cantSplit/>
          <w:trHeight w:val="313"/>
        </w:trPr>
        <w:tc>
          <w:tcPr>
            <w:tcW w:w="4531" w:type="dxa"/>
          </w:tcPr>
          <w:p w14:paraId="7C353D53" w14:textId="77777777" w:rsidR="0025400C" w:rsidRDefault="0025400C" w:rsidP="00E26E55">
            <w:pPr>
              <w:keepNext/>
              <w:keepLines/>
              <w:widowControl w:val="0"/>
              <w:rPr>
                <w:rFonts w:ascii="Arial Narrow" w:hAnsi="Arial Narrow"/>
                <w:sz w:val="20"/>
                <w:szCs w:val="20"/>
              </w:rPr>
            </w:pPr>
            <w:r>
              <w:rPr>
                <w:rFonts w:ascii="Arial Narrow" w:hAnsi="Arial Narrow"/>
                <w:sz w:val="20"/>
                <w:szCs w:val="20"/>
              </w:rPr>
              <w:t xml:space="preserve">The </w:t>
            </w:r>
            <w:r w:rsidRPr="00431E3D">
              <w:rPr>
                <w:rFonts w:ascii="Arial Narrow" w:hAnsi="Arial Narrow"/>
                <w:sz w:val="20"/>
                <w:szCs w:val="20"/>
              </w:rPr>
              <w:t xml:space="preserve">submission estimated that in Year 6 approximately 25% of all AML patients would </w:t>
            </w:r>
            <w:r>
              <w:rPr>
                <w:rFonts w:ascii="Arial Narrow" w:hAnsi="Arial Narrow"/>
                <w:sz w:val="20"/>
                <w:szCs w:val="20"/>
              </w:rPr>
              <w:t>initiate</w:t>
            </w:r>
            <w:r w:rsidRPr="00431E3D">
              <w:rPr>
                <w:rFonts w:ascii="Arial Narrow" w:hAnsi="Arial Narrow"/>
                <w:sz w:val="20"/>
                <w:szCs w:val="20"/>
              </w:rPr>
              <w:t xml:space="preserve"> oral azacitidine (</w:t>
            </w:r>
            <w:r>
              <w:rPr>
                <w:rFonts w:ascii="Arial Narrow" w:hAnsi="Arial Narrow"/>
                <w:sz w:val="20"/>
                <w:szCs w:val="20"/>
              </w:rPr>
              <w:t>P</w:t>
            </w:r>
            <w:r w:rsidRPr="00431E3D">
              <w:rPr>
                <w:rFonts w:ascii="Arial Narrow" w:hAnsi="Arial Narrow"/>
                <w:sz w:val="20"/>
                <w:szCs w:val="20"/>
              </w:rPr>
              <w:t>ara 7.14).</w:t>
            </w:r>
          </w:p>
        </w:tc>
        <w:tc>
          <w:tcPr>
            <w:tcW w:w="4721" w:type="dxa"/>
          </w:tcPr>
          <w:p w14:paraId="217E880C" w14:textId="77777777" w:rsidR="0025400C" w:rsidRDefault="0025400C" w:rsidP="00E26E55">
            <w:pPr>
              <w:keepNext/>
              <w:keepLines/>
              <w:rPr>
                <w:rFonts w:ascii="Arial Narrow" w:hAnsi="Arial Narrow" w:cstheme="minorHAnsi"/>
                <w:sz w:val="20"/>
                <w:szCs w:val="20"/>
              </w:rPr>
            </w:pPr>
            <w:r>
              <w:rPr>
                <w:rFonts w:ascii="Arial Narrow" w:hAnsi="Arial Narrow"/>
                <w:sz w:val="20"/>
                <w:szCs w:val="20"/>
              </w:rPr>
              <w:t>The re</w:t>
            </w:r>
            <w:r w:rsidRPr="00431E3D">
              <w:rPr>
                <w:rFonts w:ascii="Arial Narrow" w:hAnsi="Arial Narrow"/>
                <w:sz w:val="20"/>
                <w:szCs w:val="20"/>
              </w:rPr>
              <w:t xml:space="preserve">submission estimated that in Year 6 approximately </w:t>
            </w:r>
            <w:r>
              <w:rPr>
                <w:rFonts w:ascii="Arial Narrow" w:hAnsi="Arial Narrow"/>
                <w:sz w:val="20"/>
                <w:szCs w:val="20"/>
              </w:rPr>
              <w:t>13</w:t>
            </w:r>
            <w:r w:rsidRPr="00431E3D">
              <w:rPr>
                <w:rFonts w:ascii="Arial Narrow" w:hAnsi="Arial Narrow"/>
                <w:sz w:val="20"/>
                <w:szCs w:val="20"/>
              </w:rPr>
              <w:t xml:space="preserve">% of all AML patients would </w:t>
            </w:r>
            <w:r>
              <w:rPr>
                <w:rFonts w:ascii="Arial Narrow" w:hAnsi="Arial Narrow"/>
                <w:sz w:val="20"/>
                <w:szCs w:val="20"/>
              </w:rPr>
              <w:t>i</w:t>
            </w:r>
            <w:r w:rsidRPr="00431E3D">
              <w:rPr>
                <w:rFonts w:ascii="Arial Narrow" w:hAnsi="Arial Narrow"/>
                <w:sz w:val="20"/>
                <w:szCs w:val="20"/>
              </w:rPr>
              <w:t>nitiat</w:t>
            </w:r>
            <w:r>
              <w:rPr>
                <w:rFonts w:ascii="Arial Narrow" w:hAnsi="Arial Narrow"/>
                <w:sz w:val="20"/>
                <w:szCs w:val="20"/>
              </w:rPr>
              <w:t>e</w:t>
            </w:r>
            <w:r w:rsidRPr="00431E3D">
              <w:rPr>
                <w:rFonts w:ascii="Arial Narrow" w:hAnsi="Arial Narrow"/>
                <w:sz w:val="20"/>
                <w:szCs w:val="20"/>
              </w:rPr>
              <w:t xml:space="preserve"> oral azacitidine</w:t>
            </w:r>
            <w:r>
              <w:rPr>
                <w:rFonts w:ascii="Arial Narrow" w:hAnsi="Arial Narrow"/>
                <w:sz w:val="20"/>
                <w:szCs w:val="20"/>
              </w:rPr>
              <w:t>.</w:t>
            </w:r>
          </w:p>
        </w:tc>
      </w:tr>
      <w:tr w:rsidR="0025400C" w14:paraId="5AC262DD" w14:textId="77777777" w:rsidTr="00E26E55">
        <w:trPr>
          <w:gridAfter w:val="1"/>
          <w:wAfter w:w="9" w:type="dxa"/>
          <w:cantSplit/>
        </w:trPr>
        <w:tc>
          <w:tcPr>
            <w:tcW w:w="4531" w:type="dxa"/>
          </w:tcPr>
          <w:p w14:paraId="49CE9794" w14:textId="77777777" w:rsidR="0025400C" w:rsidRPr="000E0775" w:rsidRDefault="0025400C" w:rsidP="00E26E55">
            <w:pPr>
              <w:widowControl w:val="0"/>
              <w:rPr>
                <w:rFonts w:ascii="Arial Narrow" w:hAnsi="Arial Narrow" w:cstheme="minorHAnsi"/>
                <w:sz w:val="20"/>
                <w:szCs w:val="20"/>
              </w:rPr>
            </w:pPr>
            <w:r>
              <w:rPr>
                <w:rFonts w:ascii="Arial Narrow" w:hAnsi="Arial Narrow" w:cstheme="minorHAnsi"/>
                <w:sz w:val="20"/>
                <w:szCs w:val="20"/>
              </w:rPr>
              <w:t>T</w:t>
            </w:r>
            <w:r w:rsidRPr="00431E3D">
              <w:rPr>
                <w:rFonts w:ascii="Arial Narrow" w:hAnsi="Arial Narrow" w:cstheme="minorHAnsi"/>
                <w:sz w:val="20"/>
                <w:szCs w:val="20"/>
              </w:rPr>
              <w:t>he proportion of patients who achieve</w:t>
            </w:r>
            <w:r>
              <w:rPr>
                <w:rFonts w:ascii="Arial Narrow" w:hAnsi="Arial Narrow" w:cstheme="minorHAnsi"/>
                <w:sz w:val="20"/>
                <w:szCs w:val="20"/>
              </w:rPr>
              <w:t>d</w:t>
            </w:r>
            <w:r w:rsidRPr="00431E3D">
              <w:rPr>
                <w:rFonts w:ascii="Arial Narrow" w:hAnsi="Arial Narrow" w:cstheme="minorHAnsi"/>
                <w:sz w:val="20"/>
                <w:szCs w:val="20"/>
              </w:rPr>
              <w:t xml:space="preserve"> CR/CRi should be reduced </w:t>
            </w:r>
            <w:r>
              <w:rPr>
                <w:rFonts w:ascii="Arial Narrow" w:hAnsi="Arial Narrow" w:cstheme="minorHAnsi"/>
                <w:sz w:val="20"/>
                <w:szCs w:val="20"/>
              </w:rPr>
              <w:t>from 80% to</w:t>
            </w:r>
            <w:r w:rsidRPr="00431E3D">
              <w:rPr>
                <w:rFonts w:ascii="Arial Narrow" w:hAnsi="Arial Narrow" w:cstheme="minorHAnsi"/>
                <w:sz w:val="20"/>
                <w:szCs w:val="20"/>
              </w:rPr>
              <w:t xml:space="preserve"> </w:t>
            </w:r>
            <w:r>
              <w:rPr>
                <w:rFonts w:ascii="Arial Narrow" w:hAnsi="Arial Narrow" w:cstheme="minorHAnsi"/>
                <w:sz w:val="20"/>
                <w:szCs w:val="20"/>
              </w:rPr>
              <w:t xml:space="preserve">be in the range of </w:t>
            </w:r>
            <w:r w:rsidRPr="00431E3D">
              <w:rPr>
                <w:rFonts w:ascii="Arial Narrow" w:hAnsi="Arial Narrow" w:cstheme="minorHAnsi"/>
                <w:sz w:val="20"/>
                <w:szCs w:val="20"/>
              </w:rPr>
              <w:t>54%</w:t>
            </w:r>
            <w:r>
              <w:rPr>
                <w:rFonts w:ascii="Arial Narrow" w:hAnsi="Arial Narrow" w:cstheme="minorHAnsi"/>
                <w:sz w:val="20"/>
                <w:szCs w:val="20"/>
              </w:rPr>
              <w:t xml:space="preserve"> to 70%,</w:t>
            </w:r>
            <w:r w:rsidRPr="00431E3D">
              <w:rPr>
                <w:rFonts w:ascii="Arial Narrow" w:hAnsi="Arial Narrow" w:cstheme="minorHAnsi"/>
                <w:sz w:val="20"/>
                <w:szCs w:val="20"/>
              </w:rPr>
              <w:t xml:space="preserve"> </w:t>
            </w:r>
            <w:r w:rsidRPr="0036660C">
              <w:rPr>
                <w:rFonts w:ascii="Arial Narrow" w:hAnsi="Arial Narrow" w:cstheme="minorHAnsi"/>
                <w:sz w:val="20"/>
                <w:szCs w:val="20"/>
              </w:rPr>
              <w:t xml:space="preserve">noting </w:t>
            </w:r>
            <w:r>
              <w:rPr>
                <w:rFonts w:ascii="Arial Narrow" w:hAnsi="Arial Narrow" w:cstheme="minorHAnsi"/>
                <w:sz w:val="20"/>
                <w:szCs w:val="20"/>
              </w:rPr>
              <w:t xml:space="preserve">that </w:t>
            </w:r>
            <w:r w:rsidRPr="0036660C">
              <w:rPr>
                <w:rFonts w:ascii="Arial Narrow" w:hAnsi="Arial Narrow" w:cstheme="minorHAnsi"/>
                <w:sz w:val="20"/>
                <w:szCs w:val="20"/>
              </w:rPr>
              <w:t>this proportion would be further reduced in patients with intermediate- or poor-risk cytogenetics</w:t>
            </w:r>
            <w:r w:rsidRPr="00431E3D">
              <w:rPr>
                <w:rFonts w:ascii="Arial Narrow" w:hAnsi="Arial Narrow" w:cstheme="minorHAnsi"/>
                <w:sz w:val="20"/>
                <w:szCs w:val="20"/>
              </w:rPr>
              <w:t xml:space="preserve"> (</w:t>
            </w:r>
            <w:r>
              <w:rPr>
                <w:rFonts w:ascii="Arial Narrow" w:hAnsi="Arial Narrow" w:cstheme="minorHAnsi"/>
                <w:sz w:val="20"/>
                <w:szCs w:val="20"/>
              </w:rPr>
              <w:t>P</w:t>
            </w:r>
            <w:r w:rsidRPr="00431E3D">
              <w:rPr>
                <w:rFonts w:ascii="Arial Narrow" w:hAnsi="Arial Narrow" w:cstheme="minorHAnsi"/>
                <w:sz w:val="20"/>
                <w:szCs w:val="20"/>
              </w:rPr>
              <w:t>ara 7.14)</w:t>
            </w:r>
          </w:p>
        </w:tc>
        <w:tc>
          <w:tcPr>
            <w:tcW w:w="4721" w:type="dxa"/>
          </w:tcPr>
          <w:p w14:paraId="1599F38B" w14:textId="77777777" w:rsidR="0025400C" w:rsidRPr="006C0939" w:rsidRDefault="0025400C" w:rsidP="00E26E55">
            <w:pPr>
              <w:rPr>
                <w:rFonts w:ascii="Arial Narrow" w:hAnsi="Arial Narrow" w:cstheme="minorHAnsi"/>
                <w:sz w:val="20"/>
                <w:szCs w:val="20"/>
              </w:rPr>
            </w:pPr>
            <w:r w:rsidRPr="006C0939">
              <w:rPr>
                <w:rFonts w:ascii="Arial Narrow" w:hAnsi="Arial Narrow" w:cstheme="minorHAnsi"/>
                <w:sz w:val="20"/>
                <w:szCs w:val="20"/>
              </w:rPr>
              <w:t>Change made as requested</w:t>
            </w:r>
            <w:r>
              <w:rPr>
                <w:rFonts w:ascii="Arial Narrow" w:hAnsi="Arial Narrow" w:cstheme="minorHAnsi"/>
                <w:sz w:val="20"/>
                <w:szCs w:val="20"/>
              </w:rPr>
              <w:t>. The proportion of patients who achieved CR/CRi was reduced to 54%.</w:t>
            </w:r>
          </w:p>
          <w:p w14:paraId="4E20C8C1" w14:textId="77777777" w:rsidR="0025400C" w:rsidRPr="000E0775" w:rsidRDefault="0025400C" w:rsidP="00E26E55">
            <w:pPr>
              <w:pStyle w:val="ListParagraph"/>
              <w:numPr>
                <w:ilvl w:val="0"/>
                <w:numId w:val="0"/>
              </w:numPr>
              <w:spacing w:after="0"/>
              <w:ind w:left="202"/>
              <w:contextualSpacing/>
              <w:rPr>
                <w:rFonts w:ascii="Arial Narrow" w:hAnsi="Arial Narrow" w:cstheme="minorHAnsi"/>
                <w:sz w:val="20"/>
                <w:szCs w:val="20"/>
              </w:rPr>
            </w:pPr>
          </w:p>
        </w:tc>
      </w:tr>
      <w:tr w:rsidR="0025400C" w14:paraId="29DDA36F" w14:textId="77777777" w:rsidTr="00E26E55">
        <w:trPr>
          <w:gridAfter w:val="1"/>
          <w:wAfter w:w="9" w:type="dxa"/>
          <w:cantSplit/>
          <w:trHeight w:val="477"/>
        </w:trPr>
        <w:tc>
          <w:tcPr>
            <w:tcW w:w="4531" w:type="dxa"/>
          </w:tcPr>
          <w:p w14:paraId="6E578E73" w14:textId="77777777" w:rsidR="0025400C" w:rsidRPr="00431E3D" w:rsidRDefault="0025400C" w:rsidP="00E26E55">
            <w:pPr>
              <w:widowControl w:val="0"/>
              <w:rPr>
                <w:rFonts w:ascii="Arial Narrow" w:hAnsi="Arial Narrow" w:cstheme="minorHAnsi"/>
                <w:sz w:val="20"/>
                <w:szCs w:val="20"/>
              </w:rPr>
            </w:pPr>
            <w:r>
              <w:rPr>
                <w:rFonts w:ascii="Arial Narrow" w:hAnsi="Arial Narrow" w:cstheme="minorHAnsi"/>
                <w:sz w:val="20"/>
                <w:szCs w:val="20"/>
              </w:rPr>
              <w:t>T</w:t>
            </w:r>
            <w:r w:rsidRPr="00431E3D">
              <w:rPr>
                <w:rFonts w:ascii="Arial Narrow" w:hAnsi="Arial Narrow" w:cstheme="minorHAnsi"/>
                <w:sz w:val="20"/>
                <w:szCs w:val="20"/>
              </w:rPr>
              <w:t xml:space="preserve">he proportion of patients who would not be candidates for, or who would choose not to undergo, HSCT should be reduced from 81.5% to </w:t>
            </w:r>
            <w:r>
              <w:rPr>
                <w:rFonts w:ascii="Arial Narrow" w:hAnsi="Arial Narrow" w:cstheme="minorHAnsi"/>
                <w:sz w:val="20"/>
                <w:szCs w:val="20"/>
              </w:rPr>
              <w:t xml:space="preserve">close to </w:t>
            </w:r>
            <w:r w:rsidRPr="00431E3D">
              <w:rPr>
                <w:rFonts w:ascii="Arial Narrow" w:hAnsi="Arial Narrow" w:cstheme="minorHAnsi"/>
                <w:sz w:val="20"/>
                <w:szCs w:val="20"/>
              </w:rPr>
              <w:t>70% (</w:t>
            </w:r>
            <w:r>
              <w:rPr>
                <w:rFonts w:ascii="Arial Narrow" w:hAnsi="Arial Narrow" w:cstheme="minorHAnsi"/>
                <w:sz w:val="20"/>
                <w:szCs w:val="20"/>
              </w:rPr>
              <w:t>P</w:t>
            </w:r>
            <w:r w:rsidRPr="00431E3D">
              <w:rPr>
                <w:rFonts w:ascii="Arial Narrow" w:hAnsi="Arial Narrow" w:cstheme="minorHAnsi"/>
                <w:sz w:val="20"/>
                <w:szCs w:val="20"/>
              </w:rPr>
              <w:t>ara 7.15)</w:t>
            </w:r>
            <w:r>
              <w:rPr>
                <w:rFonts w:ascii="Arial Narrow" w:hAnsi="Arial Narrow" w:cstheme="minorHAnsi"/>
                <w:sz w:val="20"/>
                <w:szCs w:val="20"/>
              </w:rPr>
              <w:t>.</w:t>
            </w:r>
          </w:p>
        </w:tc>
        <w:tc>
          <w:tcPr>
            <w:tcW w:w="4721" w:type="dxa"/>
          </w:tcPr>
          <w:p w14:paraId="3000CDA3" w14:textId="77777777" w:rsidR="0025400C" w:rsidRPr="00302F13" w:rsidRDefault="0025400C" w:rsidP="00E26E55">
            <w:pPr>
              <w:rPr>
                <w:rFonts w:ascii="Arial Narrow" w:hAnsi="Arial Narrow" w:cstheme="minorHAnsi"/>
                <w:sz w:val="20"/>
                <w:szCs w:val="20"/>
              </w:rPr>
            </w:pPr>
            <w:r w:rsidRPr="006C0939">
              <w:rPr>
                <w:rFonts w:ascii="Arial Narrow" w:hAnsi="Arial Narrow" w:cstheme="minorHAnsi"/>
                <w:sz w:val="20"/>
                <w:szCs w:val="20"/>
              </w:rPr>
              <w:t>Change made as requested</w:t>
            </w:r>
            <w:r>
              <w:rPr>
                <w:rFonts w:ascii="Arial Narrow" w:hAnsi="Arial Narrow" w:cstheme="minorHAnsi"/>
                <w:sz w:val="20"/>
                <w:szCs w:val="20"/>
              </w:rPr>
              <w:t>. The proportion was reduced to 70%.</w:t>
            </w:r>
            <w:r w:rsidRPr="006C0939">
              <w:rPr>
                <w:rFonts w:ascii="Arial Narrow" w:hAnsi="Arial Narrow" w:cstheme="minorHAnsi"/>
                <w:sz w:val="20"/>
                <w:szCs w:val="20"/>
              </w:rPr>
              <w:t xml:space="preserve"> </w:t>
            </w:r>
          </w:p>
        </w:tc>
      </w:tr>
      <w:tr w:rsidR="0025400C" w14:paraId="7B625D51" w14:textId="77777777" w:rsidTr="00E26E55">
        <w:trPr>
          <w:gridAfter w:val="1"/>
          <w:wAfter w:w="9" w:type="dxa"/>
          <w:cantSplit/>
        </w:trPr>
        <w:tc>
          <w:tcPr>
            <w:tcW w:w="4531" w:type="dxa"/>
          </w:tcPr>
          <w:p w14:paraId="36D39C29" w14:textId="77777777" w:rsidR="0025400C" w:rsidRPr="00431E3D" w:rsidRDefault="0025400C" w:rsidP="00E26E55">
            <w:pPr>
              <w:widowControl w:val="0"/>
              <w:rPr>
                <w:rFonts w:ascii="Arial Narrow" w:hAnsi="Arial Narrow" w:cstheme="minorHAnsi"/>
                <w:sz w:val="20"/>
                <w:szCs w:val="20"/>
              </w:rPr>
            </w:pPr>
            <w:r>
              <w:rPr>
                <w:rFonts w:ascii="Arial Narrow" w:hAnsi="Arial Narrow" w:cstheme="minorHAnsi"/>
                <w:sz w:val="20"/>
                <w:szCs w:val="20"/>
              </w:rPr>
              <w:t>R</w:t>
            </w:r>
            <w:r w:rsidRPr="00431E3D">
              <w:rPr>
                <w:rFonts w:ascii="Arial Narrow" w:hAnsi="Arial Narrow" w:cstheme="minorHAnsi"/>
                <w:sz w:val="20"/>
                <w:szCs w:val="20"/>
              </w:rPr>
              <w:t>estrict use to patients with intermediate- or poor-risk cytogenetics only (i.e., exclude those with favourable-risk cytogenetics) (</w:t>
            </w:r>
            <w:r>
              <w:rPr>
                <w:rFonts w:ascii="Arial Narrow" w:hAnsi="Arial Narrow" w:cstheme="minorHAnsi"/>
                <w:sz w:val="20"/>
                <w:szCs w:val="20"/>
              </w:rPr>
              <w:t>P</w:t>
            </w:r>
            <w:r w:rsidRPr="00431E3D">
              <w:rPr>
                <w:rFonts w:ascii="Arial Narrow" w:hAnsi="Arial Narrow" w:cstheme="minorHAnsi"/>
                <w:sz w:val="20"/>
                <w:szCs w:val="20"/>
              </w:rPr>
              <w:t>ara 7.16</w:t>
            </w:r>
            <w:r>
              <w:rPr>
                <w:rFonts w:ascii="Arial Narrow" w:hAnsi="Arial Narrow" w:cstheme="minorHAnsi"/>
                <w:sz w:val="20"/>
                <w:szCs w:val="20"/>
              </w:rPr>
              <w:t>)</w:t>
            </w:r>
          </w:p>
        </w:tc>
        <w:tc>
          <w:tcPr>
            <w:tcW w:w="4721" w:type="dxa"/>
          </w:tcPr>
          <w:p w14:paraId="6F1AABA1" w14:textId="77777777" w:rsidR="0025400C" w:rsidRPr="00431E3D" w:rsidRDefault="0025400C" w:rsidP="00E26E55">
            <w:pPr>
              <w:rPr>
                <w:rFonts w:ascii="Arial Narrow" w:hAnsi="Arial Narrow" w:cstheme="minorHAnsi"/>
                <w:sz w:val="20"/>
                <w:szCs w:val="20"/>
              </w:rPr>
            </w:pPr>
            <w:r>
              <w:rPr>
                <w:rFonts w:ascii="Arial Narrow" w:hAnsi="Arial Narrow" w:cstheme="minorHAnsi"/>
                <w:sz w:val="20"/>
                <w:szCs w:val="20"/>
              </w:rPr>
              <w:t xml:space="preserve">The resubmission assumed </w:t>
            </w:r>
            <w:r w:rsidRPr="00431E3D">
              <w:rPr>
                <w:rFonts w:ascii="Arial Narrow" w:hAnsi="Arial Narrow" w:cstheme="minorHAnsi"/>
                <w:sz w:val="20"/>
                <w:szCs w:val="20"/>
              </w:rPr>
              <w:t>90.9%</w:t>
            </w:r>
            <w:r>
              <w:rPr>
                <w:rFonts w:ascii="Arial Narrow" w:hAnsi="Arial Narrow" w:cstheme="minorHAnsi"/>
                <w:sz w:val="20"/>
                <w:szCs w:val="20"/>
              </w:rPr>
              <w:t xml:space="preserve"> of patients had </w:t>
            </w:r>
            <w:r w:rsidRPr="00431E3D">
              <w:rPr>
                <w:rFonts w:ascii="Arial Narrow" w:hAnsi="Arial Narrow" w:cstheme="minorHAnsi"/>
                <w:sz w:val="20"/>
                <w:szCs w:val="20"/>
              </w:rPr>
              <w:t>intermediate- or poor-risk cytogenetics</w:t>
            </w:r>
          </w:p>
          <w:p w14:paraId="6D373E6A" w14:textId="4C61928D" w:rsidR="0025400C" w:rsidRPr="000E0775" w:rsidRDefault="0025400C" w:rsidP="0025400C">
            <w:pPr>
              <w:pStyle w:val="ListParagraph"/>
              <w:numPr>
                <w:ilvl w:val="0"/>
                <w:numId w:val="42"/>
              </w:numPr>
              <w:spacing w:after="0"/>
              <w:ind w:left="202" w:hanging="202"/>
              <w:contextualSpacing/>
              <w:rPr>
                <w:rFonts w:ascii="Arial Narrow" w:hAnsi="Arial Narrow" w:cstheme="minorHAnsi"/>
                <w:sz w:val="20"/>
                <w:szCs w:val="20"/>
              </w:rPr>
            </w:pPr>
            <w:r w:rsidRPr="00431E3D">
              <w:rPr>
                <w:rFonts w:ascii="Arial Narrow" w:hAnsi="Arial Narrow" w:cstheme="minorHAnsi"/>
                <w:sz w:val="20"/>
                <w:szCs w:val="20"/>
              </w:rPr>
              <w:t xml:space="preserve">Source: the Australasian Leukaemia &amp; Lymphoma Group (ALLG) National Blood Cancer Registry (NBCR) 2020 Report for patients aged 50-70 years with de novo AML receiving induction chemotherapy, as reported in the gemtuzumab ozogamicin PSD from the November 2021 PBAC Meeting </w:t>
            </w:r>
            <w:r w:rsidRPr="00431E3D">
              <w:rPr>
                <w:rFonts w:ascii="Arial Narrow" w:hAnsi="Arial Narrow" w:cstheme="minorHAnsi"/>
                <w:sz w:val="20"/>
                <w:szCs w:val="20"/>
              </w:rPr>
              <w:fldChar w:fldCharType="begin" w:fldLock="1"/>
            </w:r>
            <w:r w:rsidRPr="00431E3D">
              <w:rPr>
                <w:rFonts w:ascii="Arial Narrow" w:hAnsi="Arial Narrow" w:cstheme="minorHAnsi"/>
                <w:sz w:val="20"/>
                <w:szCs w:val="20"/>
              </w:rPr>
              <w:instrText>ADDIN CSL_CITATION {"citationItems":[{"id":"ITEM-1","itemData":{"URL":"https://www.pbs.gov.au/industry/listing/elements/pbac-meetings/psd/2021-11/files/gemtuzumab-psd-nov-2021.pdf","accessed":{"date-parts":[["2022","8","18"]]},"author":[{"dropping-particle":"","family":"PBAC","given":"","non-dropping-particle":"","parse-names":false,"suffix":""}],"id":"ITEM-1","issued":{"date-parts":[["2021","11"]]},"title":"Gemtuzumab ozogamicin Public Summary Document","type":"webpage"},"uris":["http://www.mendeley.com/documents/?uuid=ec168962-86ed-3912-80e1-623ea735f224"]}],"mendeley":{"formattedCitation":"(PBAC, 2021)","plainTextFormattedCitation":"(PBAC, 2021)","previouslyFormattedCitation":"(PBAC, 2021)"},"properties":{"noteIndex":0},"schema":"https://github.com/citation-style-language/schema/raw/master/csl-citation.json"}</w:instrText>
            </w:r>
            <w:r w:rsidRPr="00431E3D">
              <w:rPr>
                <w:rFonts w:ascii="Arial Narrow" w:hAnsi="Arial Narrow" w:cstheme="minorHAnsi"/>
                <w:sz w:val="20"/>
                <w:szCs w:val="20"/>
              </w:rPr>
              <w:fldChar w:fldCharType="separate"/>
            </w:r>
            <w:r w:rsidRPr="00431E3D">
              <w:rPr>
                <w:rFonts w:ascii="Arial Narrow" w:hAnsi="Arial Narrow" w:cstheme="minorHAnsi"/>
                <w:sz w:val="20"/>
                <w:szCs w:val="20"/>
              </w:rPr>
              <w:t>(PBAC, 2021)</w:t>
            </w:r>
            <w:r w:rsidRPr="00431E3D">
              <w:rPr>
                <w:rFonts w:ascii="Arial Narrow" w:hAnsi="Arial Narrow" w:cstheme="minorHAnsi"/>
                <w:sz w:val="20"/>
                <w:szCs w:val="20"/>
              </w:rPr>
              <w:fldChar w:fldCharType="end"/>
            </w:r>
          </w:p>
        </w:tc>
      </w:tr>
      <w:tr w:rsidR="0025400C" w14:paraId="11652257" w14:textId="77777777" w:rsidTr="00E26E55">
        <w:trPr>
          <w:cantSplit/>
        </w:trPr>
        <w:tc>
          <w:tcPr>
            <w:tcW w:w="9261" w:type="dxa"/>
            <w:gridSpan w:val="3"/>
          </w:tcPr>
          <w:p w14:paraId="07A2F386" w14:textId="77777777" w:rsidR="0025400C" w:rsidRPr="00431E3D" w:rsidRDefault="0025400C" w:rsidP="00E26E55">
            <w:pPr>
              <w:rPr>
                <w:rFonts w:ascii="Arial Narrow" w:hAnsi="Arial Narrow" w:cstheme="minorHAnsi"/>
                <w:b/>
                <w:bCs/>
                <w:sz w:val="20"/>
                <w:szCs w:val="20"/>
              </w:rPr>
            </w:pPr>
            <w:r>
              <w:rPr>
                <w:rFonts w:ascii="Arial Narrow" w:hAnsi="Arial Narrow" w:cstheme="minorHAnsi"/>
                <w:b/>
                <w:bCs/>
                <w:sz w:val="20"/>
                <w:szCs w:val="20"/>
              </w:rPr>
              <w:t>RSA</w:t>
            </w:r>
          </w:p>
        </w:tc>
      </w:tr>
      <w:tr w:rsidR="0025400C" w14:paraId="4B45FB5D" w14:textId="77777777" w:rsidTr="00E26E55">
        <w:trPr>
          <w:gridAfter w:val="1"/>
          <w:wAfter w:w="9" w:type="dxa"/>
          <w:cantSplit/>
        </w:trPr>
        <w:tc>
          <w:tcPr>
            <w:tcW w:w="4531" w:type="dxa"/>
          </w:tcPr>
          <w:p w14:paraId="6FE32218" w14:textId="77777777" w:rsidR="0025400C" w:rsidRPr="00431E3D" w:rsidRDefault="0025400C" w:rsidP="00E26E55">
            <w:pPr>
              <w:widowControl w:val="0"/>
              <w:rPr>
                <w:rFonts w:ascii="Arial Narrow" w:hAnsi="Arial Narrow" w:cstheme="minorHAnsi"/>
                <w:sz w:val="20"/>
                <w:szCs w:val="20"/>
              </w:rPr>
            </w:pPr>
            <w:r w:rsidRPr="00431E3D">
              <w:rPr>
                <w:rFonts w:ascii="Arial Narrow" w:hAnsi="Arial Narrow" w:cstheme="minorHAnsi"/>
                <w:sz w:val="20"/>
                <w:szCs w:val="20"/>
              </w:rPr>
              <w:t>The PBAC considered that, if post-relapse dose escalation were to be permitted under the PBS, then the risk of such use not being cost-effective would need to be managed, for example through an RSA (</w:t>
            </w:r>
            <w:r>
              <w:rPr>
                <w:rFonts w:ascii="Arial Narrow" w:hAnsi="Arial Narrow" w:cstheme="minorHAnsi"/>
                <w:sz w:val="20"/>
                <w:szCs w:val="20"/>
              </w:rPr>
              <w:t>P</w:t>
            </w:r>
            <w:r w:rsidRPr="00431E3D">
              <w:rPr>
                <w:rFonts w:ascii="Arial Narrow" w:hAnsi="Arial Narrow" w:cstheme="minorHAnsi"/>
                <w:sz w:val="20"/>
                <w:szCs w:val="20"/>
              </w:rPr>
              <w:t>ara 7.5).</w:t>
            </w:r>
          </w:p>
        </w:tc>
        <w:tc>
          <w:tcPr>
            <w:tcW w:w="4721" w:type="dxa"/>
          </w:tcPr>
          <w:p w14:paraId="779FDF49" w14:textId="52810433" w:rsidR="0025400C" w:rsidRPr="003403D4" w:rsidRDefault="0025400C" w:rsidP="00E26E55">
            <w:pPr>
              <w:rPr>
                <w:rFonts w:ascii="Arial Narrow" w:hAnsi="Arial Narrow" w:cstheme="minorHAnsi"/>
                <w:sz w:val="20"/>
                <w:szCs w:val="20"/>
              </w:rPr>
            </w:pPr>
            <w:r>
              <w:rPr>
                <w:rFonts w:ascii="Arial Narrow" w:hAnsi="Arial Narrow" w:cstheme="minorHAnsi"/>
                <w:sz w:val="20"/>
                <w:szCs w:val="20"/>
              </w:rPr>
              <w:t xml:space="preserve">An </w:t>
            </w:r>
            <w:r w:rsidRPr="003403D4">
              <w:rPr>
                <w:rFonts w:ascii="Arial Narrow" w:hAnsi="Arial Narrow" w:cstheme="minorHAnsi"/>
                <w:sz w:val="20"/>
                <w:szCs w:val="20"/>
              </w:rPr>
              <w:t xml:space="preserve">RSA </w:t>
            </w:r>
            <w:r>
              <w:rPr>
                <w:rFonts w:ascii="Arial Narrow" w:hAnsi="Arial Narrow" w:cstheme="minorHAnsi"/>
                <w:sz w:val="20"/>
                <w:szCs w:val="20"/>
              </w:rPr>
              <w:t>was proposed to manage the risk of</w:t>
            </w:r>
            <w:r w:rsidRPr="003403D4">
              <w:rPr>
                <w:rFonts w:ascii="Arial Narrow" w:hAnsi="Arial Narrow" w:cstheme="minorHAnsi"/>
                <w:sz w:val="20"/>
                <w:szCs w:val="20"/>
              </w:rPr>
              <w:t xml:space="preserve"> dose escalation exceed</w:t>
            </w:r>
            <w:r>
              <w:rPr>
                <w:rFonts w:ascii="Arial Narrow" w:hAnsi="Arial Narrow" w:cstheme="minorHAnsi"/>
                <w:sz w:val="20"/>
                <w:szCs w:val="20"/>
              </w:rPr>
              <w:t>ing</w:t>
            </w:r>
            <w:r w:rsidRPr="003403D4">
              <w:rPr>
                <w:rFonts w:ascii="Arial Narrow" w:hAnsi="Arial Narrow" w:cstheme="minorHAnsi"/>
                <w:sz w:val="20"/>
                <w:szCs w:val="20"/>
              </w:rPr>
              <w:t xml:space="preserve"> that which was seen in the trial (21.40%</w:t>
            </w:r>
            <w:r>
              <w:rPr>
                <w:rFonts w:ascii="Arial Narrow" w:hAnsi="Arial Narrow" w:cstheme="minorHAnsi"/>
                <w:sz w:val="20"/>
                <w:szCs w:val="20"/>
              </w:rPr>
              <w:t xml:space="preserve"> of patients received a dose escalation</w:t>
            </w:r>
            <w:r w:rsidRPr="003403D4">
              <w:rPr>
                <w:rFonts w:ascii="Arial Narrow" w:hAnsi="Arial Narrow" w:cstheme="minorHAnsi"/>
                <w:sz w:val="20"/>
                <w:szCs w:val="20"/>
              </w:rPr>
              <w:t xml:space="preserve">). </w:t>
            </w:r>
            <w:r>
              <w:rPr>
                <w:rFonts w:ascii="Arial Narrow" w:hAnsi="Arial Narrow" w:cstheme="minorHAnsi"/>
                <w:sz w:val="20"/>
                <w:szCs w:val="20"/>
              </w:rPr>
              <w:t>The resubmission stated “f</w:t>
            </w:r>
            <w:r w:rsidRPr="003403D4">
              <w:rPr>
                <w:rFonts w:ascii="Arial Narrow" w:hAnsi="Arial Narrow" w:cstheme="minorHAnsi"/>
                <w:sz w:val="20"/>
                <w:szCs w:val="20"/>
              </w:rPr>
              <w:t xml:space="preserve">or any utilisation in excess of this, the Sponsor is willing to rebate so that the </w:t>
            </w:r>
            <w:r>
              <w:rPr>
                <w:rFonts w:ascii="Arial Narrow" w:hAnsi="Arial Narrow" w:cstheme="minorHAnsi"/>
                <w:sz w:val="20"/>
                <w:szCs w:val="20"/>
              </w:rPr>
              <w:t>AEMP</w:t>
            </w:r>
            <w:r w:rsidRPr="003403D4">
              <w:rPr>
                <w:rFonts w:ascii="Arial Narrow" w:hAnsi="Arial Narrow" w:cstheme="minorHAnsi"/>
                <w:sz w:val="20"/>
                <w:szCs w:val="20"/>
              </w:rPr>
              <w:t xml:space="preserve"> for 21 tablets would be reduced from $</w:t>
            </w:r>
            <w:r w:rsidR="005D733C" w:rsidRPr="00360C9D">
              <w:rPr>
                <w:rFonts w:ascii="Arial Narrow" w:hAnsi="Arial Narrow" w:cstheme="minorHAnsi"/>
                <w:color w:val="000000"/>
                <w:spacing w:val="19"/>
                <w:sz w:val="20"/>
                <w:szCs w:val="20"/>
                <w:shd w:val="solid" w:color="000000" w:fill="000000"/>
                <w:fitText w:val="480" w:id="-1404863991"/>
                <w14:textFill>
                  <w14:solidFill>
                    <w14:srgbClr w14:val="000000">
                      <w14:alpha w14:val="100000"/>
                    </w14:srgbClr>
                  </w14:solidFill>
                </w14:textFill>
              </w:rPr>
              <w:t>|||  ||</w:t>
            </w:r>
            <w:r w:rsidR="005D733C" w:rsidRPr="00360C9D">
              <w:rPr>
                <w:rFonts w:ascii="Arial Narrow" w:hAnsi="Arial Narrow" w:cstheme="minorHAnsi"/>
                <w:color w:val="000000"/>
                <w:spacing w:val="1"/>
                <w:sz w:val="20"/>
                <w:szCs w:val="20"/>
                <w:shd w:val="solid" w:color="000000" w:fill="000000"/>
                <w:fitText w:val="480" w:id="-1404863991"/>
                <w14:textFill>
                  <w14:solidFill>
                    <w14:srgbClr w14:val="000000">
                      <w14:alpha w14:val="100000"/>
                    </w14:srgbClr>
                  </w14:solidFill>
                </w14:textFill>
              </w:rPr>
              <w:t>|</w:t>
            </w:r>
            <w:r w:rsidRPr="003403D4">
              <w:rPr>
                <w:rFonts w:ascii="Arial Narrow" w:hAnsi="Arial Narrow" w:cstheme="minorHAnsi"/>
                <w:sz w:val="20"/>
                <w:szCs w:val="20"/>
              </w:rPr>
              <w:t xml:space="preserve"> to $</w:t>
            </w:r>
            <w:r w:rsidR="005D733C" w:rsidRPr="00360C9D">
              <w:rPr>
                <w:rFonts w:ascii="Arial Narrow" w:hAnsi="Arial Narrow" w:cstheme="minorHAnsi"/>
                <w:color w:val="000000"/>
                <w:spacing w:val="19"/>
                <w:sz w:val="20"/>
                <w:szCs w:val="20"/>
                <w:shd w:val="solid" w:color="000000" w:fill="000000"/>
                <w:fitText w:val="480" w:id="-1404863990"/>
                <w14:textFill>
                  <w14:solidFill>
                    <w14:srgbClr w14:val="000000">
                      <w14:alpha w14:val="100000"/>
                    </w14:srgbClr>
                  </w14:solidFill>
                </w14:textFill>
              </w:rPr>
              <w:t>|||  ||</w:t>
            </w:r>
            <w:r w:rsidR="005D733C" w:rsidRPr="00360C9D">
              <w:rPr>
                <w:rFonts w:ascii="Arial Narrow" w:hAnsi="Arial Narrow" w:cstheme="minorHAnsi"/>
                <w:color w:val="000000"/>
                <w:spacing w:val="1"/>
                <w:sz w:val="20"/>
                <w:szCs w:val="20"/>
                <w:shd w:val="solid" w:color="000000" w:fill="000000"/>
                <w:fitText w:val="480" w:id="-1404863990"/>
                <w14:textFill>
                  <w14:solidFill>
                    <w14:srgbClr w14:val="000000">
                      <w14:alpha w14:val="100000"/>
                    </w14:srgbClr>
                  </w14:solidFill>
                </w14:textFill>
              </w:rPr>
              <w:t>|</w:t>
            </w:r>
            <w:r w:rsidRPr="003403D4">
              <w:rPr>
                <w:rFonts w:ascii="Arial Narrow" w:hAnsi="Arial Narrow" w:cstheme="minorHAnsi"/>
                <w:sz w:val="20"/>
                <w:szCs w:val="20"/>
              </w:rPr>
              <w:t>, which is the cost-effective price for 14 tablets.</w:t>
            </w:r>
            <w:r>
              <w:rPr>
                <w:rFonts w:ascii="Arial Narrow" w:hAnsi="Arial Narrow" w:cstheme="minorHAnsi"/>
                <w:sz w:val="20"/>
                <w:szCs w:val="20"/>
              </w:rPr>
              <w:t xml:space="preserve">” </w:t>
            </w:r>
            <w:r w:rsidR="00CC4D9A">
              <w:rPr>
                <w:rFonts w:ascii="Arial Narrow" w:hAnsi="Arial Narrow" w:cstheme="minorHAnsi"/>
                <w:sz w:val="20"/>
                <w:szCs w:val="20"/>
              </w:rPr>
              <w:t>This was revised to $</w:t>
            </w:r>
            <w:r w:rsidR="005B3F49" w:rsidRPr="005B3F49">
              <w:rPr>
                <w:rFonts w:ascii="Arial Narrow" w:hAnsi="Arial Narrow" w:cstheme="minorHAnsi"/>
                <w:color w:val="000000"/>
                <w:spacing w:val="9"/>
                <w:sz w:val="20"/>
                <w:szCs w:val="20"/>
                <w:shd w:val="solid" w:color="000000" w:fill="000000"/>
                <w:fitText w:val="310" w:id="-1210902781"/>
                <w14:textFill>
                  <w14:solidFill>
                    <w14:srgbClr w14:val="000000">
                      <w14:alpha w14:val="100000"/>
                    </w14:srgbClr>
                  </w14:solidFill>
                </w14:textFill>
              </w:rPr>
              <w:t>||  |</w:t>
            </w:r>
            <w:r w:rsidR="005B3F49" w:rsidRPr="005B3F49">
              <w:rPr>
                <w:rFonts w:ascii="Arial Narrow" w:hAnsi="Arial Narrow" w:cstheme="minorHAnsi"/>
                <w:color w:val="000000"/>
                <w:spacing w:val="1"/>
                <w:sz w:val="20"/>
                <w:szCs w:val="20"/>
                <w:shd w:val="solid" w:color="000000" w:fill="000000"/>
                <w:fitText w:val="310" w:id="-1210902781"/>
                <w14:textFill>
                  <w14:solidFill>
                    <w14:srgbClr w14:val="000000">
                      <w14:alpha w14:val="100000"/>
                    </w14:srgbClr>
                  </w14:solidFill>
                </w14:textFill>
              </w:rPr>
              <w:t>|</w:t>
            </w:r>
            <w:r w:rsidR="00CC4D9A">
              <w:rPr>
                <w:rFonts w:ascii="Arial Narrow" w:hAnsi="Arial Narrow" w:cstheme="minorHAnsi"/>
                <w:sz w:val="20"/>
                <w:szCs w:val="20"/>
              </w:rPr>
              <w:t xml:space="preserve"> following correction of the modelling error (see paragraph </w:t>
            </w:r>
            <w:r w:rsidR="00CC4D9A">
              <w:rPr>
                <w:rFonts w:ascii="Arial Narrow" w:hAnsi="Arial Narrow" w:cstheme="minorHAnsi"/>
                <w:sz w:val="20"/>
                <w:szCs w:val="20"/>
              </w:rPr>
              <w:fldChar w:fldCharType="begin"/>
            </w:r>
            <w:r w:rsidR="00CC4D9A">
              <w:rPr>
                <w:rFonts w:ascii="Arial Narrow" w:hAnsi="Arial Narrow" w:cstheme="minorHAnsi"/>
                <w:sz w:val="20"/>
                <w:szCs w:val="20"/>
              </w:rPr>
              <w:instrText xml:space="preserve"> REF _Ref138944086 \r \h </w:instrText>
            </w:r>
            <w:r w:rsidR="00CC4D9A">
              <w:rPr>
                <w:rFonts w:ascii="Arial Narrow" w:hAnsi="Arial Narrow" w:cstheme="minorHAnsi"/>
                <w:sz w:val="20"/>
                <w:szCs w:val="20"/>
              </w:rPr>
            </w:r>
            <w:r w:rsidR="00CC4D9A">
              <w:rPr>
                <w:rFonts w:ascii="Arial Narrow" w:hAnsi="Arial Narrow" w:cstheme="minorHAnsi"/>
                <w:sz w:val="20"/>
                <w:szCs w:val="20"/>
              </w:rPr>
              <w:fldChar w:fldCharType="separate"/>
            </w:r>
            <w:r w:rsidR="00CC4D9A">
              <w:rPr>
                <w:rFonts w:ascii="Arial Narrow" w:hAnsi="Arial Narrow" w:cstheme="minorHAnsi"/>
                <w:sz w:val="20"/>
                <w:szCs w:val="20"/>
              </w:rPr>
              <w:t>11.5</w:t>
            </w:r>
            <w:r w:rsidR="00CC4D9A">
              <w:rPr>
                <w:rFonts w:ascii="Arial Narrow" w:hAnsi="Arial Narrow" w:cstheme="minorHAnsi"/>
                <w:sz w:val="20"/>
                <w:szCs w:val="20"/>
              </w:rPr>
              <w:fldChar w:fldCharType="end"/>
            </w:r>
            <w:r w:rsidR="00CC4D9A">
              <w:rPr>
                <w:rFonts w:ascii="Arial Narrow" w:hAnsi="Arial Narrow" w:cstheme="minorHAnsi"/>
                <w:sz w:val="20"/>
                <w:szCs w:val="20"/>
              </w:rPr>
              <w:t>).</w:t>
            </w:r>
          </w:p>
        </w:tc>
      </w:tr>
    </w:tbl>
    <w:p w14:paraId="56C904C3" w14:textId="77777777" w:rsidR="0025400C" w:rsidRPr="00083CF2" w:rsidRDefault="0025400C" w:rsidP="0025400C">
      <w:pPr>
        <w:rPr>
          <w:rFonts w:ascii="Arial Narrow" w:hAnsi="Arial Narrow"/>
          <w:sz w:val="18"/>
          <w:szCs w:val="18"/>
        </w:rPr>
      </w:pPr>
      <w:r>
        <w:rPr>
          <w:rFonts w:ascii="Arial Narrow" w:hAnsi="Arial Narrow"/>
          <w:sz w:val="18"/>
          <w:szCs w:val="18"/>
        </w:rPr>
        <w:t>AEMP = approved ex-manufacturer price; CR = complete remission; CRi = complete remission with incomplete blood count recovery; HSCT = haemopoietic stem cell transplant; ICER = incremental cost effectiveness ratio; OS = overall survival; QALY = quality-adjusted life year; RSA = risk sharing arrangement</w:t>
      </w:r>
    </w:p>
    <w:p w14:paraId="78C88ED8" w14:textId="77777777" w:rsidR="0025400C" w:rsidRDefault="0025400C" w:rsidP="0025400C">
      <w:pPr>
        <w:rPr>
          <w:rFonts w:ascii="Arial Narrow" w:hAnsi="Arial Narrow"/>
          <w:sz w:val="18"/>
          <w:szCs w:val="18"/>
        </w:rPr>
      </w:pPr>
      <w:r w:rsidRPr="0036660C">
        <w:rPr>
          <w:rFonts w:ascii="Arial Narrow" w:hAnsi="Arial Narrow"/>
          <w:sz w:val="18"/>
          <w:szCs w:val="18"/>
          <w:vertAlign w:val="superscript"/>
        </w:rPr>
        <w:t>a</w:t>
      </w:r>
      <w:r w:rsidRPr="0036660C">
        <w:rPr>
          <w:rFonts w:ascii="Arial Narrow" w:hAnsi="Arial Narrow"/>
          <w:sz w:val="18"/>
          <w:szCs w:val="18"/>
        </w:rPr>
        <w:t xml:space="preserve"> </w:t>
      </w:r>
      <w:r>
        <w:rPr>
          <w:rFonts w:ascii="Arial Narrow" w:hAnsi="Arial Narrow"/>
          <w:sz w:val="18"/>
          <w:szCs w:val="18"/>
        </w:rPr>
        <w:t>The pre-PBAC response revised model</w:t>
      </w:r>
      <w:r w:rsidRPr="0036660C">
        <w:rPr>
          <w:rFonts w:ascii="Arial Narrow" w:hAnsi="Arial Narrow"/>
          <w:sz w:val="18"/>
          <w:szCs w:val="18"/>
        </w:rPr>
        <w:t xml:space="preserve"> </w:t>
      </w:r>
      <w:r>
        <w:rPr>
          <w:rFonts w:ascii="Arial Narrow" w:hAnsi="Arial Narrow"/>
          <w:sz w:val="18"/>
          <w:szCs w:val="18"/>
        </w:rPr>
        <w:t>had already incorporated the following changes: use of</w:t>
      </w:r>
      <w:r w:rsidRPr="0036660C">
        <w:rPr>
          <w:rFonts w:ascii="Arial Narrow" w:hAnsi="Arial Narrow"/>
          <w:sz w:val="18"/>
          <w:szCs w:val="18"/>
        </w:rPr>
        <w:t xml:space="preserve"> </w:t>
      </w:r>
      <w:r>
        <w:rPr>
          <w:rFonts w:ascii="Arial Narrow" w:hAnsi="Arial Narrow"/>
          <w:sz w:val="18"/>
          <w:szCs w:val="18"/>
        </w:rPr>
        <w:t>treatment specific utilities (i.e. disutility for oral azacitidine); maximum quantity of 14 tables; and correction of the cost of allogenic HSCT.</w:t>
      </w:r>
    </w:p>
    <w:p w14:paraId="411CE4C9" w14:textId="6689C3E1" w:rsidR="0025400C" w:rsidRDefault="0025400C" w:rsidP="0025400C">
      <w:pPr>
        <w:rPr>
          <w:rFonts w:ascii="Arial Narrow" w:hAnsi="Arial Narrow"/>
          <w:sz w:val="18"/>
          <w:szCs w:val="18"/>
        </w:rPr>
      </w:pPr>
      <w:r>
        <w:rPr>
          <w:rFonts w:ascii="Arial Narrow" w:hAnsi="Arial Narrow"/>
          <w:sz w:val="18"/>
          <w:szCs w:val="18"/>
        </w:rPr>
        <w:t xml:space="preserve">All paragraph references refer to azacitidine </w:t>
      </w:r>
      <w:r w:rsidR="00011576">
        <w:rPr>
          <w:rFonts w:ascii="Arial Narrow" w:hAnsi="Arial Narrow"/>
          <w:sz w:val="18"/>
          <w:szCs w:val="18"/>
        </w:rPr>
        <w:t>PSD</w:t>
      </w:r>
      <w:r>
        <w:rPr>
          <w:rFonts w:ascii="Arial Narrow" w:hAnsi="Arial Narrow"/>
          <w:sz w:val="18"/>
          <w:szCs w:val="18"/>
        </w:rPr>
        <w:t xml:space="preserve">, July 2022 PBAC Meeting. </w:t>
      </w:r>
    </w:p>
    <w:p w14:paraId="4CDD89FF" w14:textId="6A03C789" w:rsidR="007C0223" w:rsidRDefault="007C0223" w:rsidP="0025400C">
      <w:pPr>
        <w:rPr>
          <w:rFonts w:ascii="Arial Narrow" w:hAnsi="Arial Narrow"/>
          <w:sz w:val="18"/>
          <w:szCs w:val="18"/>
        </w:rPr>
      </w:pPr>
    </w:p>
    <w:p w14:paraId="2D237145" w14:textId="77777777" w:rsidR="007C0223" w:rsidRPr="009A6D58" w:rsidRDefault="007C0223" w:rsidP="007C0223">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E0AD30C" w14:textId="10B35764" w:rsidR="007C0223" w:rsidRDefault="007C0223" w:rsidP="0025400C">
      <w:pPr>
        <w:rPr>
          <w:rFonts w:ascii="Arial Narrow" w:hAnsi="Arial Narrow"/>
          <w:i/>
          <w:iCs/>
          <w:sz w:val="18"/>
          <w:szCs w:val="18"/>
        </w:rPr>
      </w:pPr>
      <w:r w:rsidRPr="007C0223">
        <w:rPr>
          <w:rFonts w:ascii="Arial Narrow" w:hAnsi="Arial Narrow"/>
          <w:i/>
          <w:iCs/>
          <w:sz w:val="18"/>
          <w:szCs w:val="18"/>
          <w:vertAlign w:val="superscript"/>
        </w:rPr>
        <w:t>1</w:t>
      </w:r>
      <w:r w:rsidRPr="007C0223">
        <w:rPr>
          <w:rFonts w:ascii="Arial Narrow" w:hAnsi="Arial Narrow"/>
          <w:i/>
          <w:iCs/>
          <w:sz w:val="18"/>
          <w:szCs w:val="18"/>
        </w:rPr>
        <w:t>$55,000 to &lt; $75,000</w:t>
      </w:r>
    </w:p>
    <w:p w14:paraId="4B2C4350" w14:textId="1A51F4D2" w:rsidR="007C0223" w:rsidRDefault="007C0223" w:rsidP="0025400C">
      <w:pPr>
        <w:rPr>
          <w:rFonts w:ascii="Arial Narrow" w:hAnsi="Arial Narrow"/>
          <w:i/>
          <w:iCs/>
          <w:sz w:val="18"/>
          <w:szCs w:val="18"/>
        </w:rPr>
      </w:pPr>
      <w:r>
        <w:rPr>
          <w:rFonts w:ascii="Arial Narrow" w:hAnsi="Arial Narrow"/>
          <w:i/>
          <w:iCs/>
          <w:sz w:val="18"/>
          <w:szCs w:val="18"/>
          <w:vertAlign w:val="superscript"/>
        </w:rPr>
        <w:t>2</w:t>
      </w:r>
      <w:r w:rsidRPr="007C0223">
        <w:rPr>
          <w:rFonts w:ascii="Arial Narrow" w:hAnsi="Arial Narrow"/>
          <w:i/>
          <w:iCs/>
          <w:sz w:val="18"/>
          <w:szCs w:val="18"/>
        </w:rPr>
        <w:t>$70 million to &lt; $80 million</w:t>
      </w:r>
    </w:p>
    <w:p w14:paraId="5529D276" w14:textId="4D5163A1" w:rsidR="007C0223" w:rsidRPr="007C0223" w:rsidRDefault="007C0223" w:rsidP="0025400C">
      <w:pPr>
        <w:rPr>
          <w:rFonts w:ascii="Arial Narrow" w:hAnsi="Arial Narrow"/>
          <w:i/>
          <w:iCs/>
          <w:sz w:val="18"/>
          <w:szCs w:val="18"/>
        </w:rPr>
      </w:pPr>
      <w:r>
        <w:rPr>
          <w:rFonts w:ascii="Arial Narrow" w:hAnsi="Arial Narrow"/>
          <w:i/>
          <w:iCs/>
          <w:sz w:val="18"/>
          <w:szCs w:val="18"/>
          <w:vertAlign w:val="superscript"/>
        </w:rPr>
        <w:t>3</w:t>
      </w:r>
      <w:r w:rsidRPr="007C0223">
        <w:rPr>
          <w:rFonts w:ascii="Arial Narrow" w:hAnsi="Arial Narrow"/>
          <w:i/>
          <w:iCs/>
          <w:sz w:val="18"/>
          <w:szCs w:val="18"/>
        </w:rPr>
        <w:t>$30 million to &lt; $40 million</w:t>
      </w:r>
    </w:p>
    <w:p w14:paraId="6C3AD2F8" w14:textId="77777777" w:rsidR="0025400C" w:rsidRPr="00C9624D" w:rsidRDefault="0025400C" w:rsidP="0025400C">
      <w:pPr>
        <w:pStyle w:val="4-SubsectionHeading"/>
      </w:pPr>
      <w:r w:rsidRPr="00C9624D">
        <w:t xml:space="preserve">Economic analysis </w:t>
      </w:r>
    </w:p>
    <w:p w14:paraId="27BC61DE" w14:textId="77777777" w:rsidR="0025400C" w:rsidRPr="00362D33" w:rsidRDefault="0025400C" w:rsidP="0025400C">
      <w:pPr>
        <w:widowControl w:val="0"/>
        <w:numPr>
          <w:ilvl w:val="1"/>
          <w:numId w:val="1"/>
        </w:numPr>
        <w:spacing w:after="120"/>
        <w:ind w:left="720"/>
        <w:rPr>
          <w:b/>
          <w:bCs/>
        </w:rPr>
      </w:pPr>
      <w:r w:rsidRPr="008F05D8">
        <w:rPr>
          <w:lang w:val="en-US"/>
        </w:rPr>
        <w:t xml:space="preserve">The </w:t>
      </w:r>
      <w:r>
        <w:rPr>
          <w:lang w:eastAsia="en-US"/>
        </w:rPr>
        <w:t xml:space="preserve">resubmission stated that the following inputs were changed in the economic model: </w:t>
      </w:r>
    </w:p>
    <w:p w14:paraId="0103392D" w14:textId="77777777" w:rsidR="0025400C" w:rsidRPr="00362D33" w:rsidRDefault="0025400C" w:rsidP="0025400C">
      <w:pPr>
        <w:pStyle w:val="ListParagraph"/>
        <w:widowControl w:val="0"/>
        <w:numPr>
          <w:ilvl w:val="0"/>
          <w:numId w:val="46"/>
        </w:numPr>
        <w:spacing w:after="0"/>
        <w:ind w:left="1077" w:hanging="357"/>
        <w:rPr>
          <w:lang w:eastAsia="en-US"/>
        </w:rPr>
      </w:pPr>
      <w:r>
        <w:rPr>
          <w:lang w:eastAsia="en-US"/>
        </w:rPr>
        <w:t xml:space="preserve">time on treatment was based on the </w:t>
      </w:r>
      <w:r w:rsidRPr="00362D33">
        <w:rPr>
          <w:lang w:eastAsia="en-US"/>
        </w:rPr>
        <w:t xml:space="preserve">Kaplan–Meier </w:t>
      </w:r>
      <w:r>
        <w:rPr>
          <w:lang w:eastAsia="en-US"/>
        </w:rPr>
        <w:t>curves</w:t>
      </w:r>
      <w:r w:rsidRPr="00362D33">
        <w:rPr>
          <w:lang w:eastAsia="en-US"/>
        </w:rPr>
        <w:t xml:space="preserve"> from the QUAZAR trial</w:t>
      </w:r>
      <w:r>
        <w:rPr>
          <w:lang w:eastAsia="en-US"/>
        </w:rPr>
        <w:t>; and</w:t>
      </w:r>
    </w:p>
    <w:p w14:paraId="73B5174F" w14:textId="77777777" w:rsidR="0025400C" w:rsidRDefault="0025400C" w:rsidP="0025400C">
      <w:pPr>
        <w:pStyle w:val="ListParagraph"/>
        <w:widowControl w:val="0"/>
        <w:numPr>
          <w:ilvl w:val="0"/>
          <w:numId w:val="46"/>
        </w:numPr>
        <w:rPr>
          <w:lang w:eastAsia="en-US"/>
        </w:rPr>
      </w:pPr>
      <w:r>
        <w:rPr>
          <w:lang w:eastAsia="en-US"/>
        </w:rPr>
        <w:t>the OS curves were e</w:t>
      </w:r>
      <w:r w:rsidRPr="00362D33">
        <w:rPr>
          <w:lang w:eastAsia="en-US"/>
        </w:rPr>
        <w:t>xtrapolate</w:t>
      </w:r>
      <w:r>
        <w:rPr>
          <w:lang w:eastAsia="en-US"/>
        </w:rPr>
        <w:t>d</w:t>
      </w:r>
      <w:r w:rsidRPr="00362D33">
        <w:rPr>
          <w:lang w:eastAsia="en-US"/>
        </w:rPr>
        <w:t xml:space="preserve"> from the median follow-up.</w:t>
      </w:r>
    </w:p>
    <w:p w14:paraId="054C391A" w14:textId="41070500" w:rsidR="0025400C" w:rsidRDefault="0025400C" w:rsidP="0025400C">
      <w:pPr>
        <w:widowControl w:val="0"/>
        <w:numPr>
          <w:ilvl w:val="1"/>
          <w:numId w:val="1"/>
        </w:numPr>
        <w:spacing w:after="120"/>
        <w:ind w:left="720"/>
        <w:rPr>
          <w:lang w:eastAsia="en-US"/>
        </w:rPr>
      </w:pPr>
      <w:r>
        <w:rPr>
          <w:lang w:eastAsia="en-US"/>
        </w:rPr>
        <w:t xml:space="preserve">The resubmission stated the above changes, in conjunction with the proposed price reduction </w:t>
      </w:r>
      <w:r w:rsidRPr="00306050">
        <w:rPr>
          <w:lang w:eastAsia="en-US"/>
        </w:rPr>
        <w:t>(</w:t>
      </w:r>
      <w:r>
        <w:rPr>
          <w:lang w:eastAsia="en-US"/>
        </w:rPr>
        <w:t xml:space="preserve">an </w:t>
      </w:r>
      <w:r w:rsidRPr="00306050">
        <w:rPr>
          <w:lang w:eastAsia="en-US"/>
        </w:rPr>
        <w:t xml:space="preserve">effective AEMP </w:t>
      </w:r>
      <w:r>
        <w:rPr>
          <w:lang w:eastAsia="en-US"/>
        </w:rPr>
        <w:t>of</w:t>
      </w:r>
      <w:r w:rsidRPr="00306050">
        <w:rPr>
          <w:lang w:eastAsia="en-US"/>
        </w:rPr>
        <w:t xml:space="preserve"> $</w:t>
      </w:r>
      <w:r w:rsidR="005D733C" w:rsidRPr="000F0268">
        <w:rPr>
          <w:color w:val="000000"/>
          <w:w w:val="15"/>
          <w:shd w:val="solid" w:color="000000" w:fill="000000"/>
          <w:fitText w:val="-20" w:id="-1404863989"/>
          <w:lang w:eastAsia="en-US"/>
          <w14:textFill>
            <w14:solidFill>
              <w14:srgbClr w14:val="000000">
                <w14:alpha w14:val="100000"/>
              </w14:srgbClr>
            </w14:solidFill>
          </w14:textFill>
        </w:rPr>
        <w:t xml:space="preserve">|  </w:t>
      </w:r>
      <w:r w:rsidR="005D733C" w:rsidRPr="000F0268">
        <w:rPr>
          <w:color w:val="000000"/>
          <w:spacing w:val="-69"/>
          <w:w w:val="15"/>
          <w:shd w:val="solid" w:color="000000" w:fill="000000"/>
          <w:fitText w:val="-20" w:id="-1404863989"/>
          <w:lang w:eastAsia="en-US"/>
          <w14:textFill>
            <w14:solidFill>
              <w14:srgbClr w14:val="000000">
                <w14:alpha w14:val="100000"/>
              </w14:srgbClr>
            </w14:solidFill>
          </w14:textFill>
        </w:rPr>
        <w:t>|</w:t>
      </w:r>
      <w:r>
        <w:rPr>
          <w:lang w:eastAsia="en-US"/>
        </w:rPr>
        <w:t xml:space="preserve"> was applied</w:t>
      </w:r>
      <w:r w:rsidRPr="00306050">
        <w:rPr>
          <w:lang w:eastAsia="en-US"/>
        </w:rPr>
        <w:t>)</w:t>
      </w:r>
      <w:r>
        <w:rPr>
          <w:lang w:eastAsia="en-US"/>
        </w:rPr>
        <w:t xml:space="preserve">, resulted in an ICER of </w:t>
      </w:r>
      <w:r w:rsidR="000D4959" w:rsidRPr="000D4959">
        <w:rPr>
          <w:lang w:eastAsia="en-US"/>
        </w:rPr>
        <w:t>$55,000</w:t>
      </w:r>
      <w:r w:rsidR="00FE36FA">
        <w:rPr>
          <w:lang w:eastAsia="en-US"/>
        </w:rPr>
        <w:t> </w:t>
      </w:r>
      <w:r w:rsidR="000D4959" w:rsidRPr="000D4959">
        <w:rPr>
          <w:lang w:eastAsia="en-US"/>
        </w:rPr>
        <w:t>to</w:t>
      </w:r>
      <w:r w:rsidR="00FE36FA">
        <w:rPr>
          <w:lang w:eastAsia="en-US"/>
        </w:rPr>
        <w:t> </w:t>
      </w:r>
      <w:r w:rsidR="000D4959" w:rsidRPr="000D4959">
        <w:rPr>
          <w:lang w:eastAsia="en-US"/>
        </w:rPr>
        <w:t>&lt;</w:t>
      </w:r>
      <w:r w:rsidR="00FE36FA">
        <w:rPr>
          <w:lang w:eastAsia="en-US"/>
        </w:rPr>
        <w:t> </w:t>
      </w:r>
      <w:r w:rsidR="000D4959" w:rsidRPr="000D4959">
        <w:rPr>
          <w:lang w:eastAsia="en-US"/>
        </w:rPr>
        <w:t xml:space="preserve">$75,000 </w:t>
      </w:r>
      <w:r w:rsidRPr="00362D33">
        <w:rPr>
          <w:lang w:eastAsia="en-US"/>
        </w:rPr>
        <w:t xml:space="preserve">per QALY </w:t>
      </w:r>
      <w:r>
        <w:rPr>
          <w:lang w:eastAsia="en-US"/>
        </w:rPr>
        <w:t xml:space="preserve">as shown in </w:t>
      </w:r>
      <w:r>
        <w:rPr>
          <w:lang w:eastAsia="en-US"/>
        </w:rPr>
        <w:fldChar w:fldCharType="begin" w:fldLock="1"/>
      </w:r>
      <w:r>
        <w:rPr>
          <w:lang w:eastAsia="en-US"/>
        </w:rPr>
        <w:instrText xml:space="preserve"> REF _Ref113284519 \h  \* MERGEFORMAT </w:instrText>
      </w:r>
      <w:r>
        <w:rPr>
          <w:lang w:eastAsia="en-US"/>
        </w:rPr>
      </w:r>
      <w:r>
        <w:rPr>
          <w:lang w:eastAsia="en-US"/>
        </w:rPr>
        <w:fldChar w:fldCharType="separate"/>
      </w:r>
      <w:r w:rsidRPr="00362D33">
        <w:rPr>
          <w:lang w:eastAsia="en-US"/>
        </w:rPr>
        <w:t>Table 20</w:t>
      </w:r>
      <w:r>
        <w:rPr>
          <w:lang w:eastAsia="en-US"/>
        </w:rPr>
        <w:fldChar w:fldCharType="end"/>
      </w:r>
      <w:r>
        <w:rPr>
          <w:lang w:eastAsia="en-US"/>
        </w:rPr>
        <w:t xml:space="preserve"> (if</w:t>
      </w:r>
      <w:r w:rsidRPr="00362D33">
        <w:rPr>
          <w:lang w:eastAsia="en-US"/>
        </w:rPr>
        <w:t xml:space="preserve"> the 2021 </w:t>
      </w:r>
      <w:r>
        <w:rPr>
          <w:lang w:eastAsia="en-US"/>
        </w:rPr>
        <w:t xml:space="preserve">PBS </w:t>
      </w:r>
      <w:r w:rsidRPr="00362D33">
        <w:rPr>
          <w:lang w:eastAsia="en-US"/>
        </w:rPr>
        <w:t xml:space="preserve">fees </w:t>
      </w:r>
      <w:r>
        <w:rPr>
          <w:lang w:eastAsia="en-US"/>
        </w:rPr>
        <w:t xml:space="preserve">and mark-ups were </w:t>
      </w:r>
      <w:r w:rsidRPr="00362D33">
        <w:rPr>
          <w:lang w:eastAsia="en-US"/>
        </w:rPr>
        <w:t>applied</w:t>
      </w:r>
      <w:r>
        <w:rPr>
          <w:lang w:eastAsia="en-US"/>
        </w:rPr>
        <w:t>,</w:t>
      </w:r>
      <w:r w:rsidRPr="00362D33">
        <w:rPr>
          <w:lang w:eastAsia="en-US"/>
        </w:rPr>
        <w:t xml:space="preserve"> the ICER </w:t>
      </w:r>
      <w:r>
        <w:rPr>
          <w:lang w:eastAsia="en-US"/>
        </w:rPr>
        <w:t xml:space="preserve">would be </w:t>
      </w:r>
      <w:r w:rsidRPr="00362D33">
        <w:rPr>
          <w:lang w:eastAsia="en-US"/>
        </w:rPr>
        <w:t xml:space="preserve">exactly </w:t>
      </w:r>
      <w:r w:rsidR="000D4959" w:rsidRPr="000D4959">
        <w:rPr>
          <w:lang w:eastAsia="en-US"/>
        </w:rPr>
        <w:t>$55,000</w:t>
      </w:r>
      <w:r w:rsidR="00FE36FA">
        <w:rPr>
          <w:lang w:eastAsia="en-US"/>
        </w:rPr>
        <w:t> </w:t>
      </w:r>
      <w:r w:rsidR="000D4959" w:rsidRPr="000D4959">
        <w:rPr>
          <w:lang w:eastAsia="en-US"/>
        </w:rPr>
        <w:t>to</w:t>
      </w:r>
      <w:r w:rsidR="00FE36FA">
        <w:rPr>
          <w:lang w:eastAsia="en-US"/>
        </w:rPr>
        <w:t> </w:t>
      </w:r>
      <w:r w:rsidR="000D4959" w:rsidRPr="000D4959">
        <w:rPr>
          <w:lang w:eastAsia="en-US"/>
        </w:rPr>
        <w:t>&lt;</w:t>
      </w:r>
      <w:r w:rsidR="00FE36FA">
        <w:rPr>
          <w:lang w:eastAsia="en-US"/>
        </w:rPr>
        <w:t> </w:t>
      </w:r>
      <w:r w:rsidR="000D4959" w:rsidRPr="000D4959">
        <w:rPr>
          <w:lang w:eastAsia="en-US"/>
        </w:rPr>
        <w:t xml:space="preserve">$75,000 </w:t>
      </w:r>
      <w:r>
        <w:rPr>
          <w:lang w:eastAsia="en-US"/>
        </w:rPr>
        <w:t xml:space="preserve">per </w:t>
      </w:r>
      <w:r w:rsidRPr="00362D33">
        <w:rPr>
          <w:lang w:eastAsia="en-US"/>
        </w:rPr>
        <w:t>QALY</w:t>
      </w:r>
      <w:r>
        <w:rPr>
          <w:lang w:eastAsia="en-US"/>
        </w:rPr>
        <w:t>)</w:t>
      </w:r>
      <w:r w:rsidRPr="00362D33">
        <w:rPr>
          <w:lang w:eastAsia="en-US"/>
        </w:rPr>
        <w:t>.</w:t>
      </w:r>
      <w:r>
        <w:rPr>
          <w:lang w:eastAsia="en-US"/>
        </w:rPr>
        <w:t xml:space="preserve"> The PBAC noted these changes were consistent with the July 2022 PBAC </w:t>
      </w:r>
      <w:r w:rsidR="00A27B09">
        <w:rPr>
          <w:lang w:eastAsia="en-US"/>
        </w:rPr>
        <w:t xml:space="preserve">PSD </w:t>
      </w:r>
      <w:r>
        <w:rPr>
          <w:lang w:eastAsia="en-US"/>
        </w:rPr>
        <w:t>(paragraph 7.13).</w:t>
      </w:r>
    </w:p>
    <w:p w14:paraId="3C87A10C" w14:textId="4BCA051A" w:rsidR="00CC4D9A" w:rsidRDefault="00CC4D9A" w:rsidP="00CC4D9A">
      <w:pPr>
        <w:widowControl w:val="0"/>
        <w:numPr>
          <w:ilvl w:val="1"/>
          <w:numId w:val="1"/>
        </w:numPr>
        <w:spacing w:after="120"/>
        <w:ind w:left="720"/>
        <w:rPr>
          <w:lang w:eastAsia="en-US"/>
        </w:rPr>
      </w:pPr>
      <w:bookmarkStart w:id="96" w:name="_Ref138944086"/>
      <w:r>
        <w:rPr>
          <w:lang w:eastAsia="en-US"/>
        </w:rPr>
        <w:t>Following the PBAC meeting, the sponsor advised that there was an error in the time on treatment applied in the model. In the data applied, patients were incorrectly marked as having discontinued treatment instead of being censored. This resulted in a shorter duration of therapy being modelled (</w:t>
      </w:r>
      <w:r w:rsidR="008C0EC9">
        <w:rPr>
          <w:lang w:eastAsia="en-US"/>
        </w:rPr>
        <w:t xml:space="preserve">restricted </w:t>
      </w:r>
      <w:r>
        <w:rPr>
          <w:lang w:eastAsia="en-US"/>
        </w:rPr>
        <w:t xml:space="preserve">mean = 18.1 months) </w:t>
      </w:r>
      <w:r w:rsidR="008C0EC9">
        <w:rPr>
          <w:lang w:eastAsia="en-US"/>
        </w:rPr>
        <w:t xml:space="preserve">from </w:t>
      </w:r>
      <w:r>
        <w:rPr>
          <w:lang w:eastAsia="en-US"/>
        </w:rPr>
        <w:t>the trial</w:t>
      </w:r>
      <w:r w:rsidR="008C0EC9">
        <w:rPr>
          <w:lang w:eastAsia="en-US"/>
        </w:rPr>
        <w:t xml:space="preserve"> compared to the extrapolated time on treatment</w:t>
      </w:r>
      <w:r>
        <w:rPr>
          <w:lang w:eastAsia="en-US"/>
        </w:rPr>
        <w:t xml:space="preserve"> (mean = 26.6 months). As using the corrected time on treatment increased the ICER to </w:t>
      </w:r>
      <w:r w:rsidR="00A16CD7" w:rsidRPr="00A16CD7">
        <w:rPr>
          <w:lang w:eastAsia="en-US"/>
        </w:rPr>
        <w:t>$75,000</w:t>
      </w:r>
      <w:r w:rsidR="00FE36FA">
        <w:rPr>
          <w:lang w:eastAsia="en-US"/>
        </w:rPr>
        <w:t> </w:t>
      </w:r>
      <w:r w:rsidR="00A16CD7" w:rsidRPr="00A16CD7">
        <w:rPr>
          <w:lang w:eastAsia="en-US"/>
        </w:rPr>
        <w:t>to</w:t>
      </w:r>
      <w:r w:rsidR="00FE36FA">
        <w:rPr>
          <w:lang w:eastAsia="en-US"/>
        </w:rPr>
        <w:t> </w:t>
      </w:r>
      <w:r w:rsidR="00A16CD7" w:rsidRPr="00A16CD7">
        <w:rPr>
          <w:lang w:eastAsia="en-US"/>
        </w:rPr>
        <w:t>&lt;</w:t>
      </w:r>
      <w:r w:rsidR="00FE36FA">
        <w:rPr>
          <w:lang w:eastAsia="en-US"/>
        </w:rPr>
        <w:t> </w:t>
      </w:r>
      <w:r w:rsidR="00A16CD7" w:rsidRPr="00A16CD7">
        <w:rPr>
          <w:lang w:eastAsia="en-US"/>
        </w:rPr>
        <w:t>$95,000</w:t>
      </w:r>
      <w:r w:rsidR="00A16CD7">
        <w:rPr>
          <w:lang w:eastAsia="en-US"/>
        </w:rPr>
        <w:t xml:space="preserve"> </w:t>
      </w:r>
      <w:r>
        <w:rPr>
          <w:lang w:eastAsia="en-US"/>
        </w:rPr>
        <w:t>per QALY gained, the sponsor proposed a revised effective AEMP of $</w:t>
      </w:r>
      <w:r w:rsidR="005B3F49" w:rsidRPr="000F0268">
        <w:rPr>
          <w:color w:val="000000"/>
          <w:w w:val="15"/>
          <w:shd w:val="solid" w:color="000000" w:fill="000000"/>
          <w:fitText w:val="-20" w:id="-1210902780"/>
          <w:lang w:eastAsia="en-US"/>
          <w14:textFill>
            <w14:solidFill>
              <w14:srgbClr w14:val="000000">
                <w14:alpha w14:val="100000"/>
              </w14:srgbClr>
            </w14:solidFill>
          </w14:textFill>
        </w:rPr>
        <w:t xml:space="preserve">|  </w:t>
      </w:r>
      <w:r w:rsidR="005B3F49" w:rsidRPr="000F0268">
        <w:rPr>
          <w:color w:val="000000"/>
          <w:spacing w:val="-69"/>
          <w:w w:val="15"/>
          <w:shd w:val="solid" w:color="000000" w:fill="000000"/>
          <w:fitText w:val="-20" w:id="-1210902780"/>
          <w:lang w:eastAsia="en-US"/>
          <w14:textFill>
            <w14:solidFill>
              <w14:srgbClr w14:val="000000">
                <w14:alpha w14:val="100000"/>
              </w14:srgbClr>
            </w14:solidFill>
          </w14:textFill>
        </w:rPr>
        <w:t>|</w:t>
      </w:r>
      <w:r>
        <w:rPr>
          <w:lang w:eastAsia="en-US"/>
        </w:rPr>
        <w:t xml:space="preserve">, which resulted in an ICER of </w:t>
      </w:r>
      <w:r w:rsidR="00A16CD7" w:rsidRPr="00A16CD7">
        <w:rPr>
          <w:lang w:eastAsia="en-US"/>
        </w:rPr>
        <w:t>$55,000</w:t>
      </w:r>
      <w:r w:rsidR="00FE36FA">
        <w:rPr>
          <w:lang w:eastAsia="en-US"/>
        </w:rPr>
        <w:t> </w:t>
      </w:r>
      <w:r w:rsidR="00A16CD7" w:rsidRPr="00A16CD7">
        <w:rPr>
          <w:lang w:eastAsia="en-US"/>
        </w:rPr>
        <w:t>to</w:t>
      </w:r>
      <w:r w:rsidR="00FE36FA">
        <w:rPr>
          <w:lang w:eastAsia="en-US"/>
        </w:rPr>
        <w:t> </w:t>
      </w:r>
      <w:r w:rsidR="00A16CD7" w:rsidRPr="00A16CD7">
        <w:rPr>
          <w:lang w:eastAsia="en-US"/>
        </w:rPr>
        <w:t>&lt;</w:t>
      </w:r>
      <w:r w:rsidR="00FE36FA">
        <w:rPr>
          <w:lang w:eastAsia="en-US"/>
        </w:rPr>
        <w:t> </w:t>
      </w:r>
      <w:r w:rsidR="00A16CD7" w:rsidRPr="00A16CD7">
        <w:rPr>
          <w:lang w:eastAsia="en-US"/>
        </w:rPr>
        <w:t xml:space="preserve">$75,000 </w:t>
      </w:r>
      <w:r>
        <w:rPr>
          <w:lang w:eastAsia="en-US"/>
        </w:rPr>
        <w:t>per QALY gained</w:t>
      </w:r>
      <w:bookmarkEnd w:id="96"/>
      <w:r>
        <w:rPr>
          <w:lang w:eastAsia="en-US"/>
        </w:rPr>
        <w:t>.</w:t>
      </w:r>
    </w:p>
    <w:p w14:paraId="58373BCA" w14:textId="77777777" w:rsidR="0025400C" w:rsidRPr="00362D33" w:rsidRDefault="0025400C" w:rsidP="0025400C">
      <w:pPr>
        <w:pStyle w:val="Caption"/>
        <w:keepNext/>
        <w:spacing w:after="0"/>
        <w:rPr>
          <w:rFonts w:ascii="Arial Narrow" w:hAnsi="Arial Narrow"/>
          <w:color w:val="auto"/>
          <w:sz w:val="20"/>
          <w:szCs w:val="20"/>
        </w:rPr>
      </w:pPr>
      <w:bookmarkStart w:id="97" w:name="_Ref113284519"/>
      <w:r w:rsidRPr="00362D33">
        <w:rPr>
          <w:rFonts w:ascii="Arial Narrow" w:hAnsi="Arial Narrow"/>
          <w:color w:val="auto"/>
          <w:sz w:val="20"/>
          <w:szCs w:val="20"/>
        </w:rPr>
        <w:t xml:space="preserve">Table </w:t>
      </w:r>
      <w:r w:rsidRPr="00362D33">
        <w:rPr>
          <w:rFonts w:ascii="Arial Narrow" w:hAnsi="Arial Narrow"/>
          <w:color w:val="auto"/>
          <w:sz w:val="20"/>
          <w:szCs w:val="20"/>
        </w:rPr>
        <w:fldChar w:fldCharType="begin" w:fldLock="1"/>
      </w:r>
      <w:r w:rsidRPr="00362D33">
        <w:rPr>
          <w:rFonts w:ascii="Arial Narrow" w:hAnsi="Arial Narrow"/>
          <w:color w:val="auto"/>
          <w:sz w:val="20"/>
          <w:szCs w:val="20"/>
        </w:rPr>
        <w:instrText xml:space="preserve"> SEQ Table \* ARABIC </w:instrText>
      </w:r>
      <w:r w:rsidRPr="00362D33">
        <w:rPr>
          <w:rFonts w:ascii="Arial Narrow" w:hAnsi="Arial Narrow"/>
          <w:color w:val="auto"/>
          <w:sz w:val="20"/>
          <w:szCs w:val="20"/>
        </w:rPr>
        <w:fldChar w:fldCharType="separate"/>
      </w:r>
      <w:r>
        <w:rPr>
          <w:rFonts w:ascii="Arial Narrow" w:hAnsi="Arial Narrow"/>
          <w:noProof/>
          <w:color w:val="auto"/>
          <w:sz w:val="20"/>
          <w:szCs w:val="20"/>
        </w:rPr>
        <w:t>20</w:t>
      </w:r>
      <w:r w:rsidRPr="00362D33">
        <w:rPr>
          <w:rFonts w:ascii="Arial Narrow" w:hAnsi="Arial Narrow"/>
          <w:color w:val="auto"/>
          <w:sz w:val="20"/>
          <w:szCs w:val="20"/>
        </w:rPr>
        <w:fldChar w:fldCharType="end"/>
      </w:r>
      <w:bookmarkEnd w:id="97"/>
      <w:r>
        <w:rPr>
          <w:rFonts w:ascii="Arial Narrow" w:hAnsi="Arial Narrow"/>
          <w:color w:val="auto"/>
          <w:sz w:val="20"/>
          <w:szCs w:val="20"/>
        </w:rPr>
        <w:t xml:space="preserve">: </w:t>
      </w:r>
      <w:r w:rsidRPr="00362D33">
        <w:rPr>
          <w:rFonts w:ascii="Arial Narrow" w:hAnsi="Arial Narrow"/>
          <w:color w:val="auto"/>
          <w:sz w:val="20"/>
          <w:szCs w:val="20"/>
        </w:rPr>
        <w:t>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4A0" w:firstRow="1" w:lastRow="0" w:firstColumn="1" w:lastColumn="0" w:noHBand="0" w:noVBand="1"/>
        <w:tblCaption w:val="Table 20: Results of the economic evaluation"/>
      </w:tblPr>
      <w:tblGrid>
        <w:gridCol w:w="1620"/>
        <w:gridCol w:w="1542"/>
        <w:gridCol w:w="1181"/>
        <w:gridCol w:w="1684"/>
        <w:gridCol w:w="2990"/>
      </w:tblGrid>
      <w:tr w:rsidR="0025400C" w:rsidRPr="00426FB6" w14:paraId="471772A4" w14:textId="77777777" w:rsidTr="00E26E55">
        <w:trPr>
          <w:cantSplit/>
          <w:tblHeader/>
        </w:trPr>
        <w:tc>
          <w:tcPr>
            <w:tcW w:w="898" w:type="pct"/>
            <w:shd w:val="clear" w:color="auto" w:fill="FFFFFF"/>
            <w:vAlign w:val="center"/>
          </w:tcPr>
          <w:p w14:paraId="59FD87B4" w14:textId="77777777" w:rsidR="0025400C" w:rsidRPr="00426FB6" w:rsidRDefault="0025400C" w:rsidP="00E26E55">
            <w:pPr>
              <w:keepNext/>
              <w:widowControl w:val="0"/>
              <w:jc w:val="center"/>
              <w:rPr>
                <w:rFonts w:ascii="Arial Narrow" w:eastAsia="MS Gothic" w:hAnsi="Arial Narrow"/>
                <w:b/>
                <w:sz w:val="20"/>
                <w:szCs w:val="20"/>
                <w:lang w:val="en-US"/>
              </w:rPr>
            </w:pPr>
          </w:p>
        </w:tc>
        <w:tc>
          <w:tcPr>
            <w:tcW w:w="855" w:type="pct"/>
            <w:shd w:val="clear" w:color="auto" w:fill="FFFFFF"/>
            <w:vAlign w:val="center"/>
          </w:tcPr>
          <w:p w14:paraId="6E4BDDA1" w14:textId="77777777" w:rsidR="0025400C" w:rsidRPr="00426FB6" w:rsidRDefault="0025400C" w:rsidP="00E26E55">
            <w:pPr>
              <w:keepNext/>
              <w:widowControl w:val="0"/>
              <w:jc w:val="center"/>
              <w:rPr>
                <w:rFonts w:ascii="Arial Narrow" w:eastAsia="MS Gothic" w:hAnsi="Arial Narrow"/>
                <w:b/>
                <w:sz w:val="20"/>
                <w:szCs w:val="20"/>
                <w:lang w:val="en-US"/>
              </w:rPr>
            </w:pPr>
            <w:r w:rsidRPr="00426FB6">
              <w:rPr>
                <w:rFonts w:ascii="Arial Narrow" w:eastAsia="MS Gothic" w:hAnsi="Arial Narrow"/>
                <w:b/>
                <w:sz w:val="20"/>
                <w:szCs w:val="20"/>
                <w:lang w:val="en-US"/>
              </w:rPr>
              <w:t>Oral azacitidine</w:t>
            </w:r>
          </w:p>
        </w:tc>
        <w:tc>
          <w:tcPr>
            <w:tcW w:w="655" w:type="pct"/>
            <w:shd w:val="clear" w:color="auto" w:fill="FFFFFF"/>
            <w:vAlign w:val="center"/>
          </w:tcPr>
          <w:p w14:paraId="6F825023" w14:textId="77777777" w:rsidR="0025400C" w:rsidRPr="00426FB6" w:rsidRDefault="0025400C" w:rsidP="00E26E55">
            <w:pPr>
              <w:keepNext/>
              <w:widowControl w:val="0"/>
              <w:jc w:val="center"/>
              <w:rPr>
                <w:rFonts w:ascii="Arial Narrow" w:eastAsia="MS Gothic" w:hAnsi="Arial Narrow"/>
                <w:b/>
                <w:sz w:val="20"/>
                <w:szCs w:val="20"/>
                <w:lang w:val="en-US"/>
              </w:rPr>
            </w:pPr>
            <w:r w:rsidRPr="00426FB6">
              <w:rPr>
                <w:rFonts w:ascii="Arial Narrow" w:eastAsia="MS Gothic" w:hAnsi="Arial Narrow"/>
                <w:b/>
                <w:sz w:val="20"/>
                <w:szCs w:val="20"/>
                <w:lang w:val="en-US"/>
              </w:rPr>
              <w:t>BSC</w:t>
            </w:r>
          </w:p>
        </w:tc>
        <w:tc>
          <w:tcPr>
            <w:tcW w:w="934" w:type="pct"/>
            <w:shd w:val="clear" w:color="auto" w:fill="FFFFFF"/>
            <w:vAlign w:val="center"/>
          </w:tcPr>
          <w:p w14:paraId="75494938" w14:textId="77777777" w:rsidR="0025400C" w:rsidRPr="00426FB6" w:rsidRDefault="0025400C" w:rsidP="00E26E55">
            <w:pPr>
              <w:keepNext/>
              <w:widowControl w:val="0"/>
              <w:jc w:val="center"/>
              <w:rPr>
                <w:rFonts w:ascii="Arial Narrow" w:eastAsia="MS Gothic" w:hAnsi="Arial Narrow"/>
                <w:b/>
                <w:sz w:val="20"/>
                <w:szCs w:val="20"/>
                <w:lang w:val="en-US"/>
              </w:rPr>
            </w:pPr>
            <w:r w:rsidRPr="00426FB6">
              <w:rPr>
                <w:rFonts w:ascii="Arial Narrow" w:eastAsia="MS Gothic" w:hAnsi="Arial Narrow"/>
                <w:b/>
                <w:sz w:val="20"/>
                <w:szCs w:val="20"/>
                <w:lang w:val="en-US"/>
              </w:rPr>
              <w:t>Increment</w:t>
            </w:r>
          </w:p>
        </w:tc>
        <w:tc>
          <w:tcPr>
            <w:tcW w:w="1658" w:type="pct"/>
            <w:shd w:val="clear" w:color="auto" w:fill="FFFFFF"/>
          </w:tcPr>
          <w:p w14:paraId="178AE8F3" w14:textId="77777777" w:rsidR="0025400C" w:rsidRPr="00426FB6" w:rsidRDefault="0025400C" w:rsidP="00E26E55">
            <w:pPr>
              <w:keepNext/>
              <w:widowControl w:val="0"/>
              <w:jc w:val="center"/>
              <w:rPr>
                <w:rFonts w:ascii="Arial Narrow" w:eastAsia="MS Gothic" w:hAnsi="Arial Narrow"/>
                <w:b/>
                <w:sz w:val="20"/>
                <w:szCs w:val="20"/>
                <w:lang w:val="en-US"/>
              </w:rPr>
            </w:pPr>
            <w:r w:rsidRPr="00426FB6">
              <w:rPr>
                <w:rFonts w:ascii="Arial Narrow" w:eastAsia="MS Gothic" w:hAnsi="Arial Narrow"/>
                <w:b/>
                <w:sz w:val="20"/>
                <w:szCs w:val="20"/>
                <w:lang w:val="en-US"/>
              </w:rPr>
              <w:t>Incremental cost-effectiveness ratio</w:t>
            </w:r>
          </w:p>
        </w:tc>
      </w:tr>
      <w:tr w:rsidR="0025400C" w:rsidRPr="00426FB6" w14:paraId="7AFEE2A8" w14:textId="77777777" w:rsidTr="00E26E55">
        <w:trPr>
          <w:cantSplit/>
        </w:trPr>
        <w:tc>
          <w:tcPr>
            <w:tcW w:w="898" w:type="pct"/>
            <w:shd w:val="clear" w:color="auto" w:fill="FFFFFF"/>
            <w:vAlign w:val="center"/>
          </w:tcPr>
          <w:p w14:paraId="6995D88A" w14:textId="77777777" w:rsidR="0025400C" w:rsidRPr="00426FB6" w:rsidRDefault="0025400C" w:rsidP="00E26E55">
            <w:pPr>
              <w:keepNext/>
              <w:widowControl w:val="0"/>
              <w:rPr>
                <w:rFonts w:ascii="Arial Narrow" w:eastAsia="MS Gothic" w:hAnsi="Arial Narrow"/>
                <w:bCs/>
                <w:sz w:val="20"/>
                <w:szCs w:val="20"/>
              </w:rPr>
            </w:pPr>
            <w:r w:rsidRPr="00426FB6">
              <w:rPr>
                <w:rFonts w:ascii="Arial Narrow" w:eastAsia="MS Gothic" w:hAnsi="Arial Narrow"/>
                <w:bCs/>
                <w:sz w:val="20"/>
                <w:szCs w:val="20"/>
              </w:rPr>
              <w:t>Cost</w:t>
            </w:r>
          </w:p>
        </w:tc>
        <w:tc>
          <w:tcPr>
            <w:tcW w:w="855" w:type="pct"/>
          </w:tcPr>
          <w:p w14:paraId="34A1139B" w14:textId="76B92153" w:rsidR="0025400C" w:rsidRPr="000D4959" w:rsidRDefault="0025400C" w:rsidP="00E26E55">
            <w:pPr>
              <w:keepNext/>
              <w:widowControl w:val="0"/>
              <w:jc w:val="center"/>
              <w:rPr>
                <w:rFonts w:ascii="Arial Narrow" w:eastAsia="MS Gothic" w:hAnsi="Arial Narrow"/>
                <w:bCs/>
                <w:sz w:val="20"/>
                <w:szCs w:val="20"/>
                <w:vertAlign w:val="superscript"/>
              </w:rPr>
            </w:pPr>
            <w:r>
              <w:rPr>
                <w:rFonts w:ascii="Arial Narrow" w:eastAsia="MS Gothic" w:hAnsi="Arial Narrow"/>
                <w:bCs/>
                <w:sz w:val="20"/>
                <w:szCs w:val="20"/>
              </w:rPr>
              <w:t>$</w:t>
            </w:r>
            <w:r w:rsidR="005D733C" w:rsidRPr="005D733C">
              <w:rPr>
                <w:rFonts w:ascii="Arial Narrow" w:eastAsia="MS Gothic" w:hAnsi="Arial Narrow" w:hint="eastAsia"/>
                <w:bCs/>
                <w:color w:val="000000"/>
                <w:w w:val="31"/>
                <w:sz w:val="20"/>
                <w:szCs w:val="20"/>
                <w:shd w:val="solid" w:color="000000" w:fill="000000"/>
                <w:fitText w:val="140" w:id="-1404863988"/>
                <w14:textFill>
                  <w14:solidFill>
                    <w14:srgbClr w14:val="000000">
                      <w14:alpha w14:val="100000"/>
                    </w14:srgbClr>
                  </w14:solidFill>
                </w14:textFill>
              </w:rPr>
              <w:t xml:space="preserve">　</w:t>
            </w:r>
            <w:r w:rsidR="005D733C" w:rsidRPr="005D733C">
              <w:rPr>
                <w:rFonts w:ascii="Arial Narrow" w:eastAsia="MS Gothic" w:hAnsi="Arial Narrow"/>
                <w:bCs/>
                <w:color w:val="000000"/>
                <w:w w:val="31"/>
                <w:sz w:val="20"/>
                <w:szCs w:val="20"/>
                <w:shd w:val="solid" w:color="000000" w:fill="000000"/>
                <w:fitText w:val="140" w:id="-1404863988"/>
                <w14:textFill>
                  <w14:solidFill>
                    <w14:srgbClr w14:val="000000">
                      <w14:alpha w14:val="100000"/>
                    </w14:srgbClr>
                  </w14:solidFill>
                </w14:textFill>
              </w:rPr>
              <w:t>|</w:t>
            </w:r>
            <w:r w:rsidR="005D733C" w:rsidRPr="005D733C">
              <w:rPr>
                <w:rFonts w:ascii="Arial Narrow" w:eastAsia="MS Gothic" w:hAnsi="Arial Narrow" w:hint="eastAsia"/>
                <w:bCs/>
                <w:color w:val="000000"/>
                <w:spacing w:val="4"/>
                <w:w w:val="31"/>
                <w:sz w:val="20"/>
                <w:szCs w:val="20"/>
                <w:shd w:val="solid" w:color="000000" w:fill="000000"/>
                <w:fitText w:val="140" w:id="-1404863988"/>
                <w14:textFill>
                  <w14:solidFill>
                    <w14:srgbClr w14:val="000000">
                      <w14:alpha w14:val="100000"/>
                    </w14:srgbClr>
                  </w14:solidFill>
                </w14:textFill>
              </w:rPr>
              <w:t xml:space="preserve">　</w:t>
            </w:r>
          </w:p>
        </w:tc>
        <w:tc>
          <w:tcPr>
            <w:tcW w:w="655" w:type="pct"/>
          </w:tcPr>
          <w:p w14:paraId="2279E33F" w14:textId="5CBFF1BB" w:rsidR="0025400C" w:rsidRPr="00426FB6" w:rsidRDefault="0025400C" w:rsidP="00E26E55">
            <w:pPr>
              <w:keepNext/>
              <w:widowControl w:val="0"/>
              <w:jc w:val="center"/>
              <w:rPr>
                <w:rFonts w:ascii="Arial Narrow" w:eastAsia="MS Gothic" w:hAnsi="Arial Narrow"/>
                <w:bCs/>
                <w:sz w:val="20"/>
                <w:szCs w:val="20"/>
              </w:rPr>
            </w:pPr>
            <w:r>
              <w:rPr>
                <w:rFonts w:ascii="Arial Narrow" w:eastAsia="MS Gothic" w:hAnsi="Arial Narrow"/>
                <w:bCs/>
                <w:sz w:val="20"/>
                <w:szCs w:val="20"/>
              </w:rPr>
              <w:t>$</w:t>
            </w:r>
            <w:r w:rsidR="005D733C" w:rsidRPr="005D733C">
              <w:rPr>
                <w:rFonts w:ascii="Arial Narrow" w:eastAsia="MS Gothic" w:hAnsi="Arial Narrow"/>
                <w:bCs/>
                <w:color w:val="000000"/>
                <w:spacing w:val="49"/>
                <w:sz w:val="20"/>
                <w:szCs w:val="20"/>
                <w:shd w:val="solid" w:color="000000" w:fill="000000"/>
                <w:fitText w:val="320" w:id="-1404863987"/>
                <w14:textFill>
                  <w14:solidFill>
                    <w14:srgbClr w14:val="000000">
                      <w14:alpha w14:val="100000"/>
                    </w14:srgbClr>
                  </w14:solidFill>
                </w14:textFill>
              </w:rPr>
              <w:t>|||</w:t>
            </w:r>
            <w:r w:rsidR="005D733C" w:rsidRPr="005D733C">
              <w:rPr>
                <w:rFonts w:ascii="Arial Narrow" w:eastAsia="MS Gothic" w:hAnsi="Arial Narrow"/>
                <w:bCs/>
                <w:color w:val="000000"/>
                <w:spacing w:val="3"/>
                <w:sz w:val="20"/>
                <w:szCs w:val="20"/>
                <w:shd w:val="solid" w:color="000000" w:fill="000000"/>
                <w:fitText w:val="320" w:id="-1404863987"/>
                <w14:textFill>
                  <w14:solidFill>
                    <w14:srgbClr w14:val="000000">
                      <w14:alpha w14:val="100000"/>
                    </w14:srgbClr>
                  </w14:solidFill>
                </w14:textFill>
              </w:rPr>
              <w:t>|</w:t>
            </w:r>
          </w:p>
        </w:tc>
        <w:tc>
          <w:tcPr>
            <w:tcW w:w="934" w:type="pct"/>
          </w:tcPr>
          <w:p w14:paraId="390FBBBB" w14:textId="05993D8D" w:rsidR="0025400C" w:rsidRPr="00426FB6" w:rsidRDefault="0025400C" w:rsidP="00E26E55">
            <w:pPr>
              <w:keepNext/>
              <w:widowControl w:val="0"/>
              <w:jc w:val="center"/>
              <w:rPr>
                <w:rFonts w:ascii="Arial Narrow" w:eastAsia="MS Gothic" w:hAnsi="Arial Narrow"/>
                <w:bCs/>
                <w:sz w:val="20"/>
                <w:szCs w:val="20"/>
              </w:rPr>
            </w:pPr>
            <w:r w:rsidRPr="00426FB6">
              <w:rPr>
                <w:rFonts w:ascii="Arial Narrow" w:eastAsia="MS Gothic" w:hAnsi="Arial Narrow"/>
                <w:bCs/>
                <w:sz w:val="20"/>
                <w:szCs w:val="20"/>
              </w:rPr>
              <w:t>$</w:t>
            </w:r>
            <w:r w:rsidR="005D733C" w:rsidRPr="005B3F49">
              <w:rPr>
                <w:rFonts w:ascii="Arial Narrow" w:eastAsia="MS Gothic" w:hAnsi="Arial Narrow" w:hint="eastAsia"/>
                <w:bCs/>
                <w:color w:val="000000"/>
                <w:w w:val="15"/>
                <w:sz w:val="20"/>
                <w:szCs w:val="20"/>
                <w:shd w:val="solid" w:color="000000" w:fill="000000"/>
                <w:fitText w:val="60" w:id="-1404863986"/>
                <w14:textFill>
                  <w14:solidFill>
                    <w14:srgbClr w14:val="000000">
                      <w14:alpha w14:val="100000"/>
                    </w14:srgbClr>
                  </w14:solidFill>
                </w14:textFill>
              </w:rPr>
              <w:t xml:space="preserve">　</w:t>
            </w:r>
            <w:r w:rsidR="005D733C" w:rsidRPr="005B3F49">
              <w:rPr>
                <w:rFonts w:ascii="Arial Narrow" w:eastAsia="MS Gothic" w:hAnsi="Arial Narrow"/>
                <w:bCs/>
                <w:color w:val="000000"/>
                <w:w w:val="15"/>
                <w:sz w:val="20"/>
                <w:szCs w:val="20"/>
                <w:shd w:val="solid" w:color="000000" w:fill="000000"/>
                <w:fitText w:val="60" w:id="-1404863986"/>
                <w14:textFill>
                  <w14:solidFill>
                    <w14:srgbClr w14:val="000000">
                      <w14:alpha w14:val="100000"/>
                    </w14:srgbClr>
                  </w14:solidFill>
                </w14:textFill>
              </w:rPr>
              <w:t>|</w:t>
            </w:r>
            <w:r w:rsidR="005D733C" w:rsidRPr="005B3F49">
              <w:rPr>
                <w:rFonts w:ascii="Arial Narrow" w:eastAsia="MS Gothic" w:hAnsi="Arial Narrow" w:hint="eastAsia"/>
                <w:bCs/>
                <w:color w:val="000000"/>
                <w:spacing w:val="-15"/>
                <w:w w:val="15"/>
                <w:sz w:val="20"/>
                <w:szCs w:val="20"/>
                <w:shd w:val="solid" w:color="000000" w:fill="000000"/>
                <w:fitText w:val="60" w:id="-1404863986"/>
                <w14:textFill>
                  <w14:solidFill>
                    <w14:srgbClr w14:val="000000">
                      <w14:alpha w14:val="100000"/>
                    </w14:srgbClr>
                  </w14:solidFill>
                </w14:textFill>
              </w:rPr>
              <w:t xml:space="preserve">　</w:t>
            </w:r>
          </w:p>
        </w:tc>
        <w:tc>
          <w:tcPr>
            <w:tcW w:w="1658" w:type="pct"/>
            <w:shd w:val="clear" w:color="auto" w:fill="FFFFFF"/>
          </w:tcPr>
          <w:p w14:paraId="2BA1D897" w14:textId="77777777" w:rsidR="0025400C" w:rsidRPr="00426FB6" w:rsidRDefault="0025400C" w:rsidP="00E26E55">
            <w:pPr>
              <w:keepNext/>
              <w:widowControl w:val="0"/>
              <w:jc w:val="center"/>
              <w:rPr>
                <w:rFonts w:ascii="Arial Narrow" w:eastAsia="MS Gothic" w:hAnsi="Arial Narrow"/>
                <w:bCs/>
                <w:sz w:val="20"/>
                <w:szCs w:val="20"/>
              </w:rPr>
            </w:pPr>
            <w:r w:rsidRPr="00426FB6">
              <w:rPr>
                <w:rFonts w:ascii="Arial Narrow" w:eastAsia="MS Gothic" w:hAnsi="Arial Narrow"/>
                <w:bCs/>
                <w:sz w:val="20"/>
                <w:szCs w:val="20"/>
              </w:rPr>
              <w:t>-</w:t>
            </w:r>
          </w:p>
        </w:tc>
      </w:tr>
      <w:tr w:rsidR="0025400C" w:rsidRPr="00426FB6" w14:paraId="3B978E82" w14:textId="77777777" w:rsidTr="00E26E55">
        <w:trPr>
          <w:cantSplit/>
        </w:trPr>
        <w:tc>
          <w:tcPr>
            <w:tcW w:w="898" w:type="pct"/>
            <w:shd w:val="clear" w:color="auto" w:fill="FFFFFF"/>
            <w:vAlign w:val="center"/>
          </w:tcPr>
          <w:p w14:paraId="1F4A4404" w14:textId="77777777" w:rsidR="0025400C" w:rsidRPr="00426FB6" w:rsidRDefault="0025400C" w:rsidP="00E26E55">
            <w:pPr>
              <w:keepNext/>
              <w:widowControl w:val="0"/>
              <w:rPr>
                <w:rFonts w:ascii="Arial Narrow" w:eastAsia="MS Gothic" w:hAnsi="Arial Narrow"/>
                <w:bCs/>
                <w:sz w:val="20"/>
                <w:szCs w:val="20"/>
              </w:rPr>
            </w:pPr>
            <w:r w:rsidRPr="00426FB6">
              <w:rPr>
                <w:rFonts w:ascii="Arial Narrow" w:eastAsia="MS Gothic" w:hAnsi="Arial Narrow"/>
                <w:bCs/>
                <w:sz w:val="20"/>
                <w:szCs w:val="20"/>
              </w:rPr>
              <w:t>Life-years</w:t>
            </w:r>
          </w:p>
        </w:tc>
        <w:tc>
          <w:tcPr>
            <w:tcW w:w="855" w:type="pct"/>
            <w:shd w:val="clear" w:color="auto" w:fill="FFFFFF"/>
          </w:tcPr>
          <w:p w14:paraId="7F200007" w14:textId="77777777" w:rsidR="0025400C" w:rsidRPr="00426FB6" w:rsidRDefault="0025400C" w:rsidP="00E26E55">
            <w:pPr>
              <w:keepNext/>
              <w:widowControl w:val="0"/>
              <w:jc w:val="center"/>
              <w:rPr>
                <w:rFonts w:ascii="Arial Narrow" w:eastAsia="MS Gothic" w:hAnsi="Arial Narrow"/>
                <w:bCs/>
                <w:sz w:val="20"/>
                <w:szCs w:val="20"/>
              </w:rPr>
            </w:pPr>
            <w:r w:rsidRPr="00426FB6">
              <w:rPr>
                <w:rFonts w:ascii="Arial Narrow" w:eastAsia="MS Gothic" w:hAnsi="Arial Narrow"/>
                <w:bCs/>
                <w:sz w:val="20"/>
                <w:szCs w:val="20"/>
              </w:rPr>
              <w:t>3.12</w:t>
            </w:r>
          </w:p>
        </w:tc>
        <w:tc>
          <w:tcPr>
            <w:tcW w:w="655" w:type="pct"/>
            <w:shd w:val="clear" w:color="auto" w:fill="FFFFFF"/>
          </w:tcPr>
          <w:p w14:paraId="09ADFDB0" w14:textId="77777777" w:rsidR="0025400C" w:rsidRPr="00426FB6" w:rsidRDefault="0025400C" w:rsidP="00E26E55">
            <w:pPr>
              <w:keepNext/>
              <w:widowControl w:val="0"/>
              <w:jc w:val="center"/>
              <w:rPr>
                <w:rFonts w:ascii="Arial Narrow" w:eastAsia="MS Gothic" w:hAnsi="Arial Narrow"/>
                <w:bCs/>
                <w:sz w:val="20"/>
                <w:szCs w:val="20"/>
              </w:rPr>
            </w:pPr>
            <w:r w:rsidRPr="00426FB6">
              <w:rPr>
                <w:rFonts w:ascii="Arial Narrow" w:eastAsia="MS Gothic" w:hAnsi="Arial Narrow"/>
                <w:bCs/>
                <w:sz w:val="20"/>
                <w:szCs w:val="20"/>
              </w:rPr>
              <w:t>2.52</w:t>
            </w:r>
          </w:p>
        </w:tc>
        <w:tc>
          <w:tcPr>
            <w:tcW w:w="934" w:type="pct"/>
            <w:shd w:val="clear" w:color="auto" w:fill="FFFFFF"/>
          </w:tcPr>
          <w:p w14:paraId="72EA0733" w14:textId="77777777" w:rsidR="0025400C" w:rsidRPr="00426FB6" w:rsidRDefault="0025400C" w:rsidP="00E26E55">
            <w:pPr>
              <w:keepNext/>
              <w:widowControl w:val="0"/>
              <w:jc w:val="center"/>
              <w:rPr>
                <w:rFonts w:ascii="Arial Narrow" w:eastAsia="MS Gothic" w:hAnsi="Arial Narrow"/>
                <w:bCs/>
                <w:sz w:val="20"/>
                <w:szCs w:val="20"/>
              </w:rPr>
            </w:pPr>
            <w:r w:rsidRPr="00426FB6">
              <w:rPr>
                <w:rFonts w:ascii="Arial Narrow" w:eastAsia="MS Gothic" w:hAnsi="Arial Narrow"/>
                <w:bCs/>
                <w:sz w:val="20"/>
                <w:szCs w:val="20"/>
              </w:rPr>
              <w:t>0.60</w:t>
            </w:r>
          </w:p>
        </w:tc>
        <w:tc>
          <w:tcPr>
            <w:tcW w:w="1658" w:type="pct"/>
            <w:shd w:val="clear" w:color="auto" w:fill="FFFFFF"/>
            <w:vAlign w:val="center"/>
          </w:tcPr>
          <w:p w14:paraId="17232D8F" w14:textId="192A8B18" w:rsidR="0025400C" w:rsidRPr="00426FB6" w:rsidRDefault="0025400C" w:rsidP="00E26E55">
            <w:pPr>
              <w:keepNext/>
              <w:widowControl w:val="0"/>
              <w:jc w:val="center"/>
              <w:rPr>
                <w:rFonts w:ascii="Arial Narrow" w:eastAsia="MS Gothic" w:hAnsi="Arial Narrow"/>
                <w:bCs/>
                <w:sz w:val="20"/>
                <w:szCs w:val="20"/>
              </w:rPr>
            </w:pPr>
            <w:r w:rsidRPr="00426FB6">
              <w:rPr>
                <w:rFonts w:ascii="Arial Narrow" w:eastAsia="MS Gothic" w:hAnsi="Arial Narrow"/>
                <w:bCs/>
                <w:sz w:val="20"/>
                <w:szCs w:val="20"/>
              </w:rPr>
              <w:t>$</w:t>
            </w:r>
            <w:r w:rsidR="005D733C" w:rsidRPr="005B3F49">
              <w:rPr>
                <w:rFonts w:ascii="Arial Narrow" w:eastAsia="MS Gothic" w:hAnsi="Arial Narrow"/>
                <w:bCs/>
                <w:color w:val="000000"/>
                <w:spacing w:val="75"/>
                <w:sz w:val="20"/>
                <w:szCs w:val="20"/>
                <w:shd w:val="solid" w:color="000000" w:fill="000000"/>
                <w:fitText w:val="170" w:id="-1404863985"/>
                <w14:textFill>
                  <w14:solidFill>
                    <w14:srgbClr w14:val="000000">
                      <w14:alpha w14:val="100000"/>
                    </w14:srgbClr>
                  </w14:solidFill>
                </w14:textFill>
              </w:rPr>
              <w:t>|</w:t>
            </w:r>
            <w:r w:rsidR="005D733C" w:rsidRPr="005B3F49">
              <w:rPr>
                <w:rFonts w:ascii="Arial Narrow" w:eastAsia="MS Gothic" w:hAnsi="Arial Narrow"/>
                <w:bCs/>
                <w:color w:val="000000"/>
                <w:sz w:val="20"/>
                <w:szCs w:val="20"/>
                <w:shd w:val="solid" w:color="000000" w:fill="000000"/>
                <w:fitText w:val="170" w:id="-1404863985"/>
                <w14:textFill>
                  <w14:solidFill>
                    <w14:srgbClr w14:val="000000">
                      <w14:alpha w14:val="100000"/>
                    </w14:srgbClr>
                  </w14:solidFill>
                </w14:textFill>
              </w:rPr>
              <w:t>|</w:t>
            </w:r>
            <w:r w:rsidR="000D4959">
              <w:rPr>
                <w:rFonts w:ascii="Arial Narrow" w:eastAsia="MS Gothic" w:hAnsi="Arial Narrow"/>
                <w:bCs/>
                <w:sz w:val="20"/>
                <w:szCs w:val="20"/>
                <w:vertAlign w:val="superscript"/>
              </w:rPr>
              <w:t>1</w:t>
            </w:r>
            <w:r w:rsidRPr="00426FB6">
              <w:rPr>
                <w:rFonts w:ascii="Arial Narrow" w:eastAsia="MS Gothic" w:hAnsi="Arial Narrow"/>
                <w:bCs/>
                <w:sz w:val="20"/>
                <w:szCs w:val="20"/>
              </w:rPr>
              <w:t xml:space="preserve"> per life-year gained</w:t>
            </w:r>
          </w:p>
        </w:tc>
      </w:tr>
      <w:tr w:rsidR="0025400C" w:rsidRPr="00426FB6" w14:paraId="6170B648" w14:textId="77777777" w:rsidTr="00E26E55">
        <w:trPr>
          <w:cantSplit/>
        </w:trPr>
        <w:tc>
          <w:tcPr>
            <w:tcW w:w="898" w:type="pct"/>
            <w:shd w:val="clear" w:color="auto" w:fill="FFFFFF"/>
            <w:vAlign w:val="center"/>
          </w:tcPr>
          <w:p w14:paraId="4042D69C" w14:textId="77777777" w:rsidR="0025400C" w:rsidRPr="00426FB6" w:rsidRDefault="0025400C" w:rsidP="00E26E55">
            <w:pPr>
              <w:keepNext/>
              <w:widowControl w:val="0"/>
              <w:rPr>
                <w:rFonts w:ascii="Arial Narrow" w:eastAsia="MS Gothic" w:hAnsi="Arial Narrow"/>
                <w:bCs/>
                <w:sz w:val="20"/>
                <w:szCs w:val="20"/>
              </w:rPr>
            </w:pPr>
            <w:r w:rsidRPr="00426FB6">
              <w:rPr>
                <w:rFonts w:ascii="Arial Narrow" w:eastAsia="MS Gothic" w:hAnsi="Arial Narrow"/>
                <w:bCs/>
                <w:sz w:val="20"/>
                <w:szCs w:val="20"/>
              </w:rPr>
              <w:t>QALYs</w:t>
            </w:r>
          </w:p>
        </w:tc>
        <w:tc>
          <w:tcPr>
            <w:tcW w:w="855" w:type="pct"/>
            <w:shd w:val="clear" w:color="auto" w:fill="FFFFFF"/>
          </w:tcPr>
          <w:p w14:paraId="5F300027" w14:textId="77777777" w:rsidR="0025400C" w:rsidRPr="00426FB6" w:rsidRDefault="0025400C" w:rsidP="00E26E55">
            <w:pPr>
              <w:keepNext/>
              <w:widowControl w:val="0"/>
              <w:jc w:val="center"/>
              <w:rPr>
                <w:rFonts w:ascii="Arial Narrow" w:eastAsia="MS Gothic" w:hAnsi="Arial Narrow"/>
                <w:bCs/>
                <w:sz w:val="20"/>
                <w:szCs w:val="20"/>
              </w:rPr>
            </w:pPr>
            <w:r w:rsidRPr="00426FB6">
              <w:rPr>
                <w:rFonts w:ascii="Arial Narrow" w:eastAsia="MS Gothic" w:hAnsi="Arial Narrow"/>
                <w:bCs/>
                <w:sz w:val="20"/>
                <w:szCs w:val="20"/>
              </w:rPr>
              <w:t>2.27</w:t>
            </w:r>
          </w:p>
        </w:tc>
        <w:tc>
          <w:tcPr>
            <w:tcW w:w="655" w:type="pct"/>
            <w:shd w:val="clear" w:color="auto" w:fill="FFFFFF"/>
          </w:tcPr>
          <w:p w14:paraId="4F82BE12" w14:textId="77777777" w:rsidR="0025400C" w:rsidRPr="00426FB6" w:rsidRDefault="0025400C" w:rsidP="00E26E55">
            <w:pPr>
              <w:keepNext/>
              <w:widowControl w:val="0"/>
              <w:jc w:val="center"/>
              <w:rPr>
                <w:rFonts w:ascii="Arial Narrow" w:eastAsia="MS Gothic" w:hAnsi="Arial Narrow"/>
                <w:bCs/>
                <w:sz w:val="20"/>
                <w:szCs w:val="20"/>
              </w:rPr>
            </w:pPr>
            <w:r w:rsidRPr="00426FB6">
              <w:rPr>
                <w:rFonts w:ascii="Arial Narrow" w:eastAsia="MS Gothic" w:hAnsi="Arial Narrow"/>
                <w:bCs/>
                <w:sz w:val="20"/>
                <w:szCs w:val="20"/>
              </w:rPr>
              <w:t>1.75</w:t>
            </w:r>
          </w:p>
        </w:tc>
        <w:tc>
          <w:tcPr>
            <w:tcW w:w="934" w:type="pct"/>
            <w:shd w:val="clear" w:color="auto" w:fill="FFFFFF"/>
          </w:tcPr>
          <w:p w14:paraId="65C29393" w14:textId="77777777" w:rsidR="0025400C" w:rsidRPr="00426FB6" w:rsidRDefault="0025400C" w:rsidP="00E26E55">
            <w:pPr>
              <w:keepNext/>
              <w:widowControl w:val="0"/>
              <w:jc w:val="center"/>
              <w:rPr>
                <w:rFonts w:ascii="Arial Narrow" w:eastAsia="MS Gothic" w:hAnsi="Arial Narrow"/>
                <w:bCs/>
                <w:sz w:val="20"/>
                <w:szCs w:val="20"/>
              </w:rPr>
            </w:pPr>
            <w:r w:rsidRPr="00426FB6">
              <w:rPr>
                <w:rFonts w:ascii="Arial Narrow" w:eastAsia="MS Gothic" w:hAnsi="Arial Narrow"/>
                <w:bCs/>
                <w:sz w:val="20"/>
                <w:szCs w:val="20"/>
              </w:rPr>
              <w:t>0.51</w:t>
            </w:r>
          </w:p>
        </w:tc>
        <w:tc>
          <w:tcPr>
            <w:tcW w:w="1658" w:type="pct"/>
            <w:shd w:val="clear" w:color="auto" w:fill="FFFFFF"/>
            <w:vAlign w:val="center"/>
          </w:tcPr>
          <w:p w14:paraId="74A462D7" w14:textId="7E65FC24" w:rsidR="0025400C" w:rsidRPr="00426FB6" w:rsidRDefault="0025400C" w:rsidP="00E26E55">
            <w:pPr>
              <w:keepNext/>
              <w:widowControl w:val="0"/>
              <w:jc w:val="center"/>
              <w:rPr>
                <w:rFonts w:ascii="Arial Narrow" w:eastAsia="MS Gothic" w:hAnsi="Arial Narrow"/>
                <w:bCs/>
                <w:sz w:val="20"/>
                <w:szCs w:val="20"/>
              </w:rPr>
            </w:pPr>
            <w:r w:rsidRPr="00426FB6">
              <w:rPr>
                <w:rFonts w:ascii="Arial Narrow" w:eastAsia="MS Gothic" w:hAnsi="Arial Narrow"/>
                <w:bCs/>
                <w:sz w:val="20"/>
                <w:szCs w:val="20"/>
              </w:rPr>
              <w:t>$</w:t>
            </w:r>
            <w:r w:rsidR="005D733C" w:rsidRPr="005B3F49">
              <w:rPr>
                <w:rFonts w:ascii="Arial Narrow" w:eastAsia="MS Gothic" w:hAnsi="Arial Narrow" w:hint="eastAsia"/>
                <w:bCs/>
                <w:color w:val="000000"/>
                <w:w w:val="20"/>
                <w:sz w:val="20"/>
                <w:szCs w:val="20"/>
                <w:shd w:val="solid" w:color="000000" w:fill="000000"/>
                <w:fitText w:val="90" w:id="-1404863984"/>
                <w14:textFill>
                  <w14:solidFill>
                    <w14:srgbClr w14:val="000000">
                      <w14:alpha w14:val="100000"/>
                    </w14:srgbClr>
                  </w14:solidFill>
                </w14:textFill>
              </w:rPr>
              <w:t xml:space="preserve">　</w:t>
            </w:r>
            <w:r w:rsidR="005D733C" w:rsidRPr="005B3F49">
              <w:rPr>
                <w:rFonts w:ascii="Arial Narrow" w:eastAsia="MS Gothic" w:hAnsi="Arial Narrow"/>
                <w:bCs/>
                <w:color w:val="000000"/>
                <w:w w:val="20"/>
                <w:sz w:val="20"/>
                <w:szCs w:val="20"/>
                <w:shd w:val="solid" w:color="000000" w:fill="000000"/>
                <w:fitText w:val="90" w:id="-1404863984"/>
                <w14:textFill>
                  <w14:solidFill>
                    <w14:srgbClr w14:val="000000">
                      <w14:alpha w14:val="100000"/>
                    </w14:srgbClr>
                  </w14:solidFill>
                </w14:textFill>
              </w:rPr>
              <w:t>|</w:t>
            </w:r>
            <w:r w:rsidR="005D733C" w:rsidRPr="005B3F49">
              <w:rPr>
                <w:rFonts w:ascii="Arial Narrow" w:eastAsia="MS Gothic" w:hAnsi="Arial Narrow" w:hint="eastAsia"/>
                <w:bCs/>
                <w:color w:val="000000"/>
                <w:spacing w:val="2"/>
                <w:w w:val="20"/>
                <w:sz w:val="20"/>
                <w:szCs w:val="20"/>
                <w:shd w:val="solid" w:color="000000" w:fill="000000"/>
                <w:fitText w:val="90" w:id="-1404863984"/>
                <w14:textFill>
                  <w14:solidFill>
                    <w14:srgbClr w14:val="000000">
                      <w14:alpha w14:val="100000"/>
                    </w14:srgbClr>
                  </w14:solidFill>
                </w14:textFill>
              </w:rPr>
              <w:t xml:space="preserve">　</w:t>
            </w:r>
            <w:r w:rsidR="000D4959" w:rsidRPr="000D4959">
              <w:rPr>
                <w:rFonts w:ascii="Arial Narrow" w:eastAsia="MS Gothic" w:hAnsi="Arial Narrow"/>
                <w:bCs/>
                <w:sz w:val="20"/>
                <w:szCs w:val="20"/>
                <w:vertAlign w:val="superscript"/>
              </w:rPr>
              <w:t>1</w:t>
            </w:r>
            <w:r w:rsidRPr="00426FB6">
              <w:rPr>
                <w:rFonts w:ascii="Arial Narrow" w:eastAsia="MS Gothic" w:hAnsi="Arial Narrow"/>
                <w:bCs/>
                <w:sz w:val="20"/>
                <w:szCs w:val="20"/>
              </w:rPr>
              <w:t xml:space="preserve"> per QALY gained</w:t>
            </w:r>
          </w:p>
        </w:tc>
      </w:tr>
    </w:tbl>
    <w:p w14:paraId="3C0DE2D0" w14:textId="77777777" w:rsidR="0025400C" w:rsidRPr="00426FB6" w:rsidRDefault="0025400C" w:rsidP="00234137">
      <w:pPr>
        <w:pStyle w:val="TableFigureFooter"/>
      </w:pPr>
      <w:r w:rsidRPr="00426FB6">
        <w:t xml:space="preserve">Source: </w:t>
      </w:r>
      <w:r>
        <w:t>‘</w:t>
      </w:r>
      <w:r w:rsidRPr="00426FB6">
        <w:t>Section 3 Onureg Workbook Early Resolution Pathway</w:t>
      </w:r>
      <w:r>
        <w:t>.xlsx’ with price and utility inputs updated as outlined in resubmission</w:t>
      </w:r>
    </w:p>
    <w:p w14:paraId="7BC32CA9" w14:textId="1853EDA8" w:rsidR="0025400C" w:rsidRDefault="0025400C" w:rsidP="00234137">
      <w:pPr>
        <w:pStyle w:val="TableFigureFooter"/>
      </w:pPr>
      <w:r w:rsidRPr="00426FB6">
        <w:t>BSC = best supportive care; ICER = incremental cost-effectiveness ratio; OS = overall survival; QALY = quality-adjusted life year.</w:t>
      </w:r>
    </w:p>
    <w:p w14:paraId="66D0FF33" w14:textId="77777777" w:rsidR="00234137" w:rsidRDefault="00234137" w:rsidP="00234137">
      <w:pPr>
        <w:pStyle w:val="TableFigureFooter"/>
      </w:pPr>
    </w:p>
    <w:p w14:paraId="17340456" w14:textId="3F833EC8" w:rsidR="000D4959" w:rsidRDefault="000D4959" w:rsidP="00234137">
      <w:pPr>
        <w:pStyle w:val="TableFigureFooter"/>
        <w:rPr>
          <w:i/>
          <w:iCs/>
        </w:rPr>
      </w:pPr>
      <w:r w:rsidRPr="000D4959">
        <w:rPr>
          <w:i/>
          <w:iCs/>
        </w:rPr>
        <w:t>The redacted values correspond to the following ranges:</w:t>
      </w:r>
    </w:p>
    <w:p w14:paraId="573B1741" w14:textId="58467598" w:rsidR="000D4959" w:rsidRPr="000D4959" w:rsidRDefault="000D4959" w:rsidP="00234137">
      <w:pPr>
        <w:pStyle w:val="TableFigureFooter"/>
      </w:pPr>
      <w:r>
        <w:rPr>
          <w:i/>
          <w:iCs/>
          <w:vertAlign w:val="superscript"/>
        </w:rPr>
        <w:t>1</w:t>
      </w:r>
      <w:r w:rsidRPr="000D4959">
        <w:rPr>
          <w:i/>
          <w:iCs/>
        </w:rPr>
        <w:t>$55,000 to &lt; $75,000</w:t>
      </w:r>
    </w:p>
    <w:p w14:paraId="09954D34" w14:textId="221A20DC" w:rsidR="0025400C" w:rsidRPr="0046258E" w:rsidRDefault="0025400C" w:rsidP="0025400C">
      <w:pPr>
        <w:widowControl w:val="0"/>
        <w:numPr>
          <w:ilvl w:val="1"/>
          <w:numId w:val="1"/>
        </w:numPr>
        <w:spacing w:after="120"/>
        <w:ind w:left="720"/>
        <w:rPr>
          <w:lang w:val="en-US"/>
        </w:rPr>
      </w:pPr>
      <w:r>
        <w:rPr>
          <w:lang w:val="en-US"/>
        </w:rPr>
        <w:t>In July 2022, the PBAC stated that a resubmission should “</w:t>
      </w:r>
      <w:r w:rsidRPr="0046258E">
        <w:rPr>
          <w:lang w:val="en-US"/>
        </w:rPr>
        <w:t>address the issues around dose escalation for patients who experience disease relapse while on oral azacitidine, in particular managing the risk of such use not being cost-effective, for example through a RSA. An alternative way to manage this risk could be through incorporating dose escalation into the base case of the economic mode</w:t>
      </w:r>
      <w:r>
        <w:rPr>
          <w:lang w:val="en-US"/>
        </w:rPr>
        <w:t>l” (p</w:t>
      </w:r>
      <w:r w:rsidRPr="0046258E">
        <w:rPr>
          <w:lang w:val="en-US"/>
        </w:rPr>
        <w:t>aragraph 7.1</w:t>
      </w:r>
      <w:r>
        <w:rPr>
          <w:lang w:val="en-US"/>
        </w:rPr>
        <w:t>7</w:t>
      </w:r>
      <w:r w:rsidRPr="0046258E">
        <w:rPr>
          <w:lang w:val="en-US"/>
        </w:rPr>
        <w:t xml:space="preserve">, azacitidine </w:t>
      </w:r>
      <w:r w:rsidR="00A27B09">
        <w:rPr>
          <w:lang w:val="en-US"/>
        </w:rPr>
        <w:t>PSD</w:t>
      </w:r>
      <w:r w:rsidRPr="0046258E">
        <w:rPr>
          <w:lang w:val="en-US"/>
        </w:rPr>
        <w:t>, July 2022 PBAC Meeting</w:t>
      </w:r>
      <w:r>
        <w:rPr>
          <w:lang w:val="en-US"/>
        </w:rPr>
        <w:t>). The r</w:t>
      </w:r>
      <w:r w:rsidRPr="0046258E">
        <w:rPr>
          <w:lang w:val="en-US"/>
        </w:rPr>
        <w:t>esubmission argued that the economic model already account</w:t>
      </w:r>
      <w:r>
        <w:rPr>
          <w:lang w:val="en-US"/>
        </w:rPr>
        <w:t>ed</w:t>
      </w:r>
      <w:r w:rsidRPr="0046258E">
        <w:rPr>
          <w:lang w:val="en-US"/>
        </w:rPr>
        <w:t xml:space="preserve"> for </w:t>
      </w:r>
      <w:r>
        <w:rPr>
          <w:lang w:val="en-US"/>
        </w:rPr>
        <w:t xml:space="preserve">the </w:t>
      </w:r>
      <w:r w:rsidRPr="0046258E">
        <w:rPr>
          <w:lang w:val="en-US"/>
        </w:rPr>
        <w:t>costs of dose escalation as it applied the relative dose intensity (89.6%) reported in the QUAZAR trial, which incorporate</w:t>
      </w:r>
      <w:r>
        <w:rPr>
          <w:lang w:val="en-US"/>
        </w:rPr>
        <w:t>d</w:t>
      </w:r>
      <w:r w:rsidRPr="0046258E">
        <w:rPr>
          <w:lang w:val="en-US"/>
        </w:rPr>
        <w:t xml:space="preserve"> 25% of patients </w:t>
      </w:r>
      <w:r>
        <w:rPr>
          <w:lang w:val="en-US"/>
        </w:rPr>
        <w:t>whose dose was reduced</w:t>
      </w:r>
      <w:r w:rsidRPr="0046258E">
        <w:rPr>
          <w:lang w:val="en-US"/>
        </w:rPr>
        <w:t xml:space="preserve"> due to </w:t>
      </w:r>
      <w:r>
        <w:rPr>
          <w:lang w:val="en-US"/>
        </w:rPr>
        <w:t>adverse events</w:t>
      </w:r>
      <w:r w:rsidRPr="0046258E">
        <w:rPr>
          <w:lang w:val="en-US"/>
        </w:rPr>
        <w:t xml:space="preserve">, and 21.6% </w:t>
      </w:r>
      <w:r>
        <w:rPr>
          <w:lang w:val="en-US"/>
        </w:rPr>
        <w:t>whose</w:t>
      </w:r>
      <w:r w:rsidRPr="0046258E">
        <w:rPr>
          <w:lang w:val="en-US"/>
        </w:rPr>
        <w:t xml:space="preserve"> dose</w:t>
      </w:r>
      <w:r>
        <w:rPr>
          <w:lang w:val="en-US"/>
        </w:rPr>
        <w:t xml:space="preserve"> was</w:t>
      </w:r>
      <w:r w:rsidRPr="0046258E">
        <w:rPr>
          <w:lang w:val="en-US"/>
        </w:rPr>
        <w:t xml:space="preserve"> </w:t>
      </w:r>
      <w:r>
        <w:rPr>
          <w:lang w:val="en-US"/>
        </w:rPr>
        <w:t>increased, with the majority of dose increases being to treat disease relapse.</w:t>
      </w:r>
      <w:r w:rsidRPr="0046258E">
        <w:t xml:space="preserve"> </w:t>
      </w:r>
      <w:r w:rsidRPr="0046258E">
        <w:rPr>
          <w:lang w:val="en-US"/>
        </w:rPr>
        <w:t xml:space="preserve">As such, the </w:t>
      </w:r>
      <w:r>
        <w:rPr>
          <w:lang w:val="en-US"/>
        </w:rPr>
        <w:t xml:space="preserve">resubmission stated that </w:t>
      </w:r>
      <w:r w:rsidRPr="0046258E">
        <w:rPr>
          <w:lang w:val="en-US"/>
        </w:rPr>
        <w:t xml:space="preserve">further incorporation of dose escalations in the economic model </w:t>
      </w:r>
      <w:r>
        <w:rPr>
          <w:lang w:val="en-US"/>
        </w:rPr>
        <w:t>was</w:t>
      </w:r>
      <w:r w:rsidRPr="0046258E">
        <w:rPr>
          <w:lang w:val="en-US"/>
        </w:rPr>
        <w:t xml:space="preserve"> not required</w:t>
      </w:r>
      <w:r>
        <w:rPr>
          <w:lang w:val="en-US"/>
        </w:rPr>
        <w:t xml:space="preserve"> and</w:t>
      </w:r>
      <w:r w:rsidRPr="0046258E">
        <w:rPr>
          <w:lang w:val="en-US"/>
        </w:rPr>
        <w:t xml:space="preserve"> </w:t>
      </w:r>
      <w:r>
        <w:rPr>
          <w:lang w:val="en-US"/>
        </w:rPr>
        <w:t xml:space="preserve">would </w:t>
      </w:r>
      <w:r w:rsidRPr="0046258E">
        <w:rPr>
          <w:lang w:val="en-US"/>
        </w:rPr>
        <w:t>result in the mo</w:t>
      </w:r>
      <w:r>
        <w:rPr>
          <w:lang w:val="en-US"/>
        </w:rPr>
        <w:t>d</w:t>
      </w:r>
      <w:r w:rsidRPr="0046258E">
        <w:rPr>
          <w:lang w:val="en-US"/>
        </w:rPr>
        <w:t>el ‘double counting’ dose escalations.</w:t>
      </w:r>
      <w:r>
        <w:rPr>
          <w:lang w:val="en-US"/>
        </w:rPr>
        <w:t xml:space="preserve"> </w:t>
      </w:r>
    </w:p>
    <w:p w14:paraId="3FBF7678" w14:textId="77777777" w:rsidR="0025400C" w:rsidRPr="00C9624D" w:rsidRDefault="0025400C" w:rsidP="0025400C">
      <w:pPr>
        <w:pStyle w:val="4-SubsectionHeading"/>
      </w:pPr>
      <w:r w:rsidRPr="00C9624D">
        <w:t>Estimated PBS usage &amp; financial implications</w:t>
      </w:r>
    </w:p>
    <w:p w14:paraId="2F30A460" w14:textId="3748BF67" w:rsidR="0025400C" w:rsidRPr="00362D33" w:rsidRDefault="0025400C" w:rsidP="0025400C">
      <w:pPr>
        <w:widowControl w:val="0"/>
        <w:numPr>
          <w:ilvl w:val="1"/>
          <w:numId w:val="1"/>
        </w:numPr>
        <w:spacing w:after="120"/>
        <w:ind w:left="720"/>
        <w:rPr>
          <w:b/>
          <w:bCs/>
        </w:rPr>
      </w:pPr>
      <w:r w:rsidRPr="008F05D8">
        <w:rPr>
          <w:lang w:val="en-US"/>
        </w:rPr>
        <w:t xml:space="preserve">The </w:t>
      </w:r>
      <w:r w:rsidRPr="00362D33">
        <w:rPr>
          <w:lang w:val="en-US"/>
        </w:rPr>
        <w:t>resubmission stated that the following</w:t>
      </w:r>
      <w:r>
        <w:rPr>
          <w:lang w:val="en-US"/>
        </w:rPr>
        <w:t xml:space="preserve"> parameters</w:t>
      </w:r>
      <w:r w:rsidRPr="007314A8">
        <w:rPr>
          <w:lang w:val="en-US"/>
        </w:rPr>
        <w:t xml:space="preserve"> were changed in the </w:t>
      </w:r>
      <w:r>
        <w:rPr>
          <w:lang w:val="en-US"/>
        </w:rPr>
        <w:t xml:space="preserve">financial estimates in line with the PBAC’s advice in paragraphs 7.14 to 7.16 of the </w:t>
      </w:r>
      <w:r w:rsidRPr="0046258E">
        <w:rPr>
          <w:lang w:val="en-US"/>
        </w:rPr>
        <w:t xml:space="preserve">azacitidine </w:t>
      </w:r>
      <w:r w:rsidR="00A27B09">
        <w:rPr>
          <w:lang w:val="en-US"/>
        </w:rPr>
        <w:t xml:space="preserve">PSD </w:t>
      </w:r>
      <w:r>
        <w:rPr>
          <w:lang w:val="en-US"/>
        </w:rPr>
        <w:t>(</w:t>
      </w:r>
      <w:r w:rsidRPr="0046258E">
        <w:rPr>
          <w:lang w:val="en-US"/>
        </w:rPr>
        <w:t>July 2022 PBAC Meeting</w:t>
      </w:r>
      <w:r>
        <w:rPr>
          <w:lang w:val="en-US"/>
        </w:rPr>
        <w:t>)</w:t>
      </w:r>
      <w:r w:rsidRPr="007314A8">
        <w:rPr>
          <w:lang w:val="en-US"/>
        </w:rPr>
        <w:t xml:space="preserve">: </w:t>
      </w:r>
    </w:p>
    <w:p w14:paraId="781EB4FD" w14:textId="77777777" w:rsidR="0025400C" w:rsidRDefault="0025400C" w:rsidP="0025400C">
      <w:pPr>
        <w:pStyle w:val="ListParagraph"/>
        <w:widowControl w:val="0"/>
        <w:numPr>
          <w:ilvl w:val="0"/>
          <w:numId w:val="46"/>
        </w:numPr>
        <w:spacing w:after="0"/>
        <w:ind w:left="1077" w:hanging="357"/>
        <w:rPr>
          <w:lang w:eastAsia="en-US"/>
        </w:rPr>
      </w:pPr>
      <w:r>
        <w:rPr>
          <w:lang w:eastAsia="en-US"/>
        </w:rPr>
        <w:t>the proportion of patients who achieved CR/CRi was reduced from 80% to 54%;</w:t>
      </w:r>
    </w:p>
    <w:p w14:paraId="4D123E01" w14:textId="77777777" w:rsidR="0025400C" w:rsidRDefault="0025400C" w:rsidP="0025400C">
      <w:pPr>
        <w:pStyle w:val="ListParagraph"/>
        <w:widowControl w:val="0"/>
        <w:numPr>
          <w:ilvl w:val="0"/>
          <w:numId w:val="46"/>
        </w:numPr>
        <w:spacing w:after="0"/>
        <w:ind w:left="1077" w:hanging="357"/>
        <w:rPr>
          <w:lang w:eastAsia="en-US"/>
        </w:rPr>
      </w:pPr>
      <w:r>
        <w:rPr>
          <w:lang w:eastAsia="en-US"/>
        </w:rPr>
        <w:t>the proportion of patients who would not be candidates for, or who would choose not to undergo, HSCT was reduced from 81.5% to 70%;</w:t>
      </w:r>
    </w:p>
    <w:p w14:paraId="4FE17C03" w14:textId="64AA793F" w:rsidR="0025400C" w:rsidRDefault="0025400C" w:rsidP="0025400C">
      <w:pPr>
        <w:pStyle w:val="ListParagraph"/>
        <w:widowControl w:val="0"/>
        <w:numPr>
          <w:ilvl w:val="0"/>
          <w:numId w:val="46"/>
        </w:numPr>
        <w:spacing w:after="0"/>
        <w:ind w:left="1077" w:hanging="357"/>
        <w:rPr>
          <w:lang w:eastAsia="en-US"/>
        </w:rPr>
      </w:pPr>
      <w:r>
        <w:rPr>
          <w:lang w:eastAsia="en-US"/>
        </w:rPr>
        <w:t xml:space="preserve">90.9% of patients were estimated to have intermediate- or poor-risk cytogenetics. This was based on </w:t>
      </w:r>
      <w:r w:rsidRPr="00980FFB">
        <w:rPr>
          <w:lang w:eastAsia="en-US"/>
        </w:rPr>
        <w:t>the Australasian Leukaemia &amp; Lymphoma Group (ALLG) National Blood Cancer Registry (NBCR) 2020 Report for patients aged 50-70 years with de novo AML receiving induction chemotherapy, as reported in the gemtuzumab ozogamicin PSD from the November 2021 PBAC Meeting</w:t>
      </w:r>
      <w:r>
        <w:rPr>
          <w:lang w:eastAsia="en-US"/>
        </w:rPr>
        <w:t>. This was a new input to align with the PBAC’s suggested changes to the restriction; and</w:t>
      </w:r>
    </w:p>
    <w:p w14:paraId="185F5C27" w14:textId="77777777" w:rsidR="0025400C" w:rsidRDefault="0025400C" w:rsidP="0025400C">
      <w:pPr>
        <w:pStyle w:val="ListParagraph"/>
        <w:widowControl w:val="0"/>
        <w:numPr>
          <w:ilvl w:val="0"/>
          <w:numId w:val="46"/>
        </w:numPr>
        <w:ind w:left="1077" w:hanging="357"/>
        <w:rPr>
          <w:lang w:eastAsia="en-US"/>
        </w:rPr>
      </w:pPr>
      <w:r>
        <w:rPr>
          <w:lang w:eastAsia="en-US"/>
        </w:rPr>
        <w:t xml:space="preserve">the lower proposed price was incorporated. </w:t>
      </w:r>
    </w:p>
    <w:p w14:paraId="1D5F0E93" w14:textId="76811451" w:rsidR="0025400C" w:rsidRPr="00CC4D9A" w:rsidRDefault="0025400C" w:rsidP="0025400C">
      <w:pPr>
        <w:widowControl w:val="0"/>
        <w:numPr>
          <w:ilvl w:val="1"/>
          <w:numId w:val="1"/>
        </w:numPr>
        <w:spacing w:after="120"/>
        <w:ind w:left="720"/>
        <w:rPr>
          <w:lang w:val="en-US"/>
        </w:rPr>
      </w:pPr>
      <w:r w:rsidRPr="00980FFB">
        <w:rPr>
          <w:lang w:val="en-US"/>
        </w:rPr>
        <w:t xml:space="preserve">A summary of the </w:t>
      </w:r>
      <w:r>
        <w:rPr>
          <w:lang w:val="en-US"/>
        </w:rPr>
        <w:t xml:space="preserve">revised </w:t>
      </w:r>
      <w:r w:rsidRPr="00980FFB">
        <w:rPr>
          <w:lang w:val="en-US"/>
        </w:rPr>
        <w:t xml:space="preserve">estimated use and financial implications </w:t>
      </w:r>
      <w:proofErr w:type="gramStart"/>
      <w:r w:rsidRPr="00980FFB">
        <w:rPr>
          <w:lang w:val="en-US"/>
        </w:rPr>
        <w:t>is presented</w:t>
      </w:r>
      <w:proofErr w:type="gramEnd"/>
      <w:r w:rsidRPr="00980FFB">
        <w:rPr>
          <w:lang w:val="en-US"/>
        </w:rPr>
        <w:t xml:space="preserve"> in </w:t>
      </w:r>
      <w:r>
        <w:rPr>
          <w:lang w:val="en-US"/>
        </w:rPr>
        <w:fldChar w:fldCharType="begin" w:fldLock="1"/>
      </w:r>
      <w:r>
        <w:rPr>
          <w:lang w:val="en-US"/>
        </w:rPr>
        <w:instrText xml:space="preserve"> REF _Ref113289182 \h  \* MERGEFORMAT </w:instrText>
      </w:r>
      <w:r>
        <w:rPr>
          <w:lang w:val="en-US"/>
        </w:rPr>
      </w:r>
      <w:r>
        <w:rPr>
          <w:lang w:val="en-US"/>
        </w:rPr>
        <w:fldChar w:fldCharType="separate"/>
      </w:r>
      <w:r w:rsidRPr="00980FFB">
        <w:rPr>
          <w:lang w:val="en-US"/>
        </w:rPr>
        <w:t>Table 21</w:t>
      </w:r>
      <w:r>
        <w:rPr>
          <w:lang w:val="en-US"/>
        </w:rPr>
        <w:fldChar w:fldCharType="end"/>
      </w:r>
      <w:r>
        <w:rPr>
          <w:lang w:val="en-US"/>
        </w:rPr>
        <w:t xml:space="preserve">. As an </w:t>
      </w:r>
      <w:r>
        <w:t>early resolution resubmission, these changes were not evaluated.</w:t>
      </w:r>
    </w:p>
    <w:p w14:paraId="50F56FCB" w14:textId="2F848084" w:rsidR="00CC4D9A" w:rsidRPr="00CC4D9A" w:rsidRDefault="00CC4D9A" w:rsidP="00CC4D9A">
      <w:pPr>
        <w:widowControl w:val="0"/>
        <w:numPr>
          <w:ilvl w:val="1"/>
          <w:numId w:val="1"/>
        </w:numPr>
        <w:spacing w:after="120"/>
        <w:ind w:left="720"/>
        <w:rPr>
          <w:lang w:val="en-US"/>
        </w:rPr>
      </w:pPr>
      <w:bookmarkStart w:id="98" w:name="_Ref138945299"/>
      <w:r>
        <w:t>The table also includes the revised estimates, which were supplied by the sponsor post PBAC</w:t>
      </w:r>
      <w:r w:rsidR="0011604E">
        <w:t xml:space="preserve"> consideration</w:t>
      </w:r>
      <w:r>
        <w:t xml:space="preserve"> and included the increased time on treatment (mean</w:t>
      </w:r>
      <w:r w:rsidR="00C946DA">
        <w:t xml:space="preserve"> </w:t>
      </w:r>
      <w:r>
        <w:t>=</w:t>
      </w:r>
      <w:r w:rsidR="00C946DA">
        <w:t xml:space="preserve"> </w:t>
      </w:r>
      <w:r>
        <w:t>26.6</w:t>
      </w:r>
      <w:r w:rsidR="00C946DA">
        <w:t xml:space="preserve"> </w:t>
      </w:r>
      <w:r>
        <w:t>months) and reduced effective price of oral azacitidine (DPMQ = $</w:t>
      </w:r>
      <w:r w:rsidR="005B3F49" w:rsidRPr="000F0268">
        <w:rPr>
          <w:color w:val="000000"/>
          <w:w w:val="15"/>
          <w:shd w:val="solid" w:color="000000" w:fill="000000"/>
          <w:fitText w:val="-20" w:id="-1210902779"/>
          <w14:textFill>
            <w14:solidFill>
              <w14:srgbClr w14:val="000000">
                <w14:alpha w14:val="100000"/>
              </w14:srgbClr>
            </w14:solidFill>
          </w14:textFill>
        </w:rPr>
        <w:t xml:space="preserve">|  </w:t>
      </w:r>
      <w:r w:rsidR="005B3F49" w:rsidRPr="000F0268">
        <w:rPr>
          <w:color w:val="000000"/>
          <w:spacing w:val="-69"/>
          <w:w w:val="15"/>
          <w:shd w:val="solid" w:color="000000" w:fill="000000"/>
          <w:fitText w:val="-20" w:id="-1210902779"/>
          <w14:textFill>
            <w14:solidFill>
              <w14:srgbClr w14:val="000000">
                <w14:alpha w14:val="100000"/>
              </w14:srgbClr>
            </w14:solidFill>
          </w14:textFill>
        </w:rPr>
        <w:t>|</w:t>
      </w:r>
      <w:r>
        <w:t xml:space="preserve"> as compared to $</w:t>
      </w:r>
      <w:r w:rsidR="005B3F49" w:rsidRPr="000F0268">
        <w:rPr>
          <w:color w:val="000000"/>
          <w:w w:val="15"/>
          <w:shd w:val="solid" w:color="000000" w:fill="000000"/>
          <w:fitText w:val="-20" w:id="-1210902778"/>
          <w14:textFill>
            <w14:solidFill>
              <w14:srgbClr w14:val="000000">
                <w14:alpha w14:val="100000"/>
              </w14:srgbClr>
            </w14:solidFill>
          </w14:textFill>
        </w:rPr>
        <w:t xml:space="preserve">|  </w:t>
      </w:r>
      <w:r w:rsidR="005B3F49" w:rsidRPr="000F0268">
        <w:rPr>
          <w:color w:val="000000"/>
          <w:spacing w:val="-69"/>
          <w:w w:val="15"/>
          <w:shd w:val="solid" w:color="000000" w:fill="000000"/>
          <w:fitText w:val="-20" w:id="-1210902778"/>
          <w14:textFill>
            <w14:solidFill>
              <w14:srgbClr w14:val="000000">
                <w14:alpha w14:val="100000"/>
              </w14:srgbClr>
            </w14:solidFill>
          </w14:textFill>
        </w:rPr>
        <w:t>|</w:t>
      </w:r>
      <w:r>
        <w:t xml:space="preserve"> in the resubmission)</w:t>
      </w:r>
      <w:bookmarkEnd w:id="98"/>
      <w:r>
        <w:rPr>
          <w:lang w:val="en-US"/>
        </w:rPr>
        <w:t>.</w:t>
      </w:r>
    </w:p>
    <w:p w14:paraId="4F7F60F8" w14:textId="77777777" w:rsidR="0025400C" w:rsidRPr="0052098F" w:rsidRDefault="0025400C" w:rsidP="0025400C">
      <w:pPr>
        <w:pStyle w:val="Caption"/>
        <w:keepNext/>
        <w:spacing w:after="0"/>
        <w:rPr>
          <w:rFonts w:ascii="Arial Narrow" w:hAnsi="Arial Narrow"/>
          <w:color w:val="auto"/>
          <w:sz w:val="20"/>
          <w:szCs w:val="20"/>
        </w:rPr>
      </w:pPr>
      <w:bookmarkStart w:id="99" w:name="_Ref113289182"/>
      <w:r w:rsidRPr="00980FFB">
        <w:rPr>
          <w:rFonts w:ascii="Arial Narrow" w:hAnsi="Arial Narrow"/>
          <w:color w:val="auto"/>
          <w:sz w:val="20"/>
          <w:szCs w:val="20"/>
        </w:rPr>
        <w:t xml:space="preserve">Table </w:t>
      </w:r>
      <w:r w:rsidRPr="00980FFB">
        <w:rPr>
          <w:rFonts w:ascii="Arial Narrow" w:hAnsi="Arial Narrow"/>
          <w:color w:val="auto"/>
          <w:sz w:val="20"/>
          <w:szCs w:val="20"/>
        </w:rPr>
        <w:fldChar w:fldCharType="begin" w:fldLock="1"/>
      </w:r>
      <w:r w:rsidRPr="00980FFB">
        <w:rPr>
          <w:rFonts w:ascii="Arial Narrow" w:hAnsi="Arial Narrow"/>
          <w:color w:val="auto"/>
          <w:sz w:val="20"/>
          <w:szCs w:val="20"/>
        </w:rPr>
        <w:instrText xml:space="preserve"> SEQ Table \* ARABIC </w:instrText>
      </w:r>
      <w:r w:rsidRPr="00980FFB">
        <w:rPr>
          <w:rFonts w:ascii="Arial Narrow" w:hAnsi="Arial Narrow"/>
          <w:color w:val="auto"/>
          <w:sz w:val="20"/>
          <w:szCs w:val="20"/>
        </w:rPr>
        <w:fldChar w:fldCharType="separate"/>
      </w:r>
      <w:r w:rsidRPr="00980FFB">
        <w:rPr>
          <w:rFonts w:ascii="Arial Narrow" w:hAnsi="Arial Narrow"/>
          <w:color w:val="auto"/>
          <w:sz w:val="20"/>
          <w:szCs w:val="20"/>
        </w:rPr>
        <w:t>21</w:t>
      </w:r>
      <w:r w:rsidRPr="00980FFB">
        <w:rPr>
          <w:rFonts w:ascii="Arial Narrow" w:hAnsi="Arial Narrow"/>
          <w:color w:val="auto"/>
          <w:sz w:val="20"/>
          <w:szCs w:val="20"/>
        </w:rPr>
        <w:fldChar w:fldCharType="end"/>
      </w:r>
      <w:bookmarkEnd w:id="99"/>
      <w:r w:rsidRPr="00980FFB">
        <w:rPr>
          <w:rFonts w:ascii="Arial Narrow" w:hAnsi="Arial Narrow"/>
          <w:color w:val="auto"/>
          <w:sz w:val="20"/>
          <w:szCs w:val="20"/>
        </w:rPr>
        <w:t>:</w:t>
      </w:r>
      <w:r>
        <w:rPr>
          <w:rFonts w:ascii="Arial Narrow" w:hAnsi="Arial Narrow"/>
          <w:color w:val="auto"/>
          <w:sz w:val="20"/>
          <w:szCs w:val="20"/>
        </w:rPr>
        <w:t xml:space="preserve"> </w:t>
      </w:r>
      <w:r w:rsidRPr="00980FFB">
        <w:rPr>
          <w:rFonts w:ascii="Arial Narrow" w:hAnsi="Arial Narrow"/>
          <w:color w:val="auto"/>
          <w:sz w:val="20"/>
          <w:szCs w:val="20"/>
        </w:rPr>
        <w:t>Estimated use and financial implications in early resolution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1: Estimated use and financial implications in early resolution resubmission"/>
      </w:tblPr>
      <w:tblGrid>
        <w:gridCol w:w="2264"/>
        <w:gridCol w:w="1137"/>
        <w:gridCol w:w="1134"/>
        <w:gridCol w:w="1134"/>
        <w:gridCol w:w="1134"/>
        <w:gridCol w:w="1134"/>
        <w:gridCol w:w="1080"/>
      </w:tblGrid>
      <w:tr w:rsidR="0025400C" w:rsidRPr="000E6572" w14:paraId="428DB42C" w14:textId="77777777" w:rsidTr="009B211A">
        <w:trPr>
          <w:tblHeader/>
        </w:trPr>
        <w:tc>
          <w:tcPr>
            <w:tcW w:w="1255" w:type="pct"/>
            <w:shd w:val="clear" w:color="auto" w:fill="auto"/>
            <w:vAlign w:val="center"/>
          </w:tcPr>
          <w:p w14:paraId="64B7D7DE" w14:textId="77777777" w:rsidR="0025400C" w:rsidRPr="000E6572" w:rsidRDefault="0025400C" w:rsidP="00E26E55">
            <w:pPr>
              <w:pStyle w:val="In-tableHeading"/>
              <w:jc w:val="center"/>
              <w:rPr>
                <w:szCs w:val="20"/>
              </w:rPr>
            </w:pPr>
          </w:p>
        </w:tc>
        <w:tc>
          <w:tcPr>
            <w:tcW w:w="630" w:type="pct"/>
            <w:shd w:val="clear" w:color="auto" w:fill="auto"/>
            <w:vAlign w:val="center"/>
          </w:tcPr>
          <w:p w14:paraId="7BE14E50" w14:textId="77777777" w:rsidR="0025400C" w:rsidRPr="000E6572" w:rsidRDefault="0025400C" w:rsidP="00E26E55">
            <w:pPr>
              <w:pStyle w:val="In-tableHeading"/>
              <w:jc w:val="center"/>
              <w:rPr>
                <w:szCs w:val="20"/>
              </w:rPr>
            </w:pPr>
            <w:r w:rsidRPr="000E6572">
              <w:rPr>
                <w:szCs w:val="20"/>
              </w:rPr>
              <w:t>Year 1</w:t>
            </w:r>
          </w:p>
        </w:tc>
        <w:tc>
          <w:tcPr>
            <w:tcW w:w="629" w:type="pct"/>
            <w:shd w:val="clear" w:color="auto" w:fill="auto"/>
            <w:vAlign w:val="center"/>
          </w:tcPr>
          <w:p w14:paraId="0D865E22" w14:textId="77777777" w:rsidR="0025400C" w:rsidRPr="000E6572" w:rsidRDefault="0025400C" w:rsidP="00E26E55">
            <w:pPr>
              <w:pStyle w:val="In-tableHeading"/>
              <w:jc w:val="center"/>
              <w:rPr>
                <w:szCs w:val="20"/>
              </w:rPr>
            </w:pPr>
            <w:r w:rsidRPr="000E6572">
              <w:rPr>
                <w:szCs w:val="20"/>
              </w:rPr>
              <w:t>Year 2</w:t>
            </w:r>
          </w:p>
        </w:tc>
        <w:tc>
          <w:tcPr>
            <w:tcW w:w="629" w:type="pct"/>
            <w:shd w:val="clear" w:color="auto" w:fill="auto"/>
            <w:vAlign w:val="center"/>
          </w:tcPr>
          <w:p w14:paraId="76D5F69F" w14:textId="77777777" w:rsidR="0025400C" w:rsidRPr="000E6572" w:rsidRDefault="0025400C" w:rsidP="00E26E55">
            <w:pPr>
              <w:pStyle w:val="In-tableHeading"/>
              <w:jc w:val="center"/>
              <w:rPr>
                <w:szCs w:val="20"/>
              </w:rPr>
            </w:pPr>
            <w:r w:rsidRPr="000E6572">
              <w:rPr>
                <w:szCs w:val="20"/>
              </w:rPr>
              <w:t>Year 3</w:t>
            </w:r>
          </w:p>
        </w:tc>
        <w:tc>
          <w:tcPr>
            <w:tcW w:w="629" w:type="pct"/>
            <w:shd w:val="clear" w:color="auto" w:fill="auto"/>
            <w:vAlign w:val="center"/>
          </w:tcPr>
          <w:p w14:paraId="09631B6A" w14:textId="77777777" w:rsidR="0025400C" w:rsidRPr="000E6572" w:rsidRDefault="0025400C" w:rsidP="00E26E55">
            <w:pPr>
              <w:pStyle w:val="In-tableHeading"/>
              <w:jc w:val="center"/>
              <w:rPr>
                <w:szCs w:val="20"/>
              </w:rPr>
            </w:pPr>
            <w:r w:rsidRPr="000E6572">
              <w:rPr>
                <w:szCs w:val="20"/>
              </w:rPr>
              <w:t>Year 4</w:t>
            </w:r>
          </w:p>
        </w:tc>
        <w:tc>
          <w:tcPr>
            <w:tcW w:w="629" w:type="pct"/>
            <w:shd w:val="clear" w:color="auto" w:fill="auto"/>
            <w:vAlign w:val="center"/>
          </w:tcPr>
          <w:p w14:paraId="3A1F697B" w14:textId="77777777" w:rsidR="0025400C" w:rsidRPr="000E6572" w:rsidRDefault="0025400C" w:rsidP="00E26E55">
            <w:pPr>
              <w:pStyle w:val="In-tableHeading"/>
              <w:jc w:val="center"/>
              <w:rPr>
                <w:szCs w:val="20"/>
              </w:rPr>
            </w:pPr>
            <w:r w:rsidRPr="000E6572">
              <w:rPr>
                <w:szCs w:val="20"/>
              </w:rPr>
              <w:t>Year 5</w:t>
            </w:r>
          </w:p>
        </w:tc>
        <w:tc>
          <w:tcPr>
            <w:tcW w:w="599" w:type="pct"/>
          </w:tcPr>
          <w:p w14:paraId="621E6175" w14:textId="77777777" w:rsidR="0025400C" w:rsidRPr="000E6572" w:rsidRDefault="0025400C" w:rsidP="00E26E55">
            <w:pPr>
              <w:pStyle w:val="In-tableHeading"/>
              <w:jc w:val="center"/>
              <w:rPr>
                <w:szCs w:val="20"/>
              </w:rPr>
            </w:pPr>
            <w:r w:rsidRPr="000E6572">
              <w:rPr>
                <w:szCs w:val="20"/>
              </w:rPr>
              <w:t>Year 6</w:t>
            </w:r>
          </w:p>
        </w:tc>
      </w:tr>
      <w:tr w:rsidR="0025400C" w:rsidRPr="000E6572" w14:paraId="30EA1F7B" w14:textId="77777777" w:rsidTr="009B211A">
        <w:trPr>
          <w:tblHeader/>
        </w:trPr>
        <w:tc>
          <w:tcPr>
            <w:tcW w:w="1255" w:type="pct"/>
            <w:shd w:val="clear" w:color="auto" w:fill="auto"/>
            <w:vAlign w:val="center"/>
          </w:tcPr>
          <w:p w14:paraId="5145E0B0" w14:textId="77777777" w:rsidR="0025400C" w:rsidRPr="002A0FAF" w:rsidRDefault="0025400C" w:rsidP="00E26E55">
            <w:pPr>
              <w:pStyle w:val="In-tableHeading"/>
              <w:rPr>
                <w:b w:val="0"/>
                <w:bCs/>
                <w:szCs w:val="20"/>
              </w:rPr>
            </w:pPr>
            <w:r w:rsidRPr="002A0FAF">
              <w:rPr>
                <w:b w:val="0"/>
                <w:bCs/>
                <w:szCs w:val="20"/>
              </w:rPr>
              <w:t>Number of patients initiating treatment</w:t>
            </w:r>
          </w:p>
        </w:tc>
        <w:tc>
          <w:tcPr>
            <w:tcW w:w="630" w:type="pct"/>
            <w:shd w:val="clear" w:color="auto" w:fill="auto"/>
            <w:vAlign w:val="center"/>
          </w:tcPr>
          <w:p w14:paraId="00C99E93" w14:textId="017CEC4C" w:rsidR="0025400C" w:rsidRPr="00A11D1D" w:rsidRDefault="005D733C" w:rsidP="00E26E55">
            <w:pPr>
              <w:pStyle w:val="TableText0"/>
              <w:jc w:val="center"/>
              <w:rPr>
                <w:color w:val="000000"/>
                <w:szCs w:val="20"/>
                <w:vertAlign w:val="superscript"/>
              </w:rPr>
            </w:pPr>
            <w:r w:rsidRPr="005D733C">
              <w:rPr>
                <w:color w:val="000000"/>
                <w:spacing w:val="49"/>
                <w:szCs w:val="20"/>
                <w:shd w:val="solid" w:color="000000" w:fill="000000"/>
                <w:fitText w:val="320" w:id="-1404864000"/>
                <w14:textFill>
                  <w14:solidFill>
                    <w14:srgbClr w14:val="000000">
                      <w14:alpha w14:val="100000"/>
                    </w14:srgbClr>
                  </w14:solidFill>
                </w14:textFill>
              </w:rPr>
              <w:t>|||</w:t>
            </w:r>
            <w:r w:rsidRPr="005D733C">
              <w:rPr>
                <w:color w:val="000000"/>
                <w:spacing w:val="3"/>
                <w:szCs w:val="20"/>
                <w:shd w:val="solid" w:color="000000" w:fill="000000"/>
                <w:fitText w:val="320" w:id="-1404864000"/>
                <w14:textFill>
                  <w14:solidFill>
                    <w14:srgbClr w14:val="000000">
                      <w14:alpha w14:val="100000"/>
                    </w14:srgbClr>
                  </w14:solidFill>
                </w14:textFill>
              </w:rPr>
              <w:t>|</w:t>
            </w:r>
            <w:r w:rsidR="00A11D1D">
              <w:rPr>
                <w:color w:val="000000"/>
                <w:szCs w:val="20"/>
                <w:vertAlign w:val="superscript"/>
              </w:rPr>
              <w:t>1</w:t>
            </w:r>
          </w:p>
        </w:tc>
        <w:tc>
          <w:tcPr>
            <w:tcW w:w="629" w:type="pct"/>
            <w:shd w:val="clear" w:color="auto" w:fill="auto"/>
            <w:vAlign w:val="center"/>
          </w:tcPr>
          <w:p w14:paraId="51D530B0" w14:textId="016D3500" w:rsidR="0025400C" w:rsidRPr="00A11D1D" w:rsidRDefault="005D733C" w:rsidP="00E26E55">
            <w:pPr>
              <w:pStyle w:val="TableText0"/>
              <w:jc w:val="center"/>
              <w:rPr>
                <w:color w:val="000000"/>
                <w:szCs w:val="20"/>
                <w:vertAlign w:val="superscript"/>
              </w:rPr>
            </w:pPr>
            <w:r w:rsidRPr="005D733C">
              <w:rPr>
                <w:color w:val="000000"/>
                <w:spacing w:val="49"/>
                <w:szCs w:val="20"/>
                <w:shd w:val="solid" w:color="000000" w:fill="000000"/>
                <w:fitText w:val="320" w:id="-1404863999"/>
                <w14:textFill>
                  <w14:solidFill>
                    <w14:srgbClr w14:val="000000">
                      <w14:alpha w14:val="100000"/>
                    </w14:srgbClr>
                  </w14:solidFill>
                </w14:textFill>
              </w:rPr>
              <w:t>|||</w:t>
            </w:r>
            <w:r w:rsidRPr="005D733C">
              <w:rPr>
                <w:color w:val="000000"/>
                <w:spacing w:val="3"/>
                <w:szCs w:val="20"/>
                <w:shd w:val="solid" w:color="000000" w:fill="000000"/>
                <w:fitText w:val="320" w:id="-1404863999"/>
                <w14:textFill>
                  <w14:solidFill>
                    <w14:srgbClr w14:val="000000">
                      <w14:alpha w14:val="100000"/>
                    </w14:srgbClr>
                  </w14:solidFill>
                </w14:textFill>
              </w:rPr>
              <w:t>|</w:t>
            </w:r>
            <w:r w:rsidR="00A11D1D">
              <w:rPr>
                <w:color w:val="000000"/>
                <w:szCs w:val="20"/>
                <w:vertAlign w:val="superscript"/>
              </w:rPr>
              <w:t>1</w:t>
            </w:r>
          </w:p>
        </w:tc>
        <w:tc>
          <w:tcPr>
            <w:tcW w:w="629" w:type="pct"/>
            <w:shd w:val="clear" w:color="auto" w:fill="auto"/>
            <w:vAlign w:val="center"/>
          </w:tcPr>
          <w:p w14:paraId="7AB9AE1F" w14:textId="05357133" w:rsidR="0025400C" w:rsidRPr="00A11D1D" w:rsidRDefault="005D733C" w:rsidP="00E26E55">
            <w:pPr>
              <w:pStyle w:val="TableText0"/>
              <w:jc w:val="center"/>
              <w:rPr>
                <w:color w:val="000000"/>
                <w:szCs w:val="20"/>
                <w:vertAlign w:val="superscript"/>
              </w:rPr>
            </w:pPr>
            <w:r w:rsidRPr="005D733C">
              <w:rPr>
                <w:color w:val="000000"/>
                <w:spacing w:val="49"/>
                <w:szCs w:val="20"/>
                <w:shd w:val="solid" w:color="000000" w:fill="000000"/>
                <w:fitText w:val="320" w:id="-1404863998"/>
                <w14:textFill>
                  <w14:solidFill>
                    <w14:srgbClr w14:val="000000">
                      <w14:alpha w14:val="100000"/>
                    </w14:srgbClr>
                  </w14:solidFill>
                </w14:textFill>
              </w:rPr>
              <w:t>|||</w:t>
            </w:r>
            <w:r w:rsidRPr="005D733C">
              <w:rPr>
                <w:color w:val="000000"/>
                <w:spacing w:val="3"/>
                <w:szCs w:val="20"/>
                <w:shd w:val="solid" w:color="000000" w:fill="000000"/>
                <w:fitText w:val="320" w:id="-1404863998"/>
                <w14:textFill>
                  <w14:solidFill>
                    <w14:srgbClr w14:val="000000">
                      <w14:alpha w14:val="100000"/>
                    </w14:srgbClr>
                  </w14:solidFill>
                </w14:textFill>
              </w:rPr>
              <w:t>|</w:t>
            </w:r>
            <w:r w:rsidR="00A11D1D">
              <w:rPr>
                <w:color w:val="000000"/>
                <w:szCs w:val="20"/>
                <w:vertAlign w:val="superscript"/>
              </w:rPr>
              <w:t>1</w:t>
            </w:r>
          </w:p>
        </w:tc>
        <w:tc>
          <w:tcPr>
            <w:tcW w:w="629" w:type="pct"/>
            <w:shd w:val="clear" w:color="auto" w:fill="auto"/>
            <w:vAlign w:val="center"/>
          </w:tcPr>
          <w:p w14:paraId="4059CCEE" w14:textId="7A3B9654" w:rsidR="0025400C" w:rsidRPr="00A11D1D" w:rsidRDefault="005D733C" w:rsidP="00E26E55">
            <w:pPr>
              <w:pStyle w:val="TableText0"/>
              <w:jc w:val="center"/>
              <w:rPr>
                <w:color w:val="000000"/>
                <w:szCs w:val="20"/>
                <w:vertAlign w:val="superscript"/>
              </w:rPr>
            </w:pPr>
            <w:r w:rsidRPr="005D733C">
              <w:rPr>
                <w:color w:val="000000"/>
                <w:spacing w:val="49"/>
                <w:szCs w:val="20"/>
                <w:shd w:val="solid" w:color="000000" w:fill="000000"/>
                <w:fitText w:val="320" w:id="-1404863997"/>
                <w14:textFill>
                  <w14:solidFill>
                    <w14:srgbClr w14:val="000000">
                      <w14:alpha w14:val="100000"/>
                    </w14:srgbClr>
                  </w14:solidFill>
                </w14:textFill>
              </w:rPr>
              <w:t>|||</w:t>
            </w:r>
            <w:r w:rsidRPr="005D733C">
              <w:rPr>
                <w:color w:val="000000"/>
                <w:spacing w:val="3"/>
                <w:szCs w:val="20"/>
                <w:shd w:val="solid" w:color="000000" w:fill="000000"/>
                <w:fitText w:val="320" w:id="-1404863997"/>
                <w14:textFill>
                  <w14:solidFill>
                    <w14:srgbClr w14:val="000000">
                      <w14:alpha w14:val="100000"/>
                    </w14:srgbClr>
                  </w14:solidFill>
                </w14:textFill>
              </w:rPr>
              <w:t>|</w:t>
            </w:r>
            <w:r w:rsidR="00A11D1D">
              <w:rPr>
                <w:color w:val="000000"/>
                <w:szCs w:val="20"/>
                <w:vertAlign w:val="superscript"/>
              </w:rPr>
              <w:t>1</w:t>
            </w:r>
          </w:p>
        </w:tc>
        <w:tc>
          <w:tcPr>
            <w:tcW w:w="629" w:type="pct"/>
            <w:shd w:val="clear" w:color="auto" w:fill="auto"/>
            <w:vAlign w:val="center"/>
          </w:tcPr>
          <w:p w14:paraId="50178F11" w14:textId="6AE3B1DA" w:rsidR="0025400C" w:rsidRPr="00A11D1D" w:rsidRDefault="005D733C" w:rsidP="00E26E55">
            <w:pPr>
              <w:pStyle w:val="TableText0"/>
              <w:jc w:val="center"/>
              <w:rPr>
                <w:color w:val="000000"/>
                <w:szCs w:val="20"/>
                <w:vertAlign w:val="superscript"/>
              </w:rPr>
            </w:pPr>
            <w:r w:rsidRPr="005D733C">
              <w:rPr>
                <w:color w:val="000000"/>
                <w:spacing w:val="49"/>
                <w:szCs w:val="20"/>
                <w:shd w:val="solid" w:color="000000" w:fill="000000"/>
                <w:fitText w:val="320" w:id="-1404863996"/>
                <w14:textFill>
                  <w14:solidFill>
                    <w14:srgbClr w14:val="000000">
                      <w14:alpha w14:val="100000"/>
                    </w14:srgbClr>
                  </w14:solidFill>
                </w14:textFill>
              </w:rPr>
              <w:t>|||</w:t>
            </w:r>
            <w:r w:rsidRPr="005D733C">
              <w:rPr>
                <w:color w:val="000000"/>
                <w:spacing w:val="3"/>
                <w:szCs w:val="20"/>
                <w:shd w:val="solid" w:color="000000" w:fill="000000"/>
                <w:fitText w:val="320" w:id="-1404863996"/>
                <w14:textFill>
                  <w14:solidFill>
                    <w14:srgbClr w14:val="000000">
                      <w14:alpha w14:val="100000"/>
                    </w14:srgbClr>
                  </w14:solidFill>
                </w14:textFill>
              </w:rPr>
              <w:t>|</w:t>
            </w:r>
            <w:r w:rsidR="00A11D1D">
              <w:rPr>
                <w:color w:val="000000"/>
                <w:szCs w:val="20"/>
                <w:vertAlign w:val="superscript"/>
              </w:rPr>
              <w:t>1</w:t>
            </w:r>
          </w:p>
        </w:tc>
        <w:tc>
          <w:tcPr>
            <w:tcW w:w="599" w:type="pct"/>
            <w:shd w:val="clear" w:color="auto" w:fill="auto"/>
            <w:vAlign w:val="center"/>
          </w:tcPr>
          <w:p w14:paraId="32D85964" w14:textId="7994660E" w:rsidR="0025400C" w:rsidRPr="00A11D1D" w:rsidRDefault="005D733C" w:rsidP="00E26E55">
            <w:pPr>
              <w:pStyle w:val="TableText0"/>
              <w:jc w:val="center"/>
              <w:rPr>
                <w:color w:val="000000"/>
                <w:szCs w:val="20"/>
                <w:vertAlign w:val="superscript"/>
              </w:rPr>
            </w:pPr>
            <w:r w:rsidRPr="005B3F49">
              <w:rPr>
                <w:color w:val="000000"/>
                <w:spacing w:val="59"/>
                <w:szCs w:val="20"/>
                <w:shd w:val="solid" w:color="000000" w:fill="000000"/>
                <w:fitText w:val="350" w:id="-1404863995"/>
                <w14:textFill>
                  <w14:solidFill>
                    <w14:srgbClr w14:val="000000">
                      <w14:alpha w14:val="100000"/>
                    </w14:srgbClr>
                  </w14:solidFill>
                </w14:textFill>
              </w:rPr>
              <w:t>|||</w:t>
            </w:r>
            <w:r w:rsidRPr="005B3F49">
              <w:rPr>
                <w:color w:val="000000"/>
                <w:spacing w:val="1"/>
                <w:szCs w:val="20"/>
                <w:shd w:val="solid" w:color="000000" w:fill="000000"/>
                <w:fitText w:val="350" w:id="-1404863995"/>
                <w14:textFill>
                  <w14:solidFill>
                    <w14:srgbClr w14:val="000000">
                      <w14:alpha w14:val="100000"/>
                    </w14:srgbClr>
                  </w14:solidFill>
                </w14:textFill>
              </w:rPr>
              <w:t>|</w:t>
            </w:r>
            <w:r w:rsidR="00A11D1D">
              <w:rPr>
                <w:color w:val="000000"/>
                <w:szCs w:val="20"/>
                <w:vertAlign w:val="superscript"/>
              </w:rPr>
              <w:t>1</w:t>
            </w:r>
          </w:p>
        </w:tc>
      </w:tr>
      <w:tr w:rsidR="0025400C" w:rsidRPr="000E6572" w14:paraId="78BBA9B0" w14:textId="77777777" w:rsidTr="00E26E55">
        <w:trPr>
          <w:tblHeader/>
        </w:trPr>
        <w:tc>
          <w:tcPr>
            <w:tcW w:w="5000" w:type="pct"/>
            <w:gridSpan w:val="7"/>
            <w:shd w:val="clear" w:color="auto" w:fill="auto"/>
            <w:vAlign w:val="center"/>
          </w:tcPr>
          <w:p w14:paraId="20C67678" w14:textId="77777777" w:rsidR="0025400C" w:rsidRPr="00086D36" w:rsidRDefault="0025400C" w:rsidP="00E26E55">
            <w:pPr>
              <w:pStyle w:val="TableText0"/>
              <w:rPr>
                <w:color w:val="000000"/>
                <w:szCs w:val="20"/>
              </w:rPr>
            </w:pPr>
            <w:r>
              <w:rPr>
                <w:b/>
                <w:bCs w:val="0"/>
                <w:szCs w:val="20"/>
              </w:rPr>
              <w:t>Number of prescriptions dispensed</w:t>
            </w:r>
          </w:p>
        </w:tc>
      </w:tr>
      <w:tr w:rsidR="0025400C" w:rsidRPr="000E6572" w14:paraId="2EE69384" w14:textId="77777777" w:rsidTr="009B211A">
        <w:trPr>
          <w:tblHeader/>
        </w:trPr>
        <w:tc>
          <w:tcPr>
            <w:tcW w:w="1255" w:type="pct"/>
            <w:shd w:val="clear" w:color="auto" w:fill="auto"/>
            <w:vAlign w:val="center"/>
          </w:tcPr>
          <w:p w14:paraId="5269CBCF" w14:textId="77777777" w:rsidR="0025400C" w:rsidRPr="002A0FAF" w:rsidRDefault="0025400C" w:rsidP="00E26E55">
            <w:pPr>
              <w:pStyle w:val="In-tableHeading"/>
              <w:rPr>
                <w:b w:val="0"/>
                <w:bCs/>
                <w:szCs w:val="20"/>
              </w:rPr>
            </w:pPr>
            <w:r>
              <w:rPr>
                <w:b w:val="0"/>
                <w:bCs/>
                <w:szCs w:val="20"/>
              </w:rPr>
              <w:t>For initial and continuing (i.e. 300 mg and 200 mg x 14)</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3FBC9C3E" w14:textId="68B36D18" w:rsidR="0025400C" w:rsidRPr="00A11D1D" w:rsidRDefault="005D733C" w:rsidP="00E26E55">
            <w:pPr>
              <w:pStyle w:val="TableText0"/>
              <w:jc w:val="center"/>
              <w:rPr>
                <w:color w:val="000000"/>
                <w:szCs w:val="20"/>
                <w:vertAlign w:val="superscript"/>
              </w:rPr>
            </w:pPr>
            <w:r w:rsidRPr="005D733C">
              <w:rPr>
                <w:color w:val="000000"/>
                <w:spacing w:val="49"/>
                <w:szCs w:val="20"/>
                <w:shd w:val="solid" w:color="000000" w:fill="000000"/>
                <w:fitText w:val="320" w:id="-1404863994"/>
                <w14:textFill>
                  <w14:solidFill>
                    <w14:srgbClr w14:val="000000">
                      <w14:alpha w14:val="100000"/>
                    </w14:srgbClr>
                  </w14:solidFill>
                </w14:textFill>
              </w:rPr>
              <w:t>|||</w:t>
            </w:r>
            <w:r w:rsidRPr="005D733C">
              <w:rPr>
                <w:color w:val="000000"/>
                <w:spacing w:val="3"/>
                <w:szCs w:val="20"/>
                <w:shd w:val="solid" w:color="000000" w:fill="000000"/>
                <w:fitText w:val="320" w:id="-1404863994"/>
                <w14:textFill>
                  <w14:solidFill>
                    <w14:srgbClr w14:val="000000">
                      <w14:alpha w14:val="100000"/>
                    </w14:srgbClr>
                  </w14:solidFill>
                </w14:textFill>
              </w:rPr>
              <w:t>|</w:t>
            </w:r>
            <w:r w:rsidR="00A11D1D">
              <w:rPr>
                <w:color w:val="000000"/>
                <w:szCs w:val="20"/>
                <w:vertAlign w:val="superscript"/>
              </w:rPr>
              <w:t>1</w:t>
            </w:r>
          </w:p>
        </w:tc>
        <w:tc>
          <w:tcPr>
            <w:tcW w:w="629" w:type="pct"/>
            <w:tcBorders>
              <w:top w:val="single" w:sz="4" w:space="0" w:color="auto"/>
              <w:left w:val="nil"/>
              <w:bottom w:val="single" w:sz="4" w:space="0" w:color="auto"/>
              <w:right w:val="single" w:sz="4" w:space="0" w:color="auto"/>
            </w:tcBorders>
            <w:shd w:val="clear" w:color="auto" w:fill="auto"/>
            <w:vAlign w:val="center"/>
          </w:tcPr>
          <w:p w14:paraId="41C2BA69" w14:textId="2E6945AD" w:rsidR="0025400C" w:rsidRPr="00A11D1D" w:rsidRDefault="005D733C" w:rsidP="00E26E55">
            <w:pPr>
              <w:pStyle w:val="TableText0"/>
              <w:jc w:val="center"/>
              <w:rPr>
                <w:color w:val="000000"/>
                <w:szCs w:val="20"/>
                <w:vertAlign w:val="superscript"/>
              </w:rPr>
            </w:pPr>
            <w:r w:rsidRPr="005D733C">
              <w:rPr>
                <w:color w:val="000000"/>
                <w:spacing w:val="49"/>
                <w:szCs w:val="20"/>
                <w:shd w:val="solid" w:color="000000" w:fill="000000"/>
                <w:fitText w:val="320" w:id="-1404863993"/>
                <w14:textFill>
                  <w14:solidFill>
                    <w14:srgbClr w14:val="000000">
                      <w14:alpha w14:val="100000"/>
                    </w14:srgbClr>
                  </w14:solidFill>
                </w14:textFill>
              </w:rPr>
              <w:t>|||</w:t>
            </w:r>
            <w:r w:rsidRPr="005D733C">
              <w:rPr>
                <w:color w:val="000000"/>
                <w:spacing w:val="3"/>
                <w:szCs w:val="20"/>
                <w:shd w:val="solid" w:color="000000" w:fill="000000"/>
                <w:fitText w:val="320" w:id="-1404863993"/>
                <w14:textFill>
                  <w14:solidFill>
                    <w14:srgbClr w14:val="000000">
                      <w14:alpha w14:val="100000"/>
                    </w14:srgbClr>
                  </w14:solidFill>
                </w14:textFill>
              </w:rPr>
              <w:t>|</w:t>
            </w:r>
            <w:r w:rsidR="00A11D1D">
              <w:rPr>
                <w:color w:val="000000"/>
                <w:szCs w:val="20"/>
                <w:vertAlign w:val="superscript"/>
              </w:rPr>
              <w:t>2</w:t>
            </w:r>
          </w:p>
        </w:tc>
        <w:tc>
          <w:tcPr>
            <w:tcW w:w="629" w:type="pct"/>
            <w:tcBorders>
              <w:top w:val="single" w:sz="4" w:space="0" w:color="auto"/>
              <w:left w:val="nil"/>
              <w:bottom w:val="single" w:sz="4" w:space="0" w:color="auto"/>
              <w:right w:val="single" w:sz="4" w:space="0" w:color="auto"/>
            </w:tcBorders>
            <w:shd w:val="clear" w:color="auto" w:fill="auto"/>
            <w:vAlign w:val="center"/>
          </w:tcPr>
          <w:p w14:paraId="66761759" w14:textId="3DE7C89C" w:rsidR="0025400C" w:rsidRPr="00A11D1D" w:rsidRDefault="005D733C" w:rsidP="00E26E55">
            <w:pPr>
              <w:pStyle w:val="TableText0"/>
              <w:jc w:val="center"/>
              <w:rPr>
                <w:color w:val="000000"/>
                <w:szCs w:val="20"/>
                <w:vertAlign w:val="superscript"/>
              </w:rPr>
            </w:pPr>
            <w:r w:rsidRPr="005D733C">
              <w:rPr>
                <w:color w:val="000000"/>
                <w:spacing w:val="49"/>
                <w:szCs w:val="20"/>
                <w:shd w:val="solid" w:color="000000" w:fill="000000"/>
                <w:fitText w:val="320" w:id="-1404863992"/>
                <w14:textFill>
                  <w14:solidFill>
                    <w14:srgbClr w14:val="000000">
                      <w14:alpha w14:val="100000"/>
                    </w14:srgbClr>
                  </w14:solidFill>
                </w14:textFill>
              </w:rPr>
              <w:t>|||</w:t>
            </w:r>
            <w:r w:rsidRPr="005D733C">
              <w:rPr>
                <w:color w:val="000000"/>
                <w:spacing w:val="3"/>
                <w:szCs w:val="20"/>
                <w:shd w:val="solid" w:color="000000" w:fill="000000"/>
                <w:fitText w:val="320" w:id="-1404863992"/>
                <w14:textFill>
                  <w14:solidFill>
                    <w14:srgbClr w14:val="000000">
                      <w14:alpha w14:val="100000"/>
                    </w14:srgbClr>
                  </w14:solidFill>
                </w14:textFill>
              </w:rPr>
              <w:t>|</w:t>
            </w:r>
            <w:r w:rsidR="00A11D1D">
              <w:rPr>
                <w:color w:val="000000"/>
                <w:szCs w:val="20"/>
                <w:vertAlign w:val="superscript"/>
              </w:rPr>
              <w:t>2</w:t>
            </w:r>
          </w:p>
        </w:tc>
        <w:tc>
          <w:tcPr>
            <w:tcW w:w="629" w:type="pct"/>
            <w:tcBorders>
              <w:top w:val="single" w:sz="4" w:space="0" w:color="auto"/>
              <w:left w:val="nil"/>
              <w:bottom w:val="single" w:sz="4" w:space="0" w:color="auto"/>
              <w:right w:val="single" w:sz="4" w:space="0" w:color="auto"/>
            </w:tcBorders>
            <w:shd w:val="clear" w:color="auto" w:fill="auto"/>
            <w:vAlign w:val="center"/>
          </w:tcPr>
          <w:p w14:paraId="5B6A9CED" w14:textId="7E4FB2F8" w:rsidR="0025400C" w:rsidRPr="00A11D1D" w:rsidRDefault="005D733C" w:rsidP="00E26E55">
            <w:pPr>
              <w:pStyle w:val="TableText0"/>
              <w:jc w:val="center"/>
              <w:rPr>
                <w:color w:val="000000"/>
                <w:szCs w:val="20"/>
                <w:vertAlign w:val="superscript"/>
              </w:rPr>
            </w:pPr>
            <w:r w:rsidRPr="005D733C">
              <w:rPr>
                <w:color w:val="000000"/>
                <w:spacing w:val="49"/>
                <w:szCs w:val="20"/>
                <w:shd w:val="solid" w:color="000000" w:fill="000000"/>
                <w:fitText w:val="320" w:id="-1404863991"/>
                <w14:textFill>
                  <w14:solidFill>
                    <w14:srgbClr w14:val="000000">
                      <w14:alpha w14:val="100000"/>
                    </w14:srgbClr>
                  </w14:solidFill>
                </w14:textFill>
              </w:rPr>
              <w:t>|||</w:t>
            </w:r>
            <w:r w:rsidRPr="005D733C">
              <w:rPr>
                <w:color w:val="000000"/>
                <w:spacing w:val="3"/>
                <w:szCs w:val="20"/>
                <w:shd w:val="solid" w:color="000000" w:fill="000000"/>
                <w:fitText w:val="320" w:id="-1404863991"/>
                <w14:textFill>
                  <w14:solidFill>
                    <w14:srgbClr w14:val="000000">
                      <w14:alpha w14:val="100000"/>
                    </w14:srgbClr>
                  </w14:solidFill>
                </w14:textFill>
              </w:rPr>
              <w:t>|</w:t>
            </w:r>
            <w:r w:rsidR="00A11D1D">
              <w:rPr>
                <w:color w:val="000000"/>
                <w:szCs w:val="20"/>
                <w:vertAlign w:val="superscript"/>
              </w:rPr>
              <w:t>2</w:t>
            </w:r>
          </w:p>
        </w:tc>
        <w:tc>
          <w:tcPr>
            <w:tcW w:w="629" w:type="pct"/>
            <w:tcBorders>
              <w:top w:val="single" w:sz="4" w:space="0" w:color="auto"/>
              <w:left w:val="nil"/>
              <w:bottom w:val="single" w:sz="4" w:space="0" w:color="auto"/>
              <w:right w:val="single" w:sz="4" w:space="0" w:color="auto"/>
            </w:tcBorders>
            <w:shd w:val="clear" w:color="auto" w:fill="auto"/>
            <w:vAlign w:val="center"/>
          </w:tcPr>
          <w:p w14:paraId="24132A02" w14:textId="7DF280D4" w:rsidR="0025400C" w:rsidRPr="00A11D1D" w:rsidRDefault="005D733C" w:rsidP="00E26E55">
            <w:pPr>
              <w:pStyle w:val="TableText0"/>
              <w:jc w:val="center"/>
              <w:rPr>
                <w:color w:val="000000"/>
                <w:szCs w:val="20"/>
                <w:vertAlign w:val="superscript"/>
              </w:rPr>
            </w:pPr>
            <w:r w:rsidRPr="005D733C">
              <w:rPr>
                <w:color w:val="000000"/>
                <w:spacing w:val="49"/>
                <w:szCs w:val="20"/>
                <w:shd w:val="solid" w:color="000000" w:fill="000000"/>
                <w:fitText w:val="320" w:id="-1404863990"/>
                <w14:textFill>
                  <w14:solidFill>
                    <w14:srgbClr w14:val="000000">
                      <w14:alpha w14:val="100000"/>
                    </w14:srgbClr>
                  </w14:solidFill>
                </w14:textFill>
              </w:rPr>
              <w:t>|||</w:t>
            </w:r>
            <w:r w:rsidRPr="005D733C">
              <w:rPr>
                <w:color w:val="000000"/>
                <w:spacing w:val="3"/>
                <w:szCs w:val="20"/>
                <w:shd w:val="solid" w:color="000000" w:fill="000000"/>
                <w:fitText w:val="320" w:id="-1404863990"/>
                <w14:textFill>
                  <w14:solidFill>
                    <w14:srgbClr w14:val="000000">
                      <w14:alpha w14:val="100000"/>
                    </w14:srgbClr>
                  </w14:solidFill>
                </w14:textFill>
              </w:rPr>
              <w:t>|</w:t>
            </w:r>
            <w:r w:rsidR="00A11D1D">
              <w:rPr>
                <w:color w:val="000000"/>
                <w:szCs w:val="20"/>
                <w:vertAlign w:val="superscript"/>
              </w:rPr>
              <w:t>2</w:t>
            </w:r>
          </w:p>
        </w:tc>
        <w:tc>
          <w:tcPr>
            <w:tcW w:w="599" w:type="pct"/>
            <w:tcBorders>
              <w:top w:val="single" w:sz="4" w:space="0" w:color="auto"/>
              <w:left w:val="nil"/>
              <w:bottom w:val="single" w:sz="4" w:space="0" w:color="auto"/>
              <w:right w:val="single" w:sz="4" w:space="0" w:color="auto"/>
            </w:tcBorders>
            <w:shd w:val="clear" w:color="auto" w:fill="auto"/>
            <w:vAlign w:val="center"/>
          </w:tcPr>
          <w:p w14:paraId="0E3F5683" w14:textId="3288CF58" w:rsidR="0025400C" w:rsidRPr="00A11D1D" w:rsidRDefault="005D733C" w:rsidP="00E26E55">
            <w:pPr>
              <w:pStyle w:val="TableText0"/>
              <w:jc w:val="center"/>
              <w:rPr>
                <w:color w:val="000000"/>
                <w:szCs w:val="20"/>
                <w:vertAlign w:val="superscript"/>
              </w:rPr>
            </w:pPr>
            <w:r w:rsidRPr="005B3F49">
              <w:rPr>
                <w:color w:val="000000"/>
                <w:spacing w:val="59"/>
                <w:szCs w:val="20"/>
                <w:shd w:val="solid" w:color="000000" w:fill="000000"/>
                <w:fitText w:val="350" w:id="-1404863989"/>
                <w14:textFill>
                  <w14:solidFill>
                    <w14:srgbClr w14:val="000000">
                      <w14:alpha w14:val="100000"/>
                    </w14:srgbClr>
                  </w14:solidFill>
                </w14:textFill>
              </w:rPr>
              <w:t>|||</w:t>
            </w:r>
            <w:r w:rsidRPr="005B3F49">
              <w:rPr>
                <w:color w:val="000000"/>
                <w:spacing w:val="1"/>
                <w:szCs w:val="20"/>
                <w:shd w:val="solid" w:color="000000" w:fill="000000"/>
                <w:fitText w:val="350" w:id="-1404863989"/>
                <w14:textFill>
                  <w14:solidFill>
                    <w14:srgbClr w14:val="000000">
                      <w14:alpha w14:val="100000"/>
                    </w14:srgbClr>
                  </w14:solidFill>
                </w14:textFill>
              </w:rPr>
              <w:t>|</w:t>
            </w:r>
            <w:r w:rsidR="00A11D1D">
              <w:rPr>
                <w:color w:val="000000"/>
                <w:szCs w:val="20"/>
                <w:vertAlign w:val="superscript"/>
              </w:rPr>
              <w:t>2</w:t>
            </w:r>
          </w:p>
        </w:tc>
      </w:tr>
      <w:tr w:rsidR="0025400C" w:rsidRPr="000E6572" w14:paraId="3E864D2E" w14:textId="77777777" w:rsidTr="009B211A">
        <w:trPr>
          <w:tblHeader/>
        </w:trPr>
        <w:tc>
          <w:tcPr>
            <w:tcW w:w="1255" w:type="pct"/>
            <w:shd w:val="clear" w:color="auto" w:fill="auto"/>
            <w:vAlign w:val="center"/>
          </w:tcPr>
          <w:p w14:paraId="5EB60412" w14:textId="77777777" w:rsidR="0025400C" w:rsidRPr="002A0FAF" w:rsidRDefault="0025400C" w:rsidP="00E26E55">
            <w:pPr>
              <w:pStyle w:val="In-tableHeading"/>
              <w:rPr>
                <w:b w:val="0"/>
                <w:bCs/>
                <w:szCs w:val="20"/>
              </w:rPr>
            </w:pPr>
            <w:r>
              <w:rPr>
                <w:b w:val="0"/>
                <w:bCs/>
                <w:szCs w:val="20"/>
              </w:rPr>
              <w:t xml:space="preserve">For dose escalation (i.e. 300 mg x 21)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07C70D92" w14:textId="7C69DF52" w:rsidR="0025400C" w:rsidRPr="00A11D1D" w:rsidRDefault="005D733C" w:rsidP="00E26E55">
            <w:pPr>
              <w:pStyle w:val="TableText0"/>
              <w:jc w:val="center"/>
              <w:rPr>
                <w:color w:val="000000"/>
                <w:szCs w:val="20"/>
                <w:vertAlign w:val="superscript"/>
              </w:rPr>
            </w:pPr>
            <w:r w:rsidRPr="005D733C">
              <w:rPr>
                <w:color w:val="000000"/>
                <w:spacing w:val="49"/>
                <w:szCs w:val="20"/>
                <w:shd w:val="solid" w:color="000000" w:fill="000000"/>
                <w:fitText w:val="320" w:id="-1404863988"/>
                <w14:textFill>
                  <w14:solidFill>
                    <w14:srgbClr w14:val="000000">
                      <w14:alpha w14:val="100000"/>
                    </w14:srgbClr>
                  </w14:solidFill>
                </w14:textFill>
              </w:rPr>
              <w:t>|||</w:t>
            </w:r>
            <w:r w:rsidRPr="005D733C">
              <w:rPr>
                <w:color w:val="000000"/>
                <w:spacing w:val="3"/>
                <w:szCs w:val="20"/>
                <w:shd w:val="solid" w:color="000000" w:fill="000000"/>
                <w:fitText w:val="320" w:id="-1404863988"/>
                <w14:textFill>
                  <w14:solidFill>
                    <w14:srgbClr w14:val="000000">
                      <w14:alpha w14:val="100000"/>
                    </w14:srgbClr>
                  </w14:solidFill>
                </w14:textFill>
              </w:rPr>
              <w:t>|</w:t>
            </w:r>
            <w:r w:rsidR="00A11D1D">
              <w:rPr>
                <w:color w:val="000000"/>
                <w:szCs w:val="20"/>
                <w:vertAlign w:val="superscript"/>
              </w:rPr>
              <w:t>1</w:t>
            </w:r>
          </w:p>
        </w:tc>
        <w:tc>
          <w:tcPr>
            <w:tcW w:w="629" w:type="pct"/>
            <w:tcBorders>
              <w:top w:val="single" w:sz="4" w:space="0" w:color="auto"/>
              <w:left w:val="nil"/>
              <w:bottom w:val="single" w:sz="4" w:space="0" w:color="auto"/>
              <w:right w:val="single" w:sz="4" w:space="0" w:color="auto"/>
            </w:tcBorders>
            <w:shd w:val="clear" w:color="auto" w:fill="auto"/>
            <w:vAlign w:val="center"/>
          </w:tcPr>
          <w:p w14:paraId="7A604425" w14:textId="30A674F5" w:rsidR="0025400C" w:rsidRPr="00A11D1D" w:rsidRDefault="005D733C" w:rsidP="00E26E55">
            <w:pPr>
              <w:pStyle w:val="TableText0"/>
              <w:jc w:val="center"/>
              <w:rPr>
                <w:color w:val="000000"/>
                <w:szCs w:val="20"/>
                <w:vertAlign w:val="superscript"/>
              </w:rPr>
            </w:pPr>
            <w:r w:rsidRPr="005D733C">
              <w:rPr>
                <w:color w:val="000000"/>
                <w:spacing w:val="49"/>
                <w:szCs w:val="20"/>
                <w:shd w:val="solid" w:color="000000" w:fill="000000"/>
                <w:fitText w:val="320" w:id="-1404863987"/>
                <w14:textFill>
                  <w14:solidFill>
                    <w14:srgbClr w14:val="000000">
                      <w14:alpha w14:val="100000"/>
                    </w14:srgbClr>
                  </w14:solidFill>
                </w14:textFill>
              </w:rPr>
              <w:t>|||</w:t>
            </w:r>
            <w:r w:rsidRPr="005D733C">
              <w:rPr>
                <w:color w:val="000000"/>
                <w:spacing w:val="3"/>
                <w:szCs w:val="20"/>
                <w:shd w:val="solid" w:color="000000" w:fill="000000"/>
                <w:fitText w:val="320" w:id="-1404863987"/>
                <w14:textFill>
                  <w14:solidFill>
                    <w14:srgbClr w14:val="000000">
                      <w14:alpha w14:val="100000"/>
                    </w14:srgbClr>
                  </w14:solidFill>
                </w14:textFill>
              </w:rPr>
              <w:t>|</w:t>
            </w:r>
            <w:r w:rsidR="00A11D1D">
              <w:rPr>
                <w:color w:val="000000"/>
                <w:szCs w:val="20"/>
                <w:vertAlign w:val="superscript"/>
              </w:rPr>
              <w:t>1</w:t>
            </w:r>
          </w:p>
        </w:tc>
        <w:tc>
          <w:tcPr>
            <w:tcW w:w="629" w:type="pct"/>
            <w:tcBorders>
              <w:top w:val="single" w:sz="4" w:space="0" w:color="auto"/>
              <w:left w:val="nil"/>
              <w:bottom w:val="single" w:sz="4" w:space="0" w:color="auto"/>
              <w:right w:val="single" w:sz="4" w:space="0" w:color="auto"/>
            </w:tcBorders>
            <w:shd w:val="clear" w:color="auto" w:fill="auto"/>
            <w:vAlign w:val="center"/>
          </w:tcPr>
          <w:p w14:paraId="5A2342CA" w14:textId="769DC22C" w:rsidR="0025400C" w:rsidRPr="00A11D1D" w:rsidRDefault="005D733C" w:rsidP="00E26E55">
            <w:pPr>
              <w:pStyle w:val="TableText0"/>
              <w:jc w:val="center"/>
              <w:rPr>
                <w:color w:val="000000"/>
                <w:szCs w:val="20"/>
                <w:vertAlign w:val="superscript"/>
              </w:rPr>
            </w:pPr>
            <w:r w:rsidRPr="005D733C">
              <w:rPr>
                <w:color w:val="000000"/>
                <w:spacing w:val="49"/>
                <w:szCs w:val="20"/>
                <w:shd w:val="solid" w:color="000000" w:fill="000000"/>
                <w:fitText w:val="320" w:id="-1404863986"/>
                <w14:textFill>
                  <w14:solidFill>
                    <w14:srgbClr w14:val="000000">
                      <w14:alpha w14:val="100000"/>
                    </w14:srgbClr>
                  </w14:solidFill>
                </w14:textFill>
              </w:rPr>
              <w:t>|||</w:t>
            </w:r>
            <w:r w:rsidRPr="005D733C">
              <w:rPr>
                <w:color w:val="000000"/>
                <w:spacing w:val="3"/>
                <w:szCs w:val="20"/>
                <w:shd w:val="solid" w:color="000000" w:fill="000000"/>
                <w:fitText w:val="320" w:id="-1404863986"/>
                <w14:textFill>
                  <w14:solidFill>
                    <w14:srgbClr w14:val="000000">
                      <w14:alpha w14:val="100000"/>
                    </w14:srgbClr>
                  </w14:solidFill>
                </w14:textFill>
              </w:rPr>
              <w:t>|</w:t>
            </w:r>
            <w:r w:rsidR="00A11D1D">
              <w:rPr>
                <w:color w:val="000000"/>
                <w:szCs w:val="20"/>
                <w:vertAlign w:val="superscript"/>
              </w:rPr>
              <w:t>1</w:t>
            </w:r>
          </w:p>
        </w:tc>
        <w:tc>
          <w:tcPr>
            <w:tcW w:w="629" w:type="pct"/>
            <w:tcBorders>
              <w:top w:val="single" w:sz="4" w:space="0" w:color="auto"/>
              <w:left w:val="nil"/>
              <w:bottom w:val="single" w:sz="4" w:space="0" w:color="auto"/>
              <w:right w:val="single" w:sz="4" w:space="0" w:color="auto"/>
            </w:tcBorders>
            <w:shd w:val="clear" w:color="auto" w:fill="auto"/>
            <w:vAlign w:val="center"/>
          </w:tcPr>
          <w:p w14:paraId="15C62942" w14:textId="03A771EE" w:rsidR="0025400C" w:rsidRPr="00A11D1D" w:rsidRDefault="005D733C" w:rsidP="00E26E55">
            <w:pPr>
              <w:pStyle w:val="TableText0"/>
              <w:jc w:val="center"/>
              <w:rPr>
                <w:color w:val="000000"/>
                <w:szCs w:val="20"/>
                <w:vertAlign w:val="superscript"/>
              </w:rPr>
            </w:pPr>
            <w:r w:rsidRPr="005D733C">
              <w:rPr>
                <w:color w:val="000000"/>
                <w:spacing w:val="49"/>
                <w:szCs w:val="20"/>
                <w:shd w:val="solid" w:color="000000" w:fill="000000"/>
                <w:fitText w:val="320" w:id="-1404863985"/>
                <w14:textFill>
                  <w14:solidFill>
                    <w14:srgbClr w14:val="000000">
                      <w14:alpha w14:val="100000"/>
                    </w14:srgbClr>
                  </w14:solidFill>
                </w14:textFill>
              </w:rPr>
              <w:t>|||</w:t>
            </w:r>
            <w:r w:rsidRPr="005D733C">
              <w:rPr>
                <w:color w:val="000000"/>
                <w:spacing w:val="3"/>
                <w:szCs w:val="20"/>
                <w:shd w:val="solid" w:color="000000" w:fill="000000"/>
                <w:fitText w:val="320" w:id="-1404863985"/>
                <w14:textFill>
                  <w14:solidFill>
                    <w14:srgbClr w14:val="000000">
                      <w14:alpha w14:val="100000"/>
                    </w14:srgbClr>
                  </w14:solidFill>
                </w14:textFill>
              </w:rPr>
              <w:t>|</w:t>
            </w:r>
            <w:r w:rsidR="00A11D1D">
              <w:rPr>
                <w:color w:val="000000"/>
                <w:szCs w:val="20"/>
                <w:vertAlign w:val="superscript"/>
              </w:rPr>
              <w:t>1</w:t>
            </w:r>
          </w:p>
        </w:tc>
        <w:tc>
          <w:tcPr>
            <w:tcW w:w="629" w:type="pct"/>
            <w:tcBorders>
              <w:top w:val="single" w:sz="4" w:space="0" w:color="auto"/>
              <w:left w:val="nil"/>
              <w:bottom w:val="single" w:sz="4" w:space="0" w:color="auto"/>
              <w:right w:val="single" w:sz="4" w:space="0" w:color="auto"/>
            </w:tcBorders>
            <w:shd w:val="clear" w:color="auto" w:fill="auto"/>
            <w:vAlign w:val="center"/>
          </w:tcPr>
          <w:p w14:paraId="6E2995B3" w14:textId="7CA189A7" w:rsidR="0025400C" w:rsidRPr="00A11D1D" w:rsidRDefault="005D733C" w:rsidP="00E26E55">
            <w:pPr>
              <w:pStyle w:val="TableText0"/>
              <w:jc w:val="center"/>
              <w:rPr>
                <w:color w:val="000000"/>
                <w:szCs w:val="20"/>
                <w:vertAlign w:val="superscript"/>
              </w:rPr>
            </w:pPr>
            <w:r w:rsidRPr="005D733C">
              <w:rPr>
                <w:color w:val="000000"/>
                <w:spacing w:val="49"/>
                <w:szCs w:val="20"/>
                <w:shd w:val="solid" w:color="000000" w:fill="000000"/>
                <w:fitText w:val="320" w:id="-1404863984"/>
                <w14:textFill>
                  <w14:solidFill>
                    <w14:srgbClr w14:val="000000">
                      <w14:alpha w14:val="100000"/>
                    </w14:srgbClr>
                  </w14:solidFill>
                </w14:textFill>
              </w:rPr>
              <w:t>|||</w:t>
            </w:r>
            <w:r w:rsidRPr="005D733C">
              <w:rPr>
                <w:color w:val="000000"/>
                <w:spacing w:val="3"/>
                <w:szCs w:val="20"/>
                <w:shd w:val="solid" w:color="000000" w:fill="000000"/>
                <w:fitText w:val="320" w:id="-1404863984"/>
                <w14:textFill>
                  <w14:solidFill>
                    <w14:srgbClr w14:val="000000">
                      <w14:alpha w14:val="100000"/>
                    </w14:srgbClr>
                  </w14:solidFill>
                </w14:textFill>
              </w:rPr>
              <w:t>|</w:t>
            </w:r>
            <w:r w:rsidR="00A11D1D">
              <w:rPr>
                <w:color w:val="000000"/>
                <w:szCs w:val="20"/>
                <w:vertAlign w:val="superscript"/>
              </w:rPr>
              <w:t>2</w:t>
            </w:r>
          </w:p>
        </w:tc>
        <w:tc>
          <w:tcPr>
            <w:tcW w:w="599" w:type="pct"/>
            <w:tcBorders>
              <w:top w:val="single" w:sz="4" w:space="0" w:color="auto"/>
              <w:left w:val="nil"/>
              <w:bottom w:val="single" w:sz="4" w:space="0" w:color="auto"/>
              <w:right w:val="single" w:sz="4" w:space="0" w:color="auto"/>
            </w:tcBorders>
            <w:shd w:val="clear" w:color="auto" w:fill="auto"/>
            <w:vAlign w:val="center"/>
          </w:tcPr>
          <w:p w14:paraId="4C60F43B" w14:textId="7463EB3A" w:rsidR="0025400C" w:rsidRPr="00A11D1D" w:rsidRDefault="005D733C" w:rsidP="00E26E55">
            <w:pPr>
              <w:pStyle w:val="TableText0"/>
              <w:jc w:val="center"/>
              <w:rPr>
                <w:color w:val="000000"/>
                <w:szCs w:val="20"/>
                <w:vertAlign w:val="superscript"/>
              </w:rPr>
            </w:pPr>
            <w:r w:rsidRPr="005B3F49">
              <w:rPr>
                <w:color w:val="000000"/>
                <w:spacing w:val="59"/>
                <w:szCs w:val="20"/>
                <w:shd w:val="solid" w:color="000000" w:fill="000000"/>
                <w:fitText w:val="350" w:id="-1404864000"/>
                <w14:textFill>
                  <w14:solidFill>
                    <w14:srgbClr w14:val="000000">
                      <w14:alpha w14:val="100000"/>
                    </w14:srgbClr>
                  </w14:solidFill>
                </w14:textFill>
              </w:rPr>
              <w:t>|||</w:t>
            </w:r>
            <w:r w:rsidRPr="005B3F49">
              <w:rPr>
                <w:color w:val="000000"/>
                <w:spacing w:val="1"/>
                <w:szCs w:val="20"/>
                <w:shd w:val="solid" w:color="000000" w:fill="000000"/>
                <w:fitText w:val="350" w:id="-1404864000"/>
                <w14:textFill>
                  <w14:solidFill>
                    <w14:srgbClr w14:val="000000">
                      <w14:alpha w14:val="100000"/>
                    </w14:srgbClr>
                  </w14:solidFill>
                </w14:textFill>
              </w:rPr>
              <w:t>|</w:t>
            </w:r>
            <w:r w:rsidR="00A11D1D">
              <w:rPr>
                <w:color w:val="000000"/>
                <w:szCs w:val="20"/>
                <w:vertAlign w:val="superscript"/>
              </w:rPr>
              <w:t>2</w:t>
            </w:r>
          </w:p>
        </w:tc>
      </w:tr>
      <w:tr w:rsidR="0025400C" w:rsidRPr="000E6572" w14:paraId="11C782A5" w14:textId="77777777" w:rsidTr="00E26E55">
        <w:trPr>
          <w:tblHeader/>
        </w:trPr>
        <w:tc>
          <w:tcPr>
            <w:tcW w:w="5000" w:type="pct"/>
            <w:gridSpan w:val="7"/>
            <w:tcBorders>
              <w:right w:val="single" w:sz="4" w:space="0" w:color="auto"/>
            </w:tcBorders>
            <w:shd w:val="clear" w:color="auto" w:fill="auto"/>
            <w:vAlign w:val="center"/>
          </w:tcPr>
          <w:p w14:paraId="414BBE12" w14:textId="77777777" w:rsidR="0025400C" w:rsidRDefault="0025400C" w:rsidP="00E26E55">
            <w:pPr>
              <w:pStyle w:val="TableText0"/>
              <w:rPr>
                <w:color w:val="000000"/>
                <w:szCs w:val="20"/>
              </w:rPr>
            </w:pPr>
            <w:r>
              <w:rPr>
                <w:b/>
                <w:bCs w:val="0"/>
                <w:szCs w:val="20"/>
              </w:rPr>
              <w:t>Cost to R/PBS</w:t>
            </w:r>
          </w:p>
        </w:tc>
      </w:tr>
      <w:tr w:rsidR="0025400C" w:rsidRPr="000E6572" w14:paraId="26942A09" w14:textId="77777777" w:rsidTr="009B211A">
        <w:trPr>
          <w:tblHeader/>
        </w:trPr>
        <w:tc>
          <w:tcPr>
            <w:tcW w:w="1255" w:type="pct"/>
            <w:shd w:val="clear" w:color="auto" w:fill="auto"/>
            <w:vAlign w:val="center"/>
          </w:tcPr>
          <w:p w14:paraId="2DEBC012" w14:textId="77777777" w:rsidR="0025400C" w:rsidRPr="002A0FAF" w:rsidRDefault="0025400C" w:rsidP="00E26E55">
            <w:pPr>
              <w:pStyle w:val="In-tableHeading"/>
              <w:rPr>
                <w:b w:val="0"/>
                <w:bCs/>
                <w:szCs w:val="20"/>
              </w:rPr>
            </w:pPr>
            <w:r>
              <w:rPr>
                <w:b w:val="0"/>
                <w:bCs/>
                <w:szCs w:val="20"/>
              </w:rPr>
              <w:t>For initial and continuing</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48343AFF" w14:textId="6928CE03" w:rsidR="0025400C" w:rsidRPr="00A11D1D" w:rsidRDefault="0025400C" w:rsidP="00E26E55">
            <w:pPr>
              <w:pStyle w:val="TableText0"/>
              <w:jc w:val="center"/>
              <w:rPr>
                <w:color w:val="000000"/>
                <w:szCs w:val="20"/>
                <w:vertAlign w:val="superscript"/>
              </w:rPr>
            </w:pPr>
            <w:r w:rsidRPr="009D0BB0">
              <w:t>$</w:t>
            </w:r>
            <w:r w:rsidR="005D733C" w:rsidRPr="005D733C">
              <w:rPr>
                <w:color w:val="000000"/>
                <w:spacing w:val="66"/>
                <w:shd w:val="solid" w:color="000000" w:fill="000000"/>
                <w:fitText w:val="370" w:id="-1404863999"/>
                <w14:textFill>
                  <w14:solidFill>
                    <w14:srgbClr w14:val="000000">
                      <w14:alpha w14:val="100000"/>
                    </w14:srgbClr>
                  </w14:solidFill>
                </w14:textFill>
              </w:rPr>
              <w:t>|||</w:t>
            </w:r>
            <w:r w:rsidR="005D733C" w:rsidRPr="005D733C">
              <w:rPr>
                <w:color w:val="000000"/>
                <w:spacing w:val="2"/>
                <w:shd w:val="solid" w:color="000000" w:fill="000000"/>
                <w:fitText w:val="370" w:id="-1404863999"/>
                <w14:textFill>
                  <w14:solidFill>
                    <w14:srgbClr w14:val="000000">
                      <w14:alpha w14:val="100000"/>
                    </w14:srgbClr>
                  </w14:solidFill>
                </w14:textFill>
              </w:rPr>
              <w:t>|</w:t>
            </w:r>
            <w:r w:rsidR="00A11D1D">
              <w:rPr>
                <w:vertAlign w:val="superscript"/>
              </w:rPr>
              <w:t>3</w:t>
            </w:r>
          </w:p>
        </w:tc>
        <w:tc>
          <w:tcPr>
            <w:tcW w:w="629" w:type="pct"/>
            <w:tcBorders>
              <w:top w:val="single" w:sz="4" w:space="0" w:color="auto"/>
              <w:left w:val="nil"/>
              <w:bottom w:val="single" w:sz="4" w:space="0" w:color="auto"/>
              <w:right w:val="single" w:sz="4" w:space="0" w:color="auto"/>
            </w:tcBorders>
            <w:shd w:val="clear" w:color="auto" w:fill="auto"/>
            <w:vAlign w:val="center"/>
          </w:tcPr>
          <w:p w14:paraId="16C814EB" w14:textId="2043BAC4" w:rsidR="0025400C" w:rsidRPr="00A11D1D" w:rsidRDefault="0025400C" w:rsidP="00E26E55">
            <w:pPr>
              <w:pStyle w:val="TableText0"/>
              <w:jc w:val="center"/>
              <w:rPr>
                <w:color w:val="000000"/>
                <w:szCs w:val="20"/>
                <w:vertAlign w:val="superscript"/>
              </w:rPr>
            </w:pPr>
            <w:r w:rsidRPr="009D0BB0">
              <w:t>$</w:t>
            </w:r>
            <w:r w:rsidR="005D733C" w:rsidRPr="005D733C">
              <w:rPr>
                <w:color w:val="000000"/>
                <w:spacing w:val="66"/>
                <w:shd w:val="solid" w:color="000000" w:fill="000000"/>
                <w:fitText w:val="370" w:id="-1404863998"/>
                <w14:textFill>
                  <w14:solidFill>
                    <w14:srgbClr w14:val="000000">
                      <w14:alpha w14:val="100000"/>
                    </w14:srgbClr>
                  </w14:solidFill>
                </w14:textFill>
              </w:rPr>
              <w:t>|||</w:t>
            </w:r>
            <w:r w:rsidR="005D733C" w:rsidRPr="005D733C">
              <w:rPr>
                <w:color w:val="000000"/>
                <w:spacing w:val="2"/>
                <w:shd w:val="solid" w:color="000000" w:fill="000000"/>
                <w:fitText w:val="370" w:id="-1404863998"/>
                <w14:textFill>
                  <w14:solidFill>
                    <w14:srgbClr w14:val="000000">
                      <w14:alpha w14:val="100000"/>
                    </w14:srgbClr>
                  </w14:solidFill>
                </w14:textFill>
              </w:rPr>
              <w:t>|</w:t>
            </w:r>
            <w:r w:rsidR="00A11D1D">
              <w:rPr>
                <w:vertAlign w:val="superscript"/>
              </w:rPr>
              <w:t>3</w:t>
            </w:r>
          </w:p>
        </w:tc>
        <w:tc>
          <w:tcPr>
            <w:tcW w:w="629" w:type="pct"/>
            <w:tcBorders>
              <w:top w:val="single" w:sz="4" w:space="0" w:color="auto"/>
              <w:left w:val="nil"/>
              <w:bottom w:val="single" w:sz="4" w:space="0" w:color="auto"/>
              <w:right w:val="single" w:sz="4" w:space="0" w:color="auto"/>
            </w:tcBorders>
            <w:shd w:val="clear" w:color="auto" w:fill="auto"/>
            <w:vAlign w:val="center"/>
          </w:tcPr>
          <w:p w14:paraId="14D72B67" w14:textId="79A2CE38" w:rsidR="0025400C" w:rsidRPr="00A11D1D" w:rsidRDefault="0025400C" w:rsidP="00E26E55">
            <w:pPr>
              <w:pStyle w:val="TableText0"/>
              <w:jc w:val="center"/>
              <w:rPr>
                <w:color w:val="000000"/>
                <w:szCs w:val="20"/>
                <w:vertAlign w:val="superscript"/>
              </w:rPr>
            </w:pPr>
            <w:r w:rsidRPr="009D0BB0">
              <w:t>$</w:t>
            </w:r>
            <w:r w:rsidR="005D733C" w:rsidRPr="005D733C">
              <w:rPr>
                <w:color w:val="000000"/>
                <w:spacing w:val="66"/>
                <w:shd w:val="solid" w:color="000000" w:fill="000000"/>
                <w:fitText w:val="370" w:id="-1404863997"/>
                <w14:textFill>
                  <w14:solidFill>
                    <w14:srgbClr w14:val="000000">
                      <w14:alpha w14:val="100000"/>
                    </w14:srgbClr>
                  </w14:solidFill>
                </w14:textFill>
              </w:rPr>
              <w:t>|||</w:t>
            </w:r>
            <w:r w:rsidR="005D733C" w:rsidRPr="005D733C">
              <w:rPr>
                <w:color w:val="000000"/>
                <w:spacing w:val="2"/>
                <w:shd w:val="solid" w:color="000000" w:fill="000000"/>
                <w:fitText w:val="370" w:id="-1404863997"/>
                <w14:textFill>
                  <w14:solidFill>
                    <w14:srgbClr w14:val="000000">
                      <w14:alpha w14:val="100000"/>
                    </w14:srgbClr>
                  </w14:solidFill>
                </w14:textFill>
              </w:rPr>
              <w:t>|</w:t>
            </w:r>
            <w:r w:rsidR="00A11D1D">
              <w:rPr>
                <w:vertAlign w:val="superscript"/>
              </w:rPr>
              <w:t>3</w:t>
            </w:r>
          </w:p>
        </w:tc>
        <w:tc>
          <w:tcPr>
            <w:tcW w:w="629" w:type="pct"/>
            <w:tcBorders>
              <w:top w:val="single" w:sz="4" w:space="0" w:color="auto"/>
              <w:left w:val="nil"/>
              <w:bottom w:val="single" w:sz="4" w:space="0" w:color="auto"/>
              <w:right w:val="single" w:sz="4" w:space="0" w:color="auto"/>
            </w:tcBorders>
            <w:shd w:val="clear" w:color="auto" w:fill="auto"/>
            <w:vAlign w:val="center"/>
          </w:tcPr>
          <w:p w14:paraId="1DA8D275" w14:textId="680EA716" w:rsidR="0025400C" w:rsidRPr="00A11D1D" w:rsidRDefault="0025400C" w:rsidP="00E26E55">
            <w:pPr>
              <w:pStyle w:val="TableText0"/>
              <w:jc w:val="center"/>
              <w:rPr>
                <w:color w:val="000000"/>
                <w:szCs w:val="20"/>
                <w:vertAlign w:val="superscript"/>
              </w:rPr>
            </w:pPr>
            <w:r w:rsidRPr="009D0BB0">
              <w:t>$</w:t>
            </w:r>
            <w:r w:rsidR="005D733C" w:rsidRPr="005D733C">
              <w:rPr>
                <w:color w:val="000000"/>
                <w:spacing w:val="66"/>
                <w:shd w:val="solid" w:color="000000" w:fill="000000"/>
                <w:fitText w:val="370" w:id="-1404863996"/>
                <w14:textFill>
                  <w14:solidFill>
                    <w14:srgbClr w14:val="000000">
                      <w14:alpha w14:val="100000"/>
                    </w14:srgbClr>
                  </w14:solidFill>
                </w14:textFill>
              </w:rPr>
              <w:t>|||</w:t>
            </w:r>
            <w:r w:rsidR="005D733C" w:rsidRPr="005D733C">
              <w:rPr>
                <w:color w:val="000000"/>
                <w:spacing w:val="2"/>
                <w:shd w:val="solid" w:color="000000" w:fill="000000"/>
                <w:fitText w:val="370" w:id="-1404863996"/>
                <w14:textFill>
                  <w14:solidFill>
                    <w14:srgbClr w14:val="000000">
                      <w14:alpha w14:val="100000"/>
                    </w14:srgbClr>
                  </w14:solidFill>
                </w14:textFill>
              </w:rPr>
              <w:t>|</w:t>
            </w:r>
            <w:r w:rsidR="00A11D1D">
              <w:rPr>
                <w:vertAlign w:val="superscript"/>
              </w:rPr>
              <w:t>3</w:t>
            </w:r>
          </w:p>
        </w:tc>
        <w:tc>
          <w:tcPr>
            <w:tcW w:w="629" w:type="pct"/>
            <w:tcBorders>
              <w:top w:val="single" w:sz="4" w:space="0" w:color="auto"/>
              <w:left w:val="nil"/>
              <w:bottom w:val="single" w:sz="4" w:space="0" w:color="auto"/>
              <w:right w:val="single" w:sz="4" w:space="0" w:color="auto"/>
            </w:tcBorders>
            <w:shd w:val="clear" w:color="auto" w:fill="auto"/>
            <w:vAlign w:val="center"/>
          </w:tcPr>
          <w:p w14:paraId="709E8348" w14:textId="5831AA6E" w:rsidR="0025400C" w:rsidRPr="00A11D1D" w:rsidRDefault="0025400C" w:rsidP="00E26E55">
            <w:pPr>
              <w:pStyle w:val="TableText0"/>
              <w:jc w:val="center"/>
              <w:rPr>
                <w:color w:val="000000"/>
                <w:szCs w:val="20"/>
                <w:vertAlign w:val="superscript"/>
              </w:rPr>
            </w:pPr>
            <w:r w:rsidRPr="009D0BB0">
              <w:t>$</w:t>
            </w:r>
            <w:r w:rsidR="005D733C" w:rsidRPr="005D733C">
              <w:rPr>
                <w:color w:val="000000"/>
                <w:spacing w:val="66"/>
                <w:shd w:val="solid" w:color="000000" w:fill="000000"/>
                <w:fitText w:val="370" w:id="-1404863995"/>
                <w14:textFill>
                  <w14:solidFill>
                    <w14:srgbClr w14:val="000000">
                      <w14:alpha w14:val="100000"/>
                    </w14:srgbClr>
                  </w14:solidFill>
                </w14:textFill>
              </w:rPr>
              <w:t>|||</w:t>
            </w:r>
            <w:r w:rsidR="005D733C" w:rsidRPr="005D733C">
              <w:rPr>
                <w:color w:val="000000"/>
                <w:spacing w:val="2"/>
                <w:shd w:val="solid" w:color="000000" w:fill="000000"/>
                <w:fitText w:val="370" w:id="-1404863995"/>
                <w14:textFill>
                  <w14:solidFill>
                    <w14:srgbClr w14:val="000000">
                      <w14:alpha w14:val="100000"/>
                    </w14:srgbClr>
                  </w14:solidFill>
                </w14:textFill>
              </w:rPr>
              <w:t>|</w:t>
            </w:r>
            <w:r w:rsidR="00A11D1D">
              <w:rPr>
                <w:vertAlign w:val="superscript"/>
              </w:rPr>
              <w:t>3</w:t>
            </w:r>
          </w:p>
        </w:tc>
        <w:tc>
          <w:tcPr>
            <w:tcW w:w="599" w:type="pct"/>
            <w:tcBorders>
              <w:top w:val="single" w:sz="4" w:space="0" w:color="auto"/>
              <w:left w:val="nil"/>
              <w:bottom w:val="single" w:sz="4" w:space="0" w:color="auto"/>
              <w:right w:val="single" w:sz="4" w:space="0" w:color="auto"/>
            </w:tcBorders>
            <w:shd w:val="clear" w:color="auto" w:fill="auto"/>
            <w:vAlign w:val="center"/>
          </w:tcPr>
          <w:p w14:paraId="0C1F4484" w14:textId="463B69E9" w:rsidR="0025400C" w:rsidRPr="00A11D1D" w:rsidRDefault="0025400C" w:rsidP="00E26E55">
            <w:pPr>
              <w:pStyle w:val="TableText0"/>
              <w:jc w:val="center"/>
              <w:rPr>
                <w:color w:val="000000"/>
                <w:szCs w:val="20"/>
                <w:vertAlign w:val="superscript"/>
              </w:rPr>
            </w:pPr>
            <w:r w:rsidRPr="009D0BB0">
              <w:t>$</w:t>
            </w:r>
            <w:r w:rsidR="005D733C" w:rsidRPr="005B3F49">
              <w:rPr>
                <w:color w:val="000000"/>
                <w:spacing w:val="76"/>
                <w:shd w:val="solid" w:color="000000" w:fill="000000"/>
                <w:fitText w:val="400" w:id="-1404863994"/>
                <w14:textFill>
                  <w14:solidFill>
                    <w14:srgbClr w14:val="000000">
                      <w14:alpha w14:val="100000"/>
                    </w14:srgbClr>
                  </w14:solidFill>
                </w14:textFill>
              </w:rPr>
              <w:t>|||</w:t>
            </w:r>
            <w:r w:rsidR="005D733C" w:rsidRPr="005B3F49">
              <w:rPr>
                <w:color w:val="000000"/>
                <w:shd w:val="solid" w:color="000000" w:fill="000000"/>
                <w:fitText w:val="400" w:id="-1404863994"/>
                <w14:textFill>
                  <w14:solidFill>
                    <w14:srgbClr w14:val="000000">
                      <w14:alpha w14:val="100000"/>
                    </w14:srgbClr>
                  </w14:solidFill>
                </w14:textFill>
              </w:rPr>
              <w:t>|</w:t>
            </w:r>
            <w:r w:rsidR="00A11D1D">
              <w:rPr>
                <w:vertAlign w:val="superscript"/>
              </w:rPr>
              <w:t>3</w:t>
            </w:r>
          </w:p>
        </w:tc>
      </w:tr>
      <w:tr w:rsidR="0025400C" w:rsidRPr="000E6572" w14:paraId="2E5EC729" w14:textId="77777777" w:rsidTr="009B211A">
        <w:trPr>
          <w:tblHeader/>
        </w:trPr>
        <w:tc>
          <w:tcPr>
            <w:tcW w:w="1255" w:type="pct"/>
            <w:shd w:val="clear" w:color="auto" w:fill="auto"/>
            <w:vAlign w:val="center"/>
          </w:tcPr>
          <w:p w14:paraId="1D1D69F2" w14:textId="77777777" w:rsidR="0025400C" w:rsidRPr="002A0FAF" w:rsidRDefault="0025400C" w:rsidP="00E26E55">
            <w:pPr>
              <w:pStyle w:val="In-tableHeading"/>
              <w:rPr>
                <w:b w:val="0"/>
                <w:bCs/>
                <w:szCs w:val="20"/>
              </w:rPr>
            </w:pPr>
            <w:r>
              <w:rPr>
                <w:b w:val="0"/>
                <w:bCs/>
                <w:szCs w:val="20"/>
              </w:rPr>
              <w:t>For dose escalation</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0C76381E" w14:textId="6E0523DF" w:rsidR="0025400C" w:rsidRPr="00A11D1D" w:rsidRDefault="0025400C" w:rsidP="00E26E55">
            <w:pPr>
              <w:pStyle w:val="TableText0"/>
              <w:jc w:val="center"/>
              <w:rPr>
                <w:color w:val="000000"/>
                <w:szCs w:val="20"/>
                <w:vertAlign w:val="superscript"/>
              </w:rPr>
            </w:pPr>
            <w:r w:rsidRPr="00B8180F">
              <w:t>$</w:t>
            </w:r>
            <w:r w:rsidR="005D733C" w:rsidRPr="005D733C">
              <w:rPr>
                <w:color w:val="000000"/>
                <w:spacing w:val="66"/>
                <w:shd w:val="solid" w:color="000000" w:fill="000000"/>
                <w:fitText w:val="370" w:id="-1404863993"/>
                <w14:textFill>
                  <w14:solidFill>
                    <w14:srgbClr w14:val="000000">
                      <w14:alpha w14:val="100000"/>
                    </w14:srgbClr>
                  </w14:solidFill>
                </w14:textFill>
              </w:rPr>
              <w:t>|||</w:t>
            </w:r>
            <w:r w:rsidR="005D733C" w:rsidRPr="005D733C">
              <w:rPr>
                <w:color w:val="000000"/>
                <w:spacing w:val="2"/>
                <w:shd w:val="solid" w:color="000000" w:fill="000000"/>
                <w:fitText w:val="370" w:id="-1404863993"/>
                <w14:textFill>
                  <w14:solidFill>
                    <w14:srgbClr w14:val="000000">
                      <w14:alpha w14:val="100000"/>
                    </w14:srgbClr>
                  </w14:solidFill>
                </w14:textFill>
              </w:rPr>
              <w:t>|</w:t>
            </w:r>
            <w:r w:rsidR="00A11D1D">
              <w:rPr>
                <w:vertAlign w:val="superscript"/>
              </w:rPr>
              <w:t>3</w:t>
            </w:r>
          </w:p>
        </w:tc>
        <w:tc>
          <w:tcPr>
            <w:tcW w:w="629" w:type="pct"/>
            <w:tcBorders>
              <w:top w:val="single" w:sz="4" w:space="0" w:color="auto"/>
              <w:left w:val="nil"/>
              <w:bottom w:val="single" w:sz="4" w:space="0" w:color="auto"/>
              <w:right w:val="single" w:sz="4" w:space="0" w:color="auto"/>
            </w:tcBorders>
            <w:shd w:val="clear" w:color="auto" w:fill="auto"/>
            <w:vAlign w:val="center"/>
          </w:tcPr>
          <w:p w14:paraId="2E538A27" w14:textId="7044CFEC" w:rsidR="0025400C" w:rsidRPr="00A11D1D" w:rsidRDefault="0025400C" w:rsidP="00E26E55">
            <w:pPr>
              <w:pStyle w:val="TableText0"/>
              <w:jc w:val="center"/>
              <w:rPr>
                <w:color w:val="000000"/>
                <w:szCs w:val="20"/>
                <w:vertAlign w:val="superscript"/>
              </w:rPr>
            </w:pPr>
            <w:r w:rsidRPr="00B8180F">
              <w:t>$</w:t>
            </w:r>
            <w:r w:rsidR="005D733C" w:rsidRPr="005D733C">
              <w:rPr>
                <w:color w:val="000000"/>
                <w:spacing w:val="66"/>
                <w:shd w:val="solid" w:color="000000" w:fill="000000"/>
                <w:fitText w:val="370" w:id="-1404863992"/>
                <w14:textFill>
                  <w14:solidFill>
                    <w14:srgbClr w14:val="000000">
                      <w14:alpha w14:val="100000"/>
                    </w14:srgbClr>
                  </w14:solidFill>
                </w14:textFill>
              </w:rPr>
              <w:t>|||</w:t>
            </w:r>
            <w:r w:rsidR="005D733C" w:rsidRPr="005D733C">
              <w:rPr>
                <w:color w:val="000000"/>
                <w:spacing w:val="2"/>
                <w:shd w:val="solid" w:color="000000" w:fill="000000"/>
                <w:fitText w:val="370" w:id="-1404863992"/>
                <w14:textFill>
                  <w14:solidFill>
                    <w14:srgbClr w14:val="000000">
                      <w14:alpha w14:val="100000"/>
                    </w14:srgbClr>
                  </w14:solidFill>
                </w14:textFill>
              </w:rPr>
              <w:t>|</w:t>
            </w:r>
            <w:r w:rsidR="00A11D1D">
              <w:rPr>
                <w:vertAlign w:val="superscript"/>
              </w:rPr>
              <w:t>3</w:t>
            </w:r>
          </w:p>
        </w:tc>
        <w:tc>
          <w:tcPr>
            <w:tcW w:w="629" w:type="pct"/>
            <w:tcBorders>
              <w:top w:val="single" w:sz="4" w:space="0" w:color="auto"/>
              <w:left w:val="nil"/>
              <w:bottom w:val="single" w:sz="4" w:space="0" w:color="auto"/>
              <w:right w:val="single" w:sz="4" w:space="0" w:color="auto"/>
            </w:tcBorders>
            <w:shd w:val="clear" w:color="auto" w:fill="auto"/>
            <w:vAlign w:val="center"/>
          </w:tcPr>
          <w:p w14:paraId="55E7B6EF" w14:textId="4F070F33" w:rsidR="0025400C" w:rsidRPr="00A11D1D" w:rsidRDefault="0025400C" w:rsidP="00E26E55">
            <w:pPr>
              <w:pStyle w:val="TableText0"/>
              <w:jc w:val="center"/>
              <w:rPr>
                <w:color w:val="000000"/>
                <w:szCs w:val="20"/>
                <w:vertAlign w:val="superscript"/>
              </w:rPr>
            </w:pPr>
            <w:r w:rsidRPr="00B8180F">
              <w:t>$</w:t>
            </w:r>
            <w:r w:rsidR="005D733C" w:rsidRPr="005D733C">
              <w:rPr>
                <w:color w:val="000000"/>
                <w:spacing w:val="66"/>
                <w:shd w:val="solid" w:color="000000" w:fill="000000"/>
                <w:fitText w:val="370" w:id="-1404863991"/>
                <w14:textFill>
                  <w14:solidFill>
                    <w14:srgbClr w14:val="000000">
                      <w14:alpha w14:val="100000"/>
                    </w14:srgbClr>
                  </w14:solidFill>
                </w14:textFill>
              </w:rPr>
              <w:t>|||</w:t>
            </w:r>
            <w:r w:rsidR="005D733C" w:rsidRPr="005D733C">
              <w:rPr>
                <w:color w:val="000000"/>
                <w:spacing w:val="2"/>
                <w:shd w:val="solid" w:color="000000" w:fill="000000"/>
                <w:fitText w:val="370" w:id="-1404863991"/>
                <w14:textFill>
                  <w14:solidFill>
                    <w14:srgbClr w14:val="000000">
                      <w14:alpha w14:val="100000"/>
                    </w14:srgbClr>
                  </w14:solidFill>
                </w14:textFill>
              </w:rPr>
              <w:t>|</w:t>
            </w:r>
            <w:r w:rsidR="00A11D1D">
              <w:rPr>
                <w:vertAlign w:val="superscript"/>
              </w:rPr>
              <w:t>3</w:t>
            </w:r>
          </w:p>
        </w:tc>
        <w:tc>
          <w:tcPr>
            <w:tcW w:w="629" w:type="pct"/>
            <w:tcBorders>
              <w:top w:val="single" w:sz="4" w:space="0" w:color="auto"/>
              <w:left w:val="nil"/>
              <w:bottom w:val="single" w:sz="4" w:space="0" w:color="auto"/>
              <w:right w:val="single" w:sz="4" w:space="0" w:color="auto"/>
            </w:tcBorders>
            <w:shd w:val="clear" w:color="auto" w:fill="auto"/>
            <w:vAlign w:val="center"/>
          </w:tcPr>
          <w:p w14:paraId="3561D494" w14:textId="28B6A641" w:rsidR="0025400C" w:rsidRPr="00A11D1D" w:rsidRDefault="0025400C" w:rsidP="00E26E55">
            <w:pPr>
              <w:pStyle w:val="TableText0"/>
              <w:jc w:val="center"/>
              <w:rPr>
                <w:color w:val="000000"/>
                <w:szCs w:val="20"/>
                <w:vertAlign w:val="superscript"/>
              </w:rPr>
            </w:pPr>
            <w:r w:rsidRPr="00B8180F">
              <w:t>$</w:t>
            </w:r>
            <w:r w:rsidR="005D733C" w:rsidRPr="005D733C">
              <w:rPr>
                <w:color w:val="000000"/>
                <w:spacing w:val="66"/>
                <w:shd w:val="solid" w:color="000000" w:fill="000000"/>
                <w:fitText w:val="370" w:id="-1404863990"/>
                <w14:textFill>
                  <w14:solidFill>
                    <w14:srgbClr w14:val="000000">
                      <w14:alpha w14:val="100000"/>
                    </w14:srgbClr>
                  </w14:solidFill>
                </w14:textFill>
              </w:rPr>
              <w:t>|||</w:t>
            </w:r>
            <w:r w:rsidR="005D733C" w:rsidRPr="005D733C">
              <w:rPr>
                <w:color w:val="000000"/>
                <w:spacing w:val="2"/>
                <w:shd w:val="solid" w:color="000000" w:fill="000000"/>
                <w:fitText w:val="370" w:id="-1404863990"/>
                <w14:textFill>
                  <w14:solidFill>
                    <w14:srgbClr w14:val="000000">
                      <w14:alpha w14:val="100000"/>
                    </w14:srgbClr>
                  </w14:solidFill>
                </w14:textFill>
              </w:rPr>
              <w:t>|</w:t>
            </w:r>
            <w:r w:rsidR="00A11D1D">
              <w:rPr>
                <w:vertAlign w:val="superscript"/>
              </w:rPr>
              <w:t>3</w:t>
            </w:r>
          </w:p>
        </w:tc>
        <w:tc>
          <w:tcPr>
            <w:tcW w:w="629" w:type="pct"/>
            <w:tcBorders>
              <w:top w:val="single" w:sz="4" w:space="0" w:color="auto"/>
              <w:left w:val="nil"/>
              <w:bottom w:val="single" w:sz="4" w:space="0" w:color="auto"/>
              <w:right w:val="single" w:sz="4" w:space="0" w:color="auto"/>
            </w:tcBorders>
            <w:shd w:val="clear" w:color="auto" w:fill="auto"/>
            <w:vAlign w:val="center"/>
          </w:tcPr>
          <w:p w14:paraId="0524FEDF" w14:textId="6FA2D23A" w:rsidR="0025400C" w:rsidRPr="00A11D1D" w:rsidRDefault="0025400C" w:rsidP="00E26E55">
            <w:pPr>
              <w:pStyle w:val="TableText0"/>
              <w:jc w:val="center"/>
              <w:rPr>
                <w:color w:val="000000"/>
                <w:szCs w:val="20"/>
                <w:vertAlign w:val="superscript"/>
              </w:rPr>
            </w:pPr>
            <w:r w:rsidRPr="00B8180F">
              <w:t>$</w:t>
            </w:r>
            <w:r w:rsidR="005D733C" w:rsidRPr="005D733C">
              <w:rPr>
                <w:color w:val="000000"/>
                <w:spacing w:val="66"/>
                <w:shd w:val="solid" w:color="000000" w:fill="000000"/>
                <w:fitText w:val="370" w:id="-1404863989"/>
                <w14:textFill>
                  <w14:solidFill>
                    <w14:srgbClr w14:val="000000">
                      <w14:alpha w14:val="100000"/>
                    </w14:srgbClr>
                  </w14:solidFill>
                </w14:textFill>
              </w:rPr>
              <w:t>|||</w:t>
            </w:r>
            <w:r w:rsidR="005D733C" w:rsidRPr="005D733C">
              <w:rPr>
                <w:color w:val="000000"/>
                <w:spacing w:val="2"/>
                <w:shd w:val="solid" w:color="000000" w:fill="000000"/>
                <w:fitText w:val="370" w:id="-1404863989"/>
                <w14:textFill>
                  <w14:solidFill>
                    <w14:srgbClr w14:val="000000">
                      <w14:alpha w14:val="100000"/>
                    </w14:srgbClr>
                  </w14:solidFill>
                </w14:textFill>
              </w:rPr>
              <w:t>|</w:t>
            </w:r>
            <w:r w:rsidR="00A11D1D">
              <w:rPr>
                <w:vertAlign w:val="superscript"/>
              </w:rPr>
              <w:t>3</w:t>
            </w:r>
          </w:p>
        </w:tc>
        <w:tc>
          <w:tcPr>
            <w:tcW w:w="599" w:type="pct"/>
            <w:tcBorders>
              <w:top w:val="single" w:sz="4" w:space="0" w:color="auto"/>
              <w:left w:val="nil"/>
              <w:bottom w:val="single" w:sz="4" w:space="0" w:color="auto"/>
              <w:right w:val="single" w:sz="4" w:space="0" w:color="auto"/>
            </w:tcBorders>
            <w:shd w:val="clear" w:color="auto" w:fill="auto"/>
            <w:vAlign w:val="center"/>
          </w:tcPr>
          <w:p w14:paraId="775260F6" w14:textId="0C69AF91" w:rsidR="0025400C" w:rsidRPr="00A11D1D" w:rsidRDefault="0025400C" w:rsidP="00E26E55">
            <w:pPr>
              <w:pStyle w:val="TableText0"/>
              <w:jc w:val="center"/>
              <w:rPr>
                <w:color w:val="000000"/>
                <w:szCs w:val="20"/>
                <w:vertAlign w:val="superscript"/>
              </w:rPr>
            </w:pPr>
            <w:r w:rsidRPr="00B8180F">
              <w:t>$</w:t>
            </w:r>
            <w:r w:rsidR="005D733C" w:rsidRPr="005B3F49">
              <w:rPr>
                <w:color w:val="000000"/>
                <w:spacing w:val="76"/>
                <w:shd w:val="solid" w:color="000000" w:fill="000000"/>
                <w:fitText w:val="400" w:id="-1404863988"/>
                <w14:textFill>
                  <w14:solidFill>
                    <w14:srgbClr w14:val="000000">
                      <w14:alpha w14:val="100000"/>
                    </w14:srgbClr>
                  </w14:solidFill>
                </w14:textFill>
              </w:rPr>
              <w:t>|||</w:t>
            </w:r>
            <w:r w:rsidR="005D733C" w:rsidRPr="005B3F49">
              <w:rPr>
                <w:color w:val="000000"/>
                <w:shd w:val="solid" w:color="000000" w:fill="000000"/>
                <w:fitText w:val="400" w:id="-1404863988"/>
                <w14:textFill>
                  <w14:solidFill>
                    <w14:srgbClr w14:val="000000">
                      <w14:alpha w14:val="100000"/>
                    </w14:srgbClr>
                  </w14:solidFill>
                </w14:textFill>
              </w:rPr>
              <w:t>|</w:t>
            </w:r>
            <w:r w:rsidR="00A11D1D">
              <w:rPr>
                <w:vertAlign w:val="superscript"/>
              </w:rPr>
              <w:t>3</w:t>
            </w:r>
          </w:p>
        </w:tc>
      </w:tr>
      <w:tr w:rsidR="0025400C" w:rsidRPr="000E6572" w14:paraId="16D7D74C" w14:textId="77777777" w:rsidTr="009B211A">
        <w:trPr>
          <w:tblHeader/>
        </w:trPr>
        <w:tc>
          <w:tcPr>
            <w:tcW w:w="1255" w:type="pct"/>
            <w:shd w:val="clear" w:color="auto" w:fill="auto"/>
            <w:vAlign w:val="center"/>
          </w:tcPr>
          <w:p w14:paraId="050B4B3C" w14:textId="77777777" w:rsidR="0025400C" w:rsidRPr="00086D36" w:rsidRDefault="0025400C" w:rsidP="00E26E55">
            <w:pPr>
              <w:pStyle w:val="In-tableHeading"/>
              <w:rPr>
                <w:szCs w:val="20"/>
              </w:rPr>
            </w:pPr>
            <w:r w:rsidRPr="00086D36">
              <w:rPr>
                <w:szCs w:val="20"/>
              </w:rPr>
              <w:t>Net cost to PBS/RPBS</w:t>
            </w:r>
          </w:p>
        </w:tc>
        <w:tc>
          <w:tcPr>
            <w:tcW w:w="630" w:type="pct"/>
            <w:shd w:val="clear" w:color="auto" w:fill="auto"/>
          </w:tcPr>
          <w:p w14:paraId="1D520062" w14:textId="0E9FD30E" w:rsidR="0025400C" w:rsidRPr="00A11D1D" w:rsidRDefault="0025400C" w:rsidP="00E26E55">
            <w:pPr>
              <w:pStyle w:val="TableText0"/>
              <w:jc w:val="center"/>
              <w:rPr>
                <w:b/>
                <w:bCs w:val="0"/>
                <w:color w:val="000000"/>
                <w:szCs w:val="20"/>
                <w:vertAlign w:val="superscript"/>
              </w:rPr>
            </w:pPr>
            <w:r w:rsidRPr="00086D36">
              <w:rPr>
                <w:b/>
                <w:bCs w:val="0"/>
                <w:color w:val="000000"/>
                <w:szCs w:val="20"/>
              </w:rPr>
              <w:t>$</w:t>
            </w:r>
            <w:r w:rsidR="005D733C" w:rsidRPr="005B3F49">
              <w:rPr>
                <w:b/>
                <w:bCs w:val="0"/>
                <w:color w:val="000000"/>
                <w:spacing w:val="45"/>
                <w:szCs w:val="20"/>
                <w:shd w:val="solid" w:color="000000" w:fill="000000"/>
                <w:fitText w:val="330" w:id="-1404863987"/>
                <w14:textFill>
                  <w14:solidFill>
                    <w14:srgbClr w14:val="000000">
                      <w14:alpha w14:val="100000"/>
                    </w14:srgbClr>
                  </w14:solidFill>
                </w14:textFill>
              </w:rPr>
              <w:t>|||</w:t>
            </w:r>
            <w:r w:rsidR="005D733C" w:rsidRPr="005B3F49">
              <w:rPr>
                <w:b/>
                <w:bCs w:val="0"/>
                <w:color w:val="000000"/>
                <w:spacing w:val="15"/>
                <w:szCs w:val="20"/>
                <w:shd w:val="solid" w:color="000000" w:fill="000000"/>
                <w:fitText w:val="330" w:id="-1404863987"/>
                <w14:textFill>
                  <w14:solidFill>
                    <w14:srgbClr w14:val="000000">
                      <w14:alpha w14:val="100000"/>
                    </w14:srgbClr>
                  </w14:solidFill>
                </w14:textFill>
              </w:rPr>
              <w:t>|</w:t>
            </w:r>
            <w:r w:rsidR="00A11D1D" w:rsidRPr="00A11D1D">
              <w:rPr>
                <w:color w:val="000000"/>
                <w:szCs w:val="20"/>
                <w:vertAlign w:val="superscript"/>
              </w:rPr>
              <w:t>3</w:t>
            </w:r>
          </w:p>
        </w:tc>
        <w:tc>
          <w:tcPr>
            <w:tcW w:w="629" w:type="pct"/>
            <w:shd w:val="clear" w:color="auto" w:fill="auto"/>
          </w:tcPr>
          <w:p w14:paraId="6DE5834B" w14:textId="0CAAE610" w:rsidR="0025400C" w:rsidRPr="00A11D1D" w:rsidRDefault="0025400C" w:rsidP="00E26E55">
            <w:pPr>
              <w:pStyle w:val="TableText0"/>
              <w:jc w:val="center"/>
              <w:rPr>
                <w:b/>
                <w:bCs w:val="0"/>
                <w:color w:val="000000"/>
                <w:szCs w:val="20"/>
                <w:vertAlign w:val="superscript"/>
              </w:rPr>
            </w:pPr>
            <w:r w:rsidRPr="00086D36">
              <w:rPr>
                <w:b/>
                <w:bCs w:val="0"/>
                <w:color w:val="000000"/>
                <w:szCs w:val="20"/>
              </w:rPr>
              <w:t>$</w:t>
            </w:r>
            <w:r w:rsidR="005D733C" w:rsidRPr="005B3F49">
              <w:rPr>
                <w:b/>
                <w:bCs w:val="0"/>
                <w:color w:val="000000"/>
                <w:spacing w:val="45"/>
                <w:szCs w:val="20"/>
                <w:shd w:val="solid" w:color="000000" w:fill="000000"/>
                <w:fitText w:val="330" w:id="-1404863986"/>
                <w14:textFill>
                  <w14:solidFill>
                    <w14:srgbClr w14:val="000000">
                      <w14:alpha w14:val="100000"/>
                    </w14:srgbClr>
                  </w14:solidFill>
                </w14:textFill>
              </w:rPr>
              <w:t>|||</w:t>
            </w:r>
            <w:r w:rsidR="005D733C" w:rsidRPr="005B3F49">
              <w:rPr>
                <w:b/>
                <w:bCs w:val="0"/>
                <w:color w:val="000000"/>
                <w:spacing w:val="15"/>
                <w:szCs w:val="20"/>
                <w:shd w:val="solid" w:color="000000" w:fill="000000"/>
                <w:fitText w:val="330" w:id="-1404863986"/>
                <w14:textFill>
                  <w14:solidFill>
                    <w14:srgbClr w14:val="000000">
                      <w14:alpha w14:val="100000"/>
                    </w14:srgbClr>
                  </w14:solidFill>
                </w14:textFill>
              </w:rPr>
              <w:t>|</w:t>
            </w:r>
            <w:r w:rsidR="00A11D1D" w:rsidRPr="00A11D1D">
              <w:rPr>
                <w:color w:val="000000"/>
                <w:szCs w:val="20"/>
                <w:vertAlign w:val="superscript"/>
              </w:rPr>
              <w:t>3</w:t>
            </w:r>
          </w:p>
        </w:tc>
        <w:tc>
          <w:tcPr>
            <w:tcW w:w="629" w:type="pct"/>
            <w:shd w:val="clear" w:color="auto" w:fill="auto"/>
          </w:tcPr>
          <w:p w14:paraId="18EAD054" w14:textId="6FA04CAF" w:rsidR="0025400C" w:rsidRPr="00A11D1D" w:rsidRDefault="0025400C" w:rsidP="00E26E55">
            <w:pPr>
              <w:pStyle w:val="TableText0"/>
              <w:jc w:val="center"/>
              <w:rPr>
                <w:color w:val="000000"/>
                <w:szCs w:val="20"/>
                <w:vertAlign w:val="superscript"/>
              </w:rPr>
            </w:pPr>
            <w:r w:rsidRPr="00086D36">
              <w:rPr>
                <w:b/>
                <w:bCs w:val="0"/>
                <w:color w:val="000000"/>
                <w:szCs w:val="20"/>
              </w:rPr>
              <w:t>$</w:t>
            </w:r>
            <w:r w:rsidR="005D733C" w:rsidRPr="005B3F49">
              <w:rPr>
                <w:b/>
                <w:bCs w:val="0"/>
                <w:color w:val="000000"/>
                <w:spacing w:val="45"/>
                <w:szCs w:val="20"/>
                <w:shd w:val="solid" w:color="000000" w:fill="000000"/>
                <w:fitText w:val="330" w:id="-1404863985"/>
                <w14:textFill>
                  <w14:solidFill>
                    <w14:srgbClr w14:val="000000">
                      <w14:alpha w14:val="100000"/>
                    </w14:srgbClr>
                  </w14:solidFill>
                </w14:textFill>
              </w:rPr>
              <w:t>|||</w:t>
            </w:r>
            <w:r w:rsidR="005D733C" w:rsidRPr="005B3F49">
              <w:rPr>
                <w:b/>
                <w:bCs w:val="0"/>
                <w:color w:val="000000"/>
                <w:spacing w:val="15"/>
                <w:szCs w:val="20"/>
                <w:shd w:val="solid" w:color="000000" w:fill="000000"/>
                <w:fitText w:val="330" w:id="-1404863985"/>
                <w14:textFill>
                  <w14:solidFill>
                    <w14:srgbClr w14:val="000000">
                      <w14:alpha w14:val="100000"/>
                    </w14:srgbClr>
                  </w14:solidFill>
                </w14:textFill>
              </w:rPr>
              <w:t>|</w:t>
            </w:r>
            <w:r w:rsidR="00A11D1D">
              <w:rPr>
                <w:color w:val="000000"/>
                <w:szCs w:val="20"/>
                <w:vertAlign w:val="superscript"/>
              </w:rPr>
              <w:t>3</w:t>
            </w:r>
          </w:p>
        </w:tc>
        <w:tc>
          <w:tcPr>
            <w:tcW w:w="629" w:type="pct"/>
            <w:shd w:val="clear" w:color="auto" w:fill="auto"/>
          </w:tcPr>
          <w:p w14:paraId="0346F891" w14:textId="5E54D385" w:rsidR="0025400C" w:rsidRPr="00A11D1D" w:rsidRDefault="0025400C" w:rsidP="00E26E55">
            <w:pPr>
              <w:pStyle w:val="TableText0"/>
              <w:jc w:val="center"/>
              <w:rPr>
                <w:color w:val="000000"/>
                <w:szCs w:val="20"/>
                <w:vertAlign w:val="superscript"/>
              </w:rPr>
            </w:pPr>
            <w:r w:rsidRPr="00086D36">
              <w:rPr>
                <w:b/>
                <w:bCs w:val="0"/>
                <w:color w:val="000000"/>
                <w:szCs w:val="20"/>
              </w:rPr>
              <w:t>$</w:t>
            </w:r>
            <w:r w:rsidR="005D733C" w:rsidRPr="005B3F49">
              <w:rPr>
                <w:b/>
                <w:bCs w:val="0"/>
                <w:color w:val="000000"/>
                <w:spacing w:val="45"/>
                <w:szCs w:val="20"/>
                <w:shd w:val="solid" w:color="000000" w:fill="000000"/>
                <w:fitText w:val="330" w:id="-1404863984"/>
                <w14:textFill>
                  <w14:solidFill>
                    <w14:srgbClr w14:val="000000">
                      <w14:alpha w14:val="100000"/>
                    </w14:srgbClr>
                  </w14:solidFill>
                </w14:textFill>
              </w:rPr>
              <w:t>|||</w:t>
            </w:r>
            <w:r w:rsidR="005D733C" w:rsidRPr="005B3F49">
              <w:rPr>
                <w:b/>
                <w:bCs w:val="0"/>
                <w:color w:val="000000"/>
                <w:spacing w:val="15"/>
                <w:szCs w:val="20"/>
                <w:shd w:val="solid" w:color="000000" w:fill="000000"/>
                <w:fitText w:val="330" w:id="-1404863984"/>
                <w14:textFill>
                  <w14:solidFill>
                    <w14:srgbClr w14:val="000000">
                      <w14:alpha w14:val="100000"/>
                    </w14:srgbClr>
                  </w14:solidFill>
                </w14:textFill>
              </w:rPr>
              <w:t>|</w:t>
            </w:r>
            <w:r w:rsidR="00A11D1D">
              <w:rPr>
                <w:color w:val="000000"/>
                <w:szCs w:val="20"/>
                <w:vertAlign w:val="superscript"/>
              </w:rPr>
              <w:t>3</w:t>
            </w:r>
          </w:p>
        </w:tc>
        <w:tc>
          <w:tcPr>
            <w:tcW w:w="629" w:type="pct"/>
            <w:shd w:val="clear" w:color="auto" w:fill="auto"/>
          </w:tcPr>
          <w:p w14:paraId="54BA822E" w14:textId="6C294A6C" w:rsidR="0025400C" w:rsidRPr="00A11D1D" w:rsidRDefault="0025400C" w:rsidP="00E26E55">
            <w:pPr>
              <w:pStyle w:val="TableText0"/>
              <w:jc w:val="center"/>
              <w:rPr>
                <w:color w:val="000000"/>
                <w:szCs w:val="20"/>
                <w:vertAlign w:val="superscript"/>
              </w:rPr>
            </w:pPr>
            <w:r w:rsidRPr="00086D36">
              <w:rPr>
                <w:b/>
                <w:bCs w:val="0"/>
                <w:color w:val="000000"/>
                <w:szCs w:val="20"/>
              </w:rPr>
              <w:t>$</w:t>
            </w:r>
            <w:r w:rsidR="005D733C" w:rsidRPr="005B3F49">
              <w:rPr>
                <w:b/>
                <w:bCs w:val="0"/>
                <w:color w:val="000000"/>
                <w:spacing w:val="45"/>
                <w:szCs w:val="20"/>
                <w:shd w:val="solid" w:color="000000" w:fill="000000"/>
                <w:fitText w:val="330" w:id="-1404864000"/>
                <w14:textFill>
                  <w14:solidFill>
                    <w14:srgbClr w14:val="000000">
                      <w14:alpha w14:val="100000"/>
                    </w14:srgbClr>
                  </w14:solidFill>
                </w14:textFill>
              </w:rPr>
              <w:t>|||</w:t>
            </w:r>
            <w:r w:rsidR="005D733C" w:rsidRPr="005B3F49">
              <w:rPr>
                <w:b/>
                <w:bCs w:val="0"/>
                <w:color w:val="000000"/>
                <w:spacing w:val="15"/>
                <w:szCs w:val="20"/>
                <w:shd w:val="solid" w:color="000000" w:fill="000000"/>
                <w:fitText w:val="330" w:id="-1404864000"/>
                <w14:textFill>
                  <w14:solidFill>
                    <w14:srgbClr w14:val="000000">
                      <w14:alpha w14:val="100000"/>
                    </w14:srgbClr>
                  </w14:solidFill>
                </w14:textFill>
              </w:rPr>
              <w:t>|</w:t>
            </w:r>
            <w:r w:rsidR="00A11D1D">
              <w:rPr>
                <w:color w:val="000000"/>
                <w:szCs w:val="20"/>
                <w:vertAlign w:val="superscript"/>
              </w:rPr>
              <w:t>3</w:t>
            </w:r>
          </w:p>
        </w:tc>
        <w:tc>
          <w:tcPr>
            <w:tcW w:w="599" w:type="pct"/>
            <w:shd w:val="clear" w:color="auto" w:fill="auto"/>
          </w:tcPr>
          <w:p w14:paraId="1220FEB3" w14:textId="3AA05FE0" w:rsidR="0025400C" w:rsidRPr="00A11D1D" w:rsidRDefault="0025400C" w:rsidP="00E26E55">
            <w:pPr>
              <w:pStyle w:val="TableText0"/>
              <w:jc w:val="center"/>
              <w:rPr>
                <w:color w:val="000000"/>
                <w:szCs w:val="20"/>
                <w:vertAlign w:val="superscript"/>
              </w:rPr>
            </w:pPr>
            <w:r w:rsidRPr="00086D36">
              <w:rPr>
                <w:b/>
                <w:bCs w:val="0"/>
                <w:color w:val="000000"/>
                <w:szCs w:val="20"/>
              </w:rPr>
              <w:t>$</w:t>
            </w:r>
            <w:r w:rsidR="005D733C" w:rsidRPr="005D733C">
              <w:rPr>
                <w:b/>
                <w:bCs w:val="0"/>
                <w:color w:val="000000"/>
                <w:spacing w:val="58"/>
                <w:szCs w:val="20"/>
                <w:shd w:val="solid" w:color="000000" w:fill="000000"/>
                <w:fitText w:val="360" w:id="-1404863999"/>
                <w14:textFill>
                  <w14:solidFill>
                    <w14:srgbClr w14:val="000000">
                      <w14:alpha w14:val="100000"/>
                    </w14:srgbClr>
                  </w14:solidFill>
                </w14:textFill>
              </w:rPr>
              <w:t>|||</w:t>
            </w:r>
            <w:r w:rsidR="005D733C" w:rsidRPr="005D733C">
              <w:rPr>
                <w:b/>
                <w:bCs w:val="0"/>
                <w:color w:val="000000"/>
                <w:spacing w:val="3"/>
                <w:szCs w:val="20"/>
                <w:shd w:val="solid" w:color="000000" w:fill="000000"/>
                <w:fitText w:val="360" w:id="-1404863999"/>
                <w14:textFill>
                  <w14:solidFill>
                    <w14:srgbClr w14:val="000000">
                      <w14:alpha w14:val="100000"/>
                    </w14:srgbClr>
                  </w14:solidFill>
                </w14:textFill>
              </w:rPr>
              <w:t>|</w:t>
            </w:r>
            <w:r w:rsidR="00A11D1D">
              <w:rPr>
                <w:color w:val="000000"/>
                <w:szCs w:val="20"/>
                <w:vertAlign w:val="superscript"/>
              </w:rPr>
              <w:t>3</w:t>
            </w:r>
          </w:p>
        </w:tc>
      </w:tr>
      <w:tr w:rsidR="009B211A" w:rsidRPr="000E6572" w14:paraId="6415BDB8" w14:textId="77777777" w:rsidTr="009B211A">
        <w:trPr>
          <w:tblHeader/>
        </w:trPr>
        <w:tc>
          <w:tcPr>
            <w:tcW w:w="5000" w:type="pct"/>
            <w:gridSpan w:val="7"/>
            <w:shd w:val="clear" w:color="auto" w:fill="auto"/>
            <w:vAlign w:val="center"/>
          </w:tcPr>
          <w:p w14:paraId="5FB2A94C" w14:textId="430C8033" w:rsidR="009B211A" w:rsidRPr="00086D36" w:rsidRDefault="009B211A" w:rsidP="009B211A">
            <w:pPr>
              <w:pStyle w:val="TableText0"/>
              <w:rPr>
                <w:b/>
                <w:bCs w:val="0"/>
                <w:color w:val="000000"/>
                <w:szCs w:val="20"/>
              </w:rPr>
            </w:pPr>
            <w:r w:rsidRPr="00595718">
              <w:rPr>
                <w:b/>
                <w:bCs w:val="0"/>
                <w:szCs w:val="20"/>
              </w:rPr>
              <w:t>Post PBAC revised estimates</w:t>
            </w:r>
          </w:p>
        </w:tc>
      </w:tr>
      <w:tr w:rsidR="009B211A" w:rsidRPr="000E6572" w14:paraId="7F9B17F4" w14:textId="77777777" w:rsidTr="001E27DA">
        <w:trPr>
          <w:tblHeader/>
        </w:trPr>
        <w:tc>
          <w:tcPr>
            <w:tcW w:w="1255" w:type="pct"/>
            <w:shd w:val="clear" w:color="auto" w:fill="auto"/>
            <w:vAlign w:val="center"/>
          </w:tcPr>
          <w:p w14:paraId="4E91B648" w14:textId="56F2EFC2" w:rsidR="009B211A" w:rsidRPr="00086D36" w:rsidRDefault="009B211A" w:rsidP="009B211A">
            <w:pPr>
              <w:pStyle w:val="In-tableHeading"/>
              <w:rPr>
                <w:szCs w:val="20"/>
              </w:rPr>
            </w:pPr>
            <w:r w:rsidRPr="002A0FAF">
              <w:rPr>
                <w:b w:val="0"/>
                <w:bCs/>
                <w:szCs w:val="20"/>
              </w:rPr>
              <w:t>Number of patients initiating treatment</w:t>
            </w:r>
          </w:p>
        </w:tc>
        <w:tc>
          <w:tcPr>
            <w:tcW w:w="630" w:type="pct"/>
            <w:shd w:val="clear" w:color="auto" w:fill="auto"/>
            <w:vAlign w:val="center"/>
          </w:tcPr>
          <w:p w14:paraId="470ABA0E" w14:textId="1EC48777" w:rsidR="009B211A" w:rsidRPr="00A16CD7" w:rsidRDefault="005B3F49" w:rsidP="009B211A">
            <w:pPr>
              <w:pStyle w:val="TableText0"/>
              <w:jc w:val="center"/>
              <w:rPr>
                <w:b/>
                <w:bCs w:val="0"/>
                <w:color w:val="000000"/>
                <w:szCs w:val="20"/>
                <w:vertAlign w:val="superscript"/>
              </w:rPr>
            </w:pPr>
            <w:r w:rsidRPr="005B3F49">
              <w:rPr>
                <w:rFonts w:hint="eastAsia"/>
                <w:color w:val="000000"/>
                <w:w w:val="15"/>
                <w:szCs w:val="20"/>
                <w:shd w:val="solid" w:color="000000" w:fill="000000"/>
                <w:fitText w:val="45" w:id="-1210902777"/>
                <w14:textFill>
                  <w14:solidFill>
                    <w14:srgbClr w14:val="000000">
                      <w14:alpha w14:val="100000"/>
                    </w14:srgbClr>
                  </w14:solidFill>
                </w14:textFill>
              </w:rPr>
              <w:t xml:space="preserve">　</w:t>
            </w:r>
            <w:r w:rsidRPr="005B3F49">
              <w:rPr>
                <w:color w:val="000000"/>
                <w:w w:val="15"/>
                <w:szCs w:val="20"/>
                <w:shd w:val="solid" w:color="000000" w:fill="000000"/>
                <w:fitText w:val="45" w:id="-1210902777"/>
                <w14:textFill>
                  <w14:solidFill>
                    <w14:srgbClr w14:val="000000">
                      <w14:alpha w14:val="100000"/>
                    </w14:srgbClr>
                  </w14:solidFill>
                </w14:textFill>
              </w:rPr>
              <w:t>|</w:t>
            </w:r>
            <w:r w:rsidRPr="005B3F49">
              <w:rPr>
                <w:rFonts w:hint="eastAsia"/>
                <w:color w:val="000000"/>
                <w:spacing w:val="-30"/>
                <w:w w:val="15"/>
                <w:szCs w:val="20"/>
                <w:shd w:val="solid" w:color="000000" w:fill="000000"/>
                <w:fitText w:val="45" w:id="-1210902777"/>
                <w14:textFill>
                  <w14:solidFill>
                    <w14:srgbClr w14:val="000000">
                      <w14:alpha w14:val="100000"/>
                    </w14:srgbClr>
                  </w14:solidFill>
                </w14:textFill>
              </w:rPr>
              <w:t xml:space="preserve">　</w:t>
            </w:r>
            <w:r w:rsidR="00A16CD7">
              <w:rPr>
                <w:color w:val="000000"/>
                <w:szCs w:val="20"/>
                <w:vertAlign w:val="superscript"/>
              </w:rPr>
              <w:t>1</w:t>
            </w:r>
          </w:p>
        </w:tc>
        <w:tc>
          <w:tcPr>
            <w:tcW w:w="629" w:type="pct"/>
            <w:shd w:val="clear" w:color="auto" w:fill="auto"/>
            <w:vAlign w:val="center"/>
          </w:tcPr>
          <w:p w14:paraId="01907305" w14:textId="427A6130" w:rsidR="009B211A" w:rsidRPr="00A16CD7" w:rsidRDefault="005B3F49" w:rsidP="009B211A">
            <w:pPr>
              <w:pStyle w:val="TableText0"/>
              <w:jc w:val="center"/>
              <w:rPr>
                <w:b/>
                <w:bCs w:val="0"/>
                <w:color w:val="000000"/>
                <w:szCs w:val="20"/>
                <w:vertAlign w:val="superscript"/>
              </w:rPr>
            </w:pPr>
            <w:r w:rsidRPr="005B3F49">
              <w:rPr>
                <w:rFonts w:hint="eastAsia"/>
                <w:color w:val="000000"/>
                <w:w w:val="15"/>
                <w:szCs w:val="20"/>
                <w:shd w:val="solid" w:color="000000" w:fill="000000"/>
                <w:fitText w:val="45" w:id="-1210902776"/>
                <w14:textFill>
                  <w14:solidFill>
                    <w14:srgbClr w14:val="000000">
                      <w14:alpha w14:val="100000"/>
                    </w14:srgbClr>
                  </w14:solidFill>
                </w14:textFill>
              </w:rPr>
              <w:t xml:space="preserve">　</w:t>
            </w:r>
            <w:r w:rsidRPr="005B3F49">
              <w:rPr>
                <w:color w:val="000000"/>
                <w:w w:val="15"/>
                <w:szCs w:val="20"/>
                <w:shd w:val="solid" w:color="000000" w:fill="000000"/>
                <w:fitText w:val="45" w:id="-1210902776"/>
                <w14:textFill>
                  <w14:solidFill>
                    <w14:srgbClr w14:val="000000">
                      <w14:alpha w14:val="100000"/>
                    </w14:srgbClr>
                  </w14:solidFill>
                </w14:textFill>
              </w:rPr>
              <w:t>|</w:t>
            </w:r>
            <w:r w:rsidRPr="005B3F49">
              <w:rPr>
                <w:rFonts w:hint="eastAsia"/>
                <w:color w:val="000000"/>
                <w:spacing w:val="-30"/>
                <w:w w:val="15"/>
                <w:szCs w:val="20"/>
                <w:shd w:val="solid" w:color="000000" w:fill="000000"/>
                <w:fitText w:val="45" w:id="-1210902776"/>
                <w14:textFill>
                  <w14:solidFill>
                    <w14:srgbClr w14:val="000000">
                      <w14:alpha w14:val="100000"/>
                    </w14:srgbClr>
                  </w14:solidFill>
                </w14:textFill>
              </w:rPr>
              <w:t xml:space="preserve">　</w:t>
            </w:r>
            <w:r w:rsidR="00A16CD7">
              <w:rPr>
                <w:color w:val="000000"/>
                <w:szCs w:val="20"/>
                <w:vertAlign w:val="superscript"/>
              </w:rPr>
              <w:t>1</w:t>
            </w:r>
          </w:p>
        </w:tc>
        <w:tc>
          <w:tcPr>
            <w:tcW w:w="629" w:type="pct"/>
            <w:shd w:val="clear" w:color="auto" w:fill="auto"/>
            <w:vAlign w:val="center"/>
          </w:tcPr>
          <w:p w14:paraId="1D9948AE" w14:textId="1DC48F61" w:rsidR="009B211A" w:rsidRPr="00A16CD7" w:rsidRDefault="005B3F49" w:rsidP="009B211A">
            <w:pPr>
              <w:pStyle w:val="TableText0"/>
              <w:jc w:val="center"/>
              <w:rPr>
                <w:b/>
                <w:bCs w:val="0"/>
                <w:color w:val="000000"/>
                <w:szCs w:val="20"/>
                <w:vertAlign w:val="superscript"/>
              </w:rPr>
            </w:pPr>
            <w:r w:rsidRPr="005B3F49">
              <w:rPr>
                <w:rFonts w:hint="eastAsia"/>
                <w:color w:val="000000"/>
                <w:w w:val="15"/>
                <w:szCs w:val="20"/>
                <w:shd w:val="solid" w:color="000000" w:fill="000000"/>
                <w:fitText w:val="45" w:id="-1210902775"/>
                <w14:textFill>
                  <w14:solidFill>
                    <w14:srgbClr w14:val="000000">
                      <w14:alpha w14:val="100000"/>
                    </w14:srgbClr>
                  </w14:solidFill>
                </w14:textFill>
              </w:rPr>
              <w:t xml:space="preserve">　</w:t>
            </w:r>
            <w:r w:rsidRPr="005B3F49">
              <w:rPr>
                <w:color w:val="000000"/>
                <w:w w:val="15"/>
                <w:szCs w:val="20"/>
                <w:shd w:val="solid" w:color="000000" w:fill="000000"/>
                <w:fitText w:val="45" w:id="-1210902775"/>
                <w14:textFill>
                  <w14:solidFill>
                    <w14:srgbClr w14:val="000000">
                      <w14:alpha w14:val="100000"/>
                    </w14:srgbClr>
                  </w14:solidFill>
                </w14:textFill>
              </w:rPr>
              <w:t>|</w:t>
            </w:r>
            <w:r w:rsidRPr="005B3F49">
              <w:rPr>
                <w:rFonts w:hint="eastAsia"/>
                <w:color w:val="000000"/>
                <w:spacing w:val="-30"/>
                <w:w w:val="15"/>
                <w:szCs w:val="20"/>
                <w:shd w:val="solid" w:color="000000" w:fill="000000"/>
                <w:fitText w:val="45" w:id="-1210902775"/>
                <w14:textFill>
                  <w14:solidFill>
                    <w14:srgbClr w14:val="000000">
                      <w14:alpha w14:val="100000"/>
                    </w14:srgbClr>
                  </w14:solidFill>
                </w14:textFill>
              </w:rPr>
              <w:t xml:space="preserve">　</w:t>
            </w:r>
            <w:r w:rsidR="00A16CD7">
              <w:rPr>
                <w:color w:val="000000"/>
                <w:szCs w:val="20"/>
                <w:vertAlign w:val="superscript"/>
              </w:rPr>
              <w:t>1</w:t>
            </w:r>
          </w:p>
        </w:tc>
        <w:tc>
          <w:tcPr>
            <w:tcW w:w="629" w:type="pct"/>
            <w:shd w:val="clear" w:color="auto" w:fill="auto"/>
            <w:vAlign w:val="center"/>
          </w:tcPr>
          <w:p w14:paraId="1C860817" w14:textId="1B65DF45" w:rsidR="009B211A" w:rsidRPr="00A16CD7" w:rsidRDefault="005B3F49" w:rsidP="009B211A">
            <w:pPr>
              <w:pStyle w:val="TableText0"/>
              <w:jc w:val="center"/>
              <w:rPr>
                <w:b/>
                <w:bCs w:val="0"/>
                <w:color w:val="000000"/>
                <w:szCs w:val="20"/>
              </w:rPr>
            </w:pPr>
            <w:r w:rsidRPr="005B3F49">
              <w:rPr>
                <w:rFonts w:hint="eastAsia"/>
                <w:color w:val="000000"/>
                <w:w w:val="15"/>
                <w:szCs w:val="20"/>
                <w:shd w:val="solid" w:color="000000" w:fill="000000"/>
                <w:fitText w:val="45" w:id="-1210902774"/>
                <w14:textFill>
                  <w14:solidFill>
                    <w14:srgbClr w14:val="000000">
                      <w14:alpha w14:val="100000"/>
                    </w14:srgbClr>
                  </w14:solidFill>
                </w14:textFill>
              </w:rPr>
              <w:t xml:space="preserve">　</w:t>
            </w:r>
            <w:r w:rsidRPr="005B3F49">
              <w:rPr>
                <w:color w:val="000000"/>
                <w:w w:val="15"/>
                <w:szCs w:val="20"/>
                <w:shd w:val="solid" w:color="000000" w:fill="000000"/>
                <w:fitText w:val="45" w:id="-1210902774"/>
                <w14:textFill>
                  <w14:solidFill>
                    <w14:srgbClr w14:val="000000">
                      <w14:alpha w14:val="100000"/>
                    </w14:srgbClr>
                  </w14:solidFill>
                </w14:textFill>
              </w:rPr>
              <w:t>|</w:t>
            </w:r>
            <w:r w:rsidRPr="005B3F49">
              <w:rPr>
                <w:rFonts w:hint="eastAsia"/>
                <w:color w:val="000000"/>
                <w:spacing w:val="-30"/>
                <w:w w:val="15"/>
                <w:szCs w:val="20"/>
                <w:shd w:val="solid" w:color="000000" w:fill="000000"/>
                <w:fitText w:val="45" w:id="-1210902774"/>
                <w14:textFill>
                  <w14:solidFill>
                    <w14:srgbClr w14:val="000000">
                      <w14:alpha w14:val="100000"/>
                    </w14:srgbClr>
                  </w14:solidFill>
                </w14:textFill>
              </w:rPr>
              <w:t xml:space="preserve">　</w:t>
            </w:r>
            <w:r w:rsidR="00A16CD7" w:rsidRPr="00A16CD7">
              <w:rPr>
                <w:color w:val="000000"/>
                <w:szCs w:val="20"/>
                <w:vertAlign w:val="superscript"/>
              </w:rPr>
              <w:t>1</w:t>
            </w:r>
          </w:p>
        </w:tc>
        <w:tc>
          <w:tcPr>
            <w:tcW w:w="629" w:type="pct"/>
            <w:shd w:val="clear" w:color="auto" w:fill="auto"/>
            <w:vAlign w:val="center"/>
          </w:tcPr>
          <w:p w14:paraId="5CF12745" w14:textId="020B2A7B" w:rsidR="009B211A" w:rsidRPr="00A16CD7" w:rsidRDefault="005B3F49" w:rsidP="009B211A">
            <w:pPr>
              <w:pStyle w:val="TableText0"/>
              <w:jc w:val="center"/>
              <w:rPr>
                <w:b/>
                <w:bCs w:val="0"/>
                <w:color w:val="000000"/>
                <w:szCs w:val="20"/>
                <w:vertAlign w:val="superscript"/>
              </w:rPr>
            </w:pPr>
            <w:r w:rsidRPr="005B3F49">
              <w:rPr>
                <w:rFonts w:hint="eastAsia"/>
                <w:color w:val="000000"/>
                <w:w w:val="15"/>
                <w:szCs w:val="20"/>
                <w:shd w:val="solid" w:color="000000" w:fill="000000"/>
                <w:fitText w:val="45" w:id="-1210902773"/>
                <w14:textFill>
                  <w14:solidFill>
                    <w14:srgbClr w14:val="000000">
                      <w14:alpha w14:val="100000"/>
                    </w14:srgbClr>
                  </w14:solidFill>
                </w14:textFill>
              </w:rPr>
              <w:t xml:space="preserve">　</w:t>
            </w:r>
            <w:r w:rsidRPr="005B3F49">
              <w:rPr>
                <w:color w:val="000000"/>
                <w:w w:val="15"/>
                <w:szCs w:val="20"/>
                <w:shd w:val="solid" w:color="000000" w:fill="000000"/>
                <w:fitText w:val="45" w:id="-1210902773"/>
                <w14:textFill>
                  <w14:solidFill>
                    <w14:srgbClr w14:val="000000">
                      <w14:alpha w14:val="100000"/>
                    </w14:srgbClr>
                  </w14:solidFill>
                </w14:textFill>
              </w:rPr>
              <w:t>|</w:t>
            </w:r>
            <w:r w:rsidRPr="005B3F49">
              <w:rPr>
                <w:rFonts w:hint="eastAsia"/>
                <w:color w:val="000000"/>
                <w:spacing w:val="-30"/>
                <w:w w:val="15"/>
                <w:szCs w:val="20"/>
                <w:shd w:val="solid" w:color="000000" w:fill="000000"/>
                <w:fitText w:val="45" w:id="-1210902773"/>
                <w14:textFill>
                  <w14:solidFill>
                    <w14:srgbClr w14:val="000000">
                      <w14:alpha w14:val="100000"/>
                    </w14:srgbClr>
                  </w14:solidFill>
                </w14:textFill>
              </w:rPr>
              <w:t xml:space="preserve">　</w:t>
            </w:r>
            <w:r w:rsidR="00A16CD7">
              <w:rPr>
                <w:color w:val="000000"/>
                <w:szCs w:val="20"/>
                <w:vertAlign w:val="superscript"/>
              </w:rPr>
              <w:t>1</w:t>
            </w:r>
          </w:p>
        </w:tc>
        <w:tc>
          <w:tcPr>
            <w:tcW w:w="599" w:type="pct"/>
            <w:shd w:val="clear" w:color="auto" w:fill="auto"/>
            <w:vAlign w:val="center"/>
          </w:tcPr>
          <w:p w14:paraId="2A7C5A25" w14:textId="1C939A3A" w:rsidR="009B211A" w:rsidRPr="00A16CD7" w:rsidRDefault="005B3F49" w:rsidP="009B211A">
            <w:pPr>
              <w:pStyle w:val="TableText0"/>
              <w:jc w:val="center"/>
              <w:rPr>
                <w:b/>
                <w:bCs w:val="0"/>
                <w:color w:val="000000"/>
                <w:szCs w:val="20"/>
                <w:vertAlign w:val="superscript"/>
              </w:rPr>
            </w:pPr>
            <w:r w:rsidRPr="005B3F49">
              <w:rPr>
                <w:rFonts w:hint="eastAsia"/>
                <w:color w:val="000000"/>
                <w:w w:val="15"/>
                <w:szCs w:val="20"/>
                <w:shd w:val="solid" w:color="000000" w:fill="000000"/>
                <w:fitText w:val="60" w:id="-1210902772"/>
                <w14:textFill>
                  <w14:solidFill>
                    <w14:srgbClr w14:val="000000">
                      <w14:alpha w14:val="100000"/>
                    </w14:srgbClr>
                  </w14:solidFill>
                </w14:textFill>
              </w:rPr>
              <w:t xml:space="preserve">　</w:t>
            </w:r>
            <w:r w:rsidRPr="005B3F49">
              <w:rPr>
                <w:color w:val="000000"/>
                <w:w w:val="15"/>
                <w:szCs w:val="20"/>
                <w:shd w:val="solid" w:color="000000" w:fill="000000"/>
                <w:fitText w:val="60" w:id="-1210902772"/>
                <w14:textFill>
                  <w14:solidFill>
                    <w14:srgbClr w14:val="000000">
                      <w14:alpha w14:val="100000"/>
                    </w14:srgbClr>
                  </w14:solidFill>
                </w14:textFill>
              </w:rPr>
              <w:t>|</w:t>
            </w:r>
            <w:r w:rsidRPr="005B3F49">
              <w:rPr>
                <w:rFonts w:hint="eastAsia"/>
                <w:color w:val="000000"/>
                <w:spacing w:val="-15"/>
                <w:w w:val="15"/>
                <w:szCs w:val="20"/>
                <w:shd w:val="solid" w:color="000000" w:fill="000000"/>
                <w:fitText w:val="60" w:id="-1210902772"/>
                <w14:textFill>
                  <w14:solidFill>
                    <w14:srgbClr w14:val="000000">
                      <w14:alpha w14:val="100000"/>
                    </w14:srgbClr>
                  </w14:solidFill>
                </w14:textFill>
              </w:rPr>
              <w:t xml:space="preserve">　</w:t>
            </w:r>
            <w:r w:rsidR="00A16CD7">
              <w:rPr>
                <w:color w:val="000000"/>
                <w:szCs w:val="20"/>
                <w:vertAlign w:val="superscript"/>
              </w:rPr>
              <w:t>1</w:t>
            </w:r>
          </w:p>
        </w:tc>
      </w:tr>
      <w:tr w:rsidR="009B211A" w:rsidRPr="000E6572" w14:paraId="045BF002" w14:textId="77777777" w:rsidTr="009B211A">
        <w:trPr>
          <w:tblHeader/>
        </w:trPr>
        <w:tc>
          <w:tcPr>
            <w:tcW w:w="5000" w:type="pct"/>
            <w:gridSpan w:val="7"/>
            <w:shd w:val="clear" w:color="auto" w:fill="auto"/>
            <w:vAlign w:val="center"/>
          </w:tcPr>
          <w:p w14:paraId="62F24C09" w14:textId="532C0D7E" w:rsidR="009B211A" w:rsidRPr="00086D36" w:rsidRDefault="009B211A" w:rsidP="009B211A">
            <w:pPr>
              <w:pStyle w:val="TableText0"/>
              <w:rPr>
                <w:b/>
                <w:bCs w:val="0"/>
                <w:color w:val="000000"/>
                <w:szCs w:val="20"/>
              </w:rPr>
            </w:pPr>
            <w:r>
              <w:rPr>
                <w:b/>
                <w:bCs w:val="0"/>
                <w:szCs w:val="20"/>
              </w:rPr>
              <w:t>Number of prescriptions dispensed</w:t>
            </w:r>
          </w:p>
        </w:tc>
      </w:tr>
      <w:tr w:rsidR="009B211A" w:rsidRPr="000E6572" w14:paraId="133B9EA6" w14:textId="77777777" w:rsidTr="009B211A">
        <w:trPr>
          <w:tblHeader/>
        </w:trPr>
        <w:tc>
          <w:tcPr>
            <w:tcW w:w="1255" w:type="pct"/>
            <w:shd w:val="clear" w:color="auto" w:fill="auto"/>
            <w:vAlign w:val="center"/>
          </w:tcPr>
          <w:p w14:paraId="2AB23A6C" w14:textId="24819096" w:rsidR="009B211A" w:rsidRPr="00086D36" w:rsidRDefault="009B211A" w:rsidP="009B211A">
            <w:pPr>
              <w:pStyle w:val="In-tableHeading"/>
              <w:rPr>
                <w:szCs w:val="20"/>
              </w:rPr>
            </w:pPr>
            <w:r>
              <w:rPr>
                <w:b w:val="0"/>
                <w:bCs/>
                <w:szCs w:val="20"/>
              </w:rPr>
              <w:t>For initial and continuing (i.e. 300 mg and 200 mg x 14)</w:t>
            </w:r>
          </w:p>
        </w:tc>
        <w:tc>
          <w:tcPr>
            <w:tcW w:w="630" w:type="pct"/>
            <w:shd w:val="clear" w:color="auto" w:fill="auto"/>
          </w:tcPr>
          <w:p w14:paraId="12781BD3" w14:textId="1F659905" w:rsidR="009B211A" w:rsidRPr="00A16CD7" w:rsidRDefault="005B3F49" w:rsidP="009B211A">
            <w:pPr>
              <w:pStyle w:val="TableText0"/>
              <w:jc w:val="center"/>
              <w:rPr>
                <w:b/>
                <w:bCs w:val="0"/>
                <w:color w:val="000000"/>
                <w:szCs w:val="20"/>
                <w:vertAlign w:val="superscript"/>
              </w:rPr>
            </w:pPr>
            <w:r w:rsidRPr="005B3F49">
              <w:rPr>
                <w:rFonts w:hint="eastAsia"/>
                <w:color w:val="000000"/>
                <w:w w:val="15"/>
                <w:szCs w:val="20"/>
                <w:shd w:val="solid" w:color="000000" w:fill="000000"/>
                <w:fitText w:val="45" w:id="-1210902771"/>
                <w14:textFill>
                  <w14:solidFill>
                    <w14:srgbClr w14:val="000000">
                      <w14:alpha w14:val="100000"/>
                    </w14:srgbClr>
                  </w14:solidFill>
                </w14:textFill>
              </w:rPr>
              <w:t xml:space="preserve">　</w:t>
            </w:r>
            <w:r w:rsidRPr="005B3F49">
              <w:rPr>
                <w:color w:val="000000"/>
                <w:w w:val="15"/>
                <w:szCs w:val="20"/>
                <w:shd w:val="solid" w:color="000000" w:fill="000000"/>
                <w:fitText w:val="45" w:id="-1210902771"/>
                <w14:textFill>
                  <w14:solidFill>
                    <w14:srgbClr w14:val="000000">
                      <w14:alpha w14:val="100000"/>
                    </w14:srgbClr>
                  </w14:solidFill>
                </w14:textFill>
              </w:rPr>
              <w:t>|</w:t>
            </w:r>
            <w:r w:rsidRPr="005B3F49">
              <w:rPr>
                <w:rFonts w:hint="eastAsia"/>
                <w:color w:val="000000"/>
                <w:spacing w:val="-30"/>
                <w:w w:val="15"/>
                <w:szCs w:val="20"/>
                <w:shd w:val="solid" w:color="000000" w:fill="000000"/>
                <w:fitText w:val="45" w:id="-1210902771"/>
                <w14:textFill>
                  <w14:solidFill>
                    <w14:srgbClr w14:val="000000">
                      <w14:alpha w14:val="100000"/>
                    </w14:srgbClr>
                  </w14:solidFill>
                </w14:textFill>
              </w:rPr>
              <w:t xml:space="preserve">　</w:t>
            </w:r>
            <w:r w:rsidR="00A16CD7">
              <w:rPr>
                <w:color w:val="000000"/>
                <w:szCs w:val="20"/>
                <w:vertAlign w:val="superscript"/>
              </w:rPr>
              <w:t>1</w:t>
            </w:r>
          </w:p>
        </w:tc>
        <w:tc>
          <w:tcPr>
            <w:tcW w:w="629" w:type="pct"/>
            <w:shd w:val="clear" w:color="auto" w:fill="auto"/>
          </w:tcPr>
          <w:p w14:paraId="24D03848" w14:textId="02F78EB8" w:rsidR="009B211A" w:rsidRPr="00A16CD7" w:rsidRDefault="005B3F49" w:rsidP="009B211A">
            <w:pPr>
              <w:pStyle w:val="TableText0"/>
              <w:jc w:val="center"/>
              <w:rPr>
                <w:b/>
                <w:bCs w:val="0"/>
                <w:color w:val="000000"/>
                <w:szCs w:val="20"/>
                <w:vertAlign w:val="superscript"/>
              </w:rPr>
            </w:pPr>
            <w:r w:rsidRPr="005B3F49">
              <w:rPr>
                <w:rFonts w:hint="eastAsia"/>
                <w:color w:val="000000"/>
                <w:w w:val="15"/>
                <w:szCs w:val="20"/>
                <w:shd w:val="solid" w:color="000000" w:fill="000000"/>
                <w:fitText w:val="45" w:id="-1210902770"/>
                <w14:textFill>
                  <w14:solidFill>
                    <w14:srgbClr w14:val="000000">
                      <w14:alpha w14:val="100000"/>
                    </w14:srgbClr>
                  </w14:solidFill>
                </w14:textFill>
              </w:rPr>
              <w:t xml:space="preserve">　</w:t>
            </w:r>
            <w:r w:rsidRPr="005B3F49">
              <w:rPr>
                <w:color w:val="000000"/>
                <w:w w:val="15"/>
                <w:szCs w:val="20"/>
                <w:shd w:val="solid" w:color="000000" w:fill="000000"/>
                <w:fitText w:val="45" w:id="-1210902770"/>
                <w14:textFill>
                  <w14:solidFill>
                    <w14:srgbClr w14:val="000000">
                      <w14:alpha w14:val="100000"/>
                    </w14:srgbClr>
                  </w14:solidFill>
                </w14:textFill>
              </w:rPr>
              <w:t>|</w:t>
            </w:r>
            <w:r w:rsidRPr="005B3F49">
              <w:rPr>
                <w:rFonts w:hint="eastAsia"/>
                <w:color w:val="000000"/>
                <w:spacing w:val="-30"/>
                <w:w w:val="15"/>
                <w:szCs w:val="20"/>
                <w:shd w:val="solid" w:color="000000" w:fill="000000"/>
                <w:fitText w:val="45" w:id="-1210902770"/>
                <w14:textFill>
                  <w14:solidFill>
                    <w14:srgbClr w14:val="000000">
                      <w14:alpha w14:val="100000"/>
                    </w14:srgbClr>
                  </w14:solidFill>
                </w14:textFill>
              </w:rPr>
              <w:t xml:space="preserve">　</w:t>
            </w:r>
            <w:r w:rsidR="00A16CD7">
              <w:rPr>
                <w:color w:val="000000"/>
                <w:szCs w:val="20"/>
                <w:vertAlign w:val="superscript"/>
              </w:rPr>
              <w:t>2</w:t>
            </w:r>
          </w:p>
        </w:tc>
        <w:tc>
          <w:tcPr>
            <w:tcW w:w="629" w:type="pct"/>
            <w:shd w:val="clear" w:color="auto" w:fill="auto"/>
          </w:tcPr>
          <w:p w14:paraId="630BF8B2" w14:textId="41E5FC32" w:rsidR="009B211A" w:rsidRPr="00A16CD7" w:rsidRDefault="005B3F49" w:rsidP="009B211A">
            <w:pPr>
              <w:pStyle w:val="TableText0"/>
              <w:jc w:val="center"/>
              <w:rPr>
                <w:b/>
                <w:bCs w:val="0"/>
                <w:color w:val="000000"/>
                <w:szCs w:val="20"/>
                <w:vertAlign w:val="superscript"/>
              </w:rPr>
            </w:pPr>
            <w:r w:rsidRPr="005B3F49">
              <w:rPr>
                <w:rFonts w:hint="eastAsia"/>
                <w:color w:val="000000"/>
                <w:w w:val="15"/>
                <w:szCs w:val="20"/>
                <w:shd w:val="solid" w:color="000000" w:fill="000000"/>
                <w:fitText w:val="45" w:id="-1210902769"/>
                <w14:textFill>
                  <w14:solidFill>
                    <w14:srgbClr w14:val="000000">
                      <w14:alpha w14:val="100000"/>
                    </w14:srgbClr>
                  </w14:solidFill>
                </w14:textFill>
              </w:rPr>
              <w:t xml:space="preserve">　</w:t>
            </w:r>
            <w:r w:rsidRPr="005B3F49">
              <w:rPr>
                <w:color w:val="000000"/>
                <w:w w:val="15"/>
                <w:szCs w:val="20"/>
                <w:shd w:val="solid" w:color="000000" w:fill="000000"/>
                <w:fitText w:val="45" w:id="-1210902769"/>
                <w14:textFill>
                  <w14:solidFill>
                    <w14:srgbClr w14:val="000000">
                      <w14:alpha w14:val="100000"/>
                    </w14:srgbClr>
                  </w14:solidFill>
                </w14:textFill>
              </w:rPr>
              <w:t>|</w:t>
            </w:r>
            <w:r w:rsidRPr="005B3F49">
              <w:rPr>
                <w:rFonts w:hint="eastAsia"/>
                <w:color w:val="000000"/>
                <w:spacing w:val="-30"/>
                <w:w w:val="15"/>
                <w:szCs w:val="20"/>
                <w:shd w:val="solid" w:color="000000" w:fill="000000"/>
                <w:fitText w:val="45" w:id="-1210902769"/>
                <w14:textFill>
                  <w14:solidFill>
                    <w14:srgbClr w14:val="000000">
                      <w14:alpha w14:val="100000"/>
                    </w14:srgbClr>
                  </w14:solidFill>
                </w14:textFill>
              </w:rPr>
              <w:t xml:space="preserve">　</w:t>
            </w:r>
            <w:r w:rsidR="00A16CD7">
              <w:rPr>
                <w:color w:val="000000"/>
                <w:szCs w:val="20"/>
                <w:vertAlign w:val="superscript"/>
              </w:rPr>
              <w:t>2</w:t>
            </w:r>
          </w:p>
        </w:tc>
        <w:tc>
          <w:tcPr>
            <w:tcW w:w="629" w:type="pct"/>
            <w:shd w:val="clear" w:color="auto" w:fill="auto"/>
          </w:tcPr>
          <w:p w14:paraId="5D50BCFF" w14:textId="662E86A4" w:rsidR="009B211A" w:rsidRPr="00A16CD7" w:rsidRDefault="005B3F49" w:rsidP="009B211A">
            <w:pPr>
              <w:pStyle w:val="TableText0"/>
              <w:jc w:val="center"/>
              <w:rPr>
                <w:b/>
                <w:bCs w:val="0"/>
                <w:color w:val="000000"/>
                <w:szCs w:val="20"/>
                <w:vertAlign w:val="superscript"/>
              </w:rPr>
            </w:pPr>
            <w:r w:rsidRPr="005B3F49">
              <w:rPr>
                <w:rFonts w:hint="eastAsia"/>
                <w:color w:val="000000"/>
                <w:w w:val="15"/>
                <w:szCs w:val="20"/>
                <w:shd w:val="solid" w:color="000000" w:fill="000000"/>
                <w:fitText w:val="45" w:id="-1210902768"/>
                <w14:textFill>
                  <w14:solidFill>
                    <w14:srgbClr w14:val="000000">
                      <w14:alpha w14:val="100000"/>
                    </w14:srgbClr>
                  </w14:solidFill>
                </w14:textFill>
              </w:rPr>
              <w:t xml:space="preserve">　</w:t>
            </w:r>
            <w:r w:rsidRPr="005B3F49">
              <w:rPr>
                <w:color w:val="000000"/>
                <w:w w:val="15"/>
                <w:szCs w:val="20"/>
                <w:shd w:val="solid" w:color="000000" w:fill="000000"/>
                <w:fitText w:val="45" w:id="-1210902768"/>
                <w14:textFill>
                  <w14:solidFill>
                    <w14:srgbClr w14:val="000000">
                      <w14:alpha w14:val="100000"/>
                    </w14:srgbClr>
                  </w14:solidFill>
                </w14:textFill>
              </w:rPr>
              <w:t>|</w:t>
            </w:r>
            <w:r w:rsidRPr="005B3F49">
              <w:rPr>
                <w:rFonts w:hint="eastAsia"/>
                <w:color w:val="000000"/>
                <w:spacing w:val="-30"/>
                <w:w w:val="15"/>
                <w:szCs w:val="20"/>
                <w:shd w:val="solid" w:color="000000" w:fill="000000"/>
                <w:fitText w:val="45" w:id="-1210902768"/>
                <w14:textFill>
                  <w14:solidFill>
                    <w14:srgbClr w14:val="000000">
                      <w14:alpha w14:val="100000"/>
                    </w14:srgbClr>
                  </w14:solidFill>
                </w14:textFill>
              </w:rPr>
              <w:t xml:space="preserve">　</w:t>
            </w:r>
            <w:r w:rsidR="00A16CD7">
              <w:rPr>
                <w:color w:val="000000"/>
                <w:szCs w:val="20"/>
                <w:vertAlign w:val="superscript"/>
              </w:rPr>
              <w:t>2</w:t>
            </w:r>
          </w:p>
        </w:tc>
        <w:tc>
          <w:tcPr>
            <w:tcW w:w="629" w:type="pct"/>
            <w:shd w:val="clear" w:color="auto" w:fill="auto"/>
          </w:tcPr>
          <w:p w14:paraId="7D6F77E5" w14:textId="0855571F" w:rsidR="009B211A" w:rsidRPr="00A16CD7" w:rsidRDefault="005B3F49" w:rsidP="009B211A">
            <w:pPr>
              <w:pStyle w:val="TableText0"/>
              <w:jc w:val="center"/>
              <w:rPr>
                <w:b/>
                <w:bCs w:val="0"/>
                <w:color w:val="000000"/>
                <w:szCs w:val="20"/>
                <w:vertAlign w:val="superscript"/>
              </w:rPr>
            </w:pPr>
            <w:r w:rsidRPr="005B3F49">
              <w:rPr>
                <w:rFonts w:hint="eastAsia"/>
                <w:color w:val="000000"/>
                <w:w w:val="15"/>
                <w:szCs w:val="20"/>
                <w:shd w:val="solid" w:color="000000" w:fill="000000"/>
                <w:fitText w:val="45" w:id="-1210902784"/>
                <w14:textFill>
                  <w14:solidFill>
                    <w14:srgbClr w14:val="000000">
                      <w14:alpha w14:val="100000"/>
                    </w14:srgbClr>
                  </w14:solidFill>
                </w14:textFill>
              </w:rPr>
              <w:t xml:space="preserve">　</w:t>
            </w:r>
            <w:r w:rsidRPr="005B3F49">
              <w:rPr>
                <w:color w:val="000000"/>
                <w:w w:val="15"/>
                <w:szCs w:val="20"/>
                <w:shd w:val="solid" w:color="000000" w:fill="000000"/>
                <w:fitText w:val="45" w:id="-1210902784"/>
                <w14:textFill>
                  <w14:solidFill>
                    <w14:srgbClr w14:val="000000">
                      <w14:alpha w14:val="100000"/>
                    </w14:srgbClr>
                  </w14:solidFill>
                </w14:textFill>
              </w:rPr>
              <w:t>|</w:t>
            </w:r>
            <w:r w:rsidRPr="005B3F49">
              <w:rPr>
                <w:rFonts w:hint="eastAsia"/>
                <w:color w:val="000000"/>
                <w:spacing w:val="-30"/>
                <w:w w:val="15"/>
                <w:szCs w:val="20"/>
                <w:shd w:val="solid" w:color="000000" w:fill="000000"/>
                <w:fitText w:val="45" w:id="-1210902784"/>
                <w14:textFill>
                  <w14:solidFill>
                    <w14:srgbClr w14:val="000000">
                      <w14:alpha w14:val="100000"/>
                    </w14:srgbClr>
                  </w14:solidFill>
                </w14:textFill>
              </w:rPr>
              <w:t xml:space="preserve">　</w:t>
            </w:r>
            <w:r w:rsidR="00A16CD7">
              <w:rPr>
                <w:color w:val="000000"/>
                <w:szCs w:val="20"/>
                <w:vertAlign w:val="superscript"/>
              </w:rPr>
              <w:t>2</w:t>
            </w:r>
          </w:p>
        </w:tc>
        <w:tc>
          <w:tcPr>
            <w:tcW w:w="599" w:type="pct"/>
            <w:shd w:val="clear" w:color="auto" w:fill="auto"/>
          </w:tcPr>
          <w:p w14:paraId="385796A9" w14:textId="06C1E4EC" w:rsidR="009B211A" w:rsidRPr="00A16CD7" w:rsidRDefault="005B3F49" w:rsidP="009B211A">
            <w:pPr>
              <w:pStyle w:val="TableText0"/>
              <w:jc w:val="center"/>
              <w:rPr>
                <w:b/>
                <w:bCs w:val="0"/>
                <w:color w:val="000000"/>
                <w:szCs w:val="20"/>
                <w:vertAlign w:val="superscript"/>
              </w:rPr>
            </w:pPr>
            <w:r w:rsidRPr="005B3F49">
              <w:rPr>
                <w:rFonts w:hint="eastAsia"/>
                <w:color w:val="000000"/>
                <w:w w:val="15"/>
                <w:szCs w:val="20"/>
                <w:shd w:val="solid" w:color="000000" w:fill="000000"/>
                <w:fitText w:val="60" w:id="-1210902783"/>
                <w14:textFill>
                  <w14:solidFill>
                    <w14:srgbClr w14:val="000000">
                      <w14:alpha w14:val="100000"/>
                    </w14:srgbClr>
                  </w14:solidFill>
                </w14:textFill>
              </w:rPr>
              <w:t xml:space="preserve">　</w:t>
            </w:r>
            <w:r w:rsidRPr="005B3F49">
              <w:rPr>
                <w:color w:val="000000"/>
                <w:w w:val="15"/>
                <w:szCs w:val="20"/>
                <w:shd w:val="solid" w:color="000000" w:fill="000000"/>
                <w:fitText w:val="60" w:id="-1210902783"/>
                <w14:textFill>
                  <w14:solidFill>
                    <w14:srgbClr w14:val="000000">
                      <w14:alpha w14:val="100000"/>
                    </w14:srgbClr>
                  </w14:solidFill>
                </w14:textFill>
              </w:rPr>
              <w:t>|</w:t>
            </w:r>
            <w:r w:rsidRPr="005B3F49">
              <w:rPr>
                <w:rFonts w:hint="eastAsia"/>
                <w:color w:val="000000"/>
                <w:spacing w:val="-15"/>
                <w:w w:val="15"/>
                <w:szCs w:val="20"/>
                <w:shd w:val="solid" w:color="000000" w:fill="000000"/>
                <w:fitText w:val="60" w:id="-1210902783"/>
                <w14:textFill>
                  <w14:solidFill>
                    <w14:srgbClr w14:val="000000">
                      <w14:alpha w14:val="100000"/>
                    </w14:srgbClr>
                  </w14:solidFill>
                </w14:textFill>
              </w:rPr>
              <w:t xml:space="preserve">　</w:t>
            </w:r>
            <w:r w:rsidR="00A16CD7">
              <w:rPr>
                <w:color w:val="000000"/>
                <w:szCs w:val="20"/>
                <w:vertAlign w:val="superscript"/>
              </w:rPr>
              <w:t>2</w:t>
            </w:r>
          </w:p>
        </w:tc>
      </w:tr>
      <w:tr w:rsidR="009B211A" w:rsidRPr="000E6572" w14:paraId="2F1BAC39" w14:textId="77777777" w:rsidTr="009B211A">
        <w:trPr>
          <w:tblHeader/>
        </w:trPr>
        <w:tc>
          <w:tcPr>
            <w:tcW w:w="1255" w:type="pct"/>
            <w:shd w:val="clear" w:color="auto" w:fill="auto"/>
            <w:vAlign w:val="center"/>
          </w:tcPr>
          <w:p w14:paraId="109A159D" w14:textId="22EB4BF9" w:rsidR="009B211A" w:rsidRPr="00086D36" w:rsidRDefault="009B211A" w:rsidP="009B211A">
            <w:pPr>
              <w:pStyle w:val="In-tableHeading"/>
              <w:rPr>
                <w:szCs w:val="20"/>
              </w:rPr>
            </w:pPr>
            <w:r>
              <w:rPr>
                <w:b w:val="0"/>
                <w:bCs/>
                <w:szCs w:val="20"/>
              </w:rPr>
              <w:t xml:space="preserve">For dose escalation (i.e. 300 mg x 21) </w:t>
            </w:r>
          </w:p>
        </w:tc>
        <w:tc>
          <w:tcPr>
            <w:tcW w:w="630" w:type="pct"/>
            <w:shd w:val="clear" w:color="auto" w:fill="auto"/>
          </w:tcPr>
          <w:p w14:paraId="023BE628" w14:textId="232DF9C2" w:rsidR="009B211A" w:rsidRPr="00A16CD7" w:rsidRDefault="005B3F49" w:rsidP="009B211A">
            <w:pPr>
              <w:pStyle w:val="TableText0"/>
              <w:jc w:val="center"/>
              <w:rPr>
                <w:b/>
                <w:bCs w:val="0"/>
                <w:color w:val="000000"/>
                <w:szCs w:val="20"/>
                <w:vertAlign w:val="superscript"/>
              </w:rPr>
            </w:pPr>
            <w:r w:rsidRPr="005B3F49">
              <w:rPr>
                <w:rFonts w:hint="eastAsia"/>
                <w:color w:val="000000"/>
                <w:w w:val="15"/>
                <w:szCs w:val="20"/>
                <w:shd w:val="solid" w:color="000000" w:fill="000000"/>
                <w:fitText w:val="45" w:id="-1210902782"/>
                <w14:textFill>
                  <w14:solidFill>
                    <w14:srgbClr w14:val="000000">
                      <w14:alpha w14:val="100000"/>
                    </w14:srgbClr>
                  </w14:solidFill>
                </w14:textFill>
              </w:rPr>
              <w:t xml:space="preserve">　</w:t>
            </w:r>
            <w:r w:rsidRPr="005B3F49">
              <w:rPr>
                <w:color w:val="000000"/>
                <w:w w:val="15"/>
                <w:szCs w:val="20"/>
                <w:shd w:val="solid" w:color="000000" w:fill="000000"/>
                <w:fitText w:val="45" w:id="-1210902782"/>
                <w14:textFill>
                  <w14:solidFill>
                    <w14:srgbClr w14:val="000000">
                      <w14:alpha w14:val="100000"/>
                    </w14:srgbClr>
                  </w14:solidFill>
                </w14:textFill>
              </w:rPr>
              <w:t>|</w:t>
            </w:r>
            <w:r w:rsidRPr="005B3F49">
              <w:rPr>
                <w:rFonts w:hint="eastAsia"/>
                <w:color w:val="000000"/>
                <w:spacing w:val="-30"/>
                <w:w w:val="15"/>
                <w:szCs w:val="20"/>
                <w:shd w:val="solid" w:color="000000" w:fill="000000"/>
                <w:fitText w:val="45" w:id="-1210902782"/>
                <w14:textFill>
                  <w14:solidFill>
                    <w14:srgbClr w14:val="000000">
                      <w14:alpha w14:val="100000"/>
                    </w14:srgbClr>
                  </w14:solidFill>
                </w14:textFill>
              </w:rPr>
              <w:t xml:space="preserve">　</w:t>
            </w:r>
            <w:r w:rsidR="00A16CD7">
              <w:rPr>
                <w:color w:val="000000"/>
                <w:szCs w:val="20"/>
                <w:vertAlign w:val="superscript"/>
              </w:rPr>
              <w:t>1</w:t>
            </w:r>
          </w:p>
        </w:tc>
        <w:tc>
          <w:tcPr>
            <w:tcW w:w="629" w:type="pct"/>
            <w:shd w:val="clear" w:color="auto" w:fill="auto"/>
          </w:tcPr>
          <w:p w14:paraId="4EF92FE6" w14:textId="6B183E33" w:rsidR="009B211A" w:rsidRPr="00A16CD7" w:rsidRDefault="005B3F49" w:rsidP="009B211A">
            <w:pPr>
              <w:pStyle w:val="TableText0"/>
              <w:jc w:val="center"/>
              <w:rPr>
                <w:b/>
                <w:bCs w:val="0"/>
                <w:color w:val="000000"/>
                <w:szCs w:val="20"/>
                <w:vertAlign w:val="superscript"/>
              </w:rPr>
            </w:pPr>
            <w:r w:rsidRPr="005B3F49">
              <w:rPr>
                <w:rFonts w:hint="eastAsia"/>
                <w:color w:val="000000"/>
                <w:w w:val="15"/>
                <w:szCs w:val="20"/>
                <w:shd w:val="solid" w:color="000000" w:fill="000000"/>
                <w:fitText w:val="45" w:id="-1210902781"/>
                <w14:textFill>
                  <w14:solidFill>
                    <w14:srgbClr w14:val="000000">
                      <w14:alpha w14:val="100000"/>
                    </w14:srgbClr>
                  </w14:solidFill>
                </w14:textFill>
              </w:rPr>
              <w:t xml:space="preserve">　</w:t>
            </w:r>
            <w:r w:rsidRPr="005B3F49">
              <w:rPr>
                <w:color w:val="000000"/>
                <w:w w:val="15"/>
                <w:szCs w:val="20"/>
                <w:shd w:val="solid" w:color="000000" w:fill="000000"/>
                <w:fitText w:val="45" w:id="-1210902781"/>
                <w14:textFill>
                  <w14:solidFill>
                    <w14:srgbClr w14:val="000000">
                      <w14:alpha w14:val="100000"/>
                    </w14:srgbClr>
                  </w14:solidFill>
                </w14:textFill>
              </w:rPr>
              <w:t>|</w:t>
            </w:r>
            <w:r w:rsidRPr="005B3F49">
              <w:rPr>
                <w:rFonts w:hint="eastAsia"/>
                <w:color w:val="000000"/>
                <w:spacing w:val="-30"/>
                <w:w w:val="15"/>
                <w:szCs w:val="20"/>
                <w:shd w:val="solid" w:color="000000" w:fill="000000"/>
                <w:fitText w:val="45" w:id="-1210902781"/>
                <w14:textFill>
                  <w14:solidFill>
                    <w14:srgbClr w14:val="000000">
                      <w14:alpha w14:val="100000"/>
                    </w14:srgbClr>
                  </w14:solidFill>
                </w14:textFill>
              </w:rPr>
              <w:t xml:space="preserve">　</w:t>
            </w:r>
            <w:r w:rsidR="00A16CD7">
              <w:rPr>
                <w:color w:val="000000"/>
                <w:szCs w:val="20"/>
                <w:vertAlign w:val="superscript"/>
              </w:rPr>
              <w:t>1</w:t>
            </w:r>
          </w:p>
        </w:tc>
        <w:tc>
          <w:tcPr>
            <w:tcW w:w="629" w:type="pct"/>
            <w:shd w:val="clear" w:color="auto" w:fill="auto"/>
          </w:tcPr>
          <w:p w14:paraId="48AF5A35" w14:textId="71DF969B" w:rsidR="009B211A" w:rsidRPr="00A16CD7" w:rsidRDefault="005B3F49" w:rsidP="009B211A">
            <w:pPr>
              <w:pStyle w:val="TableText0"/>
              <w:jc w:val="center"/>
              <w:rPr>
                <w:b/>
                <w:bCs w:val="0"/>
                <w:color w:val="000000"/>
                <w:szCs w:val="20"/>
                <w:vertAlign w:val="superscript"/>
              </w:rPr>
            </w:pPr>
            <w:r w:rsidRPr="005B3F49">
              <w:rPr>
                <w:rFonts w:hint="eastAsia"/>
                <w:color w:val="000000"/>
                <w:w w:val="15"/>
                <w:szCs w:val="20"/>
                <w:shd w:val="solid" w:color="000000" w:fill="000000"/>
                <w:fitText w:val="45" w:id="-1210902780"/>
                <w14:textFill>
                  <w14:solidFill>
                    <w14:srgbClr w14:val="000000">
                      <w14:alpha w14:val="100000"/>
                    </w14:srgbClr>
                  </w14:solidFill>
                </w14:textFill>
              </w:rPr>
              <w:t xml:space="preserve">　</w:t>
            </w:r>
            <w:r w:rsidRPr="005B3F49">
              <w:rPr>
                <w:color w:val="000000"/>
                <w:w w:val="15"/>
                <w:szCs w:val="20"/>
                <w:shd w:val="solid" w:color="000000" w:fill="000000"/>
                <w:fitText w:val="45" w:id="-1210902780"/>
                <w14:textFill>
                  <w14:solidFill>
                    <w14:srgbClr w14:val="000000">
                      <w14:alpha w14:val="100000"/>
                    </w14:srgbClr>
                  </w14:solidFill>
                </w14:textFill>
              </w:rPr>
              <w:t>|</w:t>
            </w:r>
            <w:r w:rsidRPr="005B3F49">
              <w:rPr>
                <w:rFonts w:hint="eastAsia"/>
                <w:color w:val="000000"/>
                <w:spacing w:val="-30"/>
                <w:w w:val="15"/>
                <w:szCs w:val="20"/>
                <w:shd w:val="solid" w:color="000000" w:fill="000000"/>
                <w:fitText w:val="45" w:id="-1210902780"/>
                <w14:textFill>
                  <w14:solidFill>
                    <w14:srgbClr w14:val="000000">
                      <w14:alpha w14:val="100000"/>
                    </w14:srgbClr>
                  </w14:solidFill>
                </w14:textFill>
              </w:rPr>
              <w:t xml:space="preserve">　</w:t>
            </w:r>
            <w:r w:rsidR="00A16CD7">
              <w:rPr>
                <w:color w:val="000000"/>
                <w:szCs w:val="20"/>
                <w:vertAlign w:val="superscript"/>
              </w:rPr>
              <w:t>2</w:t>
            </w:r>
          </w:p>
        </w:tc>
        <w:tc>
          <w:tcPr>
            <w:tcW w:w="629" w:type="pct"/>
            <w:shd w:val="clear" w:color="auto" w:fill="auto"/>
          </w:tcPr>
          <w:p w14:paraId="0A2470F5" w14:textId="399F6928" w:rsidR="009B211A" w:rsidRPr="00A16CD7" w:rsidRDefault="005B3F49" w:rsidP="009B211A">
            <w:pPr>
              <w:pStyle w:val="TableText0"/>
              <w:jc w:val="center"/>
              <w:rPr>
                <w:b/>
                <w:bCs w:val="0"/>
                <w:color w:val="000000"/>
                <w:szCs w:val="20"/>
                <w:vertAlign w:val="superscript"/>
              </w:rPr>
            </w:pPr>
            <w:r w:rsidRPr="005B3F49">
              <w:rPr>
                <w:rFonts w:hint="eastAsia"/>
                <w:color w:val="000000"/>
                <w:w w:val="15"/>
                <w:szCs w:val="20"/>
                <w:shd w:val="solid" w:color="000000" w:fill="000000"/>
                <w:fitText w:val="45" w:id="-1210902779"/>
                <w14:textFill>
                  <w14:solidFill>
                    <w14:srgbClr w14:val="000000">
                      <w14:alpha w14:val="100000"/>
                    </w14:srgbClr>
                  </w14:solidFill>
                </w14:textFill>
              </w:rPr>
              <w:t xml:space="preserve">　</w:t>
            </w:r>
            <w:r w:rsidRPr="005B3F49">
              <w:rPr>
                <w:color w:val="000000"/>
                <w:w w:val="15"/>
                <w:szCs w:val="20"/>
                <w:shd w:val="solid" w:color="000000" w:fill="000000"/>
                <w:fitText w:val="45" w:id="-1210902779"/>
                <w14:textFill>
                  <w14:solidFill>
                    <w14:srgbClr w14:val="000000">
                      <w14:alpha w14:val="100000"/>
                    </w14:srgbClr>
                  </w14:solidFill>
                </w14:textFill>
              </w:rPr>
              <w:t>|</w:t>
            </w:r>
            <w:r w:rsidRPr="005B3F49">
              <w:rPr>
                <w:rFonts w:hint="eastAsia"/>
                <w:color w:val="000000"/>
                <w:spacing w:val="-30"/>
                <w:w w:val="15"/>
                <w:szCs w:val="20"/>
                <w:shd w:val="solid" w:color="000000" w:fill="000000"/>
                <w:fitText w:val="45" w:id="-1210902779"/>
                <w14:textFill>
                  <w14:solidFill>
                    <w14:srgbClr w14:val="000000">
                      <w14:alpha w14:val="100000"/>
                    </w14:srgbClr>
                  </w14:solidFill>
                </w14:textFill>
              </w:rPr>
              <w:t xml:space="preserve">　</w:t>
            </w:r>
            <w:r w:rsidR="00A16CD7">
              <w:rPr>
                <w:color w:val="000000"/>
                <w:szCs w:val="20"/>
                <w:vertAlign w:val="superscript"/>
              </w:rPr>
              <w:t>2</w:t>
            </w:r>
          </w:p>
        </w:tc>
        <w:tc>
          <w:tcPr>
            <w:tcW w:w="629" w:type="pct"/>
            <w:shd w:val="clear" w:color="auto" w:fill="auto"/>
          </w:tcPr>
          <w:p w14:paraId="330E2858" w14:textId="53481886" w:rsidR="009B211A" w:rsidRPr="00A16CD7" w:rsidRDefault="005B3F49" w:rsidP="009B211A">
            <w:pPr>
              <w:pStyle w:val="TableText0"/>
              <w:jc w:val="center"/>
              <w:rPr>
                <w:b/>
                <w:bCs w:val="0"/>
                <w:color w:val="000000"/>
                <w:szCs w:val="20"/>
                <w:vertAlign w:val="superscript"/>
              </w:rPr>
            </w:pPr>
            <w:r w:rsidRPr="005B3F49">
              <w:rPr>
                <w:rFonts w:hint="eastAsia"/>
                <w:color w:val="000000"/>
                <w:w w:val="15"/>
                <w:szCs w:val="20"/>
                <w:shd w:val="solid" w:color="000000" w:fill="000000"/>
                <w:fitText w:val="45" w:id="-1210902778"/>
                <w14:textFill>
                  <w14:solidFill>
                    <w14:srgbClr w14:val="000000">
                      <w14:alpha w14:val="100000"/>
                    </w14:srgbClr>
                  </w14:solidFill>
                </w14:textFill>
              </w:rPr>
              <w:t xml:space="preserve">　</w:t>
            </w:r>
            <w:r w:rsidRPr="005B3F49">
              <w:rPr>
                <w:color w:val="000000"/>
                <w:w w:val="15"/>
                <w:szCs w:val="20"/>
                <w:shd w:val="solid" w:color="000000" w:fill="000000"/>
                <w:fitText w:val="45" w:id="-1210902778"/>
                <w14:textFill>
                  <w14:solidFill>
                    <w14:srgbClr w14:val="000000">
                      <w14:alpha w14:val="100000"/>
                    </w14:srgbClr>
                  </w14:solidFill>
                </w14:textFill>
              </w:rPr>
              <w:t>|</w:t>
            </w:r>
            <w:r w:rsidRPr="005B3F49">
              <w:rPr>
                <w:rFonts w:hint="eastAsia"/>
                <w:color w:val="000000"/>
                <w:spacing w:val="-30"/>
                <w:w w:val="15"/>
                <w:szCs w:val="20"/>
                <w:shd w:val="solid" w:color="000000" w:fill="000000"/>
                <w:fitText w:val="45" w:id="-1210902778"/>
                <w14:textFill>
                  <w14:solidFill>
                    <w14:srgbClr w14:val="000000">
                      <w14:alpha w14:val="100000"/>
                    </w14:srgbClr>
                  </w14:solidFill>
                </w14:textFill>
              </w:rPr>
              <w:t xml:space="preserve">　</w:t>
            </w:r>
            <w:r w:rsidR="00A16CD7">
              <w:rPr>
                <w:color w:val="000000"/>
                <w:szCs w:val="20"/>
                <w:vertAlign w:val="superscript"/>
              </w:rPr>
              <w:t>2</w:t>
            </w:r>
          </w:p>
        </w:tc>
        <w:tc>
          <w:tcPr>
            <w:tcW w:w="599" w:type="pct"/>
            <w:shd w:val="clear" w:color="auto" w:fill="auto"/>
          </w:tcPr>
          <w:p w14:paraId="412E7A6E" w14:textId="692BF29E" w:rsidR="009B211A" w:rsidRPr="00A16CD7" w:rsidRDefault="005B3F49" w:rsidP="009B211A">
            <w:pPr>
              <w:pStyle w:val="TableText0"/>
              <w:jc w:val="center"/>
              <w:rPr>
                <w:b/>
                <w:bCs w:val="0"/>
                <w:color w:val="000000"/>
                <w:szCs w:val="20"/>
                <w:vertAlign w:val="superscript"/>
              </w:rPr>
            </w:pPr>
            <w:r w:rsidRPr="005B3F49">
              <w:rPr>
                <w:rFonts w:hint="eastAsia"/>
                <w:color w:val="000000"/>
                <w:w w:val="15"/>
                <w:szCs w:val="20"/>
                <w:shd w:val="solid" w:color="000000" w:fill="000000"/>
                <w:fitText w:val="60" w:id="-1210902777"/>
                <w14:textFill>
                  <w14:solidFill>
                    <w14:srgbClr w14:val="000000">
                      <w14:alpha w14:val="100000"/>
                    </w14:srgbClr>
                  </w14:solidFill>
                </w14:textFill>
              </w:rPr>
              <w:t xml:space="preserve">　</w:t>
            </w:r>
            <w:r w:rsidRPr="005B3F49">
              <w:rPr>
                <w:color w:val="000000"/>
                <w:w w:val="15"/>
                <w:szCs w:val="20"/>
                <w:shd w:val="solid" w:color="000000" w:fill="000000"/>
                <w:fitText w:val="60" w:id="-1210902777"/>
                <w14:textFill>
                  <w14:solidFill>
                    <w14:srgbClr w14:val="000000">
                      <w14:alpha w14:val="100000"/>
                    </w14:srgbClr>
                  </w14:solidFill>
                </w14:textFill>
              </w:rPr>
              <w:t>|</w:t>
            </w:r>
            <w:r w:rsidRPr="005B3F49">
              <w:rPr>
                <w:rFonts w:hint="eastAsia"/>
                <w:color w:val="000000"/>
                <w:spacing w:val="-15"/>
                <w:w w:val="15"/>
                <w:szCs w:val="20"/>
                <w:shd w:val="solid" w:color="000000" w:fill="000000"/>
                <w:fitText w:val="60" w:id="-1210902777"/>
                <w14:textFill>
                  <w14:solidFill>
                    <w14:srgbClr w14:val="000000">
                      <w14:alpha w14:val="100000"/>
                    </w14:srgbClr>
                  </w14:solidFill>
                </w14:textFill>
              </w:rPr>
              <w:t xml:space="preserve">　</w:t>
            </w:r>
            <w:r w:rsidR="00A16CD7">
              <w:rPr>
                <w:color w:val="000000"/>
                <w:szCs w:val="20"/>
                <w:vertAlign w:val="superscript"/>
              </w:rPr>
              <w:t>2</w:t>
            </w:r>
          </w:p>
        </w:tc>
      </w:tr>
      <w:tr w:rsidR="009B211A" w:rsidRPr="000E6572" w14:paraId="67001857" w14:textId="77777777" w:rsidTr="009B211A">
        <w:trPr>
          <w:tblHeader/>
        </w:trPr>
        <w:tc>
          <w:tcPr>
            <w:tcW w:w="5000" w:type="pct"/>
            <w:gridSpan w:val="7"/>
            <w:shd w:val="clear" w:color="auto" w:fill="auto"/>
            <w:vAlign w:val="center"/>
          </w:tcPr>
          <w:p w14:paraId="6DDD89E5" w14:textId="252D5D5B" w:rsidR="009B211A" w:rsidRPr="00086D36" w:rsidRDefault="009B211A" w:rsidP="009B211A">
            <w:pPr>
              <w:pStyle w:val="TableText0"/>
              <w:rPr>
                <w:b/>
                <w:bCs w:val="0"/>
                <w:color w:val="000000"/>
                <w:szCs w:val="20"/>
              </w:rPr>
            </w:pPr>
            <w:r>
              <w:rPr>
                <w:b/>
                <w:bCs w:val="0"/>
                <w:szCs w:val="20"/>
              </w:rPr>
              <w:t>Cost to R/PBS</w:t>
            </w:r>
          </w:p>
        </w:tc>
      </w:tr>
      <w:tr w:rsidR="009B211A" w:rsidRPr="000E6572" w14:paraId="2DFF7CC9" w14:textId="77777777" w:rsidTr="009B211A">
        <w:trPr>
          <w:tblHeader/>
        </w:trPr>
        <w:tc>
          <w:tcPr>
            <w:tcW w:w="1255" w:type="pct"/>
            <w:shd w:val="clear" w:color="auto" w:fill="auto"/>
            <w:vAlign w:val="center"/>
          </w:tcPr>
          <w:p w14:paraId="1D3E92AF" w14:textId="26870106" w:rsidR="009B211A" w:rsidRPr="00086D36" w:rsidRDefault="009B211A" w:rsidP="009B211A">
            <w:pPr>
              <w:pStyle w:val="In-tableHeading"/>
              <w:rPr>
                <w:szCs w:val="20"/>
              </w:rPr>
            </w:pPr>
            <w:r>
              <w:rPr>
                <w:b w:val="0"/>
                <w:bCs/>
                <w:szCs w:val="20"/>
              </w:rPr>
              <w:t>For initial and continuing</w:t>
            </w:r>
          </w:p>
        </w:tc>
        <w:tc>
          <w:tcPr>
            <w:tcW w:w="630" w:type="pct"/>
            <w:shd w:val="clear" w:color="auto" w:fill="auto"/>
          </w:tcPr>
          <w:p w14:paraId="048E182C" w14:textId="25E04AE0" w:rsidR="009B211A" w:rsidRPr="00A16CD7" w:rsidRDefault="009B211A" w:rsidP="009B211A">
            <w:pPr>
              <w:pStyle w:val="TableText0"/>
              <w:jc w:val="center"/>
              <w:rPr>
                <w:color w:val="000000"/>
                <w:szCs w:val="20"/>
                <w:vertAlign w:val="superscript"/>
              </w:rPr>
            </w:pPr>
            <w:r>
              <w:rPr>
                <w:b/>
                <w:bCs w:val="0"/>
                <w:color w:val="000000"/>
                <w:szCs w:val="20"/>
              </w:rPr>
              <w:t>$</w:t>
            </w:r>
            <w:r w:rsidR="005B3F49" w:rsidRPr="005B3F49">
              <w:rPr>
                <w:rFonts w:hint="eastAsia"/>
                <w:b/>
                <w:bCs w:val="0"/>
                <w:color w:val="000000"/>
                <w:w w:val="30"/>
                <w:szCs w:val="20"/>
                <w:shd w:val="solid" w:color="000000" w:fill="000000"/>
                <w:fitText w:val="135" w:id="-1210902776"/>
                <w14:textFill>
                  <w14:solidFill>
                    <w14:srgbClr w14:val="000000">
                      <w14:alpha w14:val="100000"/>
                    </w14:srgbClr>
                  </w14:solidFill>
                </w14:textFill>
              </w:rPr>
              <w:t xml:space="preserve">　</w:t>
            </w:r>
            <w:r w:rsidR="005B3F49" w:rsidRPr="005B3F49">
              <w:rPr>
                <w:b/>
                <w:bCs w:val="0"/>
                <w:color w:val="000000"/>
                <w:w w:val="30"/>
                <w:szCs w:val="20"/>
                <w:shd w:val="solid" w:color="000000" w:fill="000000"/>
                <w:fitText w:val="135" w:id="-1210902776"/>
                <w14:textFill>
                  <w14:solidFill>
                    <w14:srgbClr w14:val="000000">
                      <w14:alpha w14:val="100000"/>
                    </w14:srgbClr>
                  </w14:solidFill>
                </w14:textFill>
              </w:rPr>
              <w:t>|</w:t>
            </w:r>
            <w:r w:rsidR="005B3F49" w:rsidRPr="005B3F49">
              <w:rPr>
                <w:rFonts w:hint="eastAsia"/>
                <w:b/>
                <w:bCs w:val="0"/>
                <w:color w:val="000000"/>
                <w:spacing w:val="2"/>
                <w:w w:val="30"/>
                <w:szCs w:val="20"/>
                <w:shd w:val="solid" w:color="000000" w:fill="000000"/>
                <w:fitText w:val="135" w:id="-1210902776"/>
                <w14:textFill>
                  <w14:solidFill>
                    <w14:srgbClr w14:val="000000">
                      <w14:alpha w14:val="100000"/>
                    </w14:srgbClr>
                  </w14:solidFill>
                </w14:textFill>
              </w:rPr>
              <w:t xml:space="preserve">　</w:t>
            </w:r>
            <w:r w:rsidR="00A16CD7">
              <w:rPr>
                <w:color w:val="000000"/>
                <w:szCs w:val="20"/>
                <w:vertAlign w:val="superscript"/>
              </w:rPr>
              <w:t>3</w:t>
            </w:r>
          </w:p>
        </w:tc>
        <w:tc>
          <w:tcPr>
            <w:tcW w:w="629" w:type="pct"/>
            <w:shd w:val="clear" w:color="auto" w:fill="auto"/>
          </w:tcPr>
          <w:p w14:paraId="5A42063B" w14:textId="37C38360" w:rsidR="009B211A" w:rsidRPr="00700EC1" w:rsidRDefault="009B211A" w:rsidP="009B211A">
            <w:pPr>
              <w:pStyle w:val="TableText0"/>
              <w:jc w:val="center"/>
              <w:rPr>
                <w:color w:val="000000"/>
                <w:szCs w:val="20"/>
                <w:vertAlign w:val="superscript"/>
              </w:rPr>
            </w:pPr>
            <w:r>
              <w:rPr>
                <w:b/>
                <w:bCs w:val="0"/>
                <w:color w:val="000000"/>
                <w:szCs w:val="20"/>
              </w:rPr>
              <w:t>$</w:t>
            </w:r>
            <w:r w:rsidR="005B3F49" w:rsidRPr="005B3F49">
              <w:rPr>
                <w:rFonts w:hint="eastAsia"/>
                <w:b/>
                <w:bCs w:val="0"/>
                <w:color w:val="000000"/>
                <w:w w:val="30"/>
                <w:szCs w:val="20"/>
                <w:shd w:val="solid" w:color="000000" w:fill="000000"/>
                <w:fitText w:val="135" w:id="-1210902775"/>
                <w14:textFill>
                  <w14:solidFill>
                    <w14:srgbClr w14:val="000000">
                      <w14:alpha w14:val="100000"/>
                    </w14:srgbClr>
                  </w14:solidFill>
                </w14:textFill>
              </w:rPr>
              <w:t xml:space="preserve">　</w:t>
            </w:r>
            <w:r w:rsidR="005B3F49" w:rsidRPr="005B3F49">
              <w:rPr>
                <w:b/>
                <w:bCs w:val="0"/>
                <w:color w:val="000000"/>
                <w:w w:val="30"/>
                <w:szCs w:val="20"/>
                <w:shd w:val="solid" w:color="000000" w:fill="000000"/>
                <w:fitText w:val="135" w:id="-1210902775"/>
                <w14:textFill>
                  <w14:solidFill>
                    <w14:srgbClr w14:val="000000">
                      <w14:alpha w14:val="100000"/>
                    </w14:srgbClr>
                  </w14:solidFill>
                </w14:textFill>
              </w:rPr>
              <w:t>|</w:t>
            </w:r>
            <w:r w:rsidR="005B3F49" w:rsidRPr="005B3F49">
              <w:rPr>
                <w:rFonts w:hint="eastAsia"/>
                <w:b/>
                <w:bCs w:val="0"/>
                <w:color w:val="000000"/>
                <w:spacing w:val="2"/>
                <w:w w:val="30"/>
                <w:szCs w:val="20"/>
                <w:shd w:val="solid" w:color="000000" w:fill="000000"/>
                <w:fitText w:val="135" w:id="-1210902775"/>
                <w14:textFill>
                  <w14:solidFill>
                    <w14:srgbClr w14:val="000000">
                      <w14:alpha w14:val="100000"/>
                    </w14:srgbClr>
                  </w14:solidFill>
                </w14:textFill>
              </w:rPr>
              <w:t xml:space="preserve">　</w:t>
            </w:r>
            <w:r w:rsidR="00700EC1">
              <w:rPr>
                <w:color w:val="000000"/>
                <w:szCs w:val="20"/>
                <w:vertAlign w:val="superscript"/>
              </w:rPr>
              <w:t>3</w:t>
            </w:r>
          </w:p>
        </w:tc>
        <w:tc>
          <w:tcPr>
            <w:tcW w:w="629" w:type="pct"/>
            <w:shd w:val="clear" w:color="auto" w:fill="auto"/>
          </w:tcPr>
          <w:p w14:paraId="31F5F2C1" w14:textId="288FE413" w:rsidR="009B211A" w:rsidRPr="00700EC1" w:rsidRDefault="009B211A" w:rsidP="009B211A">
            <w:pPr>
              <w:pStyle w:val="TableText0"/>
              <w:jc w:val="center"/>
              <w:rPr>
                <w:b/>
                <w:bCs w:val="0"/>
                <w:color w:val="000000"/>
                <w:szCs w:val="20"/>
                <w:vertAlign w:val="superscript"/>
              </w:rPr>
            </w:pPr>
            <w:r>
              <w:rPr>
                <w:b/>
                <w:bCs w:val="0"/>
                <w:color w:val="000000"/>
                <w:szCs w:val="20"/>
              </w:rPr>
              <w:t>$</w:t>
            </w:r>
            <w:r w:rsidR="005B3F49" w:rsidRPr="005B3F49">
              <w:rPr>
                <w:rFonts w:hint="eastAsia"/>
                <w:b/>
                <w:bCs w:val="0"/>
                <w:color w:val="000000"/>
                <w:w w:val="30"/>
                <w:szCs w:val="20"/>
                <w:shd w:val="solid" w:color="000000" w:fill="000000"/>
                <w:fitText w:val="135" w:id="-1210902774"/>
                <w14:textFill>
                  <w14:solidFill>
                    <w14:srgbClr w14:val="000000">
                      <w14:alpha w14:val="100000"/>
                    </w14:srgbClr>
                  </w14:solidFill>
                </w14:textFill>
              </w:rPr>
              <w:t xml:space="preserve">　</w:t>
            </w:r>
            <w:r w:rsidR="005B3F49" w:rsidRPr="005B3F49">
              <w:rPr>
                <w:b/>
                <w:bCs w:val="0"/>
                <w:color w:val="000000"/>
                <w:w w:val="30"/>
                <w:szCs w:val="20"/>
                <w:shd w:val="solid" w:color="000000" w:fill="000000"/>
                <w:fitText w:val="135" w:id="-1210902774"/>
                <w14:textFill>
                  <w14:solidFill>
                    <w14:srgbClr w14:val="000000">
                      <w14:alpha w14:val="100000"/>
                    </w14:srgbClr>
                  </w14:solidFill>
                </w14:textFill>
              </w:rPr>
              <w:t>|</w:t>
            </w:r>
            <w:r w:rsidR="005B3F49" w:rsidRPr="005B3F49">
              <w:rPr>
                <w:rFonts w:hint="eastAsia"/>
                <w:b/>
                <w:bCs w:val="0"/>
                <w:color w:val="000000"/>
                <w:spacing w:val="2"/>
                <w:w w:val="30"/>
                <w:szCs w:val="20"/>
                <w:shd w:val="solid" w:color="000000" w:fill="000000"/>
                <w:fitText w:val="135" w:id="-1210902774"/>
                <w14:textFill>
                  <w14:solidFill>
                    <w14:srgbClr w14:val="000000">
                      <w14:alpha w14:val="100000"/>
                    </w14:srgbClr>
                  </w14:solidFill>
                </w14:textFill>
              </w:rPr>
              <w:t xml:space="preserve">　</w:t>
            </w:r>
            <w:r w:rsidR="00700EC1" w:rsidRPr="00700EC1">
              <w:rPr>
                <w:color w:val="000000"/>
                <w:szCs w:val="20"/>
                <w:vertAlign w:val="superscript"/>
              </w:rPr>
              <w:t>3</w:t>
            </w:r>
          </w:p>
        </w:tc>
        <w:tc>
          <w:tcPr>
            <w:tcW w:w="629" w:type="pct"/>
            <w:shd w:val="clear" w:color="auto" w:fill="auto"/>
          </w:tcPr>
          <w:p w14:paraId="436EB07A" w14:textId="4DD09EB5" w:rsidR="009B211A" w:rsidRPr="00700EC1" w:rsidRDefault="009B211A" w:rsidP="009B211A">
            <w:pPr>
              <w:pStyle w:val="TableText0"/>
              <w:jc w:val="center"/>
              <w:rPr>
                <w:color w:val="000000"/>
                <w:szCs w:val="20"/>
                <w:vertAlign w:val="superscript"/>
              </w:rPr>
            </w:pPr>
            <w:r>
              <w:rPr>
                <w:b/>
                <w:bCs w:val="0"/>
                <w:color w:val="000000"/>
                <w:szCs w:val="20"/>
              </w:rPr>
              <w:t>$</w:t>
            </w:r>
            <w:r w:rsidR="005B3F49" w:rsidRPr="005B3F49">
              <w:rPr>
                <w:rFonts w:hint="eastAsia"/>
                <w:b/>
                <w:bCs w:val="0"/>
                <w:color w:val="000000"/>
                <w:w w:val="30"/>
                <w:szCs w:val="20"/>
                <w:shd w:val="solid" w:color="000000" w:fill="000000"/>
                <w:fitText w:val="135" w:id="-1210902773"/>
                <w14:textFill>
                  <w14:solidFill>
                    <w14:srgbClr w14:val="000000">
                      <w14:alpha w14:val="100000"/>
                    </w14:srgbClr>
                  </w14:solidFill>
                </w14:textFill>
              </w:rPr>
              <w:t xml:space="preserve">　</w:t>
            </w:r>
            <w:r w:rsidR="005B3F49" w:rsidRPr="005B3F49">
              <w:rPr>
                <w:b/>
                <w:bCs w:val="0"/>
                <w:color w:val="000000"/>
                <w:w w:val="30"/>
                <w:szCs w:val="20"/>
                <w:shd w:val="solid" w:color="000000" w:fill="000000"/>
                <w:fitText w:val="135" w:id="-1210902773"/>
                <w14:textFill>
                  <w14:solidFill>
                    <w14:srgbClr w14:val="000000">
                      <w14:alpha w14:val="100000"/>
                    </w14:srgbClr>
                  </w14:solidFill>
                </w14:textFill>
              </w:rPr>
              <w:t>|</w:t>
            </w:r>
            <w:r w:rsidR="005B3F49" w:rsidRPr="005B3F49">
              <w:rPr>
                <w:rFonts w:hint="eastAsia"/>
                <w:b/>
                <w:bCs w:val="0"/>
                <w:color w:val="000000"/>
                <w:spacing w:val="2"/>
                <w:w w:val="30"/>
                <w:szCs w:val="20"/>
                <w:shd w:val="solid" w:color="000000" w:fill="000000"/>
                <w:fitText w:val="135" w:id="-1210902773"/>
                <w14:textFill>
                  <w14:solidFill>
                    <w14:srgbClr w14:val="000000">
                      <w14:alpha w14:val="100000"/>
                    </w14:srgbClr>
                  </w14:solidFill>
                </w14:textFill>
              </w:rPr>
              <w:t xml:space="preserve">　</w:t>
            </w:r>
            <w:r w:rsidR="00700EC1">
              <w:rPr>
                <w:color w:val="000000"/>
                <w:szCs w:val="20"/>
                <w:vertAlign w:val="superscript"/>
              </w:rPr>
              <w:t>3</w:t>
            </w:r>
          </w:p>
        </w:tc>
        <w:tc>
          <w:tcPr>
            <w:tcW w:w="629" w:type="pct"/>
            <w:shd w:val="clear" w:color="auto" w:fill="auto"/>
          </w:tcPr>
          <w:p w14:paraId="08751469" w14:textId="7362ACDE" w:rsidR="009B211A" w:rsidRPr="00700EC1" w:rsidRDefault="009B211A" w:rsidP="009B211A">
            <w:pPr>
              <w:pStyle w:val="TableText0"/>
              <w:jc w:val="center"/>
              <w:rPr>
                <w:color w:val="000000"/>
                <w:szCs w:val="20"/>
              </w:rPr>
            </w:pPr>
            <w:r>
              <w:rPr>
                <w:b/>
                <w:bCs w:val="0"/>
                <w:color w:val="000000"/>
                <w:szCs w:val="20"/>
              </w:rPr>
              <w:t>$</w:t>
            </w:r>
            <w:r w:rsidR="005B3F49" w:rsidRPr="005B3F49">
              <w:rPr>
                <w:rFonts w:hint="eastAsia"/>
                <w:b/>
                <w:bCs w:val="0"/>
                <w:color w:val="000000"/>
                <w:w w:val="30"/>
                <w:szCs w:val="20"/>
                <w:shd w:val="solid" w:color="000000" w:fill="000000"/>
                <w:fitText w:val="135" w:id="-1210902772"/>
                <w14:textFill>
                  <w14:solidFill>
                    <w14:srgbClr w14:val="000000">
                      <w14:alpha w14:val="100000"/>
                    </w14:srgbClr>
                  </w14:solidFill>
                </w14:textFill>
              </w:rPr>
              <w:t xml:space="preserve">　</w:t>
            </w:r>
            <w:r w:rsidR="005B3F49" w:rsidRPr="005B3F49">
              <w:rPr>
                <w:b/>
                <w:bCs w:val="0"/>
                <w:color w:val="000000"/>
                <w:w w:val="30"/>
                <w:szCs w:val="20"/>
                <w:shd w:val="solid" w:color="000000" w:fill="000000"/>
                <w:fitText w:val="135" w:id="-1210902772"/>
                <w14:textFill>
                  <w14:solidFill>
                    <w14:srgbClr w14:val="000000">
                      <w14:alpha w14:val="100000"/>
                    </w14:srgbClr>
                  </w14:solidFill>
                </w14:textFill>
              </w:rPr>
              <w:t>|</w:t>
            </w:r>
            <w:r w:rsidR="005B3F49" w:rsidRPr="005B3F49">
              <w:rPr>
                <w:rFonts w:hint="eastAsia"/>
                <w:b/>
                <w:bCs w:val="0"/>
                <w:color w:val="000000"/>
                <w:spacing w:val="2"/>
                <w:w w:val="30"/>
                <w:szCs w:val="20"/>
                <w:shd w:val="solid" w:color="000000" w:fill="000000"/>
                <w:fitText w:val="135" w:id="-1210902772"/>
                <w14:textFill>
                  <w14:solidFill>
                    <w14:srgbClr w14:val="000000">
                      <w14:alpha w14:val="100000"/>
                    </w14:srgbClr>
                  </w14:solidFill>
                </w14:textFill>
              </w:rPr>
              <w:t xml:space="preserve">　</w:t>
            </w:r>
            <w:r w:rsidR="00700EC1" w:rsidRPr="00700EC1">
              <w:rPr>
                <w:color w:val="000000"/>
                <w:szCs w:val="20"/>
                <w:vertAlign w:val="superscript"/>
              </w:rPr>
              <w:t>3</w:t>
            </w:r>
          </w:p>
        </w:tc>
        <w:tc>
          <w:tcPr>
            <w:tcW w:w="599" w:type="pct"/>
            <w:shd w:val="clear" w:color="auto" w:fill="auto"/>
          </w:tcPr>
          <w:p w14:paraId="0E9CBCB1" w14:textId="214D6516" w:rsidR="009B211A" w:rsidRPr="00700EC1" w:rsidRDefault="009B211A" w:rsidP="009B211A">
            <w:pPr>
              <w:pStyle w:val="TableText0"/>
              <w:jc w:val="center"/>
              <w:rPr>
                <w:color w:val="000000"/>
                <w:szCs w:val="20"/>
                <w:vertAlign w:val="superscript"/>
              </w:rPr>
            </w:pPr>
            <w:r>
              <w:rPr>
                <w:b/>
                <w:bCs w:val="0"/>
                <w:color w:val="000000"/>
                <w:szCs w:val="20"/>
              </w:rPr>
              <w:t>$</w:t>
            </w:r>
            <w:r w:rsidR="005B3F49" w:rsidRPr="005B3F49">
              <w:rPr>
                <w:b/>
                <w:bCs w:val="0"/>
                <w:color w:val="000000"/>
                <w:spacing w:val="73"/>
                <w:szCs w:val="20"/>
                <w:shd w:val="solid" w:color="000000" w:fill="000000"/>
                <w:fitText w:val="165" w:id="-1210902771"/>
                <w14:textFill>
                  <w14:solidFill>
                    <w14:srgbClr w14:val="000000">
                      <w14:alpha w14:val="100000"/>
                    </w14:srgbClr>
                  </w14:solidFill>
                </w14:textFill>
              </w:rPr>
              <w:t>|</w:t>
            </w:r>
            <w:r w:rsidR="005B3F49" w:rsidRPr="005B3F49">
              <w:rPr>
                <w:b/>
                <w:bCs w:val="0"/>
                <w:color w:val="000000"/>
                <w:spacing w:val="1"/>
                <w:szCs w:val="20"/>
                <w:shd w:val="solid" w:color="000000" w:fill="000000"/>
                <w:fitText w:val="165" w:id="-1210902771"/>
                <w14:textFill>
                  <w14:solidFill>
                    <w14:srgbClr w14:val="000000">
                      <w14:alpha w14:val="100000"/>
                    </w14:srgbClr>
                  </w14:solidFill>
                </w14:textFill>
              </w:rPr>
              <w:t>|</w:t>
            </w:r>
            <w:r w:rsidR="00700EC1">
              <w:rPr>
                <w:color w:val="000000"/>
                <w:szCs w:val="20"/>
                <w:vertAlign w:val="superscript"/>
              </w:rPr>
              <w:t>3</w:t>
            </w:r>
          </w:p>
        </w:tc>
      </w:tr>
      <w:tr w:rsidR="009B211A" w:rsidRPr="000E6572" w14:paraId="106E7F5F" w14:textId="77777777" w:rsidTr="009B211A">
        <w:trPr>
          <w:tblHeader/>
        </w:trPr>
        <w:tc>
          <w:tcPr>
            <w:tcW w:w="1255" w:type="pct"/>
            <w:shd w:val="clear" w:color="auto" w:fill="auto"/>
            <w:vAlign w:val="center"/>
          </w:tcPr>
          <w:p w14:paraId="7642E849" w14:textId="09717B34" w:rsidR="009B211A" w:rsidRPr="00086D36" w:rsidRDefault="009B211A" w:rsidP="009B211A">
            <w:pPr>
              <w:pStyle w:val="In-tableHeading"/>
              <w:rPr>
                <w:szCs w:val="20"/>
              </w:rPr>
            </w:pPr>
            <w:r>
              <w:rPr>
                <w:b w:val="0"/>
                <w:bCs/>
                <w:szCs w:val="20"/>
              </w:rPr>
              <w:t>For dose escalation</w:t>
            </w:r>
          </w:p>
        </w:tc>
        <w:tc>
          <w:tcPr>
            <w:tcW w:w="630" w:type="pct"/>
            <w:shd w:val="clear" w:color="auto" w:fill="auto"/>
          </w:tcPr>
          <w:p w14:paraId="7FD63A11" w14:textId="5BB5E1B2" w:rsidR="009B211A" w:rsidRPr="00700EC1" w:rsidRDefault="009B211A" w:rsidP="009B211A">
            <w:pPr>
              <w:pStyle w:val="TableText0"/>
              <w:jc w:val="center"/>
              <w:rPr>
                <w:color w:val="000000"/>
                <w:szCs w:val="20"/>
                <w:vertAlign w:val="superscript"/>
              </w:rPr>
            </w:pPr>
            <w:r>
              <w:rPr>
                <w:b/>
                <w:bCs w:val="0"/>
                <w:color w:val="000000"/>
                <w:szCs w:val="20"/>
              </w:rPr>
              <w:t>$</w:t>
            </w:r>
            <w:r w:rsidR="005B3F49" w:rsidRPr="005B3F49">
              <w:rPr>
                <w:rFonts w:hint="eastAsia"/>
                <w:b/>
                <w:bCs w:val="0"/>
                <w:color w:val="000000"/>
                <w:w w:val="30"/>
                <w:szCs w:val="20"/>
                <w:shd w:val="solid" w:color="000000" w:fill="000000"/>
                <w:fitText w:val="135" w:id="-1210902770"/>
                <w14:textFill>
                  <w14:solidFill>
                    <w14:srgbClr w14:val="000000">
                      <w14:alpha w14:val="100000"/>
                    </w14:srgbClr>
                  </w14:solidFill>
                </w14:textFill>
              </w:rPr>
              <w:t xml:space="preserve">　</w:t>
            </w:r>
            <w:r w:rsidR="005B3F49" w:rsidRPr="005B3F49">
              <w:rPr>
                <w:b/>
                <w:bCs w:val="0"/>
                <w:color w:val="000000"/>
                <w:w w:val="30"/>
                <w:szCs w:val="20"/>
                <w:shd w:val="solid" w:color="000000" w:fill="000000"/>
                <w:fitText w:val="135" w:id="-1210902770"/>
                <w14:textFill>
                  <w14:solidFill>
                    <w14:srgbClr w14:val="000000">
                      <w14:alpha w14:val="100000"/>
                    </w14:srgbClr>
                  </w14:solidFill>
                </w14:textFill>
              </w:rPr>
              <w:t>|</w:t>
            </w:r>
            <w:r w:rsidR="005B3F49" w:rsidRPr="005B3F49">
              <w:rPr>
                <w:rFonts w:hint="eastAsia"/>
                <w:b/>
                <w:bCs w:val="0"/>
                <w:color w:val="000000"/>
                <w:spacing w:val="2"/>
                <w:w w:val="30"/>
                <w:szCs w:val="20"/>
                <w:shd w:val="solid" w:color="000000" w:fill="000000"/>
                <w:fitText w:val="135" w:id="-1210902770"/>
                <w14:textFill>
                  <w14:solidFill>
                    <w14:srgbClr w14:val="000000">
                      <w14:alpha w14:val="100000"/>
                    </w14:srgbClr>
                  </w14:solidFill>
                </w14:textFill>
              </w:rPr>
              <w:t xml:space="preserve">　</w:t>
            </w:r>
            <w:r w:rsidR="00700EC1">
              <w:rPr>
                <w:color w:val="000000"/>
                <w:szCs w:val="20"/>
                <w:vertAlign w:val="superscript"/>
              </w:rPr>
              <w:t>3</w:t>
            </w:r>
          </w:p>
        </w:tc>
        <w:tc>
          <w:tcPr>
            <w:tcW w:w="629" w:type="pct"/>
            <w:shd w:val="clear" w:color="auto" w:fill="auto"/>
          </w:tcPr>
          <w:p w14:paraId="587EA0A0" w14:textId="665B0B76" w:rsidR="009B211A" w:rsidRPr="00700EC1" w:rsidRDefault="009B211A" w:rsidP="009B211A">
            <w:pPr>
              <w:pStyle w:val="TableText0"/>
              <w:jc w:val="center"/>
              <w:rPr>
                <w:color w:val="000000"/>
                <w:szCs w:val="20"/>
                <w:vertAlign w:val="superscript"/>
              </w:rPr>
            </w:pPr>
            <w:r>
              <w:rPr>
                <w:b/>
                <w:bCs w:val="0"/>
                <w:color w:val="000000"/>
                <w:szCs w:val="20"/>
              </w:rPr>
              <w:t>$</w:t>
            </w:r>
            <w:r w:rsidR="005B3F49" w:rsidRPr="005B3F49">
              <w:rPr>
                <w:rFonts w:hint="eastAsia"/>
                <w:b/>
                <w:bCs w:val="0"/>
                <w:color w:val="000000"/>
                <w:w w:val="30"/>
                <w:szCs w:val="20"/>
                <w:shd w:val="solid" w:color="000000" w:fill="000000"/>
                <w:fitText w:val="135" w:id="-1210902769"/>
                <w14:textFill>
                  <w14:solidFill>
                    <w14:srgbClr w14:val="000000">
                      <w14:alpha w14:val="100000"/>
                    </w14:srgbClr>
                  </w14:solidFill>
                </w14:textFill>
              </w:rPr>
              <w:t xml:space="preserve">　</w:t>
            </w:r>
            <w:r w:rsidR="005B3F49" w:rsidRPr="005B3F49">
              <w:rPr>
                <w:b/>
                <w:bCs w:val="0"/>
                <w:color w:val="000000"/>
                <w:w w:val="30"/>
                <w:szCs w:val="20"/>
                <w:shd w:val="solid" w:color="000000" w:fill="000000"/>
                <w:fitText w:val="135" w:id="-1210902769"/>
                <w14:textFill>
                  <w14:solidFill>
                    <w14:srgbClr w14:val="000000">
                      <w14:alpha w14:val="100000"/>
                    </w14:srgbClr>
                  </w14:solidFill>
                </w14:textFill>
              </w:rPr>
              <w:t>|</w:t>
            </w:r>
            <w:r w:rsidR="005B3F49" w:rsidRPr="005B3F49">
              <w:rPr>
                <w:rFonts w:hint="eastAsia"/>
                <w:b/>
                <w:bCs w:val="0"/>
                <w:color w:val="000000"/>
                <w:spacing w:val="2"/>
                <w:w w:val="30"/>
                <w:szCs w:val="20"/>
                <w:shd w:val="solid" w:color="000000" w:fill="000000"/>
                <w:fitText w:val="135" w:id="-1210902769"/>
                <w14:textFill>
                  <w14:solidFill>
                    <w14:srgbClr w14:val="000000">
                      <w14:alpha w14:val="100000"/>
                    </w14:srgbClr>
                  </w14:solidFill>
                </w14:textFill>
              </w:rPr>
              <w:t xml:space="preserve">　</w:t>
            </w:r>
            <w:r w:rsidR="00700EC1">
              <w:rPr>
                <w:color w:val="000000"/>
                <w:szCs w:val="20"/>
                <w:vertAlign w:val="superscript"/>
              </w:rPr>
              <w:t>3</w:t>
            </w:r>
          </w:p>
        </w:tc>
        <w:tc>
          <w:tcPr>
            <w:tcW w:w="629" w:type="pct"/>
            <w:shd w:val="clear" w:color="auto" w:fill="auto"/>
          </w:tcPr>
          <w:p w14:paraId="0CE4FD1C" w14:textId="7638A3A3" w:rsidR="009B211A" w:rsidRPr="00700EC1" w:rsidRDefault="009B211A" w:rsidP="009B211A">
            <w:pPr>
              <w:pStyle w:val="TableText0"/>
              <w:jc w:val="center"/>
              <w:rPr>
                <w:color w:val="000000"/>
                <w:szCs w:val="20"/>
                <w:vertAlign w:val="superscript"/>
              </w:rPr>
            </w:pPr>
            <w:r>
              <w:rPr>
                <w:b/>
                <w:bCs w:val="0"/>
                <w:color w:val="000000"/>
                <w:szCs w:val="20"/>
              </w:rPr>
              <w:t>$</w:t>
            </w:r>
            <w:r w:rsidR="005B3F49" w:rsidRPr="005B3F49">
              <w:rPr>
                <w:rFonts w:hint="eastAsia"/>
                <w:b/>
                <w:bCs w:val="0"/>
                <w:color w:val="000000"/>
                <w:w w:val="30"/>
                <w:szCs w:val="20"/>
                <w:shd w:val="solid" w:color="000000" w:fill="000000"/>
                <w:fitText w:val="135" w:id="-1210902768"/>
                <w14:textFill>
                  <w14:solidFill>
                    <w14:srgbClr w14:val="000000">
                      <w14:alpha w14:val="100000"/>
                    </w14:srgbClr>
                  </w14:solidFill>
                </w14:textFill>
              </w:rPr>
              <w:t xml:space="preserve">　</w:t>
            </w:r>
            <w:r w:rsidR="005B3F49" w:rsidRPr="005B3F49">
              <w:rPr>
                <w:b/>
                <w:bCs w:val="0"/>
                <w:color w:val="000000"/>
                <w:w w:val="30"/>
                <w:szCs w:val="20"/>
                <w:shd w:val="solid" w:color="000000" w:fill="000000"/>
                <w:fitText w:val="135" w:id="-1210902768"/>
                <w14:textFill>
                  <w14:solidFill>
                    <w14:srgbClr w14:val="000000">
                      <w14:alpha w14:val="100000"/>
                    </w14:srgbClr>
                  </w14:solidFill>
                </w14:textFill>
              </w:rPr>
              <w:t>|</w:t>
            </w:r>
            <w:r w:rsidR="005B3F49" w:rsidRPr="005B3F49">
              <w:rPr>
                <w:rFonts w:hint="eastAsia"/>
                <w:b/>
                <w:bCs w:val="0"/>
                <w:color w:val="000000"/>
                <w:spacing w:val="2"/>
                <w:w w:val="30"/>
                <w:szCs w:val="20"/>
                <w:shd w:val="solid" w:color="000000" w:fill="000000"/>
                <w:fitText w:val="135" w:id="-1210902768"/>
                <w14:textFill>
                  <w14:solidFill>
                    <w14:srgbClr w14:val="000000">
                      <w14:alpha w14:val="100000"/>
                    </w14:srgbClr>
                  </w14:solidFill>
                </w14:textFill>
              </w:rPr>
              <w:t xml:space="preserve">　</w:t>
            </w:r>
            <w:r w:rsidR="00700EC1">
              <w:rPr>
                <w:color w:val="000000"/>
                <w:szCs w:val="20"/>
                <w:vertAlign w:val="superscript"/>
              </w:rPr>
              <w:t>3</w:t>
            </w:r>
          </w:p>
        </w:tc>
        <w:tc>
          <w:tcPr>
            <w:tcW w:w="629" w:type="pct"/>
            <w:shd w:val="clear" w:color="auto" w:fill="auto"/>
          </w:tcPr>
          <w:p w14:paraId="47CECCA0" w14:textId="52166D51" w:rsidR="009B211A" w:rsidRPr="00700EC1" w:rsidRDefault="009B211A" w:rsidP="009B211A">
            <w:pPr>
              <w:pStyle w:val="TableText0"/>
              <w:jc w:val="center"/>
              <w:rPr>
                <w:color w:val="000000"/>
                <w:szCs w:val="20"/>
                <w:vertAlign w:val="superscript"/>
              </w:rPr>
            </w:pPr>
            <w:r>
              <w:rPr>
                <w:b/>
                <w:bCs w:val="0"/>
                <w:color w:val="000000"/>
                <w:szCs w:val="20"/>
              </w:rPr>
              <w:t>$</w:t>
            </w:r>
            <w:r w:rsidR="005B3F49" w:rsidRPr="005B3F49">
              <w:rPr>
                <w:rFonts w:hint="eastAsia"/>
                <w:b/>
                <w:bCs w:val="0"/>
                <w:color w:val="000000"/>
                <w:w w:val="30"/>
                <w:szCs w:val="20"/>
                <w:shd w:val="solid" w:color="000000" w:fill="000000"/>
                <w:fitText w:val="135" w:id="-1210902784"/>
                <w14:textFill>
                  <w14:solidFill>
                    <w14:srgbClr w14:val="000000">
                      <w14:alpha w14:val="100000"/>
                    </w14:srgbClr>
                  </w14:solidFill>
                </w14:textFill>
              </w:rPr>
              <w:t xml:space="preserve">　</w:t>
            </w:r>
            <w:r w:rsidR="005B3F49" w:rsidRPr="005B3F49">
              <w:rPr>
                <w:b/>
                <w:bCs w:val="0"/>
                <w:color w:val="000000"/>
                <w:w w:val="30"/>
                <w:szCs w:val="20"/>
                <w:shd w:val="solid" w:color="000000" w:fill="000000"/>
                <w:fitText w:val="135" w:id="-1210902784"/>
                <w14:textFill>
                  <w14:solidFill>
                    <w14:srgbClr w14:val="000000">
                      <w14:alpha w14:val="100000"/>
                    </w14:srgbClr>
                  </w14:solidFill>
                </w14:textFill>
              </w:rPr>
              <w:t>|</w:t>
            </w:r>
            <w:r w:rsidR="005B3F49" w:rsidRPr="005B3F49">
              <w:rPr>
                <w:rFonts w:hint="eastAsia"/>
                <w:b/>
                <w:bCs w:val="0"/>
                <w:color w:val="000000"/>
                <w:spacing w:val="2"/>
                <w:w w:val="30"/>
                <w:szCs w:val="20"/>
                <w:shd w:val="solid" w:color="000000" w:fill="000000"/>
                <w:fitText w:val="135" w:id="-1210902784"/>
                <w14:textFill>
                  <w14:solidFill>
                    <w14:srgbClr w14:val="000000">
                      <w14:alpha w14:val="100000"/>
                    </w14:srgbClr>
                  </w14:solidFill>
                </w14:textFill>
              </w:rPr>
              <w:t xml:space="preserve">　</w:t>
            </w:r>
            <w:r w:rsidR="00700EC1">
              <w:rPr>
                <w:color w:val="000000"/>
                <w:szCs w:val="20"/>
                <w:vertAlign w:val="superscript"/>
              </w:rPr>
              <w:t>3</w:t>
            </w:r>
          </w:p>
        </w:tc>
        <w:tc>
          <w:tcPr>
            <w:tcW w:w="629" w:type="pct"/>
            <w:shd w:val="clear" w:color="auto" w:fill="auto"/>
          </w:tcPr>
          <w:p w14:paraId="638CEB77" w14:textId="2F173A83" w:rsidR="009B211A" w:rsidRPr="00700EC1" w:rsidRDefault="009B211A" w:rsidP="009B211A">
            <w:pPr>
              <w:pStyle w:val="TableText0"/>
              <w:jc w:val="center"/>
              <w:rPr>
                <w:color w:val="000000"/>
                <w:szCs w:val="20"/>
                <w:vertAlign w:val="superscript"/>
              </w:rPr>
            </w:pPr>
            <w:r>
              <w:rPr>
                <w:b/>
                <w:bCs w:val="0"/>
                <w:color w:val="000000"/>
                <w:szCs w:val="20"/>
              </w:rPr>
              <w:t>$</w:t>
            </w:r>
            <w:r w:rsidR="005B3F49" w:rsidRPr="005B3F49">
              <w:rPr>
                <w:rFonts w:hint="eastAsia"/>
                <w:b/>
                <w:bCs w:val="0"/>
                <w:color w:val="000000"/>
                <w:w w:val="30"/>
                <w:szCs w:val="20"/>
                <w:shd w:val="solid" w:color="000000" w:fill="000000"/>
                <w:fitText w:val="135" w:id="-1210902783"/>
                <w14:textFill>
                  <w14:solidFill>
                    <w14:srgbClr w14:val="000000">
                      <w14:alpha w14:val="100000"/>
                    </w14:srgbClr>
                  </w14:solidFill>
                </w14:textFill>
              </w:rPr>
              <w:t xml:space="preserve">　</w:t>
            </w:r>
            <w:r w:rsidR="005B3F49" w:rsidRPr="005B3F49">
              <w:rPr>
                <w:b/>
                <w:bCs w:val="0"/>
                <w:color w:val="000000"/>
                <w:w w:val="30"/>
                <w:szCs w:val="20"/>
                <w:shd w:val="solid" w:color="000000" w:fill="000000"/>
                <w:fitText w:val="135" w:id="-1210902783"/>
                <w14:textFill>
                  <w14:solidFill>
                    <w14:srgbClr w14:val="000000">
                      <w14:alpha w14:val="100000"/>
                    </w14:srgbClr>
                  </w14:solidFill>
                </w14:textFill>
              </w:rPr>
              <w:t>|</w:t>
            </w:r>
            <w:r w:rsidR="005B3F49" w:rsidRPr="005B3F49">
              <w:rPr>
                <w:rFonts w:hint="eastAsia"/>
                <w:b/>
                <w:bCs w:val="0"/>
                <w:color w:val="000000"/>
                <w:spacing w:val="2"/>
                <w:w w:val="30"/>
                <w:szCs w:val="20"/>
                <w:shd w:val="solid" w:color="000000" w:fill="000000"/>
                <w:fitText w:val="135" w:id="-1210902783"/>
                <w14:textFill>
                  <w14:solidFill>
                    <w14:srgbClr w14:val="000000">
                      <w14:alpha w14:val="100000"/>
                    </w14:srgbClr>
                  </w14:solidFill>
                </w14:textFill>
              </w:rPr>
              <w:t xml:space="preserve">　</w:t>
            </w:r>
            <w:r w:rsidR="00700EC1">
              <w:rPr>
                <w:color w:val="000000"/>
                <w:szCs w:val="20"/>
                <w:vertAlign w:val="superscript"/>
              </w:rPr>
              <w:t>3</w:t>
            </w:r>
          </w:p>
        </w:tc>
        <w:tc>
          <w:tcPr>
            <w:tcW w:w="599" w:type="pct"/>
            <w:shd w:val="clear" w:color="auto" w:fill="auto"/>
          </w:tcPr>
          <w:p w14:paraId="3032302A" w14:textId="65312F41" w:rsidR="009B211A" w:rsidRPr="00700EC1" w:rsidRDefault="009B211A" w:rsidP="009B211A">
            <w:pPr>
              <w:pStyle w:val="TableText0"/>
              <w:jc w:val="center"/>
              <w:rPr>
                <w:color w:val="000000"/>
                <w:szCs w:val="20"/>
                <w:vertAlign w:val="superscript"/>
              </w:rPr>
            </w:pPr>
            <w:r>
              <w:rPr>
                <w:b/>
                <w:bCs w:val="0"/>
                <w:color w:val="000000"/>
                <w:szCs w:val="20"/>
              </w:rPr>
              <w:t>$</w:t>
            </w:r>
            <w:r w:rsidR="005B3F49" w:rsidRPr="005B3F49">
              <w:rPr>
                <w:b/>
                <w:bCs w:val="0"/>
                <w:color w:val="000000"/>
                <w:spacing w:val="73"/>
                <w:szCs w:val="20"/>
                <w:shd w:val="solid" w:color="000000" w:fill="000000"/>
                <w:fitText w:val="165" w:id="-1210902782"/>
                <w14:textFill>
                  <w14:solidFill>
                    <w14:srgbClr w14:val="000000">
                      <w14:alpha w14:val="100000"/>
                    </w14:srgbClr>
                  </w14:solidFill>
                </w14:textFill>
              </w:rPr>
              <w:t>|</w:t>
            </w:r>
            <w:r w:rsidR="005B3F49" w:rsidRPr="005B3F49">
              <w:rPr>
                <w:b/>
                <w:bCs w:val="0"/>
                <w:color w:val="000000"/>
                <w:spacing w:val="1"/>
                <w:szCs w:val="20"/>
                <w:shd w:val="solid" w:color="000000" w:fill="000000"/>
                <w:fitText w:val="165" w:id="-1210902782"/>
                <w14:textFill>
                  <w14:solidFill>
                    <w14:srgbClr w14:val="000000">
                      <w14:alpha w14:val="100000"/>
                    </w14:srgbClr>
                  </w14:solidFill>
                </w14:textFill>
              </w:rPr>
              <w:t>|</w:t>
            </w:r>
            <w:r w:rsidR="00700EC1">
              <w:rPr>
                <w:color w:val="000000"/>
                <w:szCs w:val="20"/>
                <w:vertAlign w:val="superscript"/>
              </w:rPr>
              <w:t>3</w:t>
            </w:r>
          </w:p>
        </w:tc>
      </w:tr>
      <w:tr w:rsidR="009B211A" w:rsidRPr="000E6572" w14:paraId="10C3C9F0" w14:textId="77777777" w:rsidTr="009B211A">
        <w:trPr>
          <w:tblHeader/>
        </w:trPr>
        <w:tc>
          <w:tcPr>
            <w:tcW w:w="1255" w:type="pct"/>
            <w:shd w:val="clear" w:color="auto" w:fill="auto"/>
            <w:vAlign w:val="center"/>
          </w:tcPr>
          <w:p w14:paraId="6514DB0E" w14:textId="5F0F3271" w:rsidR="009B211A" w:rsidRPr="00086D36" w:rsidRDefault="009B211A" w:rsidP="009B211A">
            <w:pPr>
              <w:pStyle w:val="In-tableHeading"/>
              <w:rPr>
                <w:szCs w:val="20"/>
              </w:rPr>
            </w:pPr>
            <w:r w:rsidRPr="00086D36">
              <w:rPr>
                <w:szCs w:val="20"/>
              </w:rPr>
              <w:t>Net cost to PBS/RPBS</w:t>
            </w:r>
          </w:p>
        </w:tc>
        <w:tc>
          <w:tcPr>
            <w:tcW w:w="630" w:type="pct"/>
            <w:shd w:val="clear" w:color="auto" w:fill="auto"/>
          </w:tcPr>
          <w:p w14:paraId="6C249242" w14:textId="003383C7" w:rsidR="009B211A" w:rsidRPr="00700EC1" w:rsidRDefault="009B211A" w:rsidP="009B211A">
            <w:pPr>
              <w:pStyle w:val="TableText0"/>
              <w:jc w:val="center"/>
              <w:rPr>
                <w:color w:val="000000"/>
                <w:szCs w:val="20"/>
                <w:vertAlign w:val="superscript"/>
              </w:rPr>
            </w:pPr>
            <w:r>
              <w:rPr>
                <w:b/>
                <w:bCs w:val="0"/>
                <w:color w:val="000000"/>
                <w:szCs w:val="20"/>
              </w:rPr>
              <w:t>$</w:t>
            </w:r>
            <w:r w:rsidR="005B3F49" w:rsidRPr="005B3F49">
              <w:rPr>
                <w:rFonts w:hint="eastAsia"/>
                <w:b/>
                <w:bCs w:val="0"/>
                <w:color w:val="000000"/>
                <w:w w:val="30"/>
                <w:szCs w:val="20"/>
                <w:shd w:val="solid" w:color="000000" w:fill="000000"/>
                <w:fitText w:val="135" w:id="-1210902781"/>
                <w14:textFill>
                  <w14:solidFill>
                    <w14:srgbClr w14:val="000000">
                      <w14:alpha w14:val="100000"/>
                    </w14:srgbClr>
                  </w14:solidFill>
                </w14:textFill>
              </w:rPr>
              <w:t xml:space="preserve">　</w:t>
            </w:r>
            <w:r w:rsidR="005B3F49" w:rsidRPr="005B3F49">
              <w:rPr>
                <w:b/>
                <w:bCs w:val="0"/>
                <w:color w:val="000000"/>
                <w:w w:val="30"/>
                <w:szCs w:val="20"/>
                <w:shd w:val="solid" w:color="000000" w:fill="000000"/>
                <w:fitText w:val="135" w:id="-1210902781"/>
                <w14:textFill>
                  <w14:solidFill>
                    <w14:srgbClr w14:val="000000">
                      <w14:alpha w14:val="100000"/>
                    </w14:srgbClr>
                  </w14:solidFill>
                </w14:textFill>
              </w:rPr>
              <w:t>|</w:t>
            </w:r>
            <w:r w:rsidR="005B3F49" w:rsidRPr="005B3F49">
              <w:rPr>
                <w:rFonts w:hint="eastAsia"/>
                <w:b/>
                <w:bCs w:val="0"/>
                <w:color w:val="000000"/>
                <w:spacing w:val="2"/>
                <w:w w:val="30"/>
                <w:szCs w:val="20"/>
                <w:shd w:val="solid" w:color="000000" w:fill="000000"/>
                <w:fitText w:val="135" w:id="-1210902781"/>
                <w14:textFill>
                  <w14:solidFill>
                    <w14:srgbClr w14:val="000000">
                      <w14:alpha w14:val="100000"/>
                    </w14:srgbClr>
                  </w14:solidFill>
                </w14:textFill>
              </w:rPr>
              <w:t xml:space="preserve">　</w:t>
            </w:r>
            <w:r w:rsidR="00700EC1">
              <w:rPr>
                <w:color w:val="000000"/>
                <w:szCs w:val="20"/>
                <w:vertAlign w:val="superscript"/>
              </w:rPr>
              <w:t>3</w:t>
            </w:r>
          </w:p>
        </w:tc>
        <w:tc>
          <w:tcPr>
            <w:tcW w:w="629" w:type="pct"/>
            <w:shd w:val="clear" w:color="auto" w:fill="auto"/>
          </w:tcPr>
          <w:p w14:paraId="520BD693" w14:textId="5290D025" w:rsidR="009B211A" w:rsidRPr="00700EC1" w:rsidRDefault="009B211A" w:rsidP="009B211A">
            <w:pPr>
              <w:pStyle w:val="TableText0"/>
              <w:jc w:val="center"/>
              <w:rPr>
                <w:color w:val="000000"/>
                <w:szCs w:val="20"/>
                <w:vertAlign w:val="superscript"/>
              </w:rPr>
            </w:pPr>
            <w:r>
              <w:rPr>
                <w:b/>
                <w:bCs w:val="0"/>
                <w:color w:val="000000"/>
                <w:szCs w:val="20"/>
              </w:rPr>
              <w:t>$</w:t>
            </w:r>
            <w:r w:rsidR="005B3F49" w:rsidRPr="005B3F49">
              <w:rPr>
                <w:rFonts w:hint="eastAsia"/>
                <w:b/>
                <w:bCs w:val="0"/>
                <w:color w:val="000000"/>
                <w:w w:val="30"/>
                <w:szCs w:val="20"/>
                <w:shd w:val="solid" w:color="000000" w:fill="000000"/>
                <w:fitText w:val="135" w:id="-1210902780"/>
                <w14:textFill>
                  <w14:solidFill>
                    <w14:srgbClr w14:val="000000">
                      <w14:alpha w14:val="100000"/>
                    </w14:srgbClr>
                  </w14:solidFill>
                </w14:textFill>
              </w:rPr>
              <w:t xml:space="preserve">　</w:t>
            </w:r>
            <w:r w:rsidR="005B3F49" w:rsidRPr="005B3F49">
              <w:rPr>
                <w:b/>
                <w:bCs w:val="0"/>
                <w:color w:val="000000"/>
                <w:w w:val="30"/>
                <w:szCs w:val="20"/>
                <w:shd w:val="solid" w:color="000000" w:fill="000000"/>
                <w:fitText w:val="135" w:id="-1210902780"/>
                <w14:textFill>
                  <w14:solidFill>
                    <w14:srgbClr w14:val="000000">
                      <w14:alpha w14:val="100000"/>
                    </w14:srgbClr>
                  </w14:solidFill>
                </w14:textFill>
              </w:rPr>
              <w:t>|</w:t>
            </w:r>
            <w:r w:rsidR="005B3F49" w:rsidRPr="005B3F49">
              <w:rPr>
                <w:rFonts w:hint="eastAsia"/>
                <w:b/>
                <w:bCs w:val="0"/>
                <w:color w:val="000000"/>
                <w:spacing w:val="2"/>
                <w:w w:val="30"/>
                <w:szCs w:val="20"/>
                <w:shd w:val="solid" w:color="000000" w:fill="000000"/>
                <w:fitText w:val="135" w:id="-1210902780"/>
                <w14:textFill>
                  <w14:solidFill>
                    <w14:srgbClr w14:val="000000">
                      <w14:alpha w14:val="100000"/>
                    </w14:srgbClr>
                  </w14:solidFill>
                </w14:textFill>
              </w:rPr>
              <w:t xml:space="preserve">　</w:t>
            </w:r>
            <w:r w:rsidR="00700EC1">
              <w:rPr>
                <w:color w:val="000000"/>
                <w:szCs w:val="20"/>
                <w:vertAlign w:val="superscript"/>
              </w:rPr>
              <w:t>3</w:t>
            </w:r>
          </w:p>
        </w:tc>
        <w:tc>
          <w:tcPr>
            <w:tcW w:w="629" w:type="pct"/>
            <w:shd w:val="clear" w:color="auto" w:fill="auto"/>
          </w:tcPr>
          <w:p w14:paraId="2B33B51F" w14:textId="2C5CE827" w:rsidR="009B211A" w:rsidRPr="00700EC1" w:rsidRDefault="009B211A" w:rsidP="009B211A">
            <w:pPr>
              <w:pStyle w:val="TableText0"/>
              <w:jc w:val="center"/>
              <w:rPr>
                <w:color w:val="000000"/>
                <w:szCs w:val="20"/>
                <w:vertAlign w:val="superscript"/>
              </w:rPr>
            </w:pPr>
            <w:r>
              <w:rPr>
                <w:b/>
                <w:bCs w:val="0"/>
                <w:color w:val="000000"/>
                <w:szCs w:val="20"/>
              </w:rPr>
              <w:t>$</w:t>
            </w:r>
            <w:r w:rsidR="005B3F49" w:rsidRPr="005B3F49">
              <w:rPr>
                <w:rFonts w:hint="eastAsia"/>
                <w:b/>
                <w:bCs w:val="0"/>
                <w:color w:val="000000"/>
                <w:w w:val="30"/>
                <w:szCs w:val="20"/>
                <w:shd w:val="solid" w:color="000000" w:fill="000000"/>
                <w:fitText w:val="135" w:id="-1210902779"/>
                <w14:textFill>
                  <w14:solidFill>
                    <w14:srgbClr w14:val="000000">
                      <w14:alpha w14:val="100000"/>
                    </w14:srgbClr>
                  </w14:solidFill>
                </w14:textFill>
              </w:rPr>
              <w:t xml:space="preserve">　</w:t>
            </w:r>
            <w:r w:rsidR="005B3F49" w:rsidRPr="005B3F49">
              <w:rPr>
                <w:b/>
                <w:bCs w:val="0"/>
                <w:color w:val="000000"/>
                <w:w w:val="30"/>
                <w:szCs w:val="20"/>
                <w:shd w:val="solid" w:color="000000" w:fill="000000"/>
                <w:fitText w:val="135" w:id="-1210902779"/>
                <w14:textFill>
                  <w14:solidFill>
                    <w14:srgbClr w14:val="000000">
                      <w14:alpha w14:val="100000"/>
                    </w14:srgbClr>
                  </w14:solidFill>
                </w14:textFill>
              </w:rPr>
              <w:t>|</w:t>
            </w:r>
            <w:r w:rsidR="005B3F49" w:rsidRPr="005B3F49">
              <w:rPr>
                <w:rFonts w:hint="eastAsia"/>
                <w:b/>
                <w:bCs w:val="0"/>
                <w:color w:val="000000"/>
                <w:spacing w:val="2"/>
                <w:w w:val="30"/>
                <w:szCs w:val="20"/>
                <w:shd w:val="solid" w:color="000000" w:fill="000000"/>
                <w:fitText w:val="135" w:id="-1210902779"/>
                <w14:textFill>
                  <w14:solidFill>
                    <w14:srgbClr w14:val="000000">
                      <w14:alpha w14:val="100000"/>
                    </w14:srgbClr>
                  </w14:solidFill>
                </w14:textFill>
              </w:rPr>
              <w:t xml:space="preserve">　</w:t>
            </w:r>
            <w:r w:rsidR="00700EC1">
              <w:rPr>
                <w:color w:val="000000"/>
                <w:szCs w:val="20"/>
                <w:vertAlign w:val="superscript"/>
              </w:rPr>
              <w:t>3</w:t>
            </w:r>
          </w:p>
        </w:tc>
        <w:tc>
          <w:tcPr>
            <w:tcW w:w="629" w:type="pct"/>
            <w:shd w:val="clear" w:color="auto" w:fill="auto"/>
          </w:tcPr>
          <w:p w14:paraId="79B8396E" w14:textId="733AF62C" w:rsidR="009B211A" w:rsidRPr="00700EC1" w:rsidRDefault="009B211A" w:rsidP="009B211A">
            <w:pPr>
              <w:pStyle w:val="TableText0"/>
              <w:jc w:val="center"/>
              <w:rPr>
                <w:b/>
                <w:bCs w:val="0"/>
                <w:color w:val="000000"/>
                <w:szCs w:val="20"/>
                <w:vertAlign w:val="superscript"/>
              </w:rPr>
            </w:pPr>
            <w:r>
              <w:rPr>
                <w:b/>
                <w:bCs w:val="0"/>
                <w:color w:val="000000"/>
                <w:szCs w:val="20"/>
              </w:rPr>
              <w:t>$</w:t>
            </w:r>
            <w:r w:rsidR="005B3F49" w:rsidRPr="005B3F49">
              <w:rPr>
                <w:rFonts w:hint="eastAsia"/>
                <w:b/>
                <w:bCs w:val="0"/>
                <w:color w:val="000000"/>
                <w:w w:val="30"/>
                <w:szCs w:val="20"/>
                <w:shd w:val="solid" w:color="000000" w:fill="000000"/>
                <w:fitText w:val="135" w:id="-1210902778"/>
                <w14:textFill>
                  <w14:solidFill>
                    <w14:srgbClr w14:val="000000">
                      <w14:alpha w14:val="100000"/>
                    </w14:srgbClr>
                  </w14:solidFill>
                </w14:textFill>
              </w:rPr>
              <w:t xml:space="preserve">　</w:t>
            </w:r>
            <w:r w:rsidR="005B3F49" w:rsidRPr="005B3F49">
              <w:rPr>
                <w:b/>
                <w:bCs w:val="0"/>
                <w:color w:val="000000"/>
                <w:w w:val="30"/>
                <w:szCs w:val="20"/>
                <w:shd w:val="solid" w:color="000000" w:fill="000000"/>
                <w:fitText w:val="135" w:id="-1210902778"/>
                <w14:textFill>
                  <w14:solidFill>
                    <w14:srgbClr w14:val="000000">
                      <w14:alpha w14:val="100000"/>
                    </w14:srgbClr>
                  </w14:solidFill>
                </w14:textFill>
              </w:rPr>
              <w:t>|</w:t>
            </w:r>
            <w:r w:rsidR="005B3F49" w:rsidRPr="005B3F49">
              <w:rPr>
                <w:rFonts w:hint="eastAsia"/>
                <w:b/>
                <w:bCs w:val="0"/>
                <w:color w:val="000000"/>
                <w:spacing w:val="2"/>
                <w:w w:val="30"/>
                <w:szCs w:val="20"/>
                <w:shd w:val="solid" w:color="000000" w:fill="000000"/>
                <w:fitText w:val="135" w:id="-1210902778"/>
                <w14:textFill>
                  <w14:solidFill>
                    <w14:srgbClr w14:val="000000">
                      <w14:alpha w14:val="100000"/>
                    </w14:srgbClr>
                  </w14:solidFill>
                </w14:textFill>
              </w:rPr>
              <w:t xml:space="preserve">　</w:t>
            </w:r>
            <w:r w:rsidR="00700EC1" w:rsidRPr="00700EC1">
              <w:rPr>
                <w:color w:val="000000"/>
                <w:szCs w:val="20"/>
                <w:vertAlign w:val="superscript"/>
              </w:rPr>
              <w:t>3</w:t>
            </w:r>
          </w:p>
        </w:tc>
        <w:tc>
          <w:tcPr>
            <w:tcW w:w="629" w:type="pct"/>
            <w:shd w:val="clear" w:color="auto" w:fill="auto"/>
          </w:tcPr>
          <w:p w14:paraId="2B8022A1" w14:textId="1F65146A" w:rsidR="009B211A" w:rsidRPr="00700EC1" w:rsidRDefault="009B211A" w:rsidP="009B211A">
            <w:pPr>
              <w:pStyle w:val="TableText0"/>
              <w:jc w:val="center"/>
              <w:rPr>
                <w:color w:val="000000"/>
                <w:szCs w:val="20"/>
                <w:vertAlign w:val="superscript"/>
              </w:rPr>
            </w:pPr>
            <w:r>
              <w:rPr>
                <w:b/>
                <w:bCs w:val="0"/>
                <w:color w:val="000000"/>
                <w:szCs w:val="20"/>
              </w:rPr>
              <w:t>$</w:t>
            </w:r>
            <w:r w:rsidR="005B3F49" w:rsidRPr="005B3F49">
              <w:rPr>
                <w:rFonts w:hint="eastAsia"/>
                <w:b/>
                <w:bCs w:val="0"/>
                <w:color w:val="000000"/>
                <w:w w:val="30"/>
                <w:szCs w:val="20"/>
                <w:shd w:val="solid" w:color="000000" w:fill="000000"/>
                <w:fitText w:val="135" w:id="-1210902777"/>
                <w14:textFill>
                  <w14:solidFill>
                    <w14:srgbClr w14:val="000000">
                      <w14:alpha w14:val="100000"/>
                    </w14:srgbClr>
                  </w14:solidFill>
                </w14:textFill>
              </w:rPr>
              <w:t xml:space="preserve">　</w:t>
            </w:r>
            <w:r w:rsidR="005B3F49" w:rsidRPr="005B3F49">
              <w:rPr>
                <w:b/>
                <w:bCs w:val="0"/>
                <w:color w:val="000000"/>
                <w:w w:val="30"/>
                <w:szCs w:val="20"/>
                <w:shd w:val="solid" w:color="000000" w:fill="000000"/>
                <w:fitText w:val="135" w:id="-1210902777"/>
                <w14:textFill>
                  <w14:solidFill>
                    <w14:srgbClr w14:val="000000">
                      <w14:alpha w14:val="100000"/>
                    </w14:srgbClr>
                  </w14:solidFill>
                </w14:textFill>
              </w:rPr>
              <w:t>|</w:t>
            </w:r>
            <w:r w:rsidR="005B3F49" w:rsidRPr="005B3F49">
              <w:rPr>
                <w:rFonts w:hint="eastAsia"/>
                <w:b/>
                <w:bCs w:val="0"/>
                <w:color w:val="000000"/>
                <w:spacing w:val="2"/>
                <w:w w:val="30"/>
                <w:szCs w:val="20"/>
                <w:shd w:val="solid" w:color="000000" w:fill="000000"/>
                <w:fitText w:val="135" w:id="-1210902777"/>
                <w14:textFill>
                  <w14:solidFill>
                    <w14:srgbClr w14:val="000000">
                      <w14:alpha w14:val="100000"/>
                    </w14:srgbClr>
                  </w14:solidFill>
                </w14:textFill>
              </w:rPr>
              <w:t xml:space="preserve">　</w:t>
            </w:r>
            <w:r w:rsidR="00700EC1">
              <w:rPr>
                <w:color w:val="000000"/>
                <w:szCs w:val="20"/>
                <w:vertAlign w:val="superscript"/>
              </w:rPr>
              <w:t>3</w:t>
            </w:r>
          </w:p>
        </w:tc>
        <w:tc>
          <w:tcPr>
            <w:tcW w:w="599" w:type="pct"/>
            <w:shd w:val="clear" w:color="auto" w:fill="auto"/>
          </w:tcPr>
          <w:p w14:paraId="6DBD4317" w14:textId="6F9E4402" w:rsidR="009B211A" w:rsidRPr="00700EC1" w:rsidRDefault="009B211A" w:rsidP="009B211A">
            <w:pPr>
              <w:pStyle w:val="TableText0"/>
              <w:jc w:val="center"/>
              <w:rPr>
                <w:color w:val="000000"/>
                <w:szCs w:val="20"/>
                <w:vertAlign w:val="superscript"/>
              </w:rPr>
            </w:pPr>
            <w:r>
              <w:rPr>
                <w:b/>
                <w:bCs w:val="0"/>
                <w:color w:val="000000"/>
                <w:szCs w:val="20"/>
              </w:rPr>
              <w:t>$</w:t>
            </w:r>
            <w:r w:rsidR="005B3F49" w:rsidRPr="005B3F49">
              <w:rPr>
                <w:b/>
                <w:bCs w:val="0"/>
                <w:color w:val="000000"/>
                <w:spacing w:val="73"/>
                <w:szCs w:val="20"/>
                <w:shd w:val="solid" w:color="000000" w:fill="000000"/>
                <w:fitText w:val="165" w:id="-1210902776"/>
                <w14:textFill>
                  <w14:solidFill>
                    <w14:srgbClr w14:val="000000">
                      <w14:alpha w14:val="100000"/>
                    </w14:srgbClr>
                  </w14:solidFill>
                </w14:textFill>
              </w:rPr>
              <w:t>|</w:t>
            </w:r>
            <w:r w:rsidR="005B3F49" w:rsidRPr="005B3F49">
              <w:rPr>
                <w:b/>
                <w:bCs w:val="0"/>
                <w:color w:val="000000"/>
                <w:spacing w:val="1"/>
                <w:szCs w:val="20"/>
                <w:shd w:val="solid" w:color="000000" w:fill="000000"/>
                <w:fitText w:val="165" w:id="-1210902776"/>
                <w14:textFill>
                  <w14:solidFill>
                    <w14:srgbClr w14:val="000000">
                      <w14:alpha w14:val="100000"/>
                    </w14:srgbClr>
                  </w14:solidFill>
                </w14:textFill>
              </w:rPr>
              <w:t>|</w:t>
            </w:r>
            <w:r w:rsidR="00700EC1">
              <w:rPr>
                <w:color w:val="000000"/>
                <w:szCs w:val="20"/>
                <w:vertAlign w:val="superscript"/>
              </w:rPr>
              <w:t>3</w:t>
            </w:r>
          </w:p>
        </w:tc>
      </w:tr>
      <w:tr w:rsidR="009B211A" w:rsidRPr="000E6572" w14:paraId="3819EB6A" w14:textId="77777777" w:rsidTr="00E26E55">
        <w:tc>
          <w:tcPr>
            <w:tcW w:w="5000" w:type="pct"/>
            <w:gridSpan w:val="7"/>
            <w:shd w:val="clear" w:color="auto" w:fill="DBE5F1" w:themeFill="accent1" w:themeFillTint="33"/>
            <w:vAlign w:val="center"/>
          </w:tcPr>
          <w:p w14:paraId="716B2FE9" w14:textId="77777777" w:rsidR="009B211A" w:rsidRPr="000E6572" w:rsidRDefault="009B211A" w:rsidP="009B211A">
            <w:pPr>
              <w:pStyle w:val="In-tableHeading"/>
              <w:rPr>
                <w:bCs/>
                <w:color w:val="000000"/>
                <w:szCs w:val="20"/>
              </w:rPr>
            </w:pPr>
            <w:r w:rsidRPr="000E6572">
              <w:rPr>
                <w:bCs/>
                <w:color w:val="000000"/>
                <w:szCs w:val="20"/>
              </w:rPr>
              <w:t xml:space="preserve">Estimated extent of use </w:t>
            </w:r>
            <w:r>
              <w:rPr>
                <w:bCs/>
                <w:color w:val="000000"/>
                <w:szCs w:val="20"/>
              </w:rPr>
              <w:t>-</w:t>
            </w:r>
            <w:r w:rsidRPr="000E6572">
              <w:rPr>
                <w:bCs/>
                <w:color w:val="000000"/>
                <w:szCs w:val="20"/>
              </w:rPr>
              <w:t xml:space="preserve"> </w:t>
            </w:r>
            <w:r>
              <w:rPr>
                <w:bCs/>
                <w:color w:val="000000"/>
                <w:szCs w:val="20"/>
              </w:rPr>
              <w:t>July 2022 pre-PBAC response</w:t>
            </w:r>
          </w:p>
        </w:tc>
      </w:tr>
      <w:tr w:rsidR="009B211A" w:rsidRPr="000E6572" w14:paraId="0DCE5C8F" w14:textId="77777777" w:rsidTr="009B211A">
        <w:tc>
          <w:tcPr>
            <w:tcW w:w="1255" w:type="pct"/>
            <w:shd w:val="clear" w:color="auto" w:fill="DBE5F1" w:themeFill="accent1" w:themeFillTint="33"/>
            <w:vAlign w:val="center"/>
          </w:tcPr>
          <w:p w14:paraId="55691F64" w14:textId="77777777" w:rsidR="009B211A" w:rsidRPr="000E6572" w:rsidRDefault="009B211A" w:rsidP="009B211A">
            <w:pPr>
              <w:pStyle w:val="TableText0"/>
              <w:rPr>
                <w:rFonts w:ascii="Times" w:hAnsi="Times"/>
                <w:szCs w:val="20"/>
              </w:rPr>
            </w:pPr>
            <w:r w:rsidRPr="000E6572">
              <w:rPr>
                <w:szCs w:val="20"/>
              </w:rPr>
              <w:t>Number of patients initiating treatment</w:t>
            </w:r>
          </w:p>
        </w:tc>
        <w:tc>
          <w:tcPr>
            <w:tcW w:w="630" w:type="pct"/>
            <w:shd w:val="clear" w:color="auto" w:fill="DBE5F1" w:themeFill="accent1" w:themeFillTint="33"/>
            <w:vAlign w:val="center"/>
          </w:tcPr>
          <w:p w14:paraId="3CE63005" w14:textId="22F89A15" w:rsidR="009B211A" w:rsidRPr="000E6572" w:rsidRDefault="009B211A" w:rsidP="009B211A">
            <w:pPr>
              <w:pStyle w:val="TableText0"/>
              <w:jc w:val="center"/>
              <w:rPr>
                <w:color w:val="000000"/>
                <w:szCs w:val="20"/>
              </w:rPr>
            </w:pPr>
            <w:r w:rsidRPr="005D733C">
              <w:rPr>
                <w:color w:val="000000"/>
                <w:spacing w:val="49"/>
                <w:szCs w:val="20"/>
                <w:shd w:val="solid" w:color="000000" w:fill="000000"/>
                <w:fitText w:val="320" w:id="-1404863998"/>
                <w14:textFill>
                  <w14:solidFill>
                    <w14:srgbClr w14:val="000000">
                      <w14:alpha w14:val="100000"/>
                    </w14:srgbClr>
                  </w14:solidFill>
                </w14:textFill>
              </w:rPr>
              <w:t>|||</w:t>
            </w:r>
            <w:r w:rsidRPr="005D733C">
              <w:rPr>
                <w:color w:val="000000"/>
                <w:spacing w:val="3"/>
                <w:szCs w:val="20"/>
                <w:shd w:val="solid" w:color="000000" w:fill="000000"/>
                <w:fitText w:val="320" w:id="-1404863998"/>
                <w14:textFill>
                  <w14:solidFill>
                    <w14:srgbClr w14:val="000000">
                      <w14:alpha w14:val="100000"/>
                    </w14:srgbClr>
                  </w14:solidFill>
                </w14:textFill>
              </w:rPr>
              <w:t>|</w:t>
            </w:r>
            <w:r>
              <w:rPr>
                <w:color w:val="000000"/>
                <w:szCs w:val="20"/>
                <w:vertAlign w:val="superscript"/>
              </w:rPr>
              <w:t>1</w:t>
            </w:r>
            <w:r w:rsidRPr="000E6572">
              <w:rPr>
                <w:color w:val="000000"/>
                <w:szCs w:val="20"/>
              </w:rPr>
              <w:t xml:space="preserve"> </w:t>
            </w:r>
          </w:p>
        </w:tc>
        <w:tc>
          <w:tcPr>
            <w:tcW w:w="629" w:type="pct"/>
            <w:shd w:val="clear" w:color="auto" w:fill="DBE5F1" w:themeFill="accent1" w:themeFillTint="33"/>
            <w:vAlign w:val="center"/>
          </w:tcPr>
          <w:p w14:paraId="65CD10D9" w14:textId="12CA3C7C" w:rsidR="009B211A" w:rsidRPr="000E6572" w:rsidRDefault="009B211A" w:rsidP="009B211A">
            <w:pPr>
              <w:pStyle w:val="TableText0"/>
              <w:jc w:val="center"/>
              <w:rPr>
                <w:color w:val="000000"/>
                <w:szCs w:val="20"/>
              </w:rPr>
            </w:pPr>
            <w:r w:rsidRPr="005D733C">
              <w:rPr>
                <w:color w:val="000000"/>
                <w:spacing w:val="49"/>
                <w:szCs w:val="20"/>
                <w:shd w:val="solid" w:color="000000" w:fill="000000"/>
                <w:fitText w:val="320" w:id="-1404863997"/>
                <w14:textFill>
                  <w14:solidFill>
                    <w14:srgbClr w14:val="000000">
                      <w14:alpha w14:val="100000"/>
                    </w14:srgbClr>
                  </w14:solidFill>
                </w14:textFill>
              </w:rPr>
              <w:t>|||</w:t>
            </w:r>
            <w:r w:rsidRPr="005D733C">
              <w:rPr>
                <w:color w:val="000000"/>
                <w:spacing w:val="3"/>
                <w:szCs w:val="20"/>
                <w:shd w:val="solid" w:color="000000" w:fill="000000"/>
                <w:fitText w:val="320" w:id="-1404863997"/>
                <w14:textFill>
                  <w14:solidFill>
                    <w14:srgbClr w14:val="000000">
                      <w14:alpha w14:val="100000"/>
                    </w14:srgbClr>
                  </w14:solidFill>
                </w14:textFill>
              </w:rPr>
              <w:t>|</w:t>
            </w:r>
            <w:r>
              <w:rPr>
                <w:color w:val="000000"/>
                <w:szCs w:val="20"/>
                <w:vertAlign w:val="superscript"/>
              </w:rPr>
              <w:t>1</w:t>
            </w:r>
            <w:r w:rsidRPr="000E6572">
              <w:rPr>
                <w:color w:val="000000"/>
                <w:szCs w:val="20"/>
              </w:rPr>
              <w:t xml:space="preserve"> </w:t>
            </w:r>
          </w:p>
        </w:tc>
        <w:tc>
          <w:tcPr>
            <w:tcW w:w="629" w:type="pct"/>
            <w:shd w:val="clear" w:color="auto" w:fill="DBE5F1" w:themeFill="accent1" w:themeFillTint="33"/>
            <w:vAlign w:val="center"/>
          </w:tcPr>
          <w:p w14:paraId="070C374B" w14:textId="2203A9C6" w:rsidR="009B211A" w:rsidRPr="000E6572" w:rsidRDefault="009B211A" w:rsidP="009B211A">
            <w:pPr>
              <w:pStyle w:val="TableText0"/>
              <w:jc w:val="center"/>
              <w:rPr>
                <w:color w:val="000000"/>
                <w:szCs w:val="20"/>
              </w:rPr>
            </w:pPr>
            <w:r w:rsidRPr="005D733C">
              <w:rPr>
                <w:color w:val="000000"/>
                <w:spacing w:val="49"/>
                <w:szCs w:val="20"/>
                <w:shd w:val="solid" w:color="000000" w:fill="000000"/>
                <w:fitText w:val="320" w:id="-1404863996"/>
                <w14:textFill>
                  <w14:solidFill>
                    <w14:srgbClr w14:val="000000">
                      <w14:alpha w14:val="100000"/>
                    </w14:srgbClr>
                  </w14:solidFill>
                </w14:textFill>
              </w:rPr>
              <w:t>|||</w:t>
            </w:r>
            <w:r w:rsidRPr="005D733C">
              <w:rPr>
                <w:color w:val="000000"/>
                <w:spacing w:val="3"/>
                <w:szCs w:val="20"/>
                <w:shd w:val="solid" w:color="000000" w:fill="000000"/>
                <w:fitText w:val="320" w:id="-1404863996"/>
                <w14:textFill>
                  <w14:solidFill>
                    <w14:srgbClr w14:val="000000">
                      <w14:alpha w14:val="100000"/>
                    </w14:srgbClr>
                  </w14:solidFill>
                </w14:textFill>
              </w:rPr>
              <w:t>|</w:t>
            </w:r>
            <w:r>
              <w:rPr>
                <w:color w:val="000000"/>
                <w:szCs w:val="20"/>
                <w:vertAlign w:val="superscript"/>
              </w:rPr>
              <w:t>1</w:t>
            </w:r>
            <w:r w:rsidRPr="000E6572">
              <w:rPr>
                <w:color w:val="000000"/>
                <w:szCs w:val="20"/>
              </w:rPr>
              <w:t xml:space="preserve"> </w:t>
            </w:r>
          </w:p>
        </w:tc>
        <w:tc>
          <w:tcPr>
            <w:tcW w:w="629" w:type="pct"/>
            <w:shd w:val="clear" w:color="auto" w:fill="DBE5F1" w:themeFill="accent1" w:themeFillTint="33"/>
            <w:vAlign w:val="center"/>
          </w:tcPr>
          <w:p w14:paraId="7AB1DF48" w14:textId="7FC414D9" w:rsidR="009B211A" w:rsidRPr="000E6572" w:rsidRDefault="009B211A" w:rsidP="009B211A">
            <w:pPr>
              <w:pStyle w:val="TableText0"/>
              <w:jc w:val="center"/>
              <w:rPr>
                <w:color w:val="000000"/>
                <w:szCs w:val="20"/>
              </w:rPr>
            </w:pPr>
            <w:r w:rsidRPr="005D733C">
              <w:rPr>
                <w:color w:val="000000"/>
                <w:spacing w:val="49"/>
                <w:szCs w:val="20"/>
                <w:shd w:val="solid" w:color="000000" w:fill="000000"/>
                <w:fitText w:val="320" w:id="-1404863995"/>
                <w14:textFill>
                  <w14:solidFill>
                    <w14:srgbClr w14:val="000000">
                      <w14:alpha w14:val="100000"/>
                    </w14:srgbClr>
                  </w14:solidFill>
                </w14:textFill>
              </w:rPr>
              <w:t>|||</w:t>
            </w:r>
            <w:r w:rsidRPr="005D733C">
              <w:rPr>
                <w:color w:val="000000"/>
                <w:spacing w:val="3"/>
                <w:szCs w:val="20"/>
                <w:shd w:val="solid" w:color="000000" w:fill="000000"/>
                <w:fitText w:val="320" w:id="-1404863995"/>
                <w14:textFill>
                  <w14:solidFill>
                    <w14:srgbClr w14:val="000000">
                      <w14:alpha w14:val="100000"/>
                    </w14:srgbClr>
                  </w14:solidFill>
                </w14:textFill>
              </w:rPr>
              <w:t>|</w:t>
            </w:r>
            <w:r>
              <w:rPr>
                <w:color w:val="000000"/>
                <w:szCs w:val="20"/>
                <w:vertAlign w:val="superscript"/>
              </w:rPr>
              <w:t>1</w:t>
            </w:r>
            <w:r w:rsidRPr="000E6572">
              <w:rPr>
                <w:color w:val="000000"/>
                <w:szCs w:val="20"/>
              </w:rPr>
              <w:t xml:space="preserve"> </w:t>
            </w:r>
          </w:p>
        </w:tc>
        <w:tc>
          <w:tcPr>
            <w:tcW w:w="629" w:type="pct"/>
            <w:shd w:val="clear" w:color="auto" w:fill="DBE5F1" w:themeFill="accent1" w:themeFillTint="33"/>
            <w:vAlign w:val="center"/>
          </w:tcPr>
          <w:p w14:paraId="14CFBF5A" w14:textId="3E2B25CB" w:rsidR="009B211A" w:rsidRPr="000E6572" w:rsidRDefault="009B211A" w:rsidP="009B211A">
            <w:pPr>
              <w:pStyle w:val="TableText0"/>
              <w:jc w:val="center"/>
              <w:rPr>
                <w:color w:val="000000"/>
                <w:szCs w:val="20"/>
              </w:rPr>
            </w:pPr>
            <w:r w:rsidRPr="005D733C">
              <w:rPr>
                <w:color w:val="000000"/>
                <w:spacing w:val="49"/>
                <w:szCs w:val="20"/>
                <w:shd w:val="solid" w:color="000000" w:fill="000000"/>
                <w:fitText w:val="320" w:id="-1404863994"/>
                <w14:textFill>
                  <w14:solidFill>
                    <w14:srgbClr w14:val="000000">
                      <w14:alpha w14:val="100000"/>
                    </w14:srgbClr>
                  </w14:solidFill>
                </w14:textFill>
              </w:rPr>
              <w:t>|||</w:t>
            </w:r>
            <w:r w:rsidRPr="005D733C">
              <w:rPr>
                <w:color w:val="000000"/>
                <w:spacing w:val="3"/>
                <w:szCs w:val="20"/>
                <w:shd w:val="solid" w:color="000000" w:fill="000000"/>
                <w:fitText w:val="320" w:id="-1404863994"/>
                <w14:textFill>
                  <w14:solidFill>
                    <w14:srgbClr w14:val="000000">
                      <w14:alpha w14:val="100000"/>
                    </w14:srgbClr>
                  </w14:solidFill>
                </w14:textFill>
              </w:rPr>
              <w:t>|</w:t>
            </w:r>
            <w:r>
              <w:rPr>
                <w:color w:val="000000"/>
                <w:szCs w:val="20"/>
                <w:vertAlign w:val="superscript"/>
              </w:rPr>
              <w:t>1</w:t>
            </w:r>
            <w:r w:rsidRPr="000E6572">
              <w:rPr>
                <w:color w:val="000000"/>
                <w:szCs w:val="20"/>
              </w:rPr>
              <w:t xml:space="preserve"> </w:t>
            </w:r>
          </w:p>
        </w:tc>
        <w:tc>
          <w:tcPr>
            <w:tcW w:w="599" w:type="pct"/>
            <w:shd w:val="clear" w:color="auto" w:fill="DBE5F1" w:themeFill="accent1" w:themeFillTint="33"/>
            <w:vAlign w:val="center"/>
          </w:tcPr>
          <w:p w14:paraId="00EC8C48" w14:textId="131462C5" w:rsidR="009B211A" w:rsidRPr="000E6572" w:rsidRDefault="009B211A" w:rsidP="009B211A">
            <w:pPr>
              <w:pStyle w:val="TableText0"/>
              <w:jc w:val="center"/>
              <w:rPr>
                <w:color w:val="000000"/>
                <w:szCs w:val="20"/>
              </w:rPr>
            </w:pPr>
            <w:r w:rsidRPr="00360C9D">
              <w:rPr>
                <w:color w:val="000000"/>
                <w:spacing w:val="59"/>
                <w:szCs w:val="20"/>
                <w:shd w:val="solid" w:color="000000" w:fill="000000"/>
                <w:fitText w:val="350" w:id="-1404863993"/>
                <w14:textFill>
                  <w14:solidFill>
                    <w14:srgbClr w14:val="000000">
                      <w14:alpha w14:val="100000"/>
                    </w14:srgbClr>
                  </w14:solidFill>
                </w14:textFill>
              </w:rPr>
              <w:t>|||</w:t>
            </w:r>
            <w:r w:rsidRPr="00360C9D">
              <w:rPr>
                <w:color w:val="000000"/>
                <w:spacing w:val="3"/>
                <w:szCs w:val="20"/>
                <w:shd w:val="solid" w:color="000000" w:fill="000000"/>
                <w:fitText w:val="350" w:id="-1404863993"/>
                <w14:textFill>
                  <w14:solidFill>
                    <w14:srgbClr w14:val="000000">
                      <w14:alpha w14:val="100000"/>
                    </w14:srgbClr>
                  </w14:solidFill>
                </w14:textFill>
              </w:rPr>
              <w:t>|</w:t>
            </w:r>
            <w:r>
              <w:rPr>
                <w:color w:val="000000"/>
                <w:szCs w:val="20"/>
                <w:vertAlign w:val="superscript"/>
              </w:rPr>
              <w:t>1</w:t>
            </w:r>
            <w:r w:rsidRPr="000E6572">
              <w:rPr>
                <w:color w:val="000000"/>
                <w:szCs w:val="20"/>
              </w:rPr>
              <w:t xml:space="preserve"> </w:t>
            </w:r>
          </w:p>
        </w:tc>
      </w:tr>
      <w:tr w:rsidR="009B211A" w:rsidRPr="000E6572" w14:paraId="5EA8EBAD" w14:textId="77777777" w:rsidTr="009B211A">
        <w:tc>
          <w:tcPr>
            <w:tcW w:w="125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1887B" w14:textId="77777777" w:rsidR="009B211A" w:rsidRPr="000E6572" w:rsidRDefault="009B211A" w:rsidP="009B211A">
            <w:pPr>
              <w:pStyle w:val="TableText0"/>
              <w:rPr>
                <w:szCs w:val="20"/>
              </w:rPr>
            </w:pPr>
            <w:r w:rsidRPr="000E6572">
              <w:rPr>
                <w:szCs w:val="20"/>
              </w:rPr>
              <w:t>Number of prescriptions dispensed</w:t>
            </w:r>
          </w:p>
        </w:tc>
        <w:tc>
          <w:tcPr>
            <w:tcW w:w="6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9DB44E" w14:textId="38D8D5E7" w:rsidR="009B211A" w:rsidRPr="00A11D1D" w:rsidRDefault="009B211A" w:rsidP="009B211A">
            <w:pPr>
              <w:pStyle w:val="TableText0"/>
              <w:jc w:val="center"/>
              <w:rPr>
                <w:bCs w:val="0"/>
                <w:color w:val="000000" w:themeColor="text1"/>
                <w:szCs w:val="20"/>
                <w:vertAlign w:val="superscript"/>
              </w:rPr>
            </w:pPr>
            <w:r w:rsidRPr="005D733C">
              <w:rPr>
                <w:bCs w:val="0"/>
                <w:color w:val="000000"/>
                <w:spacing w:val="49"/>
                <w:szCs w:val="20"/>
                <w:shd w:val="solid" w:color="000000" w:fill="000000"/>
                <w:fitText w:val="320" w:id="-1404863992"/>
                <w14:textFill>
                  <w14:solidFill>
                    <w14:srgbClr w14:val="000000">
                      <w14:alpha w14:val="100000"/>
                    </w14:srgbClr>
                  </w14:solidFill>
                </w14:textFill>
              </w:rPr>
              <w:t>|||</w:t>
            </w:r>
            <w:r w:rsidRPr="005D733C">
              <w:rPr>
                <w:bCs w:val="0"/>
                <w:color w:val="000000"/>
                <w:spacing w:val="3"/>
                <w:szCs w:val="20"/>
                <w:shd w:val="solid" w:color="000000" w:fill="000000"/>
                <w:fitText w:val="320" w:id="-1404863992"/>
                <w14:textFill>
                  <w14:solidFill>
                    <w14:srgbClr w14:val="000000">
                      <w14:alpha w14:val="100000"/>
                    </w14:srgbClr>
                  </w14:solidFill>
                </w14:textFill>
              </w:rPr>
              <w:t>|</w:t>
            </w:r>
            <w:r>
              <w:rPr>
                <w:bCs w:val="0"/>
                <w:color w:val="000000" w:themeColor="text1"/>
                <w:szCs w:val="20"/>
                <w:vertAlign w:val="superscript"/>
              </w:rPr>
              <w:t>2</w:t>
            </w:r>
          </w:p>
        </w:tc>
        <w:tc>
          <w:tcPr>
            <w:tcW w:w="62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1AFFC8" w14:textId="103641A7" w:rsidR="009B211A" w:rsidRPr="00A11D1D" w:rsidRDefault="009B211A" w:rsidP="009B211A">
            <w:pPr>
              <w:pStyle w:val="TableText0"/>
              <w:jc w:val="center"/>
              <w:rPr>
                <w:bCs w:val="0"/>
                <w:color w:val="000000" w:themeColor="text1"/>
                <w:szCs w:val="20"/>
                <w:vertAlign w:val="superscript"/>
              </w:rPr>
            </w:pPr>
            <w:r w:rsidRPr="005D733C">
              <w:rPr>
                <w:bCs w:val="0"/>
                <w:color w:val="000000"/>
                <w:spacing w:val="49"/>
                <w:szCs w:val="20"/>
                <w:shd w:val="solid" w:color="000000" w:fill="000000"/>
                <w:fitText w:val="320" w:id="-1404863991"/>
                <w14:textFill>
                  <w14:solidFill>
                    <w14:srgbClr w14:val="000000">
                      <w14:alpha w14:val="100000"/>
                    </w14:srgbClr>
                  </w14:solidFill>
                </w14:textFill>
              </w:rPr>
              <w:t>|||</w:t>
            </w:r>
            <w:r w:rsidRPr="005D733C">
              <w:rPr>
                <w:bCs w:val="0"/>
                <w:color w:val="000000"/>
                <w:spacing w:val="3"/>
                <w:szCs w:val="20"/>
                <w:shd w:val="solid" w:color="000000" w:fill="000000"/>
                <w:fitText w:val="320" w:id="-1404863991"/>
                <w14:textFill>
                  <w14:solidFill>
                    <w14:srgbClr w14:val="000000">
                      <w14:alpha w14:val="100000"/>
                    </w14:srgbClr>
                  </w14:solidFill>
                </w14:textFill>
              </w:rPr>
              <w:t>|</w:t>
            </w:r>
            <w:r>
              <w:rPr>
                <w:bCs w:val="0"/>
                <w:color w:val="000000" w:themeColor="text1"/>
                <w:szCs w:val="20"/>
                <w:vertAlign w:val="superscript"/>
              </w:rPr>
              <w:t>2</w:t>
            </w:r>
          </w:p>
        </w:tc>
        <w:tc>
          <w:tcPr>
            <w:tcW w:w="62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387A1" w14:textId="188E35BC" w:rsidR="009B211A" w:rsidRPr="00A11D1D" w:rsidRDefault="009B211A" w:rsidP="009B211A">
            <w:pPr>
              <w:pStyle w:val="TableText0"/>
              <w:jc w:val="center"/>
              <w:rPr>
                <w:bCs w:val="0"/>
                <w:color w:val="000000" w:themeColor="text1"/>
                <w:szCs w:val="20"/>
                <w:vertAlign w:val="superscript"/>
              </w:rPr>
            </w:pPr>
            <w:r w:rsidRPr="005D733C">
              <w:rPr>
                <w:bCs w:val="0"/>
                <w:color w:val="000000"/>
                <w:spacing w:val="49"/>
                <w:szCs w:val="20"/>
                <w:shd w:val="solid" w:color="000000" w:fill="000000"/>
                <w:fitText w:val="320" w:id="-1404863990"/>
                <w14:textFill>
                  <w14:solidFill>
                    <w14:srgbClr w14:val="000000">
                      <w14:alpha w14:val="100000"/>
                    </w14:srgbClr>
                  </w14:solidFill>
                </w14:textFill>
              </w:rPr>
              <w:t>|||</w:t>
            </w:r>
            <w:r w:rsidRPr="005D733C">
              <w:rPr>
                <w:bCs w:val="0"/>
                <w:color w:val="000000"/>
                <w:spacing w:val="3"/>
                <w:szCs w:val="20"/>
                <w:shd w:val="solid" w:color="000000" w:fill="000000"/>
                <w:fitText w:val="320" w:id="-1404863990"/>
                <w14:textFill>
                  <w14:solidFill>
                    <w14:srgbClr w14:val="000000">
                      <w14:alpha w14:val="100000"/>
                    </w14:srgbClr>
                  </w14:solidFill>
                </w14:textFill>
              </w:rPr>
              <w:t>|</w:t>
            </w:r>
            <w:r>
              <w:rPr>
                <w:bCs w:val="0"/>
                <w:color w:val="000000" w:themeColor="text1"/>
                <w:szCs w:val="20"/>
                <w:vertAlign w:val="superscript"/>
              </w:rPr>
              <w:t>2</w:t>
            </w:r>
          </w:p>
        </w:tc>
        <w:tc>
          <w:tcPr>
            <w:tcW w:w="62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06FB83" w14:textId="3AEA450D" w:rsidR="009B211A" w:rsidRPr="00A11D1D" w:rsidRDefault="009B211A" w:rsidP="009B211A">
            <w:pPr>
              <w:pStyle w:val="TableText0"/>
              <w:jc w:val="center"/>
              <w:rPr>
                <w:bCs w:val="0"/>
                <w:color w:val="000000" w:themeColor="text1"/>
                <w:szCs w:val="20"/>
                <w:vertAlign w:val="superscript"/>
              </w:rPr>
            </w:pPr>
            <w:r w:rsidRPr="005D733C">
              <w:rPr>
                <w:bCs w:val="0"/>
                <w:color w:val="000000"/>
                <w:spacing w:val="49"/>
                <w:szCs w:val="20"/>
                <w:shd w:val="solid" w:color="000000" w:fill="000000"/>
                <w:fitText w:val="320" w:id="-1404863989"/>
                <w14:textFill>
                  <w14:solidFill>
                    <w14:srgbClr w14:val="000000">
                      <w14:alpha w14:val="100000"/>
                    </w14:srgbClr>
                  </w14:solidFill>
                </w14:textFill>
              </w:rPr>
              <w:t>|||</w:t>
            </w:r>
            <w:r w:rsidRPr="005D733C">
              <w:rPr>
                <w:bCs w:val="0"/>
                <w:color w:val="000000"/>
                <w:spacing w:val="3"/>
                <w:szCs w:val="20"/>
                <w:shd w:val="solid" w:color="000000" w:fill="000000"/>
                <w:fitText w:val="320" w:id="-1404863989"/>
                <w14:textFill>
                  <w14:solidFill>
                    <w14:srgbClr w14:val="000000">
                      <w14:alpha w14:val="100000"/>
                    </w14:srgbClr>
                  </w14:solidFill>
                </w14:textFill>
              </w:rPr>
              <w:t>|</w:t>
            </w:r>
            <w:r w:rsidRPr="00A11D1D">
              <w:rPr>
                <w:bCs w:val="0"/>
                <w:color w:val="000000" w:themeColor="text1"/>
                <w:szCs w:val="20"/>
                <w:vertAlign w:val="superscript"/>
              </w:rPr>
              <w:t>4</w:t>
            </w:r>
          </w:p>
        </w:tc>
        <w:tc>
          <w:tcPr>
            <w:tcW w:w="62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BAA21" w14:textId="32AD25A2" w:rsidR="009B211A" w:rsidRPr="00A11D1D" w:rsidRDefault="009B211A" w:rsidP="009B211A">
            <w:pPr>
              <w:pStyle w:val="TableText0"/>
              <w:jc w:val="center"/>
              <w:rPr>
                <w:bCs w:val="0"/>
                <w:color w:val="000000" w:themeColor="text1"/>
                <w:szCs w:val="20"/>
                <w:vertAlign w:val="superscript"/>
              </w:rPr>
            </w:pPr>
            <w:r w:rsidRPr="005D733C">
              <w:rPr>
                <w:bCs w:val="0"/>
                <w:color w:val="000000"/>
                <w:spacing w:val="49"/>
                <w:szCs w:val="20"/>
                <w:shd w:val="solid" w:color="000000" w:fill="000000"/>
                <w:fitText w:val="320" w:id="-1404863988"/>
                <w14:textFill>
                  <w14:solidFill>
                    <w14:srgbClr w14:val="000000">
                      <w14:alpha w14:val="100000"/>
                    </w14:srgbClr>
                  </w14:solidFill>
                </w14:textFill>
              </w:rPr>
              <w:t>|||</w:t>
            </w:r>
            <w:r w:rsidRPr="005D733C">
              <w:rPr>
                <w:bCs w:val="0"/>
                <w:color w:val="000000"/>
                <w:spacing w:val="3"/>
                <w:szCs w:val="20"/>
                <w:shd w:val="solid" w:color="000000" w:fill="000000"/>
                <w:fitText w:val="320" w:id="-1404863988"/>
                <w14:textFill>
                  <w14:solidFill>
                    <w14:srgbClr w14:val="000000">
                      <w14:alpha w14:val="100000"/>
                    </w14:srgbClr>
                  </w14:solidFill>
                </w14:textFill>
              </w:rPr>
              <w:t>|</w:t>
            </w:r>
            <w:r>
              <w:rPr>
                <w:bCs w:val="0"/>
                <w:color w:val="000000" w:themeColor="text1"/>
                <w:szCs w:val="20"/>
                <w:vertAlign w:val="superscript"/>
              </w:rPr>
              <w:t>4</w:t>
            </w:r>
          </w:p>
        </w:tc>
        <w:tc>
          <w:tcPr>
            <w:tcW w:w="5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EA9026" w14:textId="13CA9E5F" w:rsidR="009B211A" w:rsidRPr="00A11D1D" w:rsidRDefault="009B211A" w:rsidP="009B211A">
            <w:pPr>
              <w:pStyle w:val="TableText0"/>
              <w:jc w:val="center"/>
              <w:rPr>
                <w:bCs w:val="0"/>
                <w:color w:val="000000" w:themeColor="text1"/>
                <w:szCs w:val="20"/>
                <w:vertAlign w:val="superscript"/>
              </w:rPr>
            </w:pPr>
            <w:r w:rsidRPr="00360C9D">
              <w:rPr>
                <w:bCs w:val="0"/>
                <w:color w:val="000000"/>
                <w:spacing w:val="59"/>
                <w:szCs w:val="20"/>
                <w:shd w:val="solid" w:color="000000" w:fill="000000"/>
                <w:fitText w:val="350" w:id="-1404863987"/>
                <w14:textFill>
                  <w14:solidFill>
                    <w14:srgbClr w14:val="000000">
                      <w14:alpha w14:val="100000"/>
                    </w14:srgbClr>
                  </w14:solidFill>
                </w14:textFill>
              </w:rPr>
              <w:t>|||</w:t>
            </w:r>
            <w:r w:rsidRPr="00360C9D">
              <w:rPr>
                <w:bCs w:val="0"/>
                <w:color w:val="000000"/>
                <w:spacing w:val="3"/>
                <w:szCs w:val="20"/>
                <w:shd w:val="solid" w:color="000000" w:fill="000000"/>
                <w:fitText w:val="350" w:id="-1404863987"/>
                <w14:textFill>
                  <w14:solidFill>
                    <w14:srgbClr w14:val="000000">
                      <w14:alpha w14:val="100000"/>
                    </w14:srgbClr>
                  </w14:solidFill>
                </w14:textFill>
              </w:rPr>
              <w:t>|</w:t>
            </w:r>
            <w:r>
              <w:rPr>
                <w:bCs w:val="0"/>
                <w:color w:val="000000" w:themeColor="text1"/>
                <w:szCs w:val="20"/>
                <w:vertAlign w:val="superscript"/>
              </w:rPr>
              <w:t>4</w:t>
            </w:r>
          </w:p>
        </w:tc>
      </w:tr>
      <w:tr w:rsidR="009B211A" w:rsidRPr="000E6572" w14:paraId="249537EE" w14:textId="77777777" w:rsidTr="009B211A">
        <w:tc>
          <w:tcPr>
            <w:tcW w:w="1255" w:type="pct"/>
            <w:shd w:val="clear" w:color="auto" w:fill="DBE5F1" w:themeFill="accent1" w:themeFillTint="33"/>
            <w:vAlign w:val="center"/>
          </w:tcPr>
          <w:p w14:paraId="11663EF1" w14:textId="77777777" w:rsidR="009B211A" w:rsidRPr="000E6572" w:rsidRDefault="009B211A" w:rsidP="009B211A">
            <w:pPr>
              <w:pStyle w:val="TableText0"/>
              <w:rPr>
                <w:b/>
                <w:bCs w:val="0"/>
                <w:szCs w:val="20"/>
              </w:rPr>
            </w:pPr>
            <w:r w:rsidRPr="000E6572">
              <w:rPr>
                <w:b/>
                <w:bCs w:val="0"/>
                <w:szCs w:val="20"/>
              </w:rPr>
              <w:t xml:space="preserve">Net cost to PBS/RPBS </w:t>
            </w:r>
          </w:p>
        </w:tc>
        <w:tc>
          <w:tcPr>
            <w:tcW w:w="630" w:type="pct"/>
            <w:shd w:val="clear" w:color="auto" w:fill="DBE5F1" w:themeFill="accent1" w:themeFillTint="33"/>
            <w:vAlign w:val="center"/>
          </w:tcPr>
          <w:p w14:paraId="1A895707" w14:textId="22463144" w:rsidR="009B211A" w:rsidRPr="00A11D1D" w:rsidRDefault="009B211A" w:rsidP="009B211A">
            <w:pPr>
              <w:pStyle w:val="TableText0"/>
              <w:jc w:val="center"/>
              <w:rPr>
                <w:b/>
                <w:bCs w:val="0"/>
                <w:color w:val="000000" w:themeColor="text1"/>
                <w:szCs w:val="20"/>
                <w:vertAlign w:val="superscript"/>
              </w:rPr>
            </w:pPr>
            <w:r w:rsidRPr="000E6572">
              <w:rPr>
                <w:b/>
                <w:bCs w:val="0"/>
                <w:color w:val="000000" w:themeColor="text1"/>
                <w:szCs w:val="20"/>
              </w:rPr>
              <w:t>$</w:t>
            </w:r>
            <w:r w:rsidRPr="005B3F49">
              <w:rPr>
                <w:b/>
                <w:bCs w:val="0"/>
                <w:color w:val="000000"/>
                <w:spacing w:val="45"/>
                <w:szCs w:val="20"/>
                <w:shd w:val="solid" w:color="000000" w:fill="000000"/>
                <w:fitText w:val="330" w:id="-1404863986"/>
                <w14:textFill>
                  <w14:solidFill>
                    <w14:srgbClr w14:val="000000">
                      <w14:alpha w14:val="100000"/>
                    </w14:srgbClr>
                  </w14:solidFill>
                </w14:textFill>
              </w:rPr>
              <w:t>|||</w:t>
            </w:r>
            <w:r w:rsidRPr="005B3F49">
              <w:rPr>
                <w:b/>
                <w:bCs w:val="0"/>
                <w:color w:val="000000"/>
                <w:spacing w:val="15"/>
                <w:szCs w:val="20"/>
                <w:shd w:val="solid" w:color="000000" w:fill="000000"/>
                <w:fitText w:val="330" w:id="-1404863986"/>
                <w14:textFill>
                  <w14:solidFill>
                    <w14:srgbClr w14:val="000000">
                      <w14:alpha w14:val="100000"/>
                    </w14:srgbClr>
                  </w14:solidFill>
                </w14:textFill>
              </w:rPr>
              <w:t>|</w:t>
            </w:r>
            <w:r w:rsidRPr="00A11D1D">
              <w:rPr>
                <w:color w:val="000000" w:themeColor="text1"/>
                <w:szCs w:val="20"/>
                <w:vertAlign w:val="superscript"/>
              </w:rPr>
              <w:t>3</w:t>
            </w:r>
          </w:p>
        </w:tc>
        <w:tc>
          <w:tcPr>
            <w:tcW w:w="629" w:type="pct"/>
            <w:shd w:val="clear" w:color="auto" w:fill="DBE5F1" w:themeFill="accent1" w:themeFillTint="33"/>
            <w:vAlign w:val="center"/>
          </w:tcPr>
          <w:p w14:paraId="21DC7938" w14:textId="173F9E32" w:rsidR="009B211A" w:rsidRPr="00A11D1D" w:rsidRDefault="009B211A" w:rsidP="009B211A">
            <w:pPr>
              <w:pStyle w:val="TableText0"/>
              <w:jc w:val="center"/>
              <w:rPr>
                <w:b/>
                <w:bCs w:val="0"/>
                <w:szCs w:val="20"/>
                <w:vertAlign w:val="superscript"/>
              </w:rPr>
            </w:pPr>
            <w:r w:rsidRPr="000E6572">
              <w:rPr>
                <w:b/>
                <w:bCs w:val="0"/>
                <w:color w:val="000000" w:themeColor="text1"/>
                <w:szCs w:val="20"/>
              </w:rPr>
              <w:t>$</w:t>
            </w:r>
            <w:r w:rsidRPr="005B3F49">
              <w:rPr>
                <w:b/>
                <w:bCs w:val="0"/>
                <w:color w:val="000000"/>
                <w:spacing w:val="45"/>
                <w:szCs w:val="20"/>
                <w:shd w:val="solid" w:color="000000" w:fill="000000"/>
                <w:fitText w:val="330" w:id="-1404863985"/>
                <w14:textFill>
                  <w14:solidFill>
                    <w14:srgbClr w14:val="000000">
                      <w14:alpha w14:val="100000"/>
                    </w14:srgbClr>
                  </w14:solidFill>
                </w14:textFill>
              </w:rPr>
              <w:t>|||</w:t>
            </w:r>
            <w:r w:rsidRPr="005B3F49">
              <w:rPr>
                <w:b/>
                <w:bCs w:val="0"/>
                <w:color w:val="000000"/>
                <w:spacing w:val="15"/>
                <w:szCs w:val="20"/>
                <w:shd w:val="solid" w:color="000000" w:fill="000000"/>
                <w:fitText w:val="330" w:id="-1404863985"/>
                <w14:textFill>
                  <w14:solidFill>
                    <w14:srgbClr w14:val="000000">
                      <w14:alpha w14:val="100000"/>
                    </w14:srgbClr>
                  </w14:solidFill>
                </w14:textFill>
              </w:rPr>
              <w:t>|</w:t>
            </w:r>
            <w:r w:rsidRPr="00A11D1D">
              <w:rPr>
                <w:color w:val="000000" w:themeColor="text1"/>
                <w:szCs w:val="20"/>
                <w:vertAlign w:val="superscript"/>
              </w:rPr>
              <w:t>3</w:t>
            </w:r>
          </w:p>
        </w:tc>
        <w:tc>
          <w:tcPr>
            <w:tcW w:w="629" w:type="pct"/>
            <w:shd w:val="clear" w:color="auto" w:fill="DBE5F1" w:themeFill="accent1" w:themeFillTint="33"/>
            <w:vAlign w:val="center"/>
          </w:tcPr>
          <w:p w14:paraId="22230C5F" w14:textId="78B75C60" w:rsidR="009B211A" w:rsidRPr="00A11D1D" w:rsidRDefault="009B211A" w:rsidP="009B211A">
            <w:pPr>
              <w:pStyle w:val="TableText0"/>
              <w:jc w:val="center"/>
              <w:rPr>
                <w:szCs w:val="20"/>
                <w:vertAlign w:val="superscript"/>
              </w:rPr>
            </w:pPr>
            <w:r w:rsidRPr="000E6572">
              <w:rPr>
                <w:b/>
                <w:bCs w:val="0"/>
                <w:color w:val="000000" w:themeColor="text1"/>
                <w:szCs w:val="20"/>
              </w:rPr>
              <w:t>$</w:t>
            </w:r>
            <w:r w:rsidRPr="005B3F49">
              <w:rPr>
                <w:b/>
                <w:bCs w:val="0"/>
                <w:color w:val="000000"/>
                <w:spacing w:val="45"/>
                <w:szCs w:val="20"/>
                <w:shd w:val="solid" w:color="000000" w:fill="000000"/>
                <w:fitText w:val="330" w:id="-1404863984"/>
                <w14:textFill>
                  <w14:solidFill>
                    <w14:srgbClr w14:val="000000">
                      <w14:alpha w14:val="100000"/>
                    </w14:srgbClr>
                  </w14:solidFill>
                </w14:textFill>
              </w:rPr>
              <w:t>|||</w:t>
            </w:r>
            <w:r w:rsidRPr="005B3F49">
              <w:rPr>
                <w:b/>
                <w:bCs w:val="0"/>
                <w:color w:val="000000"/>
                <w:spacing w:val="15"/>
                <w:szCs w:val="20"/>
                <w:shd w:val="solid" w:color="000000" w:fill="000000"/>
                <w:fitText w:val="330" w:id="-1404863984"/>
                <w14:textFill>
                  <w14:solidFill>
                    <w14:srgbClr w14:val="000000">
                      <w14:alpha w14:val="100000"/>
                    </w14:srgbClr>
                  </w14:solidFill>
                </w14:textFill>
              </w:rPr>
              <w:t>|</w:t>
            </w:r>
            <w:r>
              <w:rPr>
                <w:color w:val="000000" w:themeColor="text1"/>
                <w:szCs w:val="20"/>
                <w:vertAlign w:val="superscript"/>
              </w:rPr>
              <w:t>5</w:t>
            </w:r>
          </w:p>
        </w:tc>
        <w:tc>
          <w:tcPr>
            <w:tcW w:w="629" w:type="pct"/>
            <w:shd w:val="clear" w:color="auto" w:fill="DBE5F1" w:themeFill="accent1" w:themeFillTint="33"/>
            <w:vAlign w:val="center"/>
          </w:tcPr>
          <w:p w14:paraId="359E66BD" w14:textId="4A22A8E5" w:rsidR="009B211A" w:rsidRPr="00A11D1D" w:rsidRDefault="009B211A" w:rsidP="009B211A">
            <w:pPr>
              <w:pStyle w:val="TableText0"/>
              <w:jc w:val="center"/>
              <w:rPr>
                <w:szCs w:val="20"/>
                <w:vertAlign w:val="superscript"/>
              </w:rPr>
            </w:pPr>
            <w:r w:rsidRPr="000E6572">
              <w:rPr>
                <w:b/>
                <w:bCs w:val="0"/>
                <w:color w:val="000000" w:themeColor="text1"/>
                <w:szCs w:val="20"/>
              </w:rPr>
              <w:t>$</w:t>
            </w:r>
            <w:r w:rsidRPr="005B3F49">
              <w:rPr>
                <w:b/>
                <w:bCs w:val="0"/>
                <w:color w:val="000000"/>
                <w:spacing w:val="45"/>
                <w:szCs w:val="20"/>
                <w:shd w:val="solid" w:color="000000" w:fill="000000"/>
                <w:fitText w:val="330" w:id="-1404864000"/>
                <w14:textFill>
                  <w14:solidFill>
                    <w14:srgbClr w14:val="000000">
                      <w14:alpha w14:val="100000"/>
                    </w14:srgbClr>
                  </w14:solidFill>
                </w14:textFill>
              </w:rPr>
              <w:t>|||</w:t>
            </w:r>
            <w:r w:rsidRPr="005B3F49">
              <w:rPr>
                <w:b/>
                <w:bCs w:val="0"/>
                <w:color w:val="000000"/>
                <w:spacing w:val="15"/>
                <w:szCs w:val="20"/>
                <w:shd w:val="solid" w:color="000000" w:fill="000000"/>
                <w:fitText w:val="330" w:id="-1404864000"/>
                <w14:textFill>
                  <w14:solidFill>
                    <w14:srgbClr w14:val="000000">
                      <w14:alpha w14:val="100000"/>
                    </w14:srgbClr>
                  </w14:solidFill>
                </w14:textFill>
              </w:rPr>
              <w:t>|</w:t>
            </w:r>
            <w:r>
              <w:rPr>
                <w:color w:val="000000" w:themeColor="text1"/>
                <w:szCs w:val="20"/>
                <w:vertAlign w:val="superscript"/>
              </w:rPr>
              <w:t>5</w:t>
            </w:r>
          </w:p>
        </w:tc>
        <w:tc>
          <w:tcPr>
            <w:tcW w:w="629" w:type="pct"/>
            <w:shd w:val="clear" w:color="auto" w:fill="DBE5F1" w:themeFill="accent1" w:themeFillTint="33"/>
            <w:vAlign w:val="center"/>
          </w:tcPr>
          <w:p w14:paraId="18D82C6A" w14:textId="70ED87AA" w:rsidR="009B211A" w:rsidRPr="00A11D1D" w:rsidRDefault="009B211A" w:rsidP="009B211A">
            <w:pPr>
              <w:pStyle w:val="TableText0"/>
              <w:jc w:val="center"/>
              <w:rPr>
                <w:szCs w:val="20"/>
                <w:vertAlign w:val="superscript"/>
              </w:rPr>
            </w:pPr>
            <w:r w:rsidRPr="000E6572">
              <w:rPr>
                <w:b/>
                <w:bCs w:val="0"/>
                <w:color w:val="000000" w:themeColor="text1"/>
                <w:szCs w:val="20"/>
              </w:rPr>
              <w:t>$</w:t>
            </w:r>
            <w:r w:rsidRPr="005B3F49">
              <w:rPr>
                <w:b/>
                <w:bCs w:val="0"/>
                <w:color w:val="000000"/>
                <w:spacing w:val="45"/>
                <w:szCs w:val="20"/>
                <w:shd w:val="solid" w:color="000000" w:fill="000000"/>
                <w:fitText w:val="330" w:id="-1404863999"/>
                <w14:textFill>
                  <w14:solidFill>
                    <w14:srgbClr w14:val="000000">
                      <w14:alpha w14:val="100000"/>
                    </w14:srgbClr>
                  </w14:solidFill>
                </w14:textFill>
              </w:rPr>
              <w:t>|||</w:t>
            </w:r>
            <w:r w:rsidRPr="005B3F49">
              <w:rPr>
                <w:b/>
                <w:bCs w:val="0"/>
                <w:color w:val="000000"/>
                <w:spacing w:val="15"/>
                <w:szCs w:val="20"/>
                <w:shd w:val="solid" w:color="000000" w:fill="000000"/>
                <w:fitText w:val="330" w:id="-1404863999"/>
                <w14:textFill>
                  <w14:solidFill>
                    <w14:srgbClr w14:val="000000">
                      <w14:alpha w14:val="100000"/>
                    </w14:srgbClr>
                  </w14:solidFill>
                </w14:textFill>
              </w:rPr>
              <w:t>|</w:t>
            </w:r>
            <w:r>
              <w:rPr>
                <w:color w:val="000000" w:themeColor="text1"/>
                <w:szCs w:val="20"/>
                <w:vertAlign w:val="superscript"/>
              </w:rPr>
              <w:t>5</w:t>
            </w:r>
          </w:p>
        </w:tc>
        <w:tc>
          <w:tcPr>
            <w:tcW w:w="599" w:type="pct"/>
            <w:shd w:val="clear" w:color="auto" w:fill="DBE5F1" w:themeFill="accent1" w:themeFillTint="33"/>
            <w:vAlign w:val="center"/>
          </w:tcPr>
          <w:p w14:paraId="382CAA7C" w14:textId="1738D7B8" w:rsidR="009B211A" w:rsidRPr="00A11D1D" w:rsidRDefault="009B211A" w:rsidP="009B211A">
            <w:pPr>
              <w:pStyle w:val="TableText0"/>
              <w:jc w:val="center"/>
              <w:rPr>
                <w:szCs w:val="20"/>
                <w:vertAlign w:val="superscript"/>
              </w:rPr>
            </w:pPr>
            <w:r w:rsidRPr="000E6572">
              <w:rPr>
                <w:b/>
                <w:bCs w:val="0"/>
                <w:color w:val="000000" w:themeColor="text1"/>
                <w:szCs w:val="20"/>
              </w:rPr>
              <w:t>$</w:t>
            </w:r>
            <w:r w:rsidRPr="005D733C">
              <w:rPr>
                <w:b/>
                <w:bCs w:val="0"/>
                <w:color w:val="000000"/>
                <w:spacing w:val="58"/>
                <w:szCs w:val="20"/>
                <w:shd w:val="solid" w:color="000000" w:fill="000000"/>
                <w:fitText w:val="360" w:id="-1404863998"/>
                <w14:textFill>
                  <w14:solidFill>
                    <w14:srgbClr w14:val="000000">
                      <w14:alpha w14:val="100000"/>
                    </w14:srgbClr>
                  </w14:solidFill>
                </w14:textFill>
              </w:rPr>
              <w:t>|||</w:t>
            </w:r>
            <w:r w:rsidRPr="005D733C">
              <w:rPr>
                <w:b/>
                <w:bCs w:val="0"/>
                <w:color w:val="000000"/>
                <w:spacing w:val="3"/>
                <w:szCs w:val="20"/>
                <w:shd w:val="solid" w:color="000000" w:fill="000000"/>
                <w:fitText w:val="360" w:id="-1404863998"/>
                <w14:textFill>
                  <w14:solidFill>
                    <w14:srgbClr w14:val="000000">
                      <w14:alpha w14:val="100000"/>
                    </w14:srgbClr>
                  </w14:solidFill>
                </w14:textFill>
              </w:rPr>
              <w:t>|</w:t>
            </w:r>
            <w:r>
              <w:rPr>
                <w:color w:val="000000" w:themeColor="text1"/>
                <w:szCs w:val="20"/>
                <w:vertAlign w:val="superscript"/>
              </w:rPr>
              <w:t>5</w:t>
            </w:r>
          </w:p>
        </w:tc>
      </w:tr>
    </w:tbl>
    <w:p w14:paraId="0B8F79FC" w14:textId="023759ED" w:rsidR="0025400C" w:rsidRDefault="0025400C" w:rsidP="0025400C">
      <w:pPr>
        <w:pStyle w:val="TableFigureFooter"/>
        <w:rPr>
          <w:rFonts w:eastAsiaTheme="minorHAnsi" w:cs="Tahoma"/>
          <w:bCs/>
          <w:color w:val="000000"/>
          <w:szCs w:val="18"/>
          <w:lang w:eastAsia="en-GB"/>
        </w:rPr>
      </w:pPr>
      <w:r w:rsidRPr="00E5131A">
        <w:rPr>
          <w:szCs w:val="18"/>
        </w:rPr>
        <w:t xml:space="preserve">Source: </w:t>
      </w:r>
      <w:r w:rsidRPr="00E5131A">
        <w:rPr>
          <w:rFonts w:eastAsiaTheme="minorHAnsi" w:cs="Tahoma"/>
          <w:bCs/>
          <w:color w:val="000000"/>
          <w:szCs w:val="18"/>
          <w:lang w:eastAsia="en-GB"/>
        </w:rPr>
        <w:t xml:space="preserve">Table </w:t>
      </w:r>
      <w:r>
        <w:rPr>
          <w:rFonts w:eastAsiaTheme="minorHAnsi" w:cs="Tahoma"/>
          <w:bCs/>
          <w:color w:val="000000"/>
          <w:szCs w:val="18"/>
          <w:lang w:eastAsia="en-GB"/>
        </w:rPr>
        <w:t xml:space="preserve">18 of July 2022 PBAC </w:t>
      </w:r>
      <w:r w:rsidR="00A27B09">
        <w:rPr>
          <w:rFonts w:eastAsiaTheme="minorHAnsi" w:cs="Tahoma"/>
          <w:bCs/>
          <w:color w:val="000000"/>
          <w:szCs w:val="18"/>
          <w:lang w:eastAsia="en-GB"/>
        </w:rPr>
        <w:t>PSD</w:t>
      </w:r>
      <w:r>
        <w:rPr>
          <w:rFonts w:eastAsiaTheme="minorHAnsi" w:cs="Tahoma"/>
          <w:bCs/>
          <w:color w:val="000000"/>
          <w:szCs w:val="18"/>
          <w:lang w:eastAsia="en-GB"/>
        </w:rPr>
        <w:t>; Tables 9 and 11 of resubmission</w:t>
      </w:r>
    </w:p>
    <w:p w14:paraId="1A4767D4" w14:textId="5CB85ECC" w:rsidR="0025400C" w:rsidRDefault="0025400C" w:rsidP="0025400C">
      <w:pPr>
        <w:pStyle w:val="TableFigureFooter"/>
        <w:rPr>
          <w:rStyle w:val="CommentReference"/>
          <w:b w:val="0"/>
          <w:bCs/>
          <w:snapToGrid/>
          <w:sz w:val="18"/>
          <w:szCs w:val="18"/>
        </w:rPr>
      </w:pPr>
      <w:r w:rsidRPr="00980FFB">
        <w:rPr>
          <w:rStyle w:val="CommentReference"/>
          <w:b w:val="0"/>
          <w:bCs/>
          <w:snapToGrid/>
          <w:sz w:val="18"/>
          <w:szCs w:val="18"/>
        </w:rPr>
        <w:t xml:space="preserve">Blue shading represents </w:t>
      </w:r>
      <w:r>
        <w:rPr>
          <w:rStyle w:val="CommentReference"/>
          <w:b w:val="0"/>
          <w:bCs/>
          <w:snapToGrid/>
          <w:sz w:val="18"/>
          <w:szCs w:val="18"/>
        </w:rPr>
        <w:t>estimates from the previous pre-PBAC response</w:t>
      </w:r>
    </w:p>
    <w:p w14:paraId="2819A309" w14:textId="7A904B76" w:rsidR="000D4959" w:rsidRDefault="000D4959" w:rsidP="0025400C">
      <w:pPr>
        <w:pStyle w:val="TableFigureFooter"/>
        <w:rPr>
          <w:rStyle w:val="CommentReference"/>
          <w:b w:val="0"/>
          <w:bCs/>
          <w:snapToGrid/>
          <w:sz w:val="18"/>
          <w:szCs w:val="18"/>
        </w:rPr>
      </w:pPr>
    </w:p>
    <w:p w14:paraId="0CABDABE" w14:textId="7969993F" w:rsidR="000D4959" w:rsidRDefault="000D4959" w:rsidP="0025400C">
      <w:pPr>
        <w:pStyle w:val="TableFigureFooter"/>
        <w:rPr>
          <w:rStyle w:val="CommentReference"/>
          <w:b w:val="0"/>
          <w:bCs/>
          <w:i/>
          <w:iCs/>
          <w:snapToGrid/>
          <w:sz w:val="18"/>
          <w:szCs w:val="18"/>
        </w:rPr>
      </w:pPr>
      <w:r w:rsidRPr="000D4959">
        <w:rPr>
          <w:rStyle w:val="CommentReference"/>
          <w:b w:val="0"/>
          <w:bCs/>
          <w:i/>
          <w:iCs/>
          <w:snapToGrid/>
          <w:sz w:val="18"/>
          <w:szCs w:val="18"/>
        </w:rPr>
        <w:t>The redacted values correspond to the following ranges:</w:t>
      </w:r>
    </w:p>
    <w:p w14:paraId="6328FAA0" w14:textId="41D3D8C0" w:rsidR="000D4959" w:rsidRDefault="00A11D1D" w:rsidP="0025400C">
      <w:pPr>
        <w:pStyle w:val="TableFigureFooter"/>
        <w:rPr>
          <w:rStyle w:val="CommentReference"/>
          <w:b w:val="0"/>
          <w:bCs/>
          <w:i/>
          <w:iCs/>
          <w:snapToGrid/>
          <w:sz w:val="18"/>
          <w:szCs w:val="18"/>
        </w:rPr>
      </w:pPr>
      <w:r>
        <w:rPr>
          <w:rStyle w:val="CommentReference"/>
          <w:b w:val="0"/>
          <w:bCs/>
          <w:i/>
          <w:iCs/>
          <w:snapToGrid/>
          <w:sz w:val="18"/>
          <w:szCs w:val="18"/>
          <w:vertAlign w:val="superscript"/>
        </w:rPr>
        <w:t>1</w:t>
      </w:r>
      <w:r w:rsidRPr="00A11D1D">
        <w:rPr>
          <w:rStyle w:val="CommentReference"/>
          <w:b w:val="0"/>
          <w:bCs/>
          <w:i/>
          <w:iCs/>
          <w:snapToGrid/>
          <w:sz w:val="18"/>
          <w:szCs w:val="18"/>
        </w:rPr>
        <w:t>&lt; 500</w:t>
      </w:r>
    </w:p>
    <w:p w14:paraId="772F0F92" w14:textId="475A91DE" w:rsidR="00A11D1D" w:rsidRDefault="00A11D1D" w:rsidP="0025400C">
      <w:pPr>
        <w:pStyle w:val="TableFigureFooter"/>
        <w:rPr>
          <w:rStyle w:val="CommentReference"/>
          <w:b w:val="0"/>
          <w:bCs/>
          <w:i/>
          <w:iCs/>
          <w:snapToGrid/>
          <w:sz w:val="18"/>
          <w:szCs w:val="18"/>
        </w:rPr>
      </w:pPr>
      <w:r>
        <w:rPr>
          <w:rStyle w:val="CommentReference"/>
          <w:b w:val="0"/>
          <w:bCs/>
          <w:i/>
          <w:iCs/>
          <w:snapToGrid/>
          <w:sz w:val="18"/>
          <w:szCs w:val="18"/>
          <w:vertAlign w:val="superscript"/>
        </w:rPr>
        <w:t>2</w:t>
      </w:r>
      <w:r w:rsidRPr="00A11D1D">
        <w:rPr>
          <w:rStyle w:val="CommentReference"/>
          <w:b w:val="0"/>
          <w:bCs/>
          <w:i/>
          <w:iCs/>
          <w:snapToGrid/>
          <w:sz w:val="18"/>
          <w:szCs w:val="18"/>
        </w:rPr>
        <w:t>500 to &lt; 5,000</w:t>
      </w:r>
    </w:p>
    <w:p w14:paraId="789AC4D1" w14:textId="1B375460" w:rsidR="00A11D1D" w:rsidRDefault="00A11D1D" w:rsidP="0025400C">
      <w:pPr>
        <w:pStyle w:val="TableFigureFooter"/>
        <w:rPr>
          <w:rStyle w:val="CommentReference"/>
          <w:b w:val="0"/>
          <w:bCs/>
          <w:i/>
          <w:iCs/>
          <w:snapToGrid/>
          <w:sz w:val="18"/>
          <w:szCs w:val="18"/>
        </w:rPr>
      </w:pPr>
      <w:r>
        <w:rPr>
          <w:rStyle w:val="CommentReference"/>
          <w:b w:val="0"/>
          <w:bCs/>
          <w:i/>
          <w:iCs/>
          <w:snapToGrid/>
          <w:sz w:val="18"/>
          <w:szCs w:val="18"/>
          <w:vertAlign w:val="superscript"/>
        </w:rPr>
        <w:t>3</w:t>
      </w:r>
      <w:r w:rsidRPr="00A11D1D">
        <w:rPr>
          <w:rStyle w:val="CommentReference"/>
          <w:b w:val="0"/>
          <w:bCs/>
          <w:i/>
          <w:iCs/>
          <w:snapToGrid/>
          <w:sz w:val="18"/>
          <w:szCs w:val="18"/>
        </w:rPr>
        <w:t>$0 to &lt; $10 million</w:t>
      </w:r>
    </w:p>
    <w:p w14:paraId="34ACABA9" w14:textId="7BBB3A73" w:rsidR="00A11D1D" w:rsidRDefault="00A11D1D" w:rsidP="0025400C">
      <w:pPr>
        <w:pStyle w:val="TableFigureFooter"/>
        <w:rPr>
          <w:rStyle w:val="CommentReference"/>
          <w:b w:val="0"/>
          <w:bCs/>
          <w:i/>
          <w:iCs/>
          <w:snapToGrid/>
          <w:sz w:val="18"/>
          <w:szCs w:val="18"/>
        </w:rPr>
      </w:pPr>
      <w:r>
        <w:rPr>
          <w:rStyle w:val="CommentReference"/>
          <w:b w:val="0"/>
          <w:bCs/>
          <w:i/>
          <w:iCs/>
          <w:snapToGrid/>
          <w:sz w:val="18"/>
          <w:szCs w:val="18"/>
          <w:vertAlign w:val="superscript"/>
        </w:rPr>
        <w:t>4</w:t>
      </w:r>
      <w:r w:rsidRPr="00A11D1D">
        <w:rPr>
          <w:rStyle w:val="CommentReference"/>
          <w:b w:val="0"/>
          <w:bCs/>
          <w:i/>
          <w:iCs/>
          <w:snapToGrid/>
          <w:sz w:val="18"/>
          <w:szCs w:val="18"/>
        </w:rPr>
        <w:t>5,000 to &lt; 10,000</w:t>
      </w:r>
    </w:p>
    <w:p w14:paraId="4066FB18" w14:textId="20817CEA" w:rsidR="0025400C" w:rsidRDefault="00A11D1D" w:rsidP="0025400C">
      <w:pPr>
        <w:pStyle w:val="TableFigureFooter"/>
        <w:rPr>
          <w:rStyle w:val="CommentReference"/>
          <w:snapToGrid/>
          <w:szCs w:val="18"/>
        </w:rPr>
      </w:pPr>
      <w:r>
        <w:rPr>
          <w:rStyle w:val="CommentReference"/>
          <w:b w:val="0"/>
          <w:bCs/>
          <w:i/>
          <w:iCs/>
          <w:snapToGrid/>
          <w:sz w:val="18"/>
          <w:szCs w:val="18"/>
          <w:vertAlign w:val="superscript"/>
        </w:rPr>
        <w:t>5</w:t>
      </w:r>
      <w:r w:rsidRPr="00A11D1D">
        <w:rPr>
          <w:rStyle w:val="CommentReference"/>
          <w:b w:val="0"/>
          <w:bCs/>
          <w:i/>
          <w:iCs/>
          <w:snapToGrid/>
          <w:sz w:val="18"/>
          <w:szCs w:val="18"/>
        </w:rPr>
        <w:t>$10 million to &lt; $20 million</w:t>
      </w:r>
    </w:p>
    <w:p w14:paraId="49BBA1B5" w14:textId="064E2032" w:rsidR="0025400C" w:rsidRPr="00DE4DEA" w:rsidRDefault="0025400C" w:rsidP="0025400C">
      <w:pPr>
        <w:widowControl w:val="0"/>
        <w:numPr>
          <w:ilvl w:val="1"/>
          <w:numId w:val="1"/>
        </w:numPr>
        <w:spacing w:after="120"/>
        <w:ind w:left="720"/>
        <w:rPr>
          <w:lang w:val="en-US"/>
        </w:rPr>
      </w:pPr>
      <w:r w:rsidRPr="00DE4DEA">
        <w:rPr>
          <w:lang w:val="en-US"/>
        </w:rPr>
        <w:t xml:space="preserve">The resubmission estimated that the total cost to the PBS/RPBS of listing oral azacitidine would be </w:t>
      </w:r>
      <w:r w:rsidR="00A11D1D" w:rsidRPr="00A11D1D">
        <w:rPr>
          <w:lang w:val="en-US"/>
        </w:rPr>
        <w:t>$0</w:t>
      </w:r>
      <w:r w:rsidR="001E27DA">
        <w:rPr>
          <w:lang w:val="en-US"/>
        </w:rPr>
        <w:t> </w:t>
      </w:r>
      <w:r w:rsidR="00A11D1D" w:rsidRPr="00A11D1D">
        <w:rPr>
          <w:lang w:val="en-US"/>
        </w:rPr>
        <w:t>to</w:t>
      </w:r>
      <w:r w:rsidR="001E27DA">
        <w:rPr>
          <w:lang w:val="en-US"/>
        </w:rPr>
        <w:t> </w:t>
      </w:r>
      <w:r w:rsidR="00A11D1D" w:rsidRPr="00A11D1D">
        <w:rPr>
          <w:lang w:val="en-US"/>
        </w:rPr>
        <w:t>&lt;</w:t>
      </w:r>
      <w:r w:rsidR="001E27DA">
        <w:rPr>
          <w:lang w:val="en-US"/>
        </w:rPr>
        <w:t> </w:t>
      </w:r>
      <w:r w:rsidR="00A11D1D" w:rsidRPr="00A11D1D">
        <w:rPr>
          <w:lang w:val="en-US"/>
        </w:rPr>
        <w:t>$10 million</w:t>
      </w:r>
      <w:r w:rsidR="00A11D1D">
        <w:rPr>
          <w:lang w:val="en-US"/>
        </w:rPr>
        <w:t xml:space="preserve"> </w:t>
      </w:r>
      <w:r w:rsidRPr="00DE4DEA">
        <w:rPr>
          <w:lang w:val="en-US"/>
        </w:rPr>
        <w:t xml:space="preserve">in Year 6, and </w:t>
      </w:r>
      <w:r w:rsidR="00A11D1D" w:rsidRPr="00A11D1D">
        <w:rPr>
          <w:lang w:val="en-US"/>
        </w:rPr>
        <w:t>$30</w:t>
      </w:r>
      <w:r w:rsidR="001E27DA">
        <w:rPr>
          <w:lang w:val="en-US"/>
        </w:rPr>
        <w:t> </w:t>
      </w:r>
      <w:r w:rsidR="00A11D1D" w:rsidRPr="00A11D1D">
        <w:rPr>
          <w:lang w:val="en-US"/>
        </w:rPr>
        <w:t>million</w:t>
      </w:r>
      <w:r w:rsidR="001E27DA">
        <w:rPr>
          <w:lang w:val="en-US"/>
        </w:rPr>
        <w:t> </w:t>
      </w:r>
      <w:r w:rsidR="00A11D1D" w:rsidRPr="00A11D1D">
        <w:rPr>
          <w:lang w:val="en-US"/>
        </w:rPr>
        <w:t>to</w:t>
      </w:r>
      <w:r w:rsidR="001E27DA">
        <w:rPr>
          <w:lang w:val="en-US"/>
        </w:rPr>
        <w:t> </w:t>
      </w:r>
      <w:r w:rsidR="00A11D1D" w:rsidRPr="00A11D1D">
        <w:rPr>
          <w:lang w:val="en-US"/>
        </w:rPr>
        <w:t>&lt;</w:t>
      </w:r>
      <w:r w:rsidR="001E27DA">
        <w:rPr>
          <w:lang w:val="en-US"/>
        </w:rPr>
        <w:t> </w:t>
      </w:r>
      <w:r w:rsidR="00A11D1D" w:rsidRPr="00A11D1D">
        <w:rPr>
          <w:lang w:val="en-US"/>
        </w:rPr>
        <w:t>$40 million</w:t>
      </w:r>
      <w:r w:rsidR="00A11D1D">
        <w:rPr>
          <w:lang w:val="en-US"/>
        </w:rPr>
        <w:t xml:space="preserve"> </w:t>
      </w:r>
      <w:r w:rsidRPr="00DE4DEA">
        <w:rPr>
          <w:lang w:val="en-US"/>
        </w:rPr>
        <w:t>over the first 6 years of listing.</w:t>
      </w:r>
      <w:r w:rsidR="00857672">
        <w:rPr>
          <w:lang w:val="en-US"/>
        </w:rPr>
        <w:t xml:space="preserve"> The revised estimates provided post PBAC resulted in a cost of </w:t>
      </w:r>
      <w:r w:rsidR="00700EC1" w:rsidRPr="00700EC1">
        <w:rPr>
          <w:lang w:val="en-US"/>
        </w:rPr>
        <w:t>$0</w:t>
      </w:r>
      <w:r w:rsidR="001E27DA">
        <w:rPr>
          <w:lang w:val="en-US"/>
        </w:rPr>
        <w:t> </w:t>
      </w:r>
      <w:r w:rsidR="00700EC1" w:rsidRPr="00700EC1">
        <w:rPr>
          <w:lang w:val="en-US"/>
        </w:rPr>
        <w:t>to</w:t>
      </w:r>
      <w:r w:rsidR="001E27DA">
        <w:rPr>
          <w:lang w:val="en-US"/>
        </w:rPr>
        <w:t> </w:t>
      </w:r>
      <w:r w:rsidR="00700EC1" w:rsidRPr="00700EC1">
        <w:rPr>
          <w:lang w:val="en-US"/>
        </w:rPr>
        <w:t>&lt;</w:t>
      </w:r>
      <w:r w:rsidR="001E27DA">
        <w:rPr>
          <w:lang w:val="en-US"/>
        </w:rPr>
        <w:t> </w:t>
      </w:r>
      <w:r w:rsidR="00700EC1" w:rsidRPr="00700EC1">
        <w:rPr>
          <w:lang w:val="en-US"/>
        </w:rPr>
        <w:t>$10 million</w:t>
      </w:r>
      <w:r w:rsidR="00700EC1">
        <w:rPr>
          <w:lang w:val="en-US"/>
        </w:rPr>
        <w:t xml:space="preserve"> </w:t>
      </w:r>
      <w:r w:rsidR="00857672">
        <w:rPr>
          <w:lang w:val="en-US"/>
        </w:rPr>
        <w:t xml:space="preserve">in Year 6 and a cost of </w:t>
      </w:r>
      <w:r w:rsidR="00700EC1" w:rsidRPr="00700EC1">
        <w:rPr>
          <w:lang w:val="en-US"/>
        </w:rPr>
        <w:t>$30</w:t>
      </w:r>
      <w:r w:rsidR="001E27DA">
        <w:rPr>
          <w:lang w:val="en-US"/>
        </w:rPr>
        <w:t> </w:t>
      </w:r>
      <w:r w:rsidR="00700EC1" w:rsidRPr="00700EC1">
        <w:rPr>
          <w:lang w:val="en-US"/>
        </w:rPr>
        <w:t>million</w:t>
      </w:r>
      <w:r w:rsidR="001E27DA">
        <w:rPr>
          <w:lang w:val="en-US"/>
        </w:rPr>
        <w:t> </w:t>
      </w:r>
      <w:r w:rsidR="00700EC1" w:rsidRPr="00700EC1">
        <w:rPr>
          <w:lang w:val="en-US"/>
        </w:rPr>
        <w:t>to</w:t>
      </w:r>
      <w:r w:rsidR="001E27DA">
        <w:rPr>
          <w:lang w:val="en-US"/>
        </w:rPr>
        <w:t> </w:t>
      </w:r>
      <w:r w:rsidR="00700EC1" w:rsidRPr="00700EC1">
        <w:rPr>
          <w:lang w:val="en-US"/>
        </w:rPr>
        <w:t>&lt;</w:t>
      </w:r>
      <w:r w:rsidR="001E27DA">
        <w:rPr>
          <w:lang w:val="en-US"/>
        </w:rPr>
        <w:t> </w:t>
      </w:r>
      <w:r w:rsidR="00700EC1" w:rsidRPr="00700EC1">
        <w:rPr>
          <w:lang w:val="en-US"/>
        </w:rPr>
        <w:t>$40 million</w:t>
      </w:r>
      <w:r w:rsidR="00700EC1" w:rsidRPr="00700EC1" w:rsidDel="00700EC1">
        <w:rPr>
          <w:lang w:val="en-US"/>
        </w:rPr>
        <w:t xml:space="preserve"> </w:t>
      </w:r>
      <w:r w:rsidR="00857672">
        <w:rPr>
          <w:lang w:val="en-US"/>
        </w:rPr>
        <w:t>over the first 6 years of listing.</w:t>
      </w:r>
      <w:r w:rsidRPr="00DE4DEA">
        <w:rPr>
          <w:lang w:val="en-US"/>
        </w:rPr>
        <w:t xml:space="preserve"> This was compared with an estimated cost of </w:t>
      </w:r>
      <w:r w:rsidR="00A11D1D" w:rsidRPr="00A11D1D">
        <w:rPr>
          <w:lang w:val="en-US"/>
        </w:rPr>
        <w:t>$70</w:t>
      </w:r>
      <w:r w:rsidR="001E27DA">
        <w:rPr>
          <w:lang w:val="en-US"/>
        </w:rPr>
        <w:t> </w:t>
      </w:r>
      <w:r w:rsidR="00A11D1D" w:rsidRPr="00A11D1D">
        <w:rPr>
          <w:lang w:val="en-US"/>
        </w:rPr>
        <w:t>million</w:t>
      </w:r>
      <w:r w:rsidR="001E27DA">
        <w:rPr>
          <w:lang w:val="en-US"/>
        </w:rPr>
        <w:t> </w:t>
      </w:r>
      <w:r w:rsidR="00A11D1D" w:rsidRPr="00A11D1D">
        <w:rPr>
          <w:lang w:val="en-US"/>
        </w:rPr>
        <w:t>to</w:t>
      </w:r>
      <w:r w:rsidR="001E27DA">
        <w:rPr>
          <w:lang w:val="en-US"/>
        </w:rPr>
        <w:t> </w:t>
      </w:r>
      <w:r w:rsidR="00A11D1D" w:rsidRPr="00A11D1D">
        <w:rPr>
          <w:lang w:val="en-US"/>
        </w:rPr>
        <w:t>&lt;</w:t>
      </w:r>
      <w:r w:rsidR="001E27DA">
        <w:rPr>
          <w:lang w:val="en-US"/>
        </w:rPr>
        <w:t> </w:t>
      </w:r>
      <w:r w:rsidR="00A11D1D" w:rsidRPr="00A11D1D">
        <w:rPr>
          <w:lang w:val="en-US"/>
        </w:rPr>
        <w:t>$80</w:t>
      </w:r>
      <w:r w:rsidR="001923C0">
        <w:rPr>
          <w:lang w:val="en-US"/>
        </w:rPr>
        <w:t> </w:t>
      </w:r>
      <w:r w:rsidR="00A11D1D" w:rsidRPr="00A11D1D">
        <w:rPr>
          <w:lang w:val="en-US"/>
        </w:rPr>
        <w:t>million</w:t>
      </w:r>
      <w:r w:rsidR="00A11D1D">
        <w:rPr>
          <w:lang w:val="en-US"/>
        </w:rPr>
        <w:t xml:space="preserve"> </w:t>
      </w:r>
      <w:r w:rsidRPr="00DE4DEA">
        <w:rPr>
          <w:lang w:val="en-US"/>
        </w:rPr>
        <w:t>over 6 years estimated in the previous PSCR</w:t>
      </w:r>
      <w:r>
        <w:rPr>
          <w:lang w:val="en-US"/>
        </w:rPr>
        <w:t>/pre</w:t>
      </w:r>
      <w:r w:rsidR="00161B52">
        <w:rPr>
          <w:lang w:val="en-US"/>
        </w:rPr>
        <w:noBreakHyphen/>
      </w:r>
      <w:r>
        <w:rPr>
          <w:lang w:val="en-US"/>
        </w:rPr>
        <w:t>PBAC</w:t>
      </w:r>
      <w:r w:rsidR="00161B52">
        <w:rPr>
          <w:lang w:val="en-US"/>
        </w:rPr>
        <w:t> </w:t>
      </w:r>
      <w:r>
        <w:rPr>
          <w:lang w:val="en-US"/>
        </w:rPr>
        <w:t>response</w:t>
      </w:r>
      <w:r w:rsidRPr="00DE4DEA">
        <w:rPr>
          <w:lang w:val="en-US"/>
        </w:rPr>
        <w:t>.</w:t>
      </w:r>
    </w:p>
    <w:p w14:paraId="3E377C5D" w14:textId="77777777" w:rsidR="0025400C" w:rsidRPr="00C9624D" w:rsidRDefault="0025400C" w:rsidP="0025400C">
      <w:pPr>
        <w:pStyle w:val="4-SubsectionHeading"/>
      </w:pPr>
      <w:r w:rsidRPr="00C9624D">
        <w:t>Financial Management – Risk Sharing Arrangements</w:t>
      </w:r>
    </w:p>
    <w:p w14:paraId="71AACCEE" w14:textId="685279A9" w:rsidR="0025400C" w:rsidRPr="00980FFB" w:rsidRDefault="0025400C" w:rsidP="0025400C">
      <w:pPr>
        <w:widowControl w:val="0"/>
        <w:numPr>
          <w:ilvl w:val="1"/>
          <w:numId w:val="1"/>
        </w:numPr>
        <w:spacing w:after="120"/>
        <w:ind w:left="720"/>
        <w:rPr>
          <w:b/>
        </w:rPr>
      </w:pPr>
      <w:r w:rsidRPr="00980FFB">
        <w:rPr>
          <w:snapToGrid w:val="0"/>
        </w:rPr>
        <w:t xml:space="preserve">The </w:t>
      </w:r>
      <w:r>
        <w:t>re</w:t>
      </w:r>
      <w:r w:rsidRPr="00980FFB">
        <w:rPr>
          <w:snapToGrid w:val="0"/>
        </w:rPr>
        <w:t xml:space="preserve">submission </w:t>
      </w:r>
      <w:r w:rsidRPr="00980FFB">
        <w:t xml:space="preserve">proposed </w:t>
      </w:r>
      <w:r>
        <w:t xml:space="preserve">an RSA </w:t>
      </w:r>
      <w:r w:rsidRPr="00980FFB">
        <w:t xml:space="preserve">to manage the risk of dose escalation exceeding that which was seen in the trial (21.40% of patients received a dose escalation). The resubmission stated “for any utilisation in excess of this, the Sponsor is willing to rebate so that the </w:t>
      </w:r>
      <w:r>
        <w:t xml:space="preserve">effective </w:t>
      </w:r>
      <w:r w:rsidRPr="00980FFB">
        <w:t>ex-manufacturer price for 21 tablets would be reduced from $</w:t>
      </w:r>
      <w:r w:rsidR="005D733C" w:rsidRPr="000F0268">
        <w:rPr>
          <w:color w:val="000000"/>
          <w:w w:val="15"/>
          <w:shd w:val="solid" w:color="000000" w:fill="000000"/>
          <w:fitText w:val="-20" w:id="-1404863997"/>
          <w14:textFill>
            <w14:solidFill>
              <w14:srgbClr w14:val="000000">
                <w14:alpha w14:val="100000"/>
              </w14:srgbClr>
            </w14:solidFill>
          </w14:textFill>
        </w:rPr>
        <w:t xml:space="preserve">|  </w:t>
      </w:r>
      <w:r w:rsidR="005D733C" w:rsidRPr="000F0268">
        <w:rPr>
          <w:color w:val="000000"/>
          <w:spacing w:val="-69"/>
          <w:w w:val="15"/>
          <w:shd w:val="solid" w:color="000000" w:fill="000000"/>
          <w:fitText w:val="-20" w:id="-1404863997"/>
          <w14:textFill>
            <w14:solidFill>
              <w14:srgbClr w14:val="000000">
                <w14:alpha w14:val="100000"/>
              </w14:srgbClr>
            </w14:solidFill>
          </w14:textFill>
        </w:rPr>
        <w:t>|</w:t>
      </w:r>
      <w:r w:rsidRPr="00980FFB">
        <w:t xml:space="preserve"> to $</w:t>
      </w:r>
      <w:r w:rsidR="005D733C" w:rsidRPr="000F0268">
        <w:rPr>
          <w:color w:val="000000"/>
          <w:w w:val="15"/>
          <w:shd w:val="solid" w:color="000000" w:fill="000000"/>
          <w:fitText w:val="-20" w:id="-1404863996"/>
          <w14:textFill>
            <w14:solidFill>
              <w14:srgbClr w14:val="000000">
                <w14:alpha w14:val="100000"/>
              </w14:srgbClr>
            </w14:solidFill>
          </w14:textFill>
        </w:rPr>
        <w:t xml:space="preserve">|  </w:t>
      </w:r>
      <w:r w:rsidR="005D733C" w:rsidRPr="000F0268">
        <w:rPr>
          <w:color w:val="000000"/>
          <w:spacing w:val="-69"/>
          <w:w w:val="15"/>
          <w:shd w:val="solid" w:color="000000" w:fill="000000"/>
          <w:fitText w:val="-20" w:id="-1404863996"/>
          <w14:textFill>
            <w14:solidFill>
              <w14:srgbClr w14:val="000000">
                <w14:alpha w14:val="100000"/>
              </w14:srgbClr>
            </w14:solidFill>
          </w14:textFill>
        </w:rPr>
        <w:t>|</w:t>
      </w:r>
      <w:r w:rsidRPr="00980FFB">
        <w:t xml:space="preserve">, which is the cost-effective price for 14 tablets.” </w:t>
      </w:r>
      <w:r w:rsidR="00857672">
        <w:t>Following correction of the error, this would be reduced to $</w:t>
      </w:r>
      <w:r w:rsidR="005B3F49" w:rsidRPr="000F0268">
        <w:rPr>
          <w:color w:val="000000"/>
          <w:w w:val="15"/>
          <w:shd w:val="solid" w:color="000000" w:fill="000000"/>
          <w:fitText w:val="-20" w:id="-1210902775"/>
          <w14:textFill>
            <w14:solidFill>
              <w14:srgbClr w14:val="000000">
                <w14:alpha w14:val="100000"/>
              </w14:srgbClr>
            </w14:solidFill>
          </w14:textFill>
        </w:rPr>
        <w:t xml:space="preserve">|  </w:t>
      </w:r>
      <w:r w:rsidR="005B3F49" w:rsidRPr="000F0268">
        <w:rPr>
          <w:color w:val="000000"/>
          <w:spacing w:val="-69"/>
          <w:w w:val="15"/>
          <w:shd w:val="solid" w:color="000000" w:fill="000000"/>
          <w:fitText w:val="-20" w:id="-1210902775"/>
          <w14:textFill>
            <w14:solidFill>
              <w14:srgbClr w14:val="000000">
                <w14:alpha w14:val="100000"/>
              </w14:srgbClr>
            </w14:solidFill>
          </w14:textFill>
        </w:rPr>
        <w:t>|</w:t>
      </w:r>
      <w:r w:rsidR="00857672">
        <w:t>.</w:t>
      </w:r>
    </w:p>
    <w:p w14:paraId="4084BBCD" w14:textId="77777777" w:rsidR="0025400C" w:rsidRDefault="0025400C" w:rsidP="0025400C">
      <w:pPr>
        <w:pStyle w:val="2-SectionHeading"/>
        <w:numPr>
          <w:ilvl w:val="0"/>
          <w:numId w:val="1"/>
        </w:numPr>
      </w:pPr>
      <w:r w:rsidRPr="00407F2D">
        <w:t>Requested listing</w:t>
      </w:r>
    </w:p>
    <w:p w14:paraId="3F256C55" w14:textId="77777777" w:rsidR="0025400C" w:rsidRPr="003E471B" w:rsidRDefault="0025400C" w:rsidP="0025400C">
      <w:pPr>
        <w:widowControl w:val="0"/>
        <w:numPr>
          <w:ilvl w:val="1"/>
          <w:numId w:val="1"/>
        </w:numPr>
        <w:spacing w:after="120"/>
        <w:ind w:left="720"/>
      </w:pPr>
      <w:r w:rsidRPr="003E471B">
        <w:t xml:space="preserve">The resubmission </w:t>
      </w:r>
      <w:r>
        <w:t>proposed the following restrictions.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134"/>
        <w:gridCol w:w="992"/>
        <w:gridCol w:w="992"/>
        <w:gridCol w:w="1134"/>
        <w:gridCol w:w="2126"/>
      </w:tblGrid>
      <w:tr w:rsidR="0025400C" w:rsidRPr="003E471B" w14:paraId="6A3E53B2" w14:textId="77777777" w:rsidTr="00E26E55">
        <w:trPr>
          <w:cantSplit/>
          <w:trHeight w:val="20"/>
        </w:trPr>
        <w:tc>
          <w:tcPr>
            <w:tcW w:w="2689" w:type="dxa"/>
            <w:vAlign w:val="center"/>
          </w:tcPr>
          <w:p w14:paraId="19B9CFF3" w14:textId="77777777" w:rsidR="0025400C" w:rsidRPr="003E471B" w:rsidRDefault="0025400C" w:rsidP="00E26E55">
            <w:pPr>
              <w:keepLines/>
              <w:rPr>
                <w:rFonts w:ascii="Arial Narrow" w:hAnsi="Arial Narrow"/>
                <w:b/>
                <w:bCs/>
                <w:color w:val="000000"/>
                <w:sz w:val="20"/>
                <w:szCs w:val="20"/>
              </w:rPr>
            </w:pPr>
            <w:r w:rsidRPr="003E471B">
              <w:rPr>
                <w:rFonts w:ascii="Arial Narrow" w:hAnsi="Arial Narrow"/>
                <w:b/>
                <w:bCs/>
                <w:color w:val="000000"/>
                <w:sz w:val="20"/>
                <w:szCs w:val="20"/>
              </w:rPr>
              <w:t>MEDICINAL PRODUCT</w:t>
            </w:r>
          </w:p>
          <w:p w14:paraId="086B534E" w14:textId="77777777" w:rsidR="0025400C" w:rsidRPr="003E471B" w:rsidRDefault="0025400C" w:rsidP="00E26E55">
            <w:pPr>
              <w:keepLines/>
              <w:rPr>
                <w:rFonts w:ascii="Arial Narrow" w:hAnsi="Arial Narrow"/>
                <w:b/>
                <w:color w:val="000000"/>
                <w:sz w:val="20"/>
                <w:szCs w:val="20"/>
              </w:rPr>
            </w:pPr>
            <w:r w:rsidRPr="003E471B">
              <w:rPr>
                <w:rFonts w:ascii="Arial Narrow" w:hAnsi="Arial Narrow"/>
                <w:b/>
                <w:bCs/>
                <w:color w:val="000000"/>
                <w:sz w:val="20"/>
                <w:szCs w:val="20"/>
              </w:rPr>
              <w:t>medicinal product pack</w:t>
            </w:r>
          </w:p>
        </w:tc>
        <w:tc>
          <w:tcPr>
            <w:tcW w:w="1134" w:type="dxa"/>
            <w:vAlign w:val="center"/>
          </w:tcPr>
          <w:p w14:paraId="18678964" w14:textId="77777777" w:rsidR="0025400C" w:rsidRPr="003E471B" w:rsidRDefault="0025400C" w:rsidP="00E26E55">
            <w:pPr>
              <w:keepLines/>
              <w:jc w:val="center"/>
              <w:rPr>
                <w:rFonts w:ascii="Arial Narrow" w:hAnsi="Arial Narrow"/>
                <w:b/>
                <w:color w:val="000000"/>
                <w:sz w:val="20"/>
                <w:szCs w:val="20"/>
              </w:rPr>
            </w:pPr>
            <w:r w:rsidRPr="003E471B">
              <w:rPr>
                <w:rFonts w:ascii="Arial Narrow" w:hAnsi="Arial Narrow"/>
                <w:b/>
                <w:color w:val="000000"/>
                <w:sz w:val="20"/>
                <w:szCs w:val="20"/>
              </w:rPr>
              <w:t>PBS item code</w:t>
            </w:r>
          </w:p>
        </w:tc>
        <w:tc>
          <w:tcPr>
            <w:tcW w:w="992" w:type="dxa"/>
            <w:vAlign w:val="center"/>
          </w:tcPr>
          <w:p w14:paraId="570E81B1" w14:textId="77777777" w:rsidR="0025400C" w:rsidRPr="003E471B" w:rsidRDefault="0025400C" w:rsidP="00E26E55">
            <w:pPr>
              <w:keepLines/>
              <w:jc w:val="center"/>
              <w:rPr>
                <w:rFonts w:ascii="Arial Narrow" w:hAnsi="Arial Narrow"/>
                <w:b/>
                <w:color w:val="000000"/>
                <w:sz w:val="20"/>
                <w:szCs w:val="20"/>
              </w:rPr>
            </w:pPr>
            <w:r w:rsidRPr="003E471B">
              <w:rPr>
                <w:rFonts w:ascii="Arial Narrow" w:hAnsi="Arial Narrow"/>
                <w:b/>
                <w:color w:val="000000"/>
                <w:sz w:val="20"/>
                <w:szCs w:val="20"/>
              </w:rPr>
              <w:t>Max. qty packs</w:t>
            </w:r>
          </w:p>
        </w:tc>
        <w:tc>
          <w:tcPr>
            <w:tcW w:w="992" w:type="dxa"/>
            <w:vAlign w:val="center"/>
          </w:tcPr>
          <w:p w14:paraId="62923E43" w14:textId="77777777" w:rsidR="0025400C" w:rsidRPr="003E471B" w:rsidRDefault="0025400C" w:rsidP="00E26E55">
            <w:pPr>
              <w:keepLines/>
              <w:jc w:val="center"/>
              <w:rPr>
                <w:rFonts w:ascii="Arial Narrow" w:hAnsi="Arial Narrow"/>
                <w:b/>
                <w:color w:val="000000"/>
                <w:sz w:val="20"/>
                <w:szCs w:val="20"/>
              </w:rPr>
            </w:pPr>
            <w:r w:rsidRPr="003E471B">
              <w:rPr>
                <w:rFonts w:ascii="Arial Narrow" w:hAnsi="Arial Narrow"/>
                <w:b/>
                <w:color w:val="000000"/>
                <w:sz w:val="20"/>
                <w:szCs w:val="20"/>
              </w:rPr>
              <w:t>Max. qty units</w:t>
            </w:r>
          </w:p>
        </w:tc>
        <w:tc>
          <w:tcPr>
            <w:tcW w:w="1134" w:type="dxa"/>
            <w:vAlign w:val="center"/>
          </w:tcPr>
          <w:p w14:paraId="1F6B7DD0" w14:textId="77777777" w:rsidR="0025400C" w:rsidRPr="003E471B" w:rsidRDefault="0025400C" w:rsidP="00E26E55">
            <w:pPr>
              <w:keepLines/>
              <w:jc w:val="center"/>
              <w:rPr>
                <w:rFonts w:ascii="Arial Narrow" w:hAnsi="Arial Narrow"/>
                <w:b/>
                <w:color w:val="000000"/>
                <w:sz w:val="20"/>
                <w:szCs w:val="20"/>
              </w:rPr>
            </w:pPr>
            <w:r w:rsidRPr="003E471B">
              <w:rPr>
                <w:rFonts w:ascii="Arial Narrow" w:hAnsi="Arial Narrow"/>
                <w:b/>
                <w:color w:val="000000"/>
                <w:sz w:val="20"/>
                <w:szCs w:val="20"/>
              </w:rPr>
              <w:t>№.</w:t>
            </w:r>
            <w:r>
              <w:rPr>
                <w:rFonts w:ascii="Arial Narrow" w:hAnsi="Arial Narrow"/>
                <w:b/>
                <w:color w:val="000000"/>
                <w:sz w:val="20"/>
                <w:szCs w:val="20"/>
              </w:rPr>
              <w:t xml:space="preserve"> </w:t>
            </w:r>
            <w:r w:rsidRPr="003E471B">
              <w:rPr>
                <w:rFonts w:ascii="Arial Narrow" w:hAnsi="Arial Narrow"/>
                <w:b/>
                <w:color w:val="000000"/>
                <w:sz w:val="20"/>
                <w:szCs w:val="20"/>
              </w:rPr>
              <w:t>of</w:t>
            </w:r>
          </w:p>
          <w:p w14:paraId="79C6567F" w14:textId="77777777" w:rsidR="0025400C" w:rsidRPr="003E471B" w:rsidRDefault="0025400C" w:rsidP="00E26E55">
            <w:pPr>
              <w:keepLines/>
              <w:jc w:val="center"/>
              <w:rPr>
                <w:rFonts w:ascii="Arial Narrow" w:hAnsi="Arial Narrow"/>
                <w:b/>
                <w:color w:val="000000"/>
                <w:sz w:val="20"/>
                <w:szCs w:val="20"/>
              </w:rPr>
            </w:pPr>
            <w:r w:rsidRPr="003E471B">
              <w:rPr>
                <w:rFonts w:ascii="Arial Narrow" w:hAnsi="Arial Narrow"/>
                <w:b/>
                <w:color w:val="000000"/>
                <w:sz w:val="20"/>
                <w:szCs w:val="20"/>
              </w:rPr>
              <w:t>Rpts</w:t>
            </w:r>
          </w:p>
        </w:tc>
        <w:tc>
          <w:tcPr>
            <w:tcW w:w="2126" w:type="dxa"/>
            <w:vAlign w:val="center"/>
          </w:tcPr>
          <w:p w14:paraId="48F14058" w14:textId="77777777" w:rsidR="0025400C" w:rsidRPr="003E471B" w:rsidRDefault="0025400C" w:rsidP="00E26E55">
            <w:pPr>
              <w:keepLines/>
              <w:rPr>
                <w:rFonts w:ascii="Arial Narrow" w:hAnsi="Arial Narrow"/>
                <w:b/>
                <w:color w:val="000000"/>
                <w:sz w:val="20"/>
                <w:szCs w:val="20"/>
                <w:lang w:val="fr-FR"/>
              </w:rPr>
            </w:pPr>
            <w:r w:rsidRPr="003E471B">
              <w:rPr>
                <w:rFonts w:ascii="Arial Narrow" w:hAnsi="Arial Narrow"/>
                <w:b/>
                <w:color w:val="000000"/>
                <w:sz w:val="20"/>
                <w:szCs w:val="20"/>
              </w:rPr>
              <w:t>Available brands</w:t>
            </w:r>
          </w:p>
        </w:tc>
      </w:tr>
      <w:tr w:rsidR="0025400C" w:rsidRPr="003E471B" w14:paraId="35F9ECF8" w14:textId="77777777" w:rsidTr="00E26E55">
        <w:trPr>
          <w:cantSplit/>
          <w:trHeight w:val="20"/>
        </w:trPr>
        <w:tc>
          <w:tcPr>
            <w:tcW w:w="9067" w:type="dxa"/>
            <w:gridSpan w:val="6"/>
            <w:vAlign w:val="center"/>
          </w:tcPr>
          <w:p w14:paraId="741DCACC" w14:textId="77777777" w:rsidR="0025400C" w:rsidRPr="003E471B" w:rsidRDefault="0025400C" w:rsidP="00E26E55">
            <w:pPr>
              <w:keepLines/>
              <w:rPr>
                <w:rFonts w:ascii="Arial Narrow" w:hAnsi="Arial Narrow"/>
                <w:color w:val="000000"/>
                <w:sz w:val="20"/>
                <w:szCs w:val="20"/>
              </w:rPr>
            </w:pPr>
            <w:r w:rsidRPr="003E471B">
              <w:rPr>
                <w:rFonts w:ascii="Arial Narrow" w:hAnsi="Arial Narrow"/>
                <w:color w:val="000000"/>
                <w:sz w:val="20"/>
                <w:szCs w:val="20"/>
              </w:rPr>
              <w:t>AZACITIDINE</w:t>
            </w:r>
          </w:p>
        </w:tc>
      </w:tr>
      <w:tr w:rsidR="0025400C" w:rsidRPr="003E471B" w14:paraId="7D7A294F" w14:textId="77777777" w:rsidTr="00E26E55">
        <w:trPr>
          <w:cantSplit/>
          <w:trHeight w:val="177"/>
        </w:trPr>
        <w:tc>
          <w:tcPr>
            <w:tcW w:w="2689" w:type="dxa"/>
            <w:vAlign w:val="center"/>
          </w:tcPr>
          <w:p w14:paraId="5004BF7C" w14:textId="77777777" w:rsidR="0025400C" w:rsidRPr="003E471B" w:rsidRDefault="0025400C" w:rsidP="00E26E55">
            <w:pPr>
              <w:keepLines/>
              <w:rPr>
                <w:rFonts w:ascii="Arial Narrow" w:hAnsi="Arial Narrow"/>
                <w:i/>
                <w:iCs/>
                <w:color w:val="000000"/>
                <w:sz w:val="20"/>
                <w:szCs w:val="20"/>
              </w:rPr>
            </w:pPr>
            <w:r w:rsidRPr="003E471B">
              <w:rPr>
                <w:rFonts w:ascii="Arial Narrow" w:hAnsi="Arial Narrow"/>
                <w:color w:val="000000"/>
                <w:sz w:val="20"/>
                <w:szCs w:val="20"/>
              </w:rPr>
              <w:t xml:space="preserve">azacitidine 300 mg tablet, </w:t>
            </w:r>
            <w:r w:rsidRPr="003E471B">
              <w:rPr>
                <w:rFonts w:ascii="Arial Narrow" w:hAnsi="Arial Narrow"/>
                <w:i/>
                <w:iCs/>
                <w:color w:val="000000"/>
                <w:sz w:val="20"/>
                <w:szCs w:val="20"/>
              </w:rPr>
              <w:t>7</w:t>
            </w:r>
          </w:p>
        </w:tc>
        <w:tc>
          <w:tcPr>
            <w:tcW w:w="1134" w:type="dxa"/>
            <w:vAlign w:val="center"/>
          </w:tcPr>
          <w:p w14:paraId="6132C645" w14:textId="77777777" w:rsidR="0025400C" w:rsidRPr="003E471B" w:rsidRDefault="0025400C" w:rsidP="00E26E55">
            <w:pPr>
              <w:keepLines/>
              <w:jc w:val="center"/>
              <w:rPr>
                <w:rFonts w:ascii="Arial Narrow" w:hAnsi="Arial Narrow"/>
                <w:color w:val="000000"/>
                <w:sz w:val="20"/>
                <w:szCs w:val="20"/>
              </w:rPr>
            </w:pPr>
            <w:r w:rsidRPr="003E471B">
              <w:rPr>
                <w:rFonts w:ascii="Arial Narrow" w:hAnsi="Arial Narrow"/>
                <w:color w:val="000000"/>
                <w:sz w:val="20"/>
                <w:szCs w:val="20"/>
              </w:rPr>
              <w:t>NEW</w:t>
            </w:r>
          </w:p>
        </w:tc>
        <w:tc>
          <w:tcPr>
            <w:tcW w:w="992" w:type="dxa"/>
            <w:vAlign w:val="center"/>
          </w:tcPr>
          <w:p w14:paraId="73ED372E" w14:textId="77777777" w:rsidR="0025400C" w:rsidRPr="003E471B" w:rsidRDefault="0025400C" w:rsidP="00E26E55">
            <w:pPr>
              <w:keepLines/>
              <w:jc w:val="center"/>
              <w:rPr>
                <w:rFonts w:ascii="Arial Narrow" w:hAnsi="Arial Narrow"/>
                <w:color w:val="000000"/>
                <w:sz w:val="20"/>
                <w:szCs w:val="20"/>
              </w:rPr>
            </w:pPr>
            <w:r w:rsidRPr="003E471B">
              <w:rPr>
                <w:rFonts w:ascii="Arial Narrow" w:hAnsi="Arial Narrow"/>
                <w:color w:val="000000"/>
                <w:sz w:val="20"/>
                <w:szCs w:val="20"/>
              </w:rPr>
              <w:t>2</w:t>
            </w:r>
          </w:p>
        </w:tc>
        <w:tc>
          <w:tcPr>
            <w:tcW w:w="992" w:type="dxa"/>
            <w:vAlign w:val="center"/>
          </w:tcPr>
          <w:p w14:paraId="6E6AD20D" w14:textId="77777777" w:rsidR="0025400C" w:rsidRPr="003E471B" w:rsidRDefault="0025400C" w:rsidP="00E26E55">
            <w:pPr>
              <w:keepLines/>
              <w:jc w:val="center"/>
              <w:rPr>
                <w:rFonts w:ascii="Arial Narrow" w:hAnsi="Arial Narrow"/>
                <w:color w:val="000000"/>
                <w:sz w:val="20"/>
                <w:szCs w:val="20"/>
              </w:rPr>
            </w:pPr>
            <w:r w:rsidRPr="003E471B">
              <w:rPr>
                <w:rFonts w:ascii="Arial Narrow" w:hAnsi="Arial Narrow"/>
                <w:color w:val="000000"/>
                <w:sz w:val="20"/>
                <w:szCs w:val="20"/>
              </w:rPr>
              <w:t>14</w:t>
            </w:r>
          </w:p>
        </w:tc>
        <w:tc>
          <w:tcPr>
            <w:tcW w:w="1134" w:type="dxa"/>
            <w:vAlign w:val="center"/>
          </w:tcPr>
          <w:p w14:paraId="13091DC2" w14:textId="77777777" w:rsidR="0025400C" w:rsidRPr="003E471B" w:rsidRDefault="0025400C" w:rsidP="00E26E55">
            <w:pPr>
              <w:keepLines/>
              <w:jc w:val="center"/>
              <w:rPr>
                <w:rFonts w:ascii="Arial Narrow" w:hAnsi="Arial Narrow"/>
                <w:color w:val="000000"/>
                <w:sz w:val="20"/>
                <w:szCs w:val="20"/>
              </w:rPr>
            </w:pPr>
            <w:r w:rsidRPr="003E471B">
              <w:rPr>
                <w:rFonts w:ascii="Arial Narrow" w:hAnsi="Arial Narrow"/>
                <w:color w:val="000000"/>
                <w:sz w:val="20"/>
                <w:szCs w:val="20"/>
              </w:rPr>
              <w:t>2</w:t>
            </w:r>
          </w:p>
        </w:tc>
        <w:tc>
          <w:tcPr>
            <w:tcW w:w="2126" w:type="dxa"/>
            <w:vAlign w:val="center"/>
          </w:tcPr>
          <w:p w14:paraId="5FC757A4" w14:textId="77777777" w:rsidR="0025400C" w:rsidRPr="003E471B" w:rsidRDefault="0025400C" w:rsidP="00E26E55">
            <w:pPr>
              <w:keepLines/>
              <w:rPr>
                <w:rFonts w:ascii="Arial Narrow" w:hAnsi="Arial Narrow"/>
                <w:color w:val="000000"/>
                <w:sz w:val="20"/>
                <w:szCs w:val="20"/>
              </w:rPr>
            </w:pPr>
            <w:r w:rsidRPr="003E471B">
              <w:rPr>
                <w:rFonts w:ascii="Arial Narrow" w:hAnsi="Arial Narrow"/>
                <w:color w:val="000000"/>
                <w:sz w:val="20"/>
                <w:szCs w:val="20"/>
              </w:rPr>
              <w:t>Onureg</w:t>
            </w:r>
          </w:p>
        </w:tc>
      </w:tr>
      <w:tr w:rsidR="0025400C" w:rsidRPr="003E471B" w14:paraId="6C70BDF6" w14:textId="77777777" w:rsidTr="00E26E55">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right w:val="single" w:sz="4" w:space="0" w:color="auto"/>
            </w:tcBorders>
            <w:vAlign w:val="center"/>
          </w:tcPr>
          <w:p w14:paraId="528FA9C5" w14:textId="77777777" w:rsidR="0025400C" w:rsidRPr="003E471B" w:rsidRDefault="0025400C" w:rsidP="00E26E55">
            <w:pPr>
              <w:rPr>
                <w:rFonts w:ascii="Arial Narrow" w:hAnsi="Arial Narrow"/>
                <w:color w:val="000000"/>
                <w:sz w:val="20"/>
                <w:szCs w:val="20"/>
              </w:rPr>
            </w:pPr>
          </w:p>
        </w:tc>
      </w:tr>
      <w:tr w:rsidR="0025400C" w:rsidRPr="003E471B" w14:paraId="4E6225DF" w14:textId="77777777" w:rsidTr="00E26E55">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33E76032" w14:textId="77777777" w:rsidR="0025400C" w:rsidRPr="003E471B" w:rsidRDefault="0025400C" w:rsidP="00E26E55">
            <w:pPr>
              <w:keepLines/>
              <w:rPr>
                <w:rFonts w:ascii="Arial Narrow" w:hAnsi="Arial Narrow"/>
                <w:color w:val="000000"/>
                <w:sz w:val="20"/>
                <w:szCs w:val="20"/>
              </w:rPr>
            </w:pPr>
            <w:r w:rsidRPr="003E471B">
              <w:rPr>
                <w:rFonts w:ascii="Arial Narrow" w:hAnsi="Arial Narrow"/>
                <w:b/>
                <w:color w:val="000000"/>
                <w:sz w:val="20"/>
                <w:szCs w:val="20"/>
              </w:rPr>
              <w:t xml:space="preserve">Category / Program: </w:t>
            </w:r>
            <w:r w:rsidRPr="003E471B">
              <w:rPr>
                <w:rFonts w:ascii="Arial Narrow" w:hAnsi="Arial Narrow"/>
                <w:color w:val="000000"/>
                <w:sz w:val="20"/>
                <w:szCs w:val="20"/>
              </w:rPr>
              <w:t xml:space="preserve">GENERAL – General Schedule (Code GE) </w:t>
            </w:r>
          </w:p>
        </w:tc>
      </w:tr>
      <w:tr w:rsidR="0025400C" w:rsidRPr="003E471B" w14:paraId="737A291E" w14:textId="77777777" w:rsidTr="00E26E55">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2653AF55" w14:textId="77777777" w:rsidR="0025400C" w:rsidRPr="003E471B" w:rsidRDefault="0025400C" w:rsidP="00E26E55">
            <w:pPr>
              <w:keepLines/>
              <w:rPr>
                <w:rFonts w:ascii="Arial Narrow" w:hAnsi="Arial Narrow"/>
                <w:b/>
                <w:i/>
                <w:iCs/>
                <w:color w:val="000000"/>
                <w:sz w:val="20"/>
                <w:szCs w:val="20"/>
              </w:rPr>
            </w:pPr>
            <w:r w:rsidRPr="003E471B">
              <w:rPr>
                <w:rFonts w:ascii="Arial Narrow" w:hAnsi="Arial Narrow"/>
                <w:b/>
                <w:i/>
                <w:iCs/>
                <w:color w:val="000000"/>
                <w:sz w:val="20"/>
                <w:szCs w:val="20"/>
              </w:rPr>
              <w:t xml:space="preserve">Prescriber type: </w:t>
            </w:r>
            <w:r w:rsidRPr="003E471B">
              <w:rPr>
                <w:rFonts w:ascii="Arial Narrow" w:hAnsi="Arial Narrow"/>
                <w:i/>
                <w:iCs/>
                <w:color w:val="000000"/>
                <w:sz w:val="20"/>
                <w:szCs w:val="20"/>
              </w:rPr>
              <w:fldChar w:fldCharType="begin" w:fldLock="1">
                <w:ffData>
                  <w:name w:val=""/>
                  <w:enabled/>
                  <w:calcOnExit w:val="0"/>
                  <w:checkBox>
                    <w:sizeAuto/>
                    <w:default w:val="1"/>
                  </w:checkBox>
                </w:ffData>
              </w:fldChar>
            </w:r>
            <w:r w:rsidRPr="003E471B">
              <w:rPr>
                <w:rFonts w:ascii="Arial Narrow" w:hAnsi="Arial Narrow"/>
                <w:i/>
                <w:iCs/>
                <w:color w:val="000000"/>
                <w:sz w:val="20"/>
                <w:szCs w:val="20"/>
              </w:rPr>
              <w:instrText xml:space="preserve"> FORMCHECKBOX </w:instrText>
            </w:r>
            <w:r w:rsidR="00396D16">
              <w:rPr>
                <w:rFonts w:ascii="Arial Narrow" w:hAnsi="Arial Narrow"/>
                <w:i/>
                <w:iCs/>
                <w:color w:val="000000"/>
                <w:sz w:val="20"/>
                <w:szCs w:val="20"/>
              </w:rPr>
            </w:r>
            <w:r w:rsidR="00396D16">
              <w:rPr>
                <w:rFonts w:ascii="Arial Narrow" w:hAnsi="Arial Narrow"/>
                <w:i/>
                <w:iCs/>
                <w:color w:val="000000"/>
                <w:sz w:val="20"/>
                <w:szCs w:val="20"/>
              </w:rPr>
              <w:fldChar w:fldCharType="separate"/>
            </w:r>
            <w:r w:rsidRPr="003E471B">
              <w:rPr>
                <w:rFonts w:ascii="Arial Narrow" w:hAnsi="Arial Narrow"/>
                <w:i/>
                <w:iCs/>
                <w:color w:val="000000"/>
                <w:sz w:val="20"/>
                <w:szCs w:val="20"/>
              </w:rPr>
              <w:fldChar w:fldCharType="end"/>
            </w:r>
            <w:r w:rsidRPr="003E471B">
              <w:rPr>
                <w:rFonts w:ascii="Arial Narrow" w:hAnsi="Arial Narrow"/>
                <w:color w:val="000000"/>
                <w:sz w:val="20"/>
                <w:szCs w:val="20"/>
              </w:rPr>
              <w:t>Medical Practitioners</w:t>
            </w:r>
            <w:r w:rsidRPr="003E471B">
              <w:rPr>
                <w:rFonts w:ascii="Arial Narrow" w:hAnsi="Arial Narrow"/>
                <w:i/>
                <w:iCs/>
                <w:color w:val="000000"/>
                <w:sz w:val="20"/>
                <w:szCs w:val="20"/>
              </w:rPr>
              <w:t xml:space="preserve"> </w:t>
            </w:r>
          </w:p>
        </w:tc>
      </w:tr>
      <w:tr w:rsidR="0025400C" w:rsidRPr="003E471B" w14:paraId="77A0D75D" w14:textId="77777777" w:rsidTr="00E26E55">
        <w:tblPrEx>
          <w:tblCellMar>
            <w:top w:w="15" w:type="dxa"/>
            <w:bottom w:w="15" w:type="dxa"/>
          </w:tblCellMar>
          <w:tblLook w:val="04A0" w:firstRow="1" w:lastRow="0" w:firstColumn="1" w:lastColumn="0" w:noHBand="0" w:noVBand="1"/>
        </w:tblPrEx>
        <w:trPr>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30884A8D" w14:textId="77777777" w:rsidR="0025400C" w:rsidRPr="003E471B" w:rsidRDefault="0025400C" w:rsidP="00E26E55">
            <w:pPr>
              <w:keepLines/>
              <w:rPr>
                <w:rFonts w:ascii="Arial Narrow" w:hAnsi="Arial Narrow"/>
                <w:color w:val="000000"/>
                <w:sz w:val="20"/>
                <w:szCs w:val="20"/>
              </w:rPr>
            </w:pPr>
            <w:r w:rsidRPr="003E471B">
              <w:rPr>
                <w:rFonts w:ascii="Arial Narrow" w:hAnsi="Arial Narrow"/>
                <w:b/>
                <w:color w:val="000000"/>
                <w:sz w:val="20"/>
                <w:szCs w:val="20"/>
              </w:rPr>
              <w:t xml:space="preserve">Restriction type: </w:t>
            </w:r>
            <w:r w:rsidRPr="003E471B">
              <w:rPr>
                <w:rFonts w:ascii="Arial Narrow" w:hAnsi="Arial Narrow"/>
                <w:color w:val="000000"/>
                <w:sz w:val="20"/>
                <w:szCs w:val="20"/>
              </w:rPr>
              <w:fldChar w:fldCharType="begin" w:fldLock="1">
                <w:ffData>
                  <w:name w:val=""/>
                  <w:enabled/>
                  <w:calcOnExit w:val="0"/>
                  <w:checkBox>
                    <w:sizeAuto/>
                    <w:default w:val="1"/>
                  </w:checkBox>
                </w:ffData>
              </w:fldChar>
            </w:r>
            <w:r w:rsidRPr="003E471B">
              <w:rPr>
                <w:rFonts w:ascii="Arial Narrow" w:hAnsi="Arial Narrow"/>
                <w:color w:val="000000"/>
                <w:sz w:val="20"/>
                <w:szCs w:val="20"/>
              </w:rPr>
              <w:instrText xml:space="preserve"> FORMCHECKBOX </w:instrText>
            </w:r>
            <w:r w:rsidR="00396D16">
              <w:rPr>
                <w:rFonts w:ascii="Arial Narrow" w:hAnsi="Arial Narrow"/>
                <w:color w:val="000000"/>
                <w:sz w:val="20"/>
                <w:szCs w:val="20"/>
              </w:rPr>
            </w:r>
            <w:r w:rsidR="00396D16">
              <w:rPr>
                <w:rFonts w:ascii="Arial Narrow" w:hAnsi="Arial Narrow"/>
                <w:color w:val="000000"/>
                <w:sz w:val="20"/>
                <w:szCs w:val="20"/>
              </w:rPr>
              <w:fldChar w:fldCharType="separate"/>
            </w:r>
            <w:r w:rsidRPr="003E471B">
              <w:rPr>
                <w:rFonts w:ascii="Arial Narrow" w:hAnsi="Arial Narrow"/>
                <w:color w:val="000000"/>
                <w:sz w:val="20"/>
                <w:szCs w:val="20"/>
              </w:rPr>
              <w:fldChar w:fldCharType="end"/>
            </w:r>
            <w:r w:rsidRPr="003E471B">
              <w:rPr>
                <w:rFonts w:ascii="Arial Narrow" w:hAnsi="Arial Narrow"/>
                <w:color w:val="000000"/>
                <w:sz w:val="20"/>
                <w:szCs w:val="20"/>
              </w:rPr>
              <w:t>Authority Required (Telephone/online)</w:t>
            </w:r>
            <w:r w:rsidRPr="003E471B">
              <w:rPr>
                <w:rFonts w:ascii="Arial Narrow" w:hAnsi="Arial Narrow"/>
                <w:i/>
                <w:iCs/>
                <w:color w:val="000000"/>
                <w:sz w:val="20"/>
                <w:szCs w:val="20"/>
              </w:rPr>
              <w:t xml:space="preserve"> </w:t>
            </w:r>
            <w:r w:rsidRPr="003E471B">
              <w:rPr>
                <w:rFonts w:ascii="Arial Narrow" w:hAnsi="Arial Narrow"/>
                <w:color w:val="000000"/>
                <w:sz w:val="20"/>
                <w:szCs w:val="20"/>
              </w:rPr>
              <w:t>[new/existing code]</w:t>
            </w:r>
          </w:p>
        </w:tc>
      </w:tr>
      <w:tr w:rsidR="0025400C" w:rsidRPr="003E471B" w14:paraId="085F7EE6"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0730A4F" w14:textId="77777777" w:rsidR="0025400C" w:rsidRPr="003E471B" w:rsidRDefault="0025400C" w:rsidP="00E26E55">
            <w:pPr>
              <w:keepLines/>
              <w:rPr>
                <w:rFonts w:ascii="Arial Narrow" w:hAnsi="Arial Narrow"/>
                <w:b/>
                <w:bCs/>
                <w:color w:val="000000"/>
                <w:sz w:val="20"/>
                <w:szCs w:val="20"/>
              </w:rPr>
            </w:pPr>
            <w:r w:rsidRPr="003E471B">
              <w:rPr>
                <w:rFonts w:ascii="Arial Narrow" w:hAnsi="Arial Narrow"/>
                <w:b/>
                <w:bCs/>
                <w:color w:val="000000"/>
                <w:sz w:val="20"/>
                <w:szCs w:val="20"/>
              </w:rPr>
              <w:t xml:space="preserve">Condition: </w:t>
            </w:r>
            <w:r w:rsidRPr="003E471B">
              <w:rPr>
                <w:rFonts w:ascii="Arial Narrow" w:hAnsi="Arial Narrow"/>
                <w:bCs/>
                <w:color w:val="000000"/>
                <w:sz w:val="20"/>
                <w:szCs w:val="20"/>
              </w:rPr>
              <w:t>Acute Myeloid Leukaemia</w:t>
            </w:r>
          </w:p>
        </w:tc>
      </w:tr>
      <w:tr w:rsidR="0025400C" w:rsidRPr="003E471B" w14:paraId="1269FC5F"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5293FD51" w14:textId="77777777" w:rsidR="0025400C" w:rsidRPr="003E471B" w:rsidRDefault="0025400C" w:rsidP="00E26E55">
            <w:pPr>
              <w:keepLines/>
              <w:rPr>
                <w:rFonts w:ascii="Arial Narrow" w:hAnsi="Arial Narrow"/>
                <w:color w:val="000000"/>
                <w:sz w:val="20"/>
                <w:szCs w:val="20"/>
              </w:rPr>
            </w:pPr>
            <w:r w:rsidRPr="003E471B">
              <w:rPr>
                <w:rFonts w:ascii="Arial Narrow" w:hAnsi="Arial Narrow"/>
                <w:b/>
                <w:bCs/>
                <w:color w:val="000000"/>
                <w:sz w:val="20"/>
                <w:szCs w:val="20"/>
              </w:rPr>
              <w:t>Indication:</w:t>
            </w:r>
            <w:r w:rsidRPr="003E471B">
              <w:rPr>
                <w:rFonts w:ascii="Arial Narrow" w:hAnsi="Arial Narrow"/>
                <w:color w:val="000000"/>
                <w:sz w:val="20"/>
                <w:szCs w:val="20"/>
              </w:rPr>
              <w:t xml:space="preserve"> </w:t>
            </w:r>
            <w:r w:rsidRPr="003E471B">
              <w:rPr>
                <w:rFonts w:ascii="Arial Narrow" w:hAnsi="Arial Narrow"/>
                <w:bCs/>
                <w:color w:val="000000"/>
                <w:sz w:val="20"/>
                <w:szCs w:val="20"/>
              </w:rPr>
              <w:t>Acute Myeloid Leukaemia</w:t>
            </w:r>
          </w:p>
        </w:tc>
      </w:tr>
      <w:tr w:rsidR="0025400C" w:rsidRPr="003E471B" w14:paraId="2DDA9203"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07038A3A" w14:textId="77777777" w:rsidR="0025400C" w:rsidRPr="003E471B" w:rsidRDefault="0025400C" w:rsidP="00E26E55">
            <w:pPr>
              <w:rPr>
                <w:rFonts w:ascii="Arial Narrow" w:hAnsi="Arial Narrow"/>
                <w:i/>
                <w:iCs/>
                <w:color w:val="000000"/>
                <w:sz w:val="20"/>
                <w:szCs w:val="20"/>
              </w:rPr>
            </w:pPr>
            <w:r w:rsidRPr="003E471B">
              <w:rPr>
                <w:rFonts w:ascii="Arial Narrow" w:hAnsi="Arial Narrow"/>
                <w:b/>
                <w:bCs/>
                <w:color w:val="000000"/>
                <w:sz w:val="20"/>
                <w:szCs w:val="20"/>
              </w:rPr>
              <w:t>Treatment Phase:</w:t>
            </w:r>
            <w:r w:rsidRPr="003E471B">
              <w:rPr>
                <w:rFonts w:ascii="Arial Narrow" w:hAnsi="Arial Narrow"/>
                <w:color w:val="000000"/>
                <w:sz w:val="20"/>
                <w:szCs w:val="20"/>
              </w:rPr>
              <w:t xml:space="preserve"> Maintenance therapy – Initial treatment</w:t>
            </w:r>
          </w:p>
        </w:tc>
      </w:tr>
      <w:tr w:rsidR="0025400C" w:rsidRPr="003E471B" w14:paraId="3246D611"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352046BF" w14:textId="77777777" w:rsidR="0025400C" w:rsidRPr="003E471B" w:rsidRDefault="0025400C" w:rsidP="00E26E55">
            <w:pPr>
              <w:rPr>
                <w:rFonts w:ascii="Arial Narrow" w:hAnsi="Arial Narrow"/>
                <w:color w:val="000000"/>
                <w:sz w:val="20"/>
                <w:szCs w:val="20"/>
              </w:rPr>
            </w:pPr>
            <w:r w:rsidRPr="003E471B">
              <w:rPr>
                <w:rFonts w:ascii="Arial Narrow" w:hAnsi="Arial Narrow"/>
                <w:b/>
                <w:bCs/>
                <w:color w:val="000000"/>
                <w:sz w:val="20"/>
                <w:szCs w:val="20"/>
              </w:rPr>
              <w:t xml:space="preserve">Clinical criteria: </w:t>
            </w:r>
          </w:p>
        </w:tc>
      </w:tr>
      <w:tr w:rsidR="0025400C" w:rsidRPr="003E471B" w14:paraId="297F3274"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628F2B5B" w14:textId="77777777" w:rsidR="0025400C" w:rsidRPr="003E471B" w:rsidRDefault="0025400C" w:rsidP="00E26E55">
            <w:pPr>
              <w:rPr>
                <w:rFonts w:ascii="Arial Narrow" w:hAnsi="Arial Narrow" w:cs="Arial Narrow"/>
                <w:iCs/>
                <w:color w:val="000000"/>
                <w:sz w:val="20"/>
                <w:szCs w:val="20"/>
              </w:rPr>
            </w:pPr>
            <w:r w:rsidRPr="003E471B">
              <w:rPr>
                <w:rFonts w:ascii="Arial Narrow" w:hAnsi="Arial Narrow" w:cs="Arial Narrow"/>
                <w:iCs/>
                <w:color w:val="000000"/>
                <w:sz w:val="20"/>
                <w:szCs w:val="20"/>
              </w:rPr>
              <w:t>Patient must have demonstrated first complete remission or complete remission with incomplete blood count recovery following intensive induction chemotherapy,</w:t>
            </w:r>
          </w:p>
        </w:tc>
      </w:tr>
      <w:tr w:rsidR="0025400C" w:rsidRPr="003E471B" w14:paraId="399EC38D"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0FBF514D" w14:textId="77777777" w:rsidR="0025400C" w:rsidRPr="003E471B" w:rsidRDefault="0025400C" w:rsidP="00E26E55">
            <w:pPr>
              <w:rPr>
                <w:rFonts w:ascii="Arial Narrow" w:hAnsi="Arial Narrow"/>
                <w:color w:val="000000"/>
                <w:sz w:val="20"/>
                <w:szCs w:val="20"/>
              </w:rPr>
            </w:pPr>
            <w:r w:rsidRPr="003E471B">
              <w:rPr>
                <w:rFonts w:ascii="Arial Narrow" w:hAnsi="Arial Narrow"/>
                <w:b/>
                <w:bCs/>
                <w:color w:val="000000"/>
                <w:sz w:val="20"/>
                <w:szCs w:val="20"/>
              </w:rPr>
              <w:t>AND</w:t>
            </w:r>
          </w:p>
        </w:tc>
      </w:tr>
      <w:tr w:rsidR="0025400C" w:rsidRPr="003E471B" w14:paraId="7030D989"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1AC0C421" w14:textId="77777777" w:rsidR="0025400C" w:rsidRPr="003E471B" w:rsidRDefault="0025400C" w:rsidP="00E26E55">
            <w:pPr>
              <w:rPr>
                <w:rFonts w:ascii="Arial Narrow" w:hAnsi="Arial Narrow"/>
                <w:color w:val="000000"/>
                <w:sz w:val="20"/>
                <w:szCs w:val="20"/>
              </w:rPr>
            </w:pPr>
            <w:r w:rsidRPr="003E471B">
              <w:rPr>
                <w:rFonts w:ascii="Arial Narrow" w:hAnsi="Arial Narrow"/>
                <w:b/>
                <w:bCs/>
                <w:color w:val="000000"/>
                <w:sz w:val="20"/>
                <w:szCs w:val="20"/>
              </w:rPr>
              <w:t>Clinical criteria:</w:t>
            </w:r>
          </w:p>
        </w:tc>
      </w:tr>
      <w:tr w:rsidR="0025400C" w:rsidRPr="003E471B" w14:paraId="7DCB9045"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1D165BC7" w14:textId="77777777" w:rsidR="0025400C" w:rsidRPr="003E471B" w:rsidRDefault="0025400C" w:rsidP="00E26E55">
            <w:pPr>
              <w:rPr>
                <w:rFonts w:ascii="Arial Narrow" w:hAnsi="Arial Narrow" w:cs="Arial Narrow"/>
                <w:iCs/>
                <w:color w:val="000000"/>
                <w:sz w:val="20"/>
                <w:szCs w:val="20"/>
              </w:rPr>
            </w:pPr>
            <w:r w:rsidRPr="003E471B">
              <w:rPr>
                <w:rFonts w:ascii="Arial Narrow" w:hAnsi="Arial Narrow" w:cs="Arial Narrow"/>
                <w:iCs/>
                <w:color w:val="000000"/>
                <w:sz w:val="20"/>
                <w:szCs w:val="20"/>
              </w:rPr>
              <w:t>Patient must not be able to complete intensive curative therapy,</w:t>
            </w:r>
          </w:p>
        </w:tc>
      </w:tr>
      <w:tr w:rsidR="0025400C" w:rsidRPr="003E471B" w14:paraId="66FBFB42"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056AA300" w14:textId="77777777" w:rsidR="0025400C" w:rsidRPr="003E471B" w:rsidRDefault="0025400C" w:rsidP="00E26E55">
            <w:pPr>
              <w:rPr>
                <w:rFonts w:ascii="Arial Narrow" w:hAnsi="Arial Narrow" w:cs="Arial Narrow"/>
                <w:iCs/>
                <w:strike/>
                <w:color w:val="000000"/>
                <w:sz w:val="20"/>
                <w:szCs w:val="20"/>
              </w:rPr>
            </w:pPr>
            <w:r w:rsidRPr="003E471B">
              <w:rPr>
                <w:rFonts w:ascii="Arial Narrow" w:hAnsi="Arial Narrow"/>
                <w:b/>
                <w:bCs/>
                <w:iCs/>
                <w:color w:val="000000"/>
                <w:sz w:val="20"/>
                <w:szCs w:val="20"/>
              </w:rPr>
              <w:t>AND</w:t>
            </w:r>
          </w:p>
        </w:tc>
      </w:tr>
      <w:tr w:rsidR="0025400C" w:rsidRPr="003E471B" w14:paraId="7E5E602B"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6BE2FF05" w14:textId="77777777" w:rsidR="0025400C" w:rsidRPr="003E471B" w:rsidRDefault="0025400C" w:rsidP="00E26E55">
            <w:pPr>
              <w:rPr>
                <w:rFonts w:ascii="Arial Narrow" w:hAnsi="Arial Narrow" w:cs="Arial Narrow"/>
                <w:iCs/>
                <w:strike/>
                <w:color w:val="000000"/>
                <w:sz w:val="20"/>
                <w:szCs w:val="20"/>
              </w:rPr>
            </w:pPr>
            <w:r w:rsidRPr="003E471B">
              <w:rPr>
                <w:rFonts w:ascii="Arial Narrow" w:hAnsi="Arial Narrow"/>
                <w:b/>
                <w:bCs/>
                <w:iCs/>
                <w:color w:val="000000"/>
                <w:sz w:val="20"/>
                <w:szCs w:val="20"/>
              </w:rPr>
              <w:t>Clinical criteria:</w:t>
            </w:r>
          </w:p>
        </w:tc>
      </w:tr>
      <w:tr w:rsidR="0025400C" w:rsidRPr="003E471B" w14:paraId="585524E6"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059C4D7B" w14:textId="77777777" w:rsidR="0025400C" w:rsidRPr="003E471B" w:rsidRDefault="0025400C" w:rsidP="00E26E55">
            <w:pPr>
              <w:rPr>
                <w:rFonts w:ascii="Arial Narrow" w:hAnsi="Arial Narrow" w:cs="Arial Narrow"/>
                <w:iCs/>
                <w:color w:val="000000"/>
                <w:sz w:val="20"/>
                <w:szCs w:val="20"/>
              </w:rPr>
            </w:pPr>
            <w:r w:rsidRPr="003E471B">
              <w:rPr>
                <w:rFonts w:ascii="Arial Narrow" w:hAnsi="Arial Narrow" w:cs="Arial Narrow"/>
                <w:iCs/>
                <w:color w:val="000000"/>
                <w:sz w:val="20"/>
                <w:szCs w:val="20"/>
              </w:rPr>
              <w:t>Patient must have intermediate- or poor-risk cytogenetics at the time of induction therapy,</w:t>
            </w:r>
          </w:p>
        </w:tc>
      </w:tr>
      <w:tr w:rsidR="0025400C" w:rsidRPr="003E471B" w14:paraId="160CEADB"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57574C1" w14:textId="77777777" w:rsidR="0025400C" w:rsidRPr="003E471B" w:rsidRDefault="0025400C" w:rsidP="00E26E55">
            <w:pPr>
              <w:rPr>
                <w:rFonts w:ascii="Arial Narrow" w:hAnsi="Arial Narrow" w:cs="Arial Narrow"/>
                <w:iCs/>
                <w:color w:val="000000"/>
                <w:sz w:val="20"/>
                <w:szCs w:val="20"/>
              </w:rPr>
            </w:pPr>
            <w:r w:rsidRPr="003E471B">
              <w:rPr>
                <w:rFonts w:ascii="Arial Narrow" w:hAnsi="Arial Narrow"/>
                <w:b/>
                <w:bCs/>
                <w:iCs/>
                <w:color w:val="000000"/>
                <w:sz w:val="20"/>
                <w:szCs w:val="20"/>
              </w:rPr>
              <w:t>AND</w:t>
            </w:r>
          </w:p>
        </w:tc>
      </w:tr>
      <w:tr w:rsidR="0025400C" w:rsidRPr="003E471B" w14:paraId="2B0A5824"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089A85C4" w14:textId="77777777" w:rsidR="0025400C" w:rsidRPr="003E471B" w:rsidRDefault="0025400C" w:rsidP="00E26E55">
            <w:pPr>
              <w:rPr>
                <w:rFonts w:ascii="Arial Narrow" w:hAnsi="Arial Narrow" w:cs="Arial Narrow"/>
                <w:iCs/>
                <w:color w:val="000000"/>
                <w:sz w:val="20"/>
                <w:szCs w:val="20"/>
              </w:rPr>
            </w:pPr>
            <w:r w:rsidRPr="003E471B">
              <w:rPr>
                <w:rFonts w:ascii="Arial Narrow" w:hAnsi="Arial Narrow"/>
                <w:b/>
                <w:bCs/>
                <w:iCs/>
                <w:color w:val="000000"/>
                <w:sz w:val="20"/>
                <w:szCs w:val="20"/>
              </w:rPr>
              <w:t>Clinical criteria:</w:t>
            </w:r>
          </w:p>
        </w:tc>
      </w:tr>
      <w:tr w:rsidR="0025400C" w:rsidRPr="003E471B" w14:paraId="3B0A9354"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46E42FCD" w14:textId="77777777" w:rsidR="0025400C" w:rsidRPr="003E471B" w:rsidRDefault="0025400C" w:rsidP="00E26E55">
            <w:pPr>
              <w:rPr>
                <w:rFonts w:ascii="Arial Narrow" w:hAnsi="Arial Narrow" w:cs="Arial Narrow"/>
                <w:iCs/>
                <w:color w:val="000000"/>
                <w:sz w:val="20"/>
                <w:szCs w:val="20"/>
              </w:rPr>
            </w:pPr>
            <w:r w:rsidRPr="003E471B">
              <w:rPr>
                <w:rFonts w:ascii="Arial Narrow" w:hAnsi="Arial Narrow" w:cs="Arial Narrow"/>
                <w:iCs/>
                <w:color w:val="000000"/>
                <w:sz w:val="20"/>
                <w:szCs w:val="20"/>
              </w:rPr>
              <w:t>Patient must not have undergone a stem cell transplant,</w:t>
            </w:r>
          </w:p>
        </w:tc>
      </w:tr>
      <w:tr w:rsidR="0025400C" w:rsidRPr="003E471B" w14:paraId="11E922EE"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1FC2DEC6" w14:textId="77777777" w:rsidR="0025400C" w:rsidRPr="003E471B" w:rsidRDefault="0025400C" w:rsidP="00E26E55">
            <w:pPr>
              <w:rPr>
                <w:rFonts w:ascii="Arial Narrow" w:hAnsi="Arial Narrow" w:cs="Arial Narrow"/>
                <w:iCs/>
                <w:color w:val="000000"/>
                <w:sz w:val="20"/>
                <w:szCs w:val="20"/>
              </w:rPr>
            </w:pPr>
            <w:r w:rsidRPr="003E471B">
              <w:rPr>
                <w:rFonts w:ascii="Arial Narrow" w:hAnsi="Arial Narrow"/>
                <w:b/>
                <w:bCs/>
                <w:iCs/>
                <w:color w:val="000000"/>
                <w:sz w:val="20"/>
                <w:szCs w:val="20"/>
              </w:rPr>
              <w:t>AND</w:t>
            </w:r>
          </w:p>
        </w:tc>
      </w:tr>
      <w:tr w:rsidR="0025400C" w:rsidRPr="003E471B" w14:paraId="37BE8C74"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7EDC580" w14:textId="77777777" w:rsidR="0025400C" w:rsidRPr="003E471B" w:rsidRDefault="0025400C" w:rsidP="00E26E55">
            <w:pPr>
              <w:rPr>
                <w:rFonts w:ascii="Arial Narrow" w:hAnsi="Arial Narrow" w:cs="Arial Narrow"/>
                <w:iCs/>
                <w:color w:val="000000"/>
                <w:sz w:val="20"/>
                <w:szCs w:val="20"/>
              </w:rPr>
            </w:pPr>
            <w:r w:rsidRPr="003E471B">
              <w:rPr>
                <w:rFonts w:ascii="Arial Narrow" w:hAnsi="Arial Narrow"/>
                <w:b/>
                <w:bCs/>
                <w:iCs/>
                <w:color w:val="000000"/>
                <w:sz w:val="20"/>
                <w:szCs w:val="20"/>
              </w:rPr>
              <w:t>Clinical criteria:</w:t>
            </w:r>
          </w:p>
        </w:tc>
      </w:tr>
      <w:tr w:rsidR="0025400C" w:rsidRPr="003E471B" w14:paraId="554A07FD"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241F0686" w14:textId="77777777" w:rsidR="0025400C" w:rsidRPr="003E471B" w:rsidRDefault="0025400C" w:rsidP="00E26E55">
            <w:pPr>
              <w:rPr>
                <w:rFonts w:ascii="Arial Narrow" w:hAnsi="Arial Narrow" w:cs="Arial Narrow"/>
                <w:iCs/>
                <w:color w:val="000000"/>
                <w:sz w:val="20"/>
                <w:szCs w:val="20"/>
              </w:rPr>
            </w:pPr>
            <w:r w:rsidRPr="003E471B">
              <w:rPr>
                <w:rFonts w:ascii="Arial Narrow" w:hAnsi="Arial Narrow" w:cs="Arial Narrow"/>
                <w:iCs/>
                <w:color w:val="000000"/>
                <w:sz w:val="20"/>
                <w:szCs w:val="20"/>
              </w:rPr>
              <w:t>Patient must not be receiving concomitant PBS-subsidised midostaurin.</w:t>
            </w:r>
          </w:p>
        </w:tc>
      </w:tr>
      <w:tr w:rsidR="0025400C" w:rsidRPr="003E471B" w14:paraId="5CF0CC42"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14214F6D" w14:textId="77777777" w:rsidR="0025400C" w:rsidRPr="003E471B" w:rsidRDefault="0025400C" w:rsidP="00E26E55">
            <w:pPr>
              <w:rPr>
                <w:rFonts w:ascii="Arial Narrow" w:hAnsi="Arial Narrow"/>
                <w:b/>
                <w:bCs/>
                <w:color w:val="000000"/>
                <w:sz w:val="20"/>
                <w:szCs w:val="20"/>
              </w:rPr>
            </w:pPr>
            <w:r w:rsidRPr="003E471B">
              <w:rPr>
                <w:rFonts w:ascii="Arial Narrow" w:hAnsi="Arial Narrow" w:cs="Calibri"/>
                <w:b/>
                <w:bCs/>
                <w:color w:val="000000"/>
                <w:sz w:val="20"/>
                <w:szCs w:val="20"/>
              </w:rPr>
              <w:t>Administrative Advice:</w:t>
            </w:r>
            <w:r w:rsidRPr="003E471B">
              <w:rPr>
                <w:rFonts w:ascii="Arial Narrow" w:hAnsi="Arial Narrow" w:cs="Calibri"/>
                <w:color w:val="000000"/>
                <w:sz w:val="20"/>
                <w:szCs w:val="20"/>
              </w:rPr>
              <w:t xml:space="preserve"> No increase in the maximum quantity or number of units may be authorised.</w:t>
            </w:r>
          </w:p>
        </w:tc>
      </w:tr>
      <w:tr w:rsidR="0025400C" w:rsidRPr="003E471B" w14:paraId="4648972D"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1CD8DAA4" w14:textId="77777777" w:rsidR="0025400C" w:rsidRPr="003E471B" w:rsidRDefault="0025400C" w:rsidP="00E26E55">
            <w:pPr>
              <w:rPr>
                <w:rFonts w:ascii="Arial Narrow" w:hAnsi="Arial Narrow"/>
                <w:color w:val="000000"/>
                <w:sz w:val="20"/>
                <w:szCs w:val="20"/>
              </w:rPr>
            </w:pPr>
            <w:r w:rsidRPr="003E471B">
              <w:rPr>
                <w:rFonts w:ascii="Arial Narrow" w:hAnsi="Arial Narrow"/>
                <w:b/>
                <w:bCs/>
                <w:color w:val="000000"/>
                <w:sz w:val="20"/>
                <w:szCs w:val="20"/>
              </w:rPr>
              <w:t xml:space="preserve">Administrative Advice: </w:t>
            </w:r>
            <w:r w:rsidRPr="003E471B">
              <w:rPr>
                <w:rFonts w:ascii="Arial Narrow" w:hAnsi="Arial Narrow"/>
                <w:color w:val="000000"/>
                <w:sz w:val="20"/>
                <w:szCs w:val="20"/>
              </w:rPr>
              <w:t>No increase in the maximum number of repeats may be authorised.</w:t>
            </w:r>
          </w:p>
        </w:tc>
      </w:tr>
      <w:tr w:rsidR="0025400C" w:rsidRPr="003E471B" w14:paraId="481F36EA"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69DC6BC4" w14:textId="77777777" w:rsidR="0025400C" w:rsidRPr="003E471B" w:rsidRDefault="0025400C" w:rsidP="00E26E55">
            <w:pPr>
              <w:rPr>
                <w:rFonts w:ascii="Arial Narrow" w:hAnsi="Arial Narrow"/>
                <w:b/>
                <w:bCs/>
                <w:color w:val="000000"/>
                <w:sz w:val="20"/>
                <w:szCs w:val="20"/>
              </w:rPr>
            </w:pPr>
            <w:r w:rsidRPr="003E471B">
              <w:rPr>
                <w:rFonts w:ascii="Arial Narrow" w:hAnsi="Arial Narrow"/>
                <w:b/>
                <w:bCs/>
                <w:color w:val="000000"/>
                <w:sz w:val="20"/>
                <w:szCs w:val="20"/>
              </w:rPr>
              <w:t xml:space="preserve">Administrative Advice: </w:t>
            </w:r>
            <w:r w:rsidRPr="003E471B">
              <w:rPr>
                <w:rFonts w:ascii="Arial Narrow" w:hAnsi="Arial Narrow"/>
                <w:color w:val="000000"/>
                <w:sz w:val="20"/>
                <w:szCs w:val="20"/>
              </w:rPr>
              <w:t>Special Pricing Arrangements apply.</w:t>
            </w:r>
          </w:p>
        </w:tc>
      </w:tr>
      <w:tr w:rsidR="0025400C" w:rsidRPr="003E471B" w14:paraId="0B85F778"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08A7A62" w14:textId="77777777" w:rsidR="0025400C" w:rsidRPr="003E471B" w:rsidRDefault="0025400C" w:rsidP="00E26E55">
            <w:pPr>
              <w:rPr>
                <w:rFonts w:ascii="Arial Narrow" w:hAnsi="Arial Narrow"/>
                <w:b/>
                <w:bCs/>
                <w:color w:val="000000"/>
                <w:sz w:val="20"/>
                <w:szCs w:val="20"/>
              </w:rPr>
            </w:pPr>
            <w:r w:rsidRPr="003E471B">
              <w:rPr>
                <w:rFonts w:ascii="Arial Narrow" w:hAnsi="Arial Narrow"/>
                <w:b/>
                <w:bCs/>
                <w:color w:val="000000"/>
                <w:sz w:val="20"/>
                <w:szCs w:val="20"/>
              </w:rPr>
              <w:t xml:space="preserve">Caution: </w:t>
            </w:r>
            <w:r w:rsidRPr="003E471B">
              <w:rPr>
                <w:rFonts w:ascii="Arial Narrow" w:hAnsi="Arial Narrow"/>
                <w:color w:val="000000"/>
                <w:sz w:val="20"/>
                <w:szCs w:val="20"/>
              </w:rPr>
              <w:t>Oral azacitidine should not be used interchangeably with injectable azacitidine due to differences in the exposure, dose and schedule of treatment.</w:t>
            </w:r>
          </w:p>
        </w:tc>
      </w:tr>
      <w:tr w:rsidR="0025400C" w:rsidRPr="003E471B" w14:paraId="3E20D893"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2D735F6E" w14:textId="77777777" w:rsidR="0025400C" w:rsidRPr="003E471B" w:rsidRDefault="0025400C" w:rsidP="00E26E55">
            <w:pPr>
              <w:rPr>
                <w:rFonts w:ascii="Arial Narrow" w:hAnsi="Arial Narrow"/>
                <w:b/>
                <w:bCs/>
                <w:color w:val="000000"/>
                <w:sz w:val="20"/>
                <w:szCs w:val="20"/>
              </w:rPr>
            </w:pPr>
            <w:r w:rsidRPr="003E471B">
              <w:rPr>
                <w:rFonts w:ascii="Arial Narrow" w:hAnsi="Arial Narrow"/>
                <w:b/>
                <w:bCs/>
                <w:color w:val="000000"/>
                <w:sz w:val="20"/>
                <w:szCs w:val="20"/>
              </w:rPr>
              <w:t>Caution:</w:t>
            </w:r>
            <w:r w:rsidRPr="003E471B">
              <w:rPr>
                <w:rFonts w:ascii="Arial Narrow" w:hAnsi="Arial Narrow"/>
                <w:sz w:val="20"/>
                <w:szCs w:val="20"/>
              </w:rPr>
              <w:t xml:space="preserve"> </w:t>
            </w:r>
            <w:r w:rsidRPr="003E471B">
              <w:rPr>
                <w:rFonts w:ascii="Arial Narrow" w:hAnsi="Arial Narrow"/>
                <w:color w:val="000000"/>
                <w:sz w:val="20"/>
                <w:szCs w:val="20"/>
              </w:rPr>
              <w:t>This is a category X drug and must not be given to pregnant women. Pregnancy must be avoided during treatment and for at least 6 months following cessation of therapy.</w:t>
            </w:r>
          </w:p>
        </w:tc>
      </w:tr>
    </w:tbl>
    <w:p w14:paraId="0D216289" w14:textId="77777777" w:rsidR="0025400C" w:rsidRPr="003E471B" w:rsidRDefault="0025400C" w:rsidP="0025400C">
      <w:pPr>
        <w:rPr>
          <w:rFonts w:ascii="Arial Narrow" w:hAnsi="Arial Narrow"/>
          <w:sz w:val="20"/>
          <w:szCs w:val="20"/>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134"/>
        <w:gridCol w:w="992"/>
        <w:gridCol w:w="992"/>
        <w:gridCol w:w="1134"/>
        <w:gridCol w:w="2126"/>
      </w:tblGrid>
      <w:tr w:rsidR="0025400C" w:rsidRPr="003E471B" w14:paraId="434E0CA9" w14:textId="77777777" w:rsidTr="00E26E55">
        <w:trPr>
          <w:cantSplit/>
          <w:trHeight w:val="20"/>
        </w:trPr>
        <w:tc>
          <w:tcPr>
            <w:tcW w:w="2689" w:type="dxa"/>
            <w:vAlign w:val="center"/>
          </w:tcPr>
          <w:p w14:paraId="54CDE128" w14:textId="77777777" w:rsidR="0025400C" w:rsidRPr="003E471B" w:rsidRDefault="0025400C" w:rsidP="00E26E55">
            <w:pPr>
              <w:keepLines/>
              <w:rPr>
                <w:rFonts w:ascii="Arial Narrow" w:hAnsi="Arial Narrow"/>
                <w:b/>
                <w:bCs/>
                <w:color w:val="000000"/>
                <w:sz w:val="20"/>
                <w:szCs w:val="20"/>
              </w:rPr>
            </w:pPr>
            <w:r w:rsidRPr="003E471B">
              <w:rPr>
                <w:rFonts w:ascii="Arial Narrow" w:hAnsi="Arial Narrow"/>
                <w:b/>
                <w:bCs/>
                <w:color w:val="000000"/>
                <w:sz w:val="20"/>
                <w:szCs w:val="20"/>
              </w:rPr>
              <w:t>MEDICINAL PRODUCT</w:t>
            </w:r>
          </w:p>
          <w:p w14:paraId="7943AEFE" w14:textId="77777777" w:rsidR="0025400C" w:rsidRPr="003E471B" w:rsidRDefault="0025400C" w:rsidP="00E26E55">
            <w:pPr>
              <w:keepLines/>
              <w:rPr>
                <w:rFonts w:ascii="Arial Narrow" w:hAnsi="Arial Narrow"/>
                <w:b/>
                <w:color w:val="000000"/>
                <w:sz w:val="20"/>
                <w:szCs w:val="20"/>
              </w:rPr>
            </w:pPr>
            <w:r w:rsidRPr="003E471B">
              <w:rPr>
                <w:rFonts w:ascii="Arial Narrow" w:hAnsi="Arial Narrow"/>
                <w:b/>
                <w:bCs/>
                <w:color w:val="000000"/>
                <w:sz w:val="20"/>
                <w:szCs w:val="20"/>
              </w:rPr>
              <w:t>medicinal product pack</w:t>
            </w:r>
          </w:p>
        </w:tc>
        <w:tc>
          <w:tcPr>
            <w:tcW w:w="1134" w:type="dxa"/>
            <w:vAlign w:val="center"/>
          </w:tcPr>
          <w:p w14:paraId="349D42F5" w14:textId="77777777" w:rsidR="0025400C" w:rsidRPr="003E471B" w:rsidRDefault="0025400C" w:rsidP="00E26E55">
            <w:pPr>
              <w:keepLines/>
              <w:jc w:val="center"/>
              <w:rPr>
                <w:rFonts w:ascii="Arial Narrow" w:hAnsi="Arial Narrow"/>
                <w:b/>
                <w:color w:val="000000"/>
                <w:sz w:val="20"/>
                <w:szCs w:val="20"/>
              </w:rPr>
            </w:pPr>
            <w:r w:rsidRPr="003E471B">
              <w:rPr>
                <w:rFonts w:ascii="Arial Narrow" w:hAnsi="Arial Narrow"/>
                <w:b/>
                <w:color w:val="000000"/>
                <w:sz w:val="20"/>
                <w:szCs w:val="20"/>
              </w:rPr>
              <w:t>PBS item code</w:t>
            </w:r>
          </w:p>
        </w:tc>
        <w:tc>
          <w:tcPr>
            <w:tcW w:w="992" w:type="dxa"/>
            <w:vAlign w:val="center"/>
          </w:tcPr>
          <w:p w14:paraId="101E6E13" w14:textId="77777777" w:rsidR="0025400C" w:rsidRPr="003E471B" w:rsidRDefault="0025400C" w:rsidP="00E26E55">
            <w:pPr>
              <w:keepLines/>
              <w:jc w:val="center"/>
              <w:rPr>
                <w:rFonts w:ascii="Arial Narrow" w:hAnsi="Arial Narrow"/>
                <w:b/>
                <w:color w:val="000000"/>
                <w:sz w:val="20"/>
                <w:szCs w:val="20"/>
              </w:rPr>
            </w:pPr>
            <w:r w:rsidRPr="003E471B">
              <w:rPr>
                <w:rFonts w:ascii="Arial Narrow" w:hAnsi="Arial Narrow"/>
                <w:b/>
                <w:color w:val="000000"/>
                <w:sz w:val="20"/>
                <w:szCs w:val="20"/>
              </w:rPr>
              <w:t>Max. qty packs</w:t>
            </w:r>
          </w:p>
        </w:tc>
        <w:tc>
          <w:tcPr>
            <w:tcW w:w="992" w:type="dxa"/>
            <w:vAlign w:val="center"/>
          </w:tcPr>
          <w:p w14:paraId="7A7183CC" w14:textId="77777777" w:rsidR="0025400C" w:rsidRPr="003E471B" w:rsidRDefault="0025400C" w:rsidP="00E26E55">
            <w:pPr>
              <w:keepLines/>
              <w:jc w:val="center"/>
              <w:rPr>
                <w:rFonts w:ascii="Arial Narrow" w:hAnsi="Arial Narrow"/>
                <w:b/>
                <w:color w:val="000000"/>
                <w:sz w:val="20"/>
                <w:szCs w:val="20"/>
              </w:rPr>
            </w:pPr>
            <w:r w:rsidRPr="003E471B">
              <w:rPr>
                <w:rFonts w:ascii="Arial Narrow" w:hAnsi="Arial Narrow"/>
                <w:b/>
                <w:color w:val="000000"/>
                <w:sz w:val="20"/>
                <w:szCs w:val="20"/>
              </w:rPr>
              <w:t>Max. qty units</w:t>
            </w:r>
          </w:p>
        </w:tc>
        <w:tc>
          <w:tcPr>
            <w:tcW w:w="1134" w:type="dxa"/>
            <w:vAlign w:val="center"/>
          </w:tcPr>
          <w:p w14:paraId="6FDA3273" w14:textId="77777777" w:rsidR="0025400C" w:rsidRPr="003E471B" w:rsidRDefault="0025400C" w:rsidP="00E26E55">
            <w:pPr>
              <w:keepLines/>
              <w:jc w:val="center"/>
              <w:rPr>
                <w:rFonts w:ascii="Arial Narrow" w:hAnsi="Arial Narrow"/>
                <w:b/>
                <w:color w:val="000000"/>
                <w:sz w:val="20"/>
                <w:szCs w:val="20"/>
              </w:rPr>
            </w:pPr>
            <w:r w:rsidRPr="003E471B">
              <w:rPr>
                <w:rFonts w:ascii="Arial Narrow" w:hAnsi="Arial Narrow"/>
                <w:b/>
                <w:color w:val="000000"/>
                <w:sz w:val="20"/>
                <w:szCs w:val="20"/>
              </w:rPr>
              <w:t>№.</w:t>
            </w:r>
            <w:r>
              <w:rPr>
                <w:rFonts w:ascii="Arial Narrow" w:hAnsi="Arial Narrow"/>
                <w:b/>
                <w:color w:val="000000"/>
                <w:sz w:val="20"/>
                <w:szCs w:val="20"/>
              </w:rPr>
              <w:t xml:space="preserve"> </w:t>
            </w:r>
            <w:r w:rsidRPr="003E471B">
              <w:rPr>
                <w:rFonts w:ascii="Arial Narrow" w:hAnsi="Arial Narrow"/>
                <w:b/>
                <w:color w:val="000000"/>
                <w:sz w:val="20"/>
                <w:szCs w:val="20"/>
              </w:rPr>
              <w:t>of</w:t>
            </w:r>
          </w:p>
          <w:p w14:paraId="20CE6409" w14:textId="77777777" w:rsidR="0025400C" w:rsidRPr="003E471B" w:rsidRDefault="0025400C" w:rsidP="00E26E55">
            <w:pPr>
              <w:keepLines/>
              <w:jc w:val="center"/>
              <w:rPr>
                <w:rFonts w:ascii="Arial Narrow" w:hAnsi="Arial Narrow"/>
                <w:b/>
                <w:color w:val="000000"/>
                <w:sz w:val="20"/>
                <w:szCs w:val="20"/>
              </w:rPr>
            </w:pPr>
            <w:r w:rsidRPr="003E471B">
              <w:rPr>
                <w:rFonts w:ascii="Arial Narrow" w:hAnsi="Arial Narrow"/>
                <w:b/>
                <w:color w:val="000000"/>
                <w:sz w:val="20"/>
                <w:szCs w:val="20"/>
              </w:rPr>
              <w:t>Rpts</w:t>
            </w:r>
          </w:p>
        </w:tc>
        <w:tc>
          <w:tcPr>
            <w:tcW w:w="2126" w:type="dxa"/>
            <w:vAlign w:val="center"/>
          </w:tcPr>
          <w:p w14:paraId="28E0634B" w14:textId="77777777" w:rsidR="0025400C" w:rsidRPr="003E471B" w:rsidRDefault="0025400C" w:rsidP="00E26E55">
            <w:pPr>
              <w:keepLines/>
              <w:rPr>
                <w:rFonts w:ascii="Arial Narrow" w:hAnsi="Arial Narrow"/>
                <w:b/>
                <w:color w:val="000000"/>
                <w:sz w:val="20"/>
                <w:szCs w:val="20"/>
                <w:lang w:val="fr-FR"/>
              </w:rPr>
            </w:pPr>
            <w:r w:rsidRPr="003E471B">
              <w:rPr>
                <w:rFonts w:ascii="Arial Narrow" w:hAnsi="Arial Narrow"/>
                <w:b/>
                <w:color w:val="000000"/>
                <w:sz w:val="20"/>
                <w:szCs w:val="20"/>
              </w:rPr>
              <w:t>Available brands</w:t>
            </w:r>
          </w:p>
        </w:tc>
      </w:tr>
      <w:tr w:rsidR="0025400C" w:rsidRPr="003E471B" w14:paraId="0FB3FE3A" w14:textId="77777777" w:rsidTr="00E26E55">
        <w:trPr>
          <w:cantSplit/>
          <w:trHeight w:val="20"/>
        </w:trPr>
        <w:tc>
          <w:tcPr>
            <w:tcW w:w="9067" w:type="dxa"/>
            <w:gridSpan w:val="6"/>
            <w:vAlign w:val="center"/>
          </w:tcPr>
          <w:p w14:paraId="24489620" w14:textId="77777777" w:rsidR="0025400C" w:rsidRPr="003E471B" w:rsidRDefault="0025400C" w:rsidP="00E26E55">
            <w:pPr>
              <w:keepLines/>
              <w:rPr>
                <w:rFonts w:ascii="Arial Narrow" w:hAnsi="Arial Narrow"/>
                <w:color w:val="000000"/>
                <w:sz w:val="20"/>
                <w:szCs w:val="20"/>
              </w:rPr>
            </w:pPr>
            <w:r w:rsidRPr="003E471B">
              <w:rPr>
                <w:rFonts w:ascii="Arial Narrow" w:hAnsi="Arial Narrow"/>
                <w:color w:val="000000"/>
                <w:sz w:val="20"/>
                <w:szCs w:val="20"/>
              </w:rPr>
              <w:t>AZACITIDINE</w:t>
            </w:r>
          </w:p>
        </w:tc>
      </w:tr>
      <w:tr w:rsidR="0025400C" w:rsidRPr="003E471B" w14:paraId="4BBA1863" w14:textId="77777777" w:rsidTr="00E26E55">
        <w:trPr>
          <w:cantSplit/>
          <w:trHeight w:val="20"/>
        </w:trPr>
        <w:tc>
          <w:tcPr>
            <w:tcW w:w="2689" w:type="dxa"/>
            <w:vAlign w:val="center"/>
          </w:tcPr>
          <w:p w14:paraId="072CBE2E" w14:textId="77777777" w:rsidR="0025400C" w:rsidRPr="003E471B" w:rsidRDefault="0025400C" w:rsidP="00E26E55">
            <w:pPr>
              <w:keepLines/>
              <w:rPr>
                <w:rFonts w:ascii="Arial Narrow" w:hAnsi="Arial Narrow"/>
                <w:i/>
                <w:iCs/>
                <w:color w:val="000000"/>
                <w:sz w:val="20"/>
                <w:szCs w:val="20"/>
              </w:rPr>
            </w:pPr>
            <w:r w:rsidRPr="003E471B">
              <w:rPr>
                <w:rFonts w:ascii="Arial Narrow" w:hAnsi="Arial Narrow"/>
                <w:color w:val="000000"/>
                <w:sz w:val="20"/>
                <w:szCs w:val="20"/>
              </w:rPr>
              <w:t xml:space="preserve">azacitidine 300 mg tablet, </w:t>
            </w:r>
            <w:r w:rsidRPr="003E471B">
              <w:rPr>
                <w:rFonts w:ascii="Arial Narrow" w:hAnsi="Arial Narrow"/>
                <w:i/>
                <w:iCs/>
                <w:color w:val="000000"/>
                <w:sz w:val="20"/>
                <w:szCs w:val="20"/>
              </w:rPr>
              <w:t>7</w:t>
            </w:r>
          </w:p>
        </w:tc>
        <w:tc>
          <w:tcPr>
            <w:tcW w:w="1134" w:type="dxa"/>
            <w:vAlign w:val="center"/>
          </w:tcPr>
          <w:p w14:paraId="5A88ACA6" w14:textId="77777777" w:rsidR="0025400C" w:rsidRPr="003E471B" w:rsidRDefault="0025400C" w:rsidP="00E26E55">
            <w:pPr>
              <w:keepLines/>
              <w:jc w:val="center"/>
              <w:rPr>
                <w:rFonts w:ascii="Arial Narrow" w:hAnsi="Arial Narrow"/>
                <w:color w:val="000000"/>
                <w:sz w:val="20"/>
                <w:szCs w:val="20"/>
              </w:rPr>
            </w:pPr>
            <w:r w:rsidRPr="003E471B">
              <w:rPr>
                <w:rFonts w:ascii="Arial Narrow" w:hAnsi="Arial Narrow"/>
                <w:color w:val="000000"/>
                <w:sz w:val="20"/>
                <w:szCs w:val="20"/>
              </w:rPr>
              <w:t>NEW</w:t>
            </w:r>
          </w:p>
        </w:tc>
        <w:tc>
          <w:tcPr>
            <w:tcW w:w="992" w:type="dxa"/>
            <w:vAlign w:val="center"/>
          </w:tcPr>
          <w:p w14:paraId="48543026" w14:textId="77777777" w:rsidR="0025400C" w:rsidRPr="003E471B" w:rsidRDefault="0025400C" w:rsidP="00E26E55">
            <w:pPr>
              <w:keepLines/>
              <w:jc w:val="center"/>
              <w:rPr>
                <w:rFonts w:ascii="Arial Narrow" w:hAnsi="Arial Narrow"/>
                <w:color w:val="000000"/>
                <w:sz w:val="20"/>
                <w:szCs w:val="20"/>
              </w:rPr>
            </w:pPr>
            <w:r w:rsidRPr="003E471B">
              <w:rPr>
                <w:rFonts w:ascii="Arial Narrow" w:hAnsi="Arial Narrow"/>
                <w:color w:val="000000"/>
                <w:sz w:val="20"/>
                <w:szCs w:val="20"/>
              </w:rPr>
              <w:t>2</w:t>
            </w:r>
          </w:p>
        </w:tc>
        <w:tc>
          <w:tcPr>
            <w:tcW w:w="992" w:type="dxa"/>
            <w:vAlign w:val="center"/>
          </w:tcPr>
          <w:p w14:paraId="60C80575" w14:textId="77777777" w:rsidR="0025400C" w:rsidRPr="003E471B" w:rsidRDefault="0025400C" w:rsidP="00E26E55">
            <w:pPr>
              <w:keepLines/>
              <w:jc w:val="center"/>
              <w:rPr>
                <w:rFonts w:ascii="Arial Narrow" w:hAnsi="Arial Narrow"/>
                <w:color w:val="000000"/>
                <w:sz w:val="20"/>
                <w:szCs w:val="20"/>
              </w:rPr>
            </w:pPr>
            <w:r w:rsidRPr="003E471B">
              <w:rPr>
                <w:rFonts w:ascii="Arial Narrow" w:hAnsi="Arial Narrow"/>
                <w:color w:val="000000"/>
                <w:sz w:val="20"/>
                <w:szCs w:val="20"/>
              </w:rPr>
              <w:t>14</w:t>
            </w:r>
          </w:p>
        </w:tc>
        <w:tc>
          <w:tcPr>
            <w:tcW w:w="1134" w:type="dxa"/>
            <w:vAlign w:val="center"/>
          </w:tcPr>
          <w:p w14:paraId="748649AB" w14:textId="77777777" w:rsidR="0025400C" w:rsidRPr="003E471B" w:rsidRDefault="0025400C" w:rsidP="00E26E55">
            <w:pPr>
              <w:keepLines/>
              <w:jc w:val="center"/>
              <w:rPr>
                <w:rFonts w:ascii="Arial Narrow" w:hAnsi="Arial Narrow"/>
                <w:color w:val="000000"/>
                <w:sz w:val="20"/>
                <w:szCs w:val="20"/>
              </w:rPr>
            </w:pPr>
            <w:r w:rsidRPr="003E471B">
              <w:rPr>
                <w:rFonts w:ascii="Arial Narrow" w:hAnsi="Arial Narrow"/>
                <w:color w:val="000000"/>
                <w:sz w:val="20"/>
                <w:szCs w:val="20"/>
              </w:rPr>
              <w:t>2</w:t>
            </w:r>
          </w:p>
        </w:tc>
        <w:tc>
          <w:tcPr>
            <w:tcW w:w="2126" w:type="dxa"/>
            <w:vAlign w:val="center"/>
          </w:tcPr>
          <w:p w14:paraId="5EC5221A" w14:textId="77777777" w:rsidR="0025400C" w:rsidRPr="003E471B" w:rsidRDefault="0025400C" w:rsidP="00E26E55">
            <w:pPr>
              <w:keepLines/>
              <w:rPr>
                <w:rFonts w:ascii="Arial Narrow" w:hAnsi="Arial Narrow"/>
                <w:color w:val="000000"/>
                <w:sz w:val="20"/>
                <w:szCs w:val="20"/>
              </w:rPr>
            </w:pPr>
            <w:r w:rsidRPr="003E471B">
              <w:rPr>
                <w:rFonts w:ascii="Arial Narrow" w:hAnsi="Arial Narrow"/>
                <w:color w:val="000000"/>
                <w:sz w:val="20"/>
                <w:szCs w:val="20"/>
              </w:rPr>
              <w:t>Onureg</w:t>
            </w:r>
          </w:p>
        </w:tc>
      </w:tr>
      <w:tr w:rsidR="0025400C" w:rsidRPr="003E471B" w14:paraId="4EC5AC64" w14:textId="77777777" w:rsidTr="00E26E55">
        <w:trPr>
          <w:cantSplit/>
          <w:trHeight w:val="20"/>
        </w:trPr>
        <w:tc>
          <w:tcPr>
            <w:tcW w:w="2689" w:type="dxa"/>
            <w:vAlign w:val="center"/>
          </w:tcPr>
          <w:p w14:paraId="3D4658BE" w14:textId="77777777" w:rsidR="0025400C" w:rsidRPr="003E471B" w:rsidRDefault="0025400C" w:rsidP="00E26E55">
            <w:pPr>
              <w:keepLines/>
              <w:rPr>
                <w:rFonts w:ascii="Arial Narrow" w:hAnsi="Arial Narrow"/>
                <w:color w:val="000000"/>
                <w:sz w:val="20"/>
                <w:szCs w:val="20"/>
              </w:rPr>
            </w:pPr>
            <w:r w:rsidRPr="003E471B">
              <w:rPr>
                <w:rFonts w:ascii="Arial Narrow" w:hAnsi="Arial Narrow"/>
                <w:color w:val="000000"/>
                <w:sz w:val="20"/>
                <w:szCs w:val="20"/>
              </w:rPr>
              <w:t>Azacitidine</w:t>
            </w:r>
            <w:r>
              <w:rPr>
                <w:rFonts w:ascii="Arial Narrow" w:hAnsi="Arial Narrow"/>
                <w:color w:val="000000"/>
                <w:sz w:val="20"/>
                <w:szCs w:val="20"/>
              </w:rPr>
              <w:t xml:space="preserve"> 2</w:t>
            </w:r>
            <w:r w:rsidRPr="003E471B">
              <w:rPr>
                <w:rFonts w:ascii="Arial Narrow" w:hAnsi="Arial Narrow"/>
                <w:color w:val="000000"/>
                <w:sz w:val="20"/>
                <w:szCs w:val="20"/>
              </w:rPr>
              <w:t xml:space="preserve">00 mg tablet, </w:t>
            </w:r>
            <w:r w:rsidRPr="003E471B">
              <w:rPr>
                <w:rFonts w:ascii="Arial Narrow" w:hAnsi="Arial Narrow"/>
                <w:i/>
                <w:iCs/>
                <w:color w:val="000000"/>
                <w:sz w:val="20"/>
                <w:szCs w:val="20"/>
              </w:rPr>
              <w:t>7</w:t>
            </w:r>
          </w:p>
        </w:tc>
        <w:tc>
          <w:tcPr>
            <w:tcW w:w="1134" w:type="dxa"/>
            <w:vAlign w:val="center"/>
          </w:tcPr>
          <w:p w14:paraId="4EC75580" w14:textId="77777777" w:rsidR="0025400C" w:rsidRPr="003E471B" w:rsidRDefault="0025400C" w:rsidP="00E26E55">
            <w:pPr>
              <w:keepLines/>
              <w:jc w:val="center"/>
              <w:rPr>
                <w:rFonts w:ascii="Arial Narrow" w:hAnsi="Arial Narrow"/>
                <w:color w:val="000000"/>
                <w:sz w:val="20"/>
                <w:szCs w:val="20"/>
              </w:rPr>
            </w:pPr>
            <w:r w:rsidRPr="003E471B">
              <w:rPr>
                <w:rFonts w:ascii="Arial Narrow" w:hAnsi="Arial Narrow"/>
                <w:color w:val="000000"/>
                <w:sz w:val="20"/>
                <w:szCs w:val="20"/>
              </w:rPr>
              <w:t>NEW</w:t>
            </w:r>
          </w:p>
        </w:tc>
        <w:tc>
          <w:tcPr>
            <w:tcW w:w="992" w:type="dxa"/>
            <w:vAlign w:val="center"/>
          </w:tcPr>
          <w:p w14:paraId="5027FF98" w14:textId="77777777" w:rsidR="0025400C" w:rsidRPr="003E471B" w:rsidRDefault="0025400C" w:rsidP="00E26E55">
            <w:pPr>
              <w:keepLines/>
              <w:jc w:val="center"/>
              <w:rPr>
                <w:rFonts w:ascii="Arial Narrow" w:hAnsi="Arial Narrow"/>
                <w:color w:val="000000"/>
                <w:sz w:val="20"/>
                <w:szCs w:val="20"/>
              </w:rPr>
            </w:pPr>
            <w:r w:rsidRPr="003E471B">
              <w:rPr>
                <w:rFonts w:ascii="Arial Narrow" w:hAnsi="Arial Narrow"/>
                <w:color w:val="000000"/>
                <w:sz w:val="20"/>
                <w:szCs w:val="20"/>
              </w:rPr>
              <w:t>2</w:t>
            </w:r>
          </w:p>
        </w:tc>
        <w:tc>
          <w:tcPr>
            <w:tcW w:w="992" w:type="dxa"/>
            <w:vAlign w:val="center"/>
          </w:tcPr>
          <w:p w14:paraId="298539DF" w14:textId="77777777" w:rsidR="0025400C" w:rsidRPr="003E471B" w:rsidRDefault="0025400C" w:rsidP="00E26E55">
            <w:pPr>
              <w:keepLines/>
              <w:jc w:val="center"/>
              <w:rPr>
                <w:rFonts w:ascii="Arial Narrow" w:hAnsi="Arial Narrow"/>
                <w:color w:val="000000"/>
                <w:sz w:val="20"/>
                <w:szCs w:val="20"/>
              </w:rPr>
            </w:pPr>
            <w:r w:rsidRPr="003E471B">
              <w:rPr>
                <w:rFonts w:ascii="Arial Narrow" w:hAnsi="Arial Narrow"/>
                <w:color w:val="000000"/>
                <w:sz w:val="20"/>
                <w:szCs w:val="20"/>
              </w:rPr>
              <w:t>14</w:t>
            </w:r>
          </w:p>
        </w:tc>
        <w:tc>
          <w:tcPr>
            <w:tcW w:w="1134" w:type="dxa"/>
            <w:vAlign w:val="center"/>
          </w:tcPr>
          <w:p w14:paraId="7709D6B5" w14:textId="77777777" w:rsidR="0025400C" w:rsidRPr="003E471B" w:rsidRDefault="0025400C" w:rsidP="00E26E55">
            <w:pPr>
              <w:keepLines/>
              <w:jc w:val="center"/>
              <w:rPr>
                <w:rFonts w:ascii="Arial Narrow" w:hAnsi="Arial Narrow"/>
                <w:color w:val="000000"/>
                <w:sz w:val="20"/>
                <w:szCs w:val="20"/>
              </w:rPr>
            </w:pPr>
            <w:r w:rsidRPr="003E471B">
              <w:rPr>
                <w:rFonts w:ascii="Arial Narrow" w:hAnsi="Arial Narrow"/>
                <w:color w:val="000000"/>
                <w:sz w:val="20"/>
                <w:szCs w:val="20"/>
              </w:rPr>
              <w:t>2</w:t>
            </w:r>
          </w:p>
        </w:tc>
        <w:tc>
          <w:tcPr>
            <w:tcW w:w="2126" w:type="dxa"/>
            <w:vAlign w:val="center"/>
          </w:tcPr>
          <w:p w14:paraId="4F7ECE85" w14:textId="77777777" w:rsidR="0025400C" w:rsidRPr="003E471B" w:rsidRDefault="0025400C" w:rsidP="00E26E55">
            <w:pPr>
              <w:keepLines/>
              <w:rPr>
                <w:rFonts w:ascii="Arial Narrow" w:hAnsi="Arial Narrow"/>
                <w:color w:val="000000"/>
                <w:sz w:val="20"/>
                <w:szCs w:val="20"/>
              </w:rPr>
            </w:pPr>
            <w:r w:rsidRPr="003E471B">
              <w:rPr>
                <w:rFonts w:ascii="Arial Narrow" w:hAnsi="Arial Narrow"/>
                <w:color w:val="000000"/>
                <w:sz w:val="20"/>
                <w:szCs w:val="20"/>
              </w:rPr>
              <w:t>Onureg</w:t>
            </w:r>
          </w:p>
        </w:tc>
      </w:tr>
      <w:tr w:rsidR="0025400C" w:rsidRPr="003E471B" w14:paraId="34DBD982" w14:textId="214B537B"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10735DA2" w14:textId="5E4821D0" w:rsidR="0025400C" w:rsidRPr="003E471B" w:rsidRDefault="0025400C" w:rsidP="00E26E55">
            <w:pPr>
              <w:keepNext/>
              <w:keepLines/>
              <w:rPr>
                <w:rFonts w:ascii="Arial Narrow" w:hAnsi="Arial Narrow"/>
                <w:b/>
                <w:bCs/>
                <w:color w:val="000000"/>
                <w:sz w:val="20"/>
                <w:szCs w:val="20"/>
              </w:rPr>
            </w:pPr>
          </w:p>
        </w:tc>
      </w:tr>
      <w:tr w:rsidR="0025400C" w:rsidRPr="003E471B" w14:paraId="76AC5D76"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713418E8" w14:textId="77777777" w:rsidR="0025400C" w:rsidRPr="003E471B" w:rsidRDefault="0025400C" w:rsidP="00E26E55">
            <w:pPr>
              <w:keepNext/>
              <w:keepLines/>
              <w:rPr>
                <w:rFonts w:ascii="Arial Narrow" w:hAnsi="Arial Narrow"/>
                <w:color w:val="000000"/>
                <w:sz w:val="20"/>
                <w:szCs w:val="20"/>
              </w:rPr>
            </w:pPr>
            <w:r w:rsidRPr="003E471B">
              <w:rPr>
                <w:rFonts w:ascii="Arial Narrow" w:hAnsi="Arial Narrow"/>
                <w:b/>
                <w:color w:val="000000"/>
                <w:sz w:val="20"/>
                <w:szCs w:val="20"/>
              </w:rPr>
              <w:t xml:space="preserve">Category / Program: </w:t>
            </w:r>
            <w:r w:rsidRPr="003E471B">
              <w:rPr>
                <w:rFonts w:ascii="Arial Narrow" w:hAnsi="Arial Narrow"/>
                <w:color w:val="000000"/>
                <w:sz w:val="20"/>
                <w:szCs w:val="20"/>
              </w:rPr>
              <w:t xml:space="preserve">GENERAL – General Schedule (Code GE) </w:t>
            </w:r>
          </w:p>
        </w:tc>
      </w:tr>
      <w:tr w:rsidR="0025400C" w:rsidRPr="003E471B" w14:paraId="51D17772"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4D8A6856" w14:textId="77777777" w:rsidR="0025400C" w:rsidRPr="003E471B" w:rsidRDefault="0025400C" w:rsidP="00E26E55">
            <w:pPr>
              <w:keepNext/>
              <w:keepLines/>
              <w:rPr>
                <w:rFonts w:ascii="Arial Narrow" w:hAnsi="Arial Narrow"/>
                <w:b/>
                <w:color w:val="000000"/>
                <w:sz w:val="20"/>
                <w:szCs w:val="20"/>
              </w:rPr>
            </w:pPr>
            <w:r w:rsidRPr="003E471B">
              <w:rPr>
                <w:rFonts w:ascii="Arial Narrow" w:hAnsi="Arial Narrow"/>
                <w:b/>
                <w:color w:val="000000"/>
                <w:sz w:val="20"/>
                <w:szCs w:val="20"/>
              </w:rPr>
              <w:t xml:space="preserve">Prescriber type: </w:t>
            </w:r>
            <w:r w:rsidRPr="003E471B">
              <w:rPr>
                <w:rFonts w:ascii="Arial Narrow" w:hAnsi="Arial Narrow"/>
                <w:color w:val="000000"/>
                <w:sz w:val="20"/>
                <w:szCs w:val="20"/>
              </w:rPr>
              <w:fldChar w:fldCharType="begin" w:fldLock="1">
                <w:ffData>
                  <w:name w:val=""/>
                  <w:enabled/>
                  <w:calcOnExit w:val="0"/>
                  <w:checkBox>
                    <w:sizeAuto/>
                    <w:default w:val="1"/>
                  </w:checkBox>
                </w:ffData>
              </w:fldChar>
            </w:r>
            <w:r w:rsidRPr="003E471B">
              <w:rPr>
                <w:rFonts w:ascii="Arial Narrow" w:hAnsi="Arial Narrow"/>
                <w:color w:val="000000"/>
                <w:sz w:val="20"/>
                <w:szCs w:val="20"/>
              </w:rPr>
              <w:instrText xml:space="preserve"> FORMCHECKBOX </w:instrText>
            </w:r>
            <w:r w:rsidR="00396D16">
              <w:rPr>
                <w:rFonts w:ascii="Arial Narrow" w:hAnsi="Arial Narrow"/>
                <w:color w:val="000000"/>
                <w:sz w:val="20"/>
                <w:szCs w:val="20"/>
              </w:rPr>
            </w:r>
            <w:r w:rsidR="00396D16">
              <w:rPr>
                <w:rFonts w:ascii="Arial Narrow" w:hAnsi="Arial Narrow"/>
                <w:color w:val="000000"/>
                <w:sz w:val="20"/>
                <w:szCs w:val="20"/>
              </w:rPr>
              <w:fldChar w:fldCharType="separate"/>
            </w:r>
            <w:r w:rsidRPr="003E471B">
              <w:rPr>
                <w:rFonts w:ascii="Arial Narrow" w:hAnsi="Arial Narrow"/>
                <w:color w:val="000000"/>
                <w:sz w:val="20"/>
                <w:szCs w:val="20"/>
              </w:rPr>
              <w:fldChar w:fldCharType="end"/>
            </w:r>
            <w:r w:rsidRPr="003E471B">
              <w:rPr>
                <w:rFonts w:ascii="Arial Narrow" w:hAnsi="Arial Narrow"/>
                <w:color w:val="000000"/>
                <w:sz w:val="20"/>
                <w:szCs w:val="20"/>
              </w:rPr>
              <w:t xml:space="preserve">Medical Practitioners </w:t>
            </w:r>
          </w:p>
        </w:tc>
      </w:tr>
      <w:tr w:rsidR="0025400C" w:rsidRPr="003E471B" w14:paraId="10324344"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6BE01FD6" w14:textId="77777777" w:rsidR="0025400C" w:rsidRPr="003E471B" w:rsidRDefault="0025400C" w:rsidP="00E26E55">
            <w:pPr>
              <w:keepNext/>
              <w:keepLines/>
              <w:rPr>
                <w:rFonts w:ascii="Arial Narrow" w:hAnsi="Arial Narrow"/>
                <w:color w:val="000000"/>
                <w:sz w:val="20"/>
                <w:szCs w:val="20"/>
              </w:rPr>
            </w:pPr>
            <w:r w:rsidRPr="003E471B">
              <w:rPr>
                <w:rFonts w:ascii="Arial Narrow" w:hAnsi="Arial Narrow"/>
                <w:b/>
                <w:color w:val="000000"/>
                <w:sz w:val="20"/>
                <w:szCs w:val="20"/>
              </w:rPr>
              <w:t xml:space="preserve">Restriction type: </w:t>
            </w:r>
            <w:r w:rsidRPr="003E471B">
              <w:rPr>
                <w:rFonts w:ascii="Arial Narrow" w:hAnsi="Arial Narrow"/>
                <w:color w:val="000000"/>
                <w:sz w:val="20"/>
                <w:szCs w:val="20"/>
              </w:rPr>
              <w:fldChar w:fldCharType="begin" w:fldLock="1">
                <w:ffData>
                  <w:name w:val=""/>
                  <w:enabled/>
                  <w:calcOnExit w:val="0"/>
                  <w:checkBox>
                    <w:sizeAuto/>
                    <w:default w:val="1"/>
                  </w:checkBox>
                </w:ffData>
              </w:fldChar>
            </w:r>
            <w:r w:rsidRPr="003E471B">
              <w:rPr>
                <w:rFonts w:ascii="Arial Narrow" w:hAnsi="Arial Narrow"/>
                <w:color w:val="000000"/>
                <w:sz w:val="20"/>
                <w:szCs w:val="20"/>
              </w:rPr>
              <w:instrText xml:space="preserve"> FORMCHECKBOX </w:instrText>
            </w:r>
            <w:r w:rsidR="00396D16">
              <w:rPr>
                <w:rFonts w:ascii="Arial Narrow" w:hAnsi="Arial Narrow"/>
                <w:color w:val="000000"/>
                <w:sz w:val="20"/>
                <w:szCs w:val="20"/>
              </w:rPr>
            </w:r>
            <w:r w:rsidR="00396D16">
              <w:rPr>
                <w:rFonts w:ascii="Arial Narrow" w:hAnsi="Arial Narrow"/>
                <w:color w:val="000000"/>
                <w:sz w:val="20"/>
                <w:szCs w:val="20"/>
              </w:rPr>
              <w:fldChar w:fldCharType="separate"/>
            </w:r>
            <w:r w:rsidRPr="003E471B">
              <w:rPr>
                <w:rFonts w:ascii="Arial Narrow" w:hAnsi="Arial Narrow"/>
                <w:color w:val="000000"/>
                <w:sz w:val="20"/>
                <w:szCs w:val="20"/>
              </w:rPr>
              <w:fldChar w:fldCharType="end"/>
            </w:r>
            <w:r w:rsidRPr="003E471B">
              <w:rPr>
                <w:rFonts w:ascii="Arial Narrow" w:hAnsi="Arial Narrow"/>
                <w:color w:val="000000"/>
                <w:sz w:val="20"/>
                <w:szCs w:val="20"/>
              </w:rPr>
              <w:t xml:space="preserve">Authority Required – Streamlined [new/existing code] </w:t>
            </w:r>
          </w:p>
        </w:tc>
      </w:tr>
      <w:tr w:rsidR="0025400C" w:rsidRPr="003E471B" w14:paraId="27B72A8F"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34B382E" w14:textId="77777777" w:rsidR="0025400C" w:rsidRPr="003E471B" w:rsidRDefault="0025400C" w:rsidP="00E26E55">
            <w:pPr>
              <w:keepLines/>
              <w:rPr>
                <w:rFonts w:ascii="Arial Narrow" w:hAnsi="Arial Narrow"/>
                <w:b/>
                <w:bCs/>
                <w:color w:val="000000"/>
                <w:sz w:val="20"/>
                <w:szCs w:val="20"/>
              </w:rPr>
            </w:pPr>
            <w:r w:rsidRPr="003E471B">
              <w:rPr>
                <w:rFonts w:ascii="Arial Narrow" w:hAnsi="Arial Narrow"/>
                <w:b/>
                <w:bCs/>
                <w:color w:val="000000"/>
                <w:sz w:val="20"/>
                <w:szCs w:val="20"/>
              </w:rPr>
              <w:t xml:space="preserve">Condition: </w:t>
            </w:r>
            <w:r w:rsidRPr="003E471B">
              <w:rPr>
                <w:rFonts w:ascii="Arial Narrow" w:hAnsi="Arial Narrow"/>
                <w:bCs/>
                <w:color w:val="000000"/>
                <w:sz w:val="20"/>
                <w:szCs w:val="20"/>
              </w:rPr>
              <w:t>Acute Myeloid Leukaemia</w:t>
            </w:r>
          </w:p>
        </w:tc>
      </w:tr>
      <w:tr w:rsidR="0025400C" w:rsidRPr="003E471B" w14:paraId="47E48B21"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38E86E84" w14:textId="77777777" w:rsidR="0025400C" w:rsidRPr="003E471B" w:rsidRDefault="0025400C" w:rsidP="00E26E55">
            <w:pPr>
              <w:rPr>
                <w:rFonts w:ascii="Arial Narrow" w:hAnsi="Arial Narrow"/>
                <w:color w:val="000000"/>
                <w:sz w:val="20"/>
                <w:szCs w:val="20"/>
              </w:rPr>
            </w:pPr>
            <w:r w:rsidRPr="003E471B">
              <w:rPr>
                <w:rFonts w:ascii="Arial Narrow" w:hAnsi="Arial Narrow"/>
                <w:b/>
                <w:bCs/>
                <w:color w:val="000000"/>
                <w:sz w:val="20"/>
                <w:szCs w:val="20"/>
              </w:rPr>
              <w:t>Indication:</w:t>
            </w:r>
            <w:r w:rsidRPr="003E471B">
              <w:rPr>
                <w:rFonts w:ascii="Arial Narrow" w:hAnsi="Arial Narrow"/>
                <w:color w:val="000000"/>
                <w:sz w:val="20"/>
                <w:szCs w:val="20"/>
              </w:rPr>
              <w:t xml:space="preserve"> </w:t>
            </w:r>
            <w:r w:rsidRPr="003E471B">
              <w:rPr>
                <w:rFonts w:ascii="Arial Narrow" w:hAnsi="Arial Narrow"/>
                <w:bCs/>
                <w:color w:val="000000"/>
                <w:sz w:val="20"/>
                <w:szCs w:val="20"/>
              </w:rPr>
              <w:t>Acute Myeloid Leukaemia</w:t>
            </w:r>
          </w:p>
        </w:tc>
      </w:tr>
      <w:tr w:rsidR="0025400C" w:rsidRPr="003E471B" w14:paraId="7759B2BC"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25BA4E47" w14:textId="77777777" w:rsidR="0025400C" w:rsidRPr="003E471B" w:rsidRDefault="0025400C" w:rsidP="00E26E55">
            <w:pPr>
              <w:rPr>
                <w:rFonts w:ascii="Arial Narrow" w:hAnsi="Arial Narrow"/>
                <w:color w:val="000000"/>
                <w:sz w:val="20"/>
                <w:szCs w:val="20"/>
              </w:rPr>
            </w:pPr>
            <w:r w:rsidRPr="003E471B">
              <w:rPr>
                <w:rFonts w:ascii="Arial Narrow" w:hAnsi="Arial Narrow"/>
                <w:b/>
                <w:bCs/>
                <w:color w:val="000000"/>
                <w:sz w:val="20"/>
                <w:szCs w:val="20"/>
              </w:rPr>
              <w:t>Treatment Phase:</w:t>
            </w:r>
            <w:r w:rsidRPr="003E471B">
              <w:rPr>
                <w:rFonts w:ascii="Arial Narrow" w:hAnsi="Arial Narrow"/>
                <w:color w:val="000000"/>
                <w:sz w:val="20"/>
                <w:szCs w:val="20"/>
              </w:rPr>
              <w:t xml:space="preserve"> Maintenance therapy – Continuing treatment</w:t>
            </w:r>
          </w:p>
        </w:tc>
      </w:tr>
      <w:tr w:rsidR="0025400C" w:rsidRPr="003E471B" w14:paraId="51B8BB24"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472AD84C" w14:textId="77777777" w:rsidR="0025400C" w:rsidRPr="003E471B" w:rsidRDefault="0025400C" w:rsidP="00E26E55">
            <w:pPr>
              <w:rPr>
                <w:rFonts w:ascii="Arial Narrow" w:hAnsi="Arial Narrow"/>
                <w:b/>
                <w:bCs/>
                <w:color w:val="000000"/>
                <w:sz w:val="20"/>
                <w:szCs w:val="20"/>
              </w:rPr>
            </w:pPr>
            <w:r w:rsidRPr="003E471B">
              <w:rPr>
                <w:rFonts w:ascii="Arial Narrow" w:hAnsi="Arial Narrow"/>
                <w:b/>
                <w:bCs/>
                <w:color w:val="000000"/>
                <w:sz w:val="20"/>
                <w:szCs w:val="20"/>
              </w:rPr>
              <w:t>Clinical criteria:</w:t>
            </w:r>
          </w:p>
        </w:tc>
      </w:tr>
      <w:tr w:rsidR="0025400C" w:rsidRPr="003E471B" w14:paraId="3A855ADC"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36F0449F" w14:textId="77777777" w:rsidR="0025400C" w:rsidRPr="003E471B" w:rsidRDefault="0025400C" w:rsidP="00E26E55">
            <w:pPr>
              <w:rPr>
                <w:rFonts w:ascii="Arial Narrow" w:hAnsi="Arial Narrow" w:cs="Arial Narrow"/>
                <w:color w:val="000000"/>
                <w:sz w:val="20"/>
                <w:szCs w:val="20"/>
              </w:rPr>
            </w:pPr>
            <w:r w:rsidRPr="003E471B">
              <w:rPr>
                <w:rFonts w:ascii="Arial Narrow" w:hAnsi="Arial Narrow" w:cs="Arial Narrow"/>
                <w:color w:val="000000"/>
                <w:sz w:val="20"/>
                <w:szCs w:val="20"/>
              </w:rPr>
              <w:t>Patient must have previously received PBS-subsidised treatment with this drug for this condition,</w:t>
            </w:r>
          </w:p>
        </w:tc>
      </w:tr>
      <w:tr w:rsidR="0025400C" w:rsidRPr="003E471B" w14:paraId="50C1A6A1"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28FB6E42" w14:textId="77777777" w:rsidR="0025400C" w:rsidRPr="003E471B" w:rsidRDefault="0025400C" w:rsidP="00E26E55">
            <w:pPr>
              <w:rPr>
                <w:rFonts w:ascii="Arial Narrow" w:hAnsi="Arial Narrow"/>
                <w:color w:val="000000"/>
                <w:sz w:val="20"/>
                <w:szCs w:val="20"/>
              </w:rPr>
            </w:pPr>
            <w:r w:rsidRPr="003E471B">
              <w:rPr>
                <w:rFonts w:ascii="Arial Narrow" w:hAnsi="Arial Narrow"/>
                <w:b/>
                <w:bCs/>
                <w:color w:val="000000"/>
                <w:sz w:val="20"/>
                <w:szCs w:val="20"/>
              </w:rPr>
              <w:t>AND</w:t>
            </w:r>
          </w:p>
        </w:tc>
      </w:tr>
      <w:tr w:rsidR="0025400C" w:rsidRPr="003E471B" w14:paraId="2D323C37"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3022415C" w14:textId="77777777" w:rsidR="0025400C" w:rsidRPr="003E471B" w:rsidRDefault="0025400C" w:rsidP="00E26E55">
            <w:pPr>
              <w:rPr>
                <w:rFonts w:ascii="Arial Narrow" w:hAnsi="Arial Narrow"/>
                <w:color w:val="000000"/>
                <w:sz w:val="20"/>
                <w:szCs w:val="20"/>
              </w:rPr>
            </w:pPr>
            <w:r w:rsidRPr="003E471B">
              <w:rPr>
                <w:rFonts w:ascii="Arial Narrow" w:hAnsi="Arial Narrow"/>
                <w:b/>
                <w:bCs/>
                <w:color w:val="000000"/>
                <w:sz w:val="20"/>
                <w:szCs w:val="20"/>
              </w:rPr>
              <w:t>Clinical criteria:</w:t>
            </w:r>
          </w:p>
        </w:tc>
      </w:tr>
      <w:tr w:rsidR="0025400C" w:rsidRPr="003E471B" w14:paraId="69DD2262"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7B3CE2FE" w14:textId="77777777" w:rsidR="0025400C" w:rsidRPr="003E471B" w:rsidRDefault="0025400C" w:rsidP="00E26E55">
            <w:pPr>
              <w:rPr>
                <w:rFonts w:ascii="Arial Narrow" w:hAnsi="Arial Narrow" w:cs="Arial Narrow"/>
                <w:color w:val="000000"/>
                <w:sz w:val="20"/>
                <w:szCs w:val="20"/>
              </w:rPr>
            </w:pPr>
            <w:r w:rsidRPr="003E471B">
              <w:rPr>
                <w:rFonts w:ascii="Arial Narrow" w:hAnsi="Arial Narrow" w:cs="Arial Narrow"/>
                <w:color w:val="000000"/>
                <w:sz w:val="20"/>
                <w:szCs w:val="20"/>
              </w:rPr>
              <w:t>Patient must not have &gt; 15% blasts in the bone marrow or peripheral blood not attributable to any other cause than AML.</w:t>
            </w:r>
          </w:p>
        </w:tc>
      </w:tr>
      <w:tr w:rsidR="0025400C" w:rsidRPr="003E471B" w14:paraId="4A2B2C57"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637CEA08" w14:textId="77777777" w:rsidR="0025400C" w:rsidRPr="003E471B" w:rsidRDefault="0025400C" w:rsidP="00E26E55">
            <w:pPr>
              <w:rPr>
                <w:rFonts w:ascii="Arial Narrow" w:hAnsi="Arial Narrow" w:cs="Arial Narrow"/>
                <w:color w:val="000000"/>
                <w:sz w:val="20"/>
                <w:szCs w:val="20"/>
              </w:rPr>
            </w:pPr>
            <w:r w:rsidRPr="003E471B">
              <w:rPr>
                <w:rFonts w:ascii="Arial Narrow" w:hAnsi="Arial Narrow"/>
                <w:b/>
                <w:bCs/>
                <w:color w:val="000000"/>
                <w:sz w:val="20"/>
                <w:szCs w:val="20"/>
              </w:rPr>
              <w:t>AND</w:t>
            </w:r>
          </w:p>
        </w:tc>
      </w:tr>
      <w:tr w:rsidR="0025400C" w:rsidRPr="003E471B" w14:paraId="3DAC86A7"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550F3F9" w14:textId="77777777" w:rsidR="0025400C" w:rsidRPr="003E471B" w:rsidRDefault="0025400C" w:rsidP="00E26E55">
            <w:pPr>
              <w:rPr>
                <w:rFonts w:ascii="Arial Narrow" w:hAnsi="Arial Narrow" w:cs="Arial Narrow"/>
                <w:color w:val="000000"/>
                <w:sz w:val="20"/>
                <w:szCs w:val="20"/>
              </w:rPr>
            </w:pPr>
            <w:r w:rsidRPr="003E471B">
              <w:rPr>
                <w:rFonts w:ascii="Arial Narrow" w:hAnsi="Arial Narrow"/>
                <w:b/>
                <w:bCs/>
                <w:color w:val="000000"/>
                <w:sz w:val="20"/>
                <w:szCs w:val="20"/>
              </w:rPr>
              <w:t>Clinical criteria:</w:t>
            </w:r>
          </w:p>
        </w:tc>
      </w:tr>
      <w:tr w:rsidR="0025400C" w:rsidRPr="003E471B" w14:paraId="59F68062"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1EB67D6D" w14:textId="77777777" w:rsidR="0025400C" w:rsidRPr="003E471B" w:rsidRDefault="0025400C" w:rsidP="00E26E55">
            <w:pPr>
              <w:rPr>
                <w:rFonts w:ascii="Arial Narrow" w:hAnsi="Arial Narrow" w:cs="Arial Narrow"/>
                <w:color w:val="000000"/>
                <w:sz w:val="20"/>
                <w:szCs w:val="20"/>
              </w:rPr>
            </w:pPr>
            <w:r w:rsidRPr="003E471B">
              <w:rPr>
                <w:rFonts w:ascii="Arial Narrow" w:hAnsi="Arial Narrow" w:cs="Arial Narrow"/>
                <w:color w:val="000000"/>
                <w:sz w:val="20"/>
                <w:szCs w:val="20"/>
              </w:rPr>
              <w:t>Patient must not be receiving concomitant PBS-subsidised midostaurin.</w:t>
            </w:r>
          </w:p>
        </w:tc>
      </w:tr>
      <w:tr w:rsidR="0025400C" w:rsidRPr="003E471B" w14:paraId="2C4225E9"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60A81BDF" w14:textId="77777777" w:rsidR="0025400C" w:rsidRPr="003E471B" w:rsidRDefault="0025400C" w:rsidP="00E26E55">
            <w:pPr>
              <w:rPr>
                <w:rFonts w:ascii="Arial Narrow" w:hAnsi="Arial Narrow"/>
                <w:b/>
                <w:bCs/>
                <w:color w:val="000000"/>
                <w:sz w:val="20"/>
                <w:szCs w:val="20"/>
              </w:rPr>
            </w:pPr>
            <w:r w:rsidRPr="003E471B">
              <w:rPr>
                <w:rFonts w:ascii="Arial Narrow" w:hAnsi="Arial Narrow" w:cs="Calibri"/>
                <w:b/>
                <w:bCs/>
                <w:color w:val="000000"/>
                <w:sz w:val="20"/>
                <w:szCs w:val="20"/>
              </w:rPr>
              <w:t>Administrative Advice:</w:t>
            </w:r>
            <w:r w:rsidRPr="003E471B">
              <w:rPr>
                <w:rFonts w:ascii="Arial Narrow" w:hAnsi="Arial Narrow" w:cs="Calibri"/>
                <w:color w:val="000000"/>
                <w:sz w:val="20"/>
                <w:szCs w:val="20"/>
              </w:rPr>
              <w:t xml:space="preserve"> No increase in the maximum quantity or number of units may be authorised.</w:t>
            </w:r>
          </w:p>
        </w:tc>
      </w:tr>
      <w:tr w:rsidR="0025400C" w:rsidRPr="003E471B" w14:paraId="404DC4B0"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00B524B4" w14:textId="77777777" w:rsidR="0025400C" w:rsidRPr="003E471B" w:rsidRDefault="0025400C" w:rsidP="00E26E55">
            <w:pPr>
              <w:rPr>
                <w:rFonts w:ascii="Arial Narrow" w:hAnsi="Arial Narrow"/>
                <w:b/>
                <w:bCs/>
                <w:color w:val="000000"/>
                <w:sz w:val="20"/>
                <w:szCs w:val="20"/>
              </w:rPr>
            </w:pPr>
            <w:r w:rsidRPr="003E471B">
              <w:rPr>
                <w:rFonts w:ascii="Arial Narrow" w:hAnsi="Arial Narrow"/>
                <w:b/>
                <w:bCs/>
                <w:color w:val="000000"/>
                <w:sz w:val="20"/>
                <w:szCs w:val="20"/>
              </w:rPr>
              <w:t xml:space="preserve">Administrative Advice: </w:t>
            </w:r>
            <w:r w:rsidRPr="003E471B">
              <w:rPr>
                <w:rFonts w:ascii="Arial Narrow" w:hAnsi="Arial Narrow"/>
                <w:color w:val="000000"/>
                <w:sz w:val="20"/>
                <w:szCs w:val="20"/>
              </w:rPr>
              <w:t>No increase in the maximum number of repeats may be authorised.</w:t>
            </w:r>
          </w:p>
        </w:tc>
      </w:tr>
      <w:tr w:rsidR="0025400C" w:rsidRPr="003E471B" w14:paraId="6DEE0510"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027F6FBB" w14:textId="77777777" w:rsidR="0025400C" w:rsidRPr="003E471B" w:rsidRDefault="0025400C" w:rsidP="00E26E55">
            <w:pPr>
              <w:rPr>
                <w:rFonts w:ascii="Arial Narrow" w:hAnsi="Arial Narrow"/>
                <w:b/>
                <w:bCs/>
                <w:color w:val="000000"/>
                <w:sz w:val="20"/>
                <w:szCs w:val="20"/>
              </w:rPr>
            </w:pPr>
            <w:r w:rsidRPr="003E471B">
              <w:rPr>
                <w:rFonts w:ascii="Arial Narrow" w:hAnsi="Arial Narrow"/>
                <w:b/>
                <w:bCs/>
                <w:color w:val="000000"/>
                <w:sz w:val="20"/>
                <w:szCs w:val="20"/>
              </w:rPr>
              <w:t xml:space="preserve">Administrative Advice: </w:t>
            </w:r>
            <w:r w:rsidRPr="003E471B">
              <w:rPr>
                <w:rFonts w:ascii="Arial Narrow" w:hAnsi="Arial Narrow"/>
                <w:color w:val="000000"/>
                <w:sz w:val="20"/>
                <w:szCs w:val="20"/>
              </w:rPr>
              <w:t>Special Pricing Arrangements apply.</w:t>
            </w:r>
          </w:p>
        </w:tc>
      </w:tr>
      <w:tr w:rsidR="0025400C" w:rsidRPr="003E471B" w14:paraId="7D485E1B"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F45367E" w14:textId="77777777" w:rsidR="0025400C" w:rsidRPr="003E471B" w:rsidRDefault="0025400C" w:rsidP="00E26E55">
            <w:pPr>
              <w:rPr>
                <w:rFonts w:ascii="Arial Narrow" w:hAnsi="Arial Narrow"/>
                <w:b/>
                <w:bCs/>
                <w:color w:val="000000"/>
                <w:sz w:val="20"/>
                <w:szCs w:val="20"/>
              </w:rPr>
            </w:pPr>
            <w:r w:rsidRPr="003E471B">
              <w:rPr>
                <w:rFonts w:ascii="Arial Narrow" w:hAnsi="Arial Narrow"/>
                <w:b/>
                <w:bCs/>
                <w:color w:val="000000"/>
                <w:sz w:val="20"/>
                <w:szCs w:val="20"/>
              </w:rPr>
              <w:t xml:space="preserve">Caution: </w:t>
            </w:r>
            <w:r w:rsidRPr="003E471B">
              <w:rPr>
                <w:rFonts w:ascii="Arial Narrow" w:hAnsi="Arial Narrow"/>
                <w:color w:val="000000"/>
                <w:sz w:val="20"/>
                <w:szCs w:val="20"/>
              </w:rPr>
              <w:t>Oral azacitidine should not be used interchangeably with injectable azacitidine due to differences in the exposure, dose and schedule of treatment.</w:t>
            </w:r>
          </w:p>
        </w:tc>
      </w:tr>
      <w:tr w:rsidR="0025400C" w:rsidRPr="003E471B" w14:paraId="636FA3BB"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C4F25F2" w14:textId="77777777" w:rsidR="0025400C" w:rsidRPr="003E471B" w:rsidRDefault="0025400C" w:rsidP="00E26E55">
            <w:pPr>
              <w:rPr>
                <w:rFonts w:ascii="Arial Narrow" w:hAnsi="Arial Narrow"/>
                <w:bCs/>
                <w:color w:val="000000"/>
                <w:sz w:val="20"/>
                <w:szCs w:val="20"/>
              </w:rPr>
            </w:pPr>
            <w:r w:rsidRPr="003E471B">
              <w:rPr>
                <w:rFonts w:ascii="Arial Narrow" w:hAnsi="Arial Narrow"/>
                <w:b/>
                <w:bCs/>
                <w:color w:val="000000"/>
                <w:sz w:val="20"/>
                <w:szCs w:val="20"/>
              </w:rPr>
              <w:t>Caution:</w:t>
            </w:r>
            <w:r w:rsidRPr="003E471B">
              <w:rPr>
                <w:rFonts w:ascii="Arial Narrow" w:hAnsi="Arial Narrow"/>
                <w:sz w:val="20"/>
                <w:szCs w:val="20"/>
              </w:rPr>
              <w:t xml:space="preserve"> </w:t>
            </w:r>
            <w:r w:rsidRPr="003E471B">
              <w:rPr>
                <w:rFonts w:ascii="Arial Narrow" w:hAnsi="Arial Narrow"/>
                <w:color w:val="000000"/>
                <w:sz w:val="20"/>
                <w:szCs w:val="20"/>
              </w:rPr>
              <w:t>This is a category X drug and must not be given to pregnant women. Pregnancy must be avoided during treatment and for at least 6 months following cessation of therapy.</w:t>
            </w:r>
          </w:p>
        </w:tc>
      </w:tr>
    </w:tbl>
    <w:p w14:paraId="4CE92F93" w14:textId="77777777" w:rsidR="0025400C" w:rsidRPr="003E471B" w:rsidRDefault="0025400C" w:rsidP="0025400C">
      <w:pPr>
        <w:pStyle w:val="Caption"/>
        <w:rPr>
          <w:rFonts w:ascii="Arial Narrow" w:hAnsi="Arial Narrow"/>
          <w:sz w:val="20"/>
          <w:szCs w:val="20"/>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134"/>
        <w:gridCol w:w="992"/>
        <w:gridCol w:w="992"/>
        <w:gridCol w:w="1134"/>
        <w:gridCol w:w="2126"/>
      </w:tblGrid>
      <w:tr w:rsidR="0025400C" w:rsidRPr="003E471B" w14:paraId="23A764B8" w14:textId="77777777" w:rsidTr="00E26E55">
        <w:trPr>
          <w:cantSplit/>
          <w:trHeight w:val="20"/>
        </w:trPr>
        <w:tc>
          <w:tcPr>
            <w:tcW w:w="2689" w:type="dxa"/>
            <w:vAlign w:val="center"/>
          </w:tcPr>
          <w:p w14:paraId="28D2F0CC" w14:textId="77777777" w:rsidR="0025400C" w:rsidRPr="003E471B" w:rsidRDefault="0025400C" w:rsidP="00E26E55">
            <w:pPr>
              <w:keepLines/>
              <w:rPr>
                <w:rFonts w:ascii="Arial Narrow" w:hAnsi="Arial Narrow"/>
                <w:b/>
                <w:bCs/>
                <w:color w:val="000000"/>
                <w:sz w:val="20"/>
                <w:szCs w:val="20"/>
              </w:rPr>
            </w:pPr>
            <w:r w:rsidRPr="003E471B">
              <w:rPr>
                <w:rFonts w:ascii="Arial Narrow" w:hAnsi="Arial Narrow"/>
                <w:b/>
                <w:bCs/>
                <w:color w:val="000000"/>
                <w:sz w:val="20"/>
                <w:szCs w:val="20"/>
              </w:rPr>
              <w:t>MEDICINAL PRODUCT</w:t>
            </w:r>
          </w:p>
          <w:p w14:paraId="3F6C8625" w14:textId="77777777" w:rsidR="0025400C" w:rsidRPr="003E471B" w:rsidRDefault="0025400C" w:rsidP="00E26E55">
            <w:pPr>
              <w:keepLines/>
              <w:rPr>
                <w:rFonts w:ascii="Arial Narrow" w:hAnsi="Arial Narrow"/>
                <w:b/>
                <w:color w:val="000000"/>
                <w:sz w:val="20"/>
                <w:szCs w:val="20"/>
              </w:rPr>
            </w:pPr>
            <w:r w:rsidRPr="003E471B">
              <w:rPr>
                <w:rFonts w:ascii="Arial Narrow" w:hAnsi="Arial Narrow"/>
                <w:b/>
                <w:bCs/>
                <w:color w:val="000000"/>
                <w:sz w:val="20"/>
                <w:szCs w:val="20"/>
              </w:rPr>
              <w:t>medicinal product pack</w:t>
            </w:r>
          </w:p>
        </w:tc>
        <w:tc>
          <w:tcPr>
            <w:tcW w:w="1134" w:type="dxa"/>
            <w:vAlign w:val="center"/>
          </w:tcPr>
          <w:p w14:paraId="41631095" w14:textId="77777777" w:rsidR="0025400C" w:rsidRPr="003E471B" w:rsidRDefault="0025400C" w:rsidP="00E26E55">
            <w:pPr>
              <w:keepLines/>
              <w:jc w:val="center"/>
              <w:rPr>
                <w:rFonts w:ascii="Arial Narrow" w:hAnsi="Arial Narrow"/>
                <w:b/>
                <w:color w:val="000000"/>
                <w:sz w:val="20"/>
                <w:szCs w:val="20"/>
              </w:rPr>
            </w:pPr>
            <w:r w:rsidRPr="003E471B">
              <w:rPr>
                <w:rFonts w:ascii="Arial Narrow" w:hAnsi="Arial Narrow"/>
                <w:b/>
                <w:color w:val="000000"/>
                <w:sz w:val="20"/>
                <w:szCs w:val="20"/>
              </w:rPr>
              <w:t>PBS item code</w:t>
            </w:r>
          </w:p>
        </w:tc>
        <w:tc>
          <w:tcPr>
            <w:tcW w:w="992" w:type="dxa"/>
            <w:vAlign w:val="center"/>
          </w:tcPr>
          <w:p w14:paraId="1080077D" w14:textId="77777777" w:rsidR="0025400C" w:rsidRPr="003E471B" w:rsidRDefault="0025400C" w:rsidP="00E26E55">
            <w:pPr>
              <w:keepLines/>
              <w:jc w:val="center"/>
              <w:rPr>
                <w:rFonts w:ascii="Arial Narrow" w:hAnsi="Arial Narrow"/>
                <w:b/>
                <w:color w:val="000000"/>
                <w:sz w:val="20"/>
                <w:szCs w:val="20"/>
              </w:rPr>
            </w:pPr>
            <w:r w:rsidRPr="003E471B">
              <w:rPr>
                <w:rFonts w:ascii="Arial Narrow" w:hAnsi="Arial Narrow"/>
                <w:b/>
                <w:color w:val="000000"/>
                <w:sz w:val="20"/>
                <w:szCs w:val="20"/>
              </w:rPr>
              <w:t>Max. qty packs</w:t>
            </w:r>
          </w:p>
        </w:tc>
        <w:tc>
          <w:tcPr>
            <w:tcW w:w="992" w:type="dxa"/>
            <w:vAlign w:val="center"/>
          </w:tcPr>
          <w:p w14:paraId="1AABF458" w14:textId="77777777" w:rsidR="0025400C" w:rsidRPr="003E471B" w:rsidRDefault="0025400C" w:rsidP="00E26E55">
            <w:pPr>
              <w:keepLines/>
              <w:jc w:val="center"/>
              <w:rPr>
                <w:rFonts w:ascii="Arial Narrow" w:hAnsi="Arial Narrow"/>
                <w:b/>
                <w:color w:val="000000"/>
                <w:sz w:val="20"/>
                <w:szCs w:val="20"/>
              </w:rPr>
            </w:pPr>
            <w:r w:rsidRPr="003E471B">
              <w:rPr>
                <w:rFonts w:ascii="Arial Narrow" w:hAnsi="Arial Narrow"/>
                <w:b/>
                <w:color w:val="000000"/>
                <w:sz w:val="20"/>
                <w:szCs w:val="20"/>
              </w:rPr>
              <w:t>Max. qty units</w:t>
            </w:r>
          </w:p>
        </w:tc>
        <w:tc>
          <w:tcPr>
            <w:tcW w:w="1134" w:type="dxa"/>
            <w:vAlign w:val="center"/>
          </w:tcPr>
          <w:p w14:paraId="51C994B5" w14:textId="77777777" w:rsidR="0025400C" w:rsidRPr="003E471B" w:rsidRDefault="0025400C" w:rsidP="00E26E55">
            <w:pPr>
              <w:keepLines/>
              <w:jc w:val="center"/>
              <w:rPr>
                <w:rFonts w:ascii="Arial Narrow" w:hAnsi="Arial Narrow"/>
                <w:b/>
                <w:color w:val="000000"/>
                <w:sz w:val="20"/>
                <w:szCs w:val="20"/>
              </w:rPr>
            </w:pPr>
            <w:r w:rsidRPr="003E471B">
              <w:rPr>
                <w:rFonts w:ascii="Arial Narrow" w:hAnsi="Arial Narrow"/>
                <w:b/>
                <w:color w:val="000000"/>
                <w:sz w:val="20"/>
                <w:szCs w:val="20"/>
              </w:rPr>
              <w:t>№.</w:t>
            </w:r>
            <w:r>
              <w:rPr>
                <w:rFonts w:ascii="Arial Narrow" w:hAnsi="Arial Narrow"/>
                <w:b/>
                <w:color w:val="000000"/>
                <w:sz w:val="20"/>
                <w:szCs w:val="20"/>
              </w:rPr>
              <w:t xml:space="preserve"> </w:t>
            </w:r>
            <w:r w:rsidRPr="003E471B">
              <w:rPr>
                <w:rFonts w:ascii="Arial Narrow" w:hAnsi="Arial Narrow"/>
                <w:b/>
                <w:color w:val="000000"/>
                <w:sz w:val="20"/>
                <w:szCs w:val="20"/>
              </w:rPr>
              <w:t>of</w:t>
            </w:r>
          </w:p>
          <w:p w14:paraId="3D5ABB32" w14:textId="77777777" w:rsidR="0025400C" w:rsidRPr="003E471B" w:rsidRDefault="0025400C" w:rsidP="00E26E55">
            <w:pPr>
              <w:keepLines/>
              <w:jc w:val="center"/>
              <w:rPr>
                <w:rFonts w:ascii="Arial Narrow" w:hAnsi="Arial Narrow"/>
                <w:b/>
                <w:color w:val="000000"/>
                <w:sz w:val="20"/>
                <w:szCs w:val="20"/>
              </w:rPr>
            </w:pPr>
            <w:r w:rsidRPr="003E471B">
              <w:rPr>
                <w:rFonts w:ascii="Arial Narrow" w:hAnsi="Arial Narrow"/>
                <w:b/>
                <w:color w:val="000000"/>
                <w:sz w:val="20"/>
                <w:szCs w:val="20"/>
              </w:rPr>
              <w:t>Rpts</w:t>
            </w:r>
          </w:p>
        </w:tc>
        <w:tc>
          <w:tcPr>
            <w:tcW w:w="2126" w:type="dxa"/>
            <w:vAlign w:val="center"/>
          </w:tcPr>
          <w:p w14:paraId="5CCC4607" w14:textId="77777777" w:rsidR="0025400C" w:rsidRPr="003E471B" w:rsidRDefault="0025400C" w:rsidP="00E26E55">
            <w:pPr>
              <w:keepLines/>
              <w:rPr>
                <w:rFonts w:ascii="Arial Narrow" w:hAnsi="Arial Narrow"/>
                <w:b/>
                <w:color w:val="000000"/>
                <w:sz w:val="20"/>
                <w:szCs w:val="20"/>
                <w:lang w:val="fr-FR"/>
              </w:rPr>
            </w:pPr>
            <w:r w:rsidRPr="003E471B">
              <w:rPr>
                <w:rFonts w:ascii="Arial Narrow" w:hAnsi="Arial Narrow"/>
                <w:b/>
                <w:color w:val="000000"/>
                <w:sz w:val="20"/>
                <w:szCs w:val="20"/>
              </w:rPr>
              <w:t>Available brands</w:t>
            </w:r>
          </w:p>
        </w:tc>
      </w:tr>
      <w:tr w:rsidR="0025400C" w:rsidRPr="003E471B" w14:paraId="249653FC" w14:textId="77777777" w:rsidTr="00E26E55">
        <w:trPr>
          <w:cantSplit/>
          <w:trHeight w:val="20"/>
        </w:trPr>
        <w:tc>
          <w:tcPr>
            <w:tcW w:w="9067" w:type="dxa"/>
            <w:gridSpan w:val="6"/>
            <w:vAlign w:val="center"/>
          </w:tcPr>
          <w:p w14:paraId="67CFA914" w14:textId="77777777" w:rsidR="0025400C" w:rsidRPr="003E471B" w:rsidRDefault="0025400C" w:rsidP="00E26E55">
            <w:pPr>
              <w:keepLines/>
              <w:rPr>
                <w:rFonts w:ascii="Arial Narrow" w:hAnsi="Arial Narrow"/>
                <w:color w:val="000000"/>
                <w:sz w:val="20"/>
                <w:szCs w:val="20"/>
              </w:rPr>
            </w:pPr>
            <w:r w:rsidRPr="003E471B">
              <w:rPr>
                <w:rFonts w:ascii="Arial Narrow" w:hAnsi="Arial Narrow"/>
                <w:color w:val="000000"/>
                <w:sz w:val="20"/>
                <w:szCs w:val="20"/>
              </w:rPr>
              <w:t>AZACITIDINE</w:t>
            </w:r>
          </w:p>
        </w:tc>
      </w:tr>
      <w:tr w:rsidR="0025400C" w:rsidRPr="003E471B" w14:paraId="35CED82B" w14:textId="77777777" w:rsidTr="00E26E55">
        <w:trPr>
          <w:cantSplit/>
          <w:trHeight w:val="20"/>
        </w:trPr>
        <w:tc>
          <w:tcPr>
            <w:tcW w:w="2689" w:type="dxa"/>
            <w:vAlign w:val="center"/>
          </w:tcPr>
          <w:p w14:paraId="3620BDB8" w14:textId="77777777" w:rsidR="0025400C" w:rsidRPr="003E471B" w:rsidRDefault="0025400C" w:rsidP="00E26E55">
            <w:pPr>
              <w:keepLines/>
              <w:rPr>
                <w:rFonts w:ascii="Arial Narrow" w:hAnsi="Arial Narrow"/>
                <w:color w:val="000000"/>
                <w:sz w:val="20"/>
                <w:szCs w:val="20"/>
              </w:rPr>
            </w:pPr>
            <w:r w:rsidRPr="003E471B">
              <w:rPr>
                <w:rFonts w:ascii="Arial Narrow" w:hAnsi="Arial Narrow"/>
                <w:color w:val="000000"/>
                <w:sz w:val="20"/>
                <w:szCs w:val="20"/>
              </w:rPr>
              <w:t>azacitidine 300 mg tablet, 7</w:t>
            </w:r>
          </w:p>
        </w:tc>
        <w:tc>
          <w:tcPr>
            <w:tcW w:w="1134" w:type="dxa"/>
            <w:vAlign w:val="center"/>
          </w:tcPr>
          <w:p w14:paraId="211B0726" w14:textId="77777777" w:rsidR="0025400C" w:rsidRPr="003E471B" w:rsidRDefault="0025400C" w:rsidP="00E26E55">
            <w:pPr>
              <w:keepLines/>
              <w:jc w:val="center"/>
              <w:rPr>
                <w:rFonts w:ascii="Arial Narrow" w:hAnsi="Arial Narrow"/>
                <w:color w:val="000000"/>
                <w:sz w:val="20"/>
                <w:szCs w:val="20"/>
              </w:rPr>
            </w:pPr>
            <w:r w:rsidRPr="003E471B">
              <w:rPr>
                <w:rFonts w:ascii="Arial Narrow" w:hAnsi="Arial Narrow"/>
                <w:color w:val="000000"/>
                <w:sz w:val="20"/>
                <w:szCs w:val="20"/>
              </w:rPr>
              <w:t>NEW</w:t>
            </w:r>
          </w:p>
        </w:tc>
        <w:tc>
          <w:tcPr>
            <w:tcW w:w="992" w:type="dxa"/>
            <w:vAlign w:val="center"/>
          </w:tcPr>
          <w:p w14:paraId="24EE0556" w14:textId="77777777" w:rsidR="0025400C" w:rsidRPr="003E471B" w:rsidRDefault="0025400C" w:rsidP="00E26E55">
            <w:pPr>
              <w:keepLines/>
              <w:jc w:val="center"/>
              <w:rPr>
                <w:rFonts w:ascii="Arial Narrow" w:hAnsi="Arial Narrow"/>
                <w:color w:val="000000"/>
                <w:sz w:val="20"/>
                <w:szCs w:val="20"/>
              </w:rPr>
            </w:pPr>
            <w:r w:rsidRPr="003E471B">
              <w:rPr>
                <w:rFonts w:ascii="Arial Narrow" w:hAnsi="Arial Narrow"/>
                <w:color w:val="000000"/>
                <w:sz w:val="20"/>
                <w:szCs w:val="20"/>
              </w:rPr>
              <w:t>3</w:t>
            </w:r>
          </w:p>
        </w:tc>
        <w:tc>
          <w:tcPr>
            <w:tcW w:w="992" w:type="dxa"/>
            <w:vAlign w:val="center"/>
          </w:tcPr>
          <w:p w14:paraId="5A4F877C" w14:textId="77777777" w:rsidR="0025400C" w:rsidRPr="003E471B" w:rsidRDefault="0025400C" w:rsidP="00E26E55">
            <w:pPr>
              <w:keepLines/>
              <w:jc w:val="center"/>
              <w:rPr>
                <w:rFonts w:ascii="Arial Narrow" w:hAnsi="Arial Narrow"/>
                <w:color w:val="000000"/>
                <w:sz w:val="20"/>
                <w:szCs w:val="20"/>
              </w:rPr>
            </w:pPr>
            <w:r w:rsidRPr="003E471B">
              <w:rPr>
                <w:rFonts w:ascii="Arial Narrow" w:hAnsi="Arial Narrow"/>
                <w:color w:val="000000"/>
                <w:sz w:val="20"/>
                <w:szCs w:val="20"/>
              </w:rPr>
              <w:t>21</w:t>
            </w:r>
          </w:p>
        </w:tc>
        <w:tc>
          <w:tcPr>
            <w:tcW w:w="1134" w:type="dxa"/>
            <w:vAlign w:val="center"/>
          </w:tcPr>
          <w:p w14:paraId="380D98AF" w14:textId="77777777" w:rsidR="0025400C" w:rsidRPr="003E471B" w:rsidRDefault="0025400C" w:rsidP="00E26E55">
            <w:pPr>
              <w:keepLines/>
              <w:jc w:val="center"/>
              <w:rPr>
                <w:rFonts w:ascii="Arial Narrow" w:hAnsi="Arial Narrow"/>
                <w:color w:val="000000"/>
                <w:sz w:val="20"/>
                <w:szCs w:val="20"/>
              </w:rPr>
            </w:pPr>
            <w:r w:rsidRPr="003E471B">
              <w:rPr>
                <w:rFonts w:ascii="Arial Narrow" w:hAnsi="Arial Narrow"/>
                <w:color w:val="000000"/>
                <w:sz w:val="20"/>
                <w:szCs w:val="20"/>
              </w:rPr>
              <w:t>1</w:t>
            </w:r>
          </w:p>
        </w:tc>
        <w:tc>
          <w:tcPr>
            <w:tcW w:w="2126" w:type="dxa"/>
            <w:vAlign w:val="center"/>
          </w:tcPr>
          <w:p w14:paraId="7CA735FB" w14:textId="77777777" w:rsidR="0025400C" w:rsidRPr="003E471B" w:rsidRDefault="0025400C" w:rsidP="00E26E55">
            <w:pPr>
              <w:keepLines/>
              <w:rPr>
                <w:rFonts w:ascii="Arial Narrow" w:hAnsi="Arial Narrow"/>
                <w:color w:val="000000"/>
                <w:sz w:val="20"/>
                <w:szCs w:val="20"/>
              </w:rPr>
            </w:pPr>
            <w:r w:rsidRPr="003E471B">
              <w:rPr>
                <w:rFonts w:ascii="Arial Narrow" w:hAnsi="Arial Narrow"/>
                <w:color w:val="000000"/>
                <w:sz w:val="20"/>
                <w:szCs w:val="20"/>
              </w:rPr>
              <w:t>Onureg</w:t>
            </w:r>
          </w:p>
        </w:tc>
      </w:tr>
      <w:tr w:rsidR="0025400C" w:rsidRPr="003E471B" w14:paraId="6978EAAD" w14:textId="66F3A279"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B47B85F" w14:textId="1046088D" w:rsidR="0025400C" w:rsidRPr="003E471B" w:rsidRDefault="0025400C" w:rsidP="00E26E55">
            <w:pPr>
              <w:keepNext/>
              <w:keepLines/>
              <w:rPr>
                <w:rFonts w:ascii="Arial Narrow" w:hAnsi="Arial Narrow"/>
                <w:b/>
                <w:bCs/>
                <w:color w:val="000000"/>
                <w:sz w:val="20"/>
                <w:szCs w:val="20"/>
              </w:rPr>
            </w:pPr>
          </w:p>
        </w:tc>
      </w:tr>
      <w:tr w:rsidR="0025400C" w:rsidRPr="003E471B" w14:paraId="696BDEE5"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5ECFEAB4" w14:textId="77777777" w:rsidR="0025400C" w:rsidRPr="003E471B" w:rsidRDefault="0025400C" w:rsidP="00E26E55">
            <w:pPr>
              <w:keepNext/>
              <w:keepLines/>
              <w:rPr>
                <w:rFonts w:ascii="Arial Narrow" w:hAnsi="Arial Narrow"/>
                <w:color w:val="000000"/>
                <w:sz w:val="20"/>
                <w:szCs w:val="20"/>
              </w:rPr>
            </w:pPr>
            <w:r w:rsidRPr="003E471B">
              <w:rPr>
                <w:rFonts w:ascii="Arial Narrow" w:hAnsi="Arial Narrow"/>
                <w:b/>
                <w:color w:val="000000"/>
                <w:sz w:val="20"/>
                <w:szCs w:val="20"/>
              </w:rPr>
              <w:t xml:space="preserve">Category / Program: </w:t>
            </w:r>
            <w:r w:rsidRPr="003E471B">
              <w:rPr>
                <w:rFonts w:ascii="Arial Narrow" w:hAnsi="Arial Narrow"/>
                <w:color w:val="000000"/>
                <w:sz w:val="20"/>
                <w:szCs w:val="20"/>
              </w:rPr>
              <w:t xml:space="preserve">GENERAL – General Schedule (Code GE) </w:t>
            </w:r>
          </w:p>
        </w:tc>
      </w:tr>
      <w:tr w:rsidR="0025400C" w:rsidRPr="003E471B" w14:paraId="076BE319"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6A52D96C" w14:textId="77777777" w:rsidR="0025400C" w:rsidRPr="003E471B" w:rsidRDefault="0025400C" w:rsidP="00E26E55">
            <w:pPr>
              <w:keepNext/>
              <w:keepLines/>
              <w:rPr>
                <w:rFonts w:ascii="Arial Narrow" w:hAnsi="Arial Narrow"/>
                <w:b/>
                <w:color w:val="000000"/>
                <w:sz w:val="20"/>
                <w:szCs w:val="20"/>
              </w:rPr>
            </w:pPr>
            <w:r w:rsidRPr="003E471B">
              <w:rPr>
                <w:rFonts w:ascii="Arial Narrow" w:hAnsi="Arial Narrow"/>
                <w:b/>
                <w:color w:val="000000"/>
                <w:sz w:val="20"/>
                <w:szCs w:val="20"/>
              </w:rPr>
              <w:t xml:space="preserve">Prescriber type: </w:t>
            </w:r>
            <w:r w:rsidRPr="003E471B">
              <w:rPr>
                <w:rFonts w:ascii="Arial Narrow" w:hAnsi="Arial Narrow"/>
                <w:color w:val="000000"/>
                <w:sz w:val="20"/>
                <w:szCs w:val="20"/>
              </w:rPr>
              <w:fldChar w:fldCharType="begin" w:fldLock="1">
                <w:ffData>
                  <w:name w:val=""/>
                  <w:enabled/>
                  <w:calcOnExit w:val="0"/>
                  <w:checkBox>
                    <w:sizeAuto/>
                    <w:default w:val="1"/>
                  </w:checkBox>
                </w:ffData>
              </w:fldChar>
            </w:r>
            <w:r w:rsidRPr="003E471B">
              <w:rPr>
                <w:rFonts w:ascii="Arial Narrow" w:hAnsi="Arial Narrow"/>
                <w:color w:val="000000"/>
                <w:sz w:val="20"/>
                <w:szCs w:val="20"/>
              </w:rPr>
              <w:instrText xml:space="preserve"> FORMCHECKBOX </w:instrText>
            </w:r>
            <w:r w:rsidR="00396D16">
              <w:rPr>
                <w:rFonts w:ascii="Arial Narrow" w:hAnsi="Arial Narrow"/>
                <w:color w:val="000000"/>
                <w:sz w:val="20"/>
                <w:szCs w:val="20"/>
              </w:rPr>
            </w:r>
            <w:r w:rsidR="00396D16">
              <w:rPr>
                <w:rFonts w:ascii="Arial Narrow" w:hAnsi="Arial Narrow"/>
                <w:color w:val="000000"/>
                <w:sz w:val="20"/>
                <w:szCs w:val="20"/>
              </w:rPr>
              <w:fldChar w:fldCharType="separate"/>
            </w:r>
            <w:r w:rsidRPr="003E471B">
              <w:rPr>
                <w:rFonts w:ascii="Arial Narrow" w:hAnsi="Arial Narrow"/>
                <w:color w:val="000000"/>
                <w:sz w:val="20"/>
                <w:szCs w:val="20"/>
              </w:rPr>
              <w:fldChar w:fldCharType="end"/>
            </w:r>
            <w:r w:rsidRPr="003E471B">
              <w:rPr>
                <w:rFonts w:ascii="Arial Narrow" w:hAnsi="Arial Narrow"/>
                <w:color w:val="000000"/>
                <w:sz w:val="20"/>
                <w:szCs w:val="20"/>
              </w:rPr>
              <w:t xml:space="preserve">Medical Practitioners </w:t>
            </w:r>
          </w:p>
        </w:tc>
      </w:tr>
      <w:tr w:rsidR="0025400C" w:rsidRPr="003E471B" w14:paraId="3814A778"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50F3E7E9" w14:textId="77777777" w:rsidR="0025400C" w:rsidRPr="003E471B" w:rsidRDefault="0025400C" w:rsidP="00E26E55">
            <w:pPr>
              <w:keepNext/>
              <w:keepLines/>
              <w:rPr>
                <w:rFonts w:ascii="Arial Narrow" w:hAnsi="Arial Narrow"/>
                <w:color w:val="000000"/>
                <w:sz w:val="20"/>
                <w:szCs w:val="20"/>
              </w:rPr>
            </w:pPr>
            <w:r w:rsidRPr="003E471B">
              <w:rPr>
                <w:rFonts w:ascii="Arial Narrow" w:hAnsi="Arial Narrow"/>
                <w:b/>
                <w:color w:val="000000"/>
                <w:sz w:val="20"/>
                <w:szCs w:val="20"/>
              </w:rPr>
              <w:t xml:space="preserve">Restriction type: </w:t>
            </w:r>
            <w:r w:rsidRPr="003E471B">
              <w:rPr>
                <w:rFonts w:ascii="Arial Narrow" w:hAnsi="Arial Narrow"/>
                <w:color w:val="000000"/>
                <w:sz w:val="20"/>
                <w:szCs w:val="20"/>
              </w:rPr>
              <w:fldChar w:fldCharType="begin" w:fldLock="1">
                <w:ffData>
                  <w:name w:val=""/>
                  <w:enabled/>
                  <w:calcOnExit w:val="0"/>
                  <w:checkBox>
                    <w:sizeAuto/>
                    <w:default w:val="1"/>
                  </w:checkBox>
                </w:ffData>
              </w:fldChar>
            </w:r>
            <w:r w:rsidRPr="003E471B">
              <w:rPr>
                <w:rFonts w:ascii="Arial Narrow" w:hAnsi="Arial Narrow"/>
                <w:color w:val="000000"/>
                <w:sz w:val="20"/>
                <w:szCs w:val="20"/>
              </w:rPr>
              <w:instrText xml:space="preserve"> FORMCHECKBOX </w:instrText>
            </w:r>
            <w:r w:rsidR="00396D16">
              <w:rPr>
                <w:rFonts w:ascii="Arial Narrow" w:hAnsi="Arial Narrow"/>
                <w:color w:val="000000"/>
                <w:sz w:val="20"/>
                <w:szCs w:val="20"/>
              </w:rPr>
            </w:r>
            <w:r w:rsidR="00396D16">
              <w:rPr>
                <w:rFonts w:ascii="Arial Narrow" w:hAnsi="Arial Narrow"/>
                <w:color w:val="000000"/>
                <w:sz w:val="20"/>
                <w:szCs w:val="20"/>
              </w:rPr>
              <w:fldChar w:fldCharType="separate"/>
            </w:r>
            <w:r w:rsidRPr="003E471B">
              <w:rPr>
                <w:rFonts w:ascii="Arial Narrow" w:hAnsi="Arial Narrow"/>
                <w:color w:val="000000"/>
                <w:sz w:val="20"/>
                <w:szCs w:val="20"/>
              </w:rPr>
              <w:fldChar w:fldCharType="end"/>
            </w:r>
            <w:r w:rsidRPr="003E471B">
              <w:rPr>
                <w:rFonts w:ascii="Arial Narrow" w:hAnsi="Arial Narrow"/>
                <w:color w:val="000000"/>
                <w:sz w:val="20"/>
                <w:szCs w:val="20"/>
              </w:rPr>
              <w:t xml:space="preserve">Authority Required – (Written) [new/existing code] </w:t>
            </w:r>
          </w:p>
        </w:tc>
      </w:tr>
      <w:tr w:rsidR="0025400C" w:rsidRPr="003E471B" w14:paraId="65B69EEE"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0B69678F" w14:textId="77777777" w:rsidR="0025400C" w:rsidRPr="003E471B" w:rsidRDefault="0025400C" w:rsidP="00E26E55">
            <w:pPr>
              <w:keepLines/>
              <w:rPr>
                <w:rFonts w:ascii="Arial Narrow" w:hAnsi="Arial Narrow"/>
                <w:b/>
                <w:bCs/>
                <w:color w:val="000000"/>
                <w:sz w:val="20"/>
                <w:szCs w:val="20"/>
              </w:rPr>
            </w:pPr>
            <w:r w:rsidRPr="003E471B">
              <w:rPr>
                <w:rFonts w:ascii="Arial Narrow" w:hAnsi="Arial Narrow"/>
                <w:b/>
                <w:bCs/>
                <w:color w:val="000000"/>
                <w:sz w:val="20"/>
                <w:szCs w:val="20"/>
              </w:rPr>
              <w:t xml:space="preserve">Condition: </w:t>
            </w:r>
            <w:r w:rsidRPr="003E471B">
              <w:rPr>
                <w:rFonts w:ascii="Arial Narrow" w:hAnsi="Arial Narrow"/>
                <w:bCs/>
                <w:color w:val="000000"/>
                <w:sz w:val="20"/>
                <w:szCs w:val="20"/>
              </w:rPr>
              <w:t>Acute Myeloid Leukaemia</w:t>
            </w:r>
          </w:p>
        </w:tc>
      </w:tr>
      <w:tr w:rsidR="0025400C" w:rsidRPr="003E471B" w14:paraId="44187273"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29FC0354" w14:textId="77777777" w:rsidR="0025400C" w:rsidRPr="003E471B" w:rsidRDefault="0025400C" w:rsidP="00E26E55">
            <w:pPr>
              <w:rPr>
                <w:rFonts w:ascii="Arial Narrow" w:hAnsi="Arial Narrow"/>
                <w:color w:val="000000"/>
                <w:sz w:val="20"/>
                <w:szCs w:val="20"/>
              </w:rPr>
            </w:pPr>
            <w:r w:rsidRPr="003E471B">
              <w:rPr>
                <w:rFonts w:ascii="Arial Narrow" w:hAnsi="Arial Narrow"/>
                <w:b/>
                <w:bCs/>
                <w:color w:val="000000"/>
                <w:sz w:val="20"/>
                <w:szCs w:val="20"/>
              </w:rPr>
              <w:t>Indication:</w:t>
            </w:r>
            <w:r w:rsidRPr="003E471B">
              <w:rPr>
                <w:rFonts w:ascii="Arial Narrow" w:hAnsi="Arial Narrow"/>
                <w:color w:val="000000"/>
                <w:sz w:val="20"/>
                <w:szCs w:val="20"/>
              </w:rPr>
              <w:t xml:space="preserve"> </w:t>
            </w:r>
            <w:r w:rsidRPr="003E471B">
              <w:rPr>
                <w:rFonts w:ascii="Arial Narrow" w:hAnsi="Arial Narrow"/>
                <w:bCs/>
                <w:color w:val="000000"/>
                <w:sz w:val="20"/>
                <w:szCs w:val="20"/>
              </w:rPr>
              <w:t>Acute Myeloid Leukaemia</w:t>
            </w:r>
          </w:p>
        </w:tc>
      </w:tr>
      <w:tr w:rsidR="0025400C" w:rsidRPr="003E471B" w14:paraId="7E2C9AD3"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78EB83CF" w14:textId="77777777" w:rsidR="0025400C" w:rsidRPr="003E471B" w:rsidRDefault="0025400C" w:rsidP="00E26E55">
            <w:pPr>
              <w:rPr>
                <w:rFonts w:ascii="Arial Narrow" w:hAnsi="Arial Narrow"/>
                <w:color w:val="000000"/>
                <w:sz w:val="20"/>
                <w:szCs w:val="20"/>
              </w:rPr>
            </w:pPr>
            <w:r w:rsidRPr="003E471B">
              <w:rPr>
                <w:rFonts w:ascii="Arial Narrow" w:hAnsi="Arial Narrow"/>
                <w:b/>
                <w:bCs/>
                <w:color w:val="000000"/>
                <w:sz w:val="20"/>
                <w:szCs w:val="20"/>
              </w:rPr>
              <w:t>Treatment Phase:</w:t>
            </w:r>
            <w:r w:rsidRPr="003E471B">
              <w:rPr>
                <w:rFonts w:ascii="Arial Narrow" w:hAnsi="Arial Narrow"/>
                <w:color w:val="000000"/>
                <w:sz w:val="20"/>
                <w:szCs w:val="20"/>
              </w:rPr>
              <w:t xml:space="preserve"> Dose escalation therapy – Continuing treatment</w:t>
            </w:r>
          </w:p>
        </w:tc>
      </w:tr>
      <w:tr w:rsidR="0025400C" w:rsidRPr="003E471B" w14:paraId="7E6B74DB"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103C8FF5" w14:textId="77777777" w:rsidR="0025400C" w:rsidRPr="003E471B" w:rsidRDefault="0025400C" w:rsidP="00E26E55">
            <w:pPr>
              <w:rPr>
                <w:rFonts w:ascii="Arial Narrow" w:hAnsi="Arial Narrow"/>
                <w:b/>
                <w:bCs/>
                <w:color w:val="000000"/>
                <w:sz w:val="20"/>
                <w:szCs w:val="20"/>
              </w:rPr>
            </w:pPr>
            <w:r w:rsidRPr="003E471B">
              <w:rPr>
                <w:rFonts w:ascii="Arial Narrow" w:hAnsi="Arial Narrow"/>
                <w:b/>
                <w:bCs/>
                <w:color w:val="000000"/>
                <w:sz w:val="20"/>
                <w:szCs w:val="20"/>
              </w:rPr>
              <w:t>Clinical criteria:</w:t>
            </w:r>
          </w:p>
        </w:tc>
      </w:tr>
      <w:tr w:rsidR="0025400C" w:rsidRPr="003E471B" w14:paraId="67BACF7C"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7B6EE101" w14:textId="77777777" w:rsidR="0025400C" w:rsidRPr="003E471B" w:rsidRDefault="0025400C" w:rsidP="00E26E55">
            <w:pPr>
              <w:rPr>
                <w:rFonts w:ascii="Arial Narrow" w:hAnsi="Arial Narrow" w:cs="Arial Narrow"/>
                <w:color w:val="000000"/>
                <w:sz w:val="20"/>
                <w:szCs w:val="20"/>
              </w:rPr>
            </w:pPr>
            <w:r w:rsidRPr="003E471B">
              <w:rPr>
                <w:rFonts w:ascii="Arial Narrow" w:hAnsi="Arial Narrow" w:cs="Arial Narrow"/>
                <w:color w:val="000000"/>
                <w:sz w:val="20"/>
                <w:szCs w:val="20"/>
              </w:rPr>
              <w:t>Patient must have previously received PBS-subsidised treatment with this drug for this condition,</w:t>
            </w:r>
          </w:p>
        </w:tc>
      </w:tr>
      <w:tr w:rsidR="0025400C" w:rsidRPr="003E471B" w14:paraId="6E0E4BE4"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04B6A616" w14:textId="77777777" w:rsidR="0025400C" w:rsidRPr="003E471B" w:rsidRDefault="0025400C" w:rsidP="00E26E55">
            <w:pPr>
              <w:rPr>
                <w:rFonts w:ascii="Arial Narrow" w:hAnsi="Arial Narrow"/>
                <w:color w:val="000000"/>
                <w:sz w:val="20"/>
                <w:szCs w:val="20"/>
              </w:rPr>
            </w:pPr>
            <w:r w:rsidRPr="003E471B">
              <w:rPr>
                <w:rFonts w:ascii="Arial Narrow" w:hAnsi="Arial Narrow"/>
                <w:b/>
                <w:bCs/>
                <w:color w:val="000000"/>
                <w:sz w:val="20"/>
                <w:szCs w:val="20"/>
              </w:rPr>
              <w:t>AND</w:t>
            </w:r>
          </w:p>
        </w:tc>
      </w:tr>
      <w:tr w:rsidR="0025400C" w:rsidRPr="003E471B" w14:paraId="67024876"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358268FB" w14:textId="77777777" w:rsidR="0025400C" w:rsidRPr="003E471B" w:rsidRDefault="0025400C" w:rsidP="00E26E55">
            <w:pPr>
              <w:rPr>
                <w:rFonts w:ascii="Arial Narrow" w:hAnsi="Arial Narrow"/>
                <w:color w:val="000000"/>
                <w:sz w:val="20"/>
                <w:szCs w:val="20"/>
              </w:rPr>
            </w:pPr>
            <w:r w:rsidRPr="003E471B">
              <w:rPr>
                <w:rFonts w:ascii="Arial Narrow" w:hAnsi="Arial Narrow"/>
                <w:b/>
                <w:bCs/>
                <w:color w:val="000000"/>
                <w:sz w:val="20"/>
                <w:szCs w:val="20"/>
              </w:rPr>
              <w:t>Clinical criteria:</w:t>
            </w:r>
          </w:p>
        </w:tc>
      </w:tr>
      <w:tr w:rsidR="0025400C" w:rsidRPr="003E471B" w14:paraId="494194CF"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DA2CA8E" w14:textId="77777777" w:rsidR="0025400C" w:rsidRPr="003E471B" w:rsidRDefault="0025400C" w:rsidP="00E26E55">
            <w:pPr>
              <w:rPr>
                <w:rFonts w:ascii="Arial Narrow" w:hAnsi="Arial Narrow"/>
                <w:color w:val="000000"/>
                <w:sz w:val="20"/>
                <w:szCs w:val="20"/>
              </w:rPr>
            </w:pPr>
            <w:r w:rsidRPr="003E471B">
              <w:rPr>
                <w:rFonts w:ascii="Arial Narrow" w:hAnsi="Arial Narrow"/>
                <w:color w:val="000000"/>
                <w:sz w:val="20"/>
                <w:szCs w:val="20"/>
              </w:rPr>
              <w:t>Patient must have 5% to 15% blasts in the peripheral blood or bone marrow in order to extend the dose schedule as per the TGA Product Information.</w:t>
            </w:r>
          </w:p>
        </w:tc>
      </w:tr>
      <w:tr w:rsidR="0025400C" w:rsidRPr="003E471B" w14:paraId="576F2D17"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73F6A043" w14:textId="77777777" w:rsidR="0025400C" w:rsidRPr="003E471B" w:rsidRDefault="0025400C" w:rsidP="00E26E55">
            <w:pPr>
              <w:rPr>
                <w:rFonts w:ascii="Arial Narrow" w:hAnsi="Arial Narrow"/>
                <w:color w:val="000000"/>
                <w:sz w:val="20"/>
                <w:szCs w:val="20"/>
              </w:rPr>
            </w:pPr>
            <w:r w:rsidRPr="003E471B">
              <w:rPr>
                <w:rFonts w:ascii="Arial Narrow" w:hAnsi="Arial Narrow"/>
                <w:b/>
                <w:bCs/>
                <w:color w:val="000000"/>
                <w:sz w:val="20"/>
                <w:szCs w:val="20"/>
              </w:rPr>
              <w:t>AND</w:t>
            </w:r>
          </w:p>
        </w:tc>
      </w:tr>
      <w:tr w:rsidR="0025400C" w:rsidRPr="003E471B" w14:paraId="2897832A"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F21A3D8" w14:textId="77777777" w:rsidR="0025400C" w:rsidRPr="003E471B" w:rsidRDefault="0025400C" w:rsidP="00E26E55">
            <w:pPr>
              <w:rPr>
                <w:rFonts w:ascii="Arial Narrow" w:hAnsi="Arial Narrow" w:cs="Arial Narrow"/>
                <w:color w:val="000000"/>
                <w:sz w:val="20"/>
                <w:szCs w:val="20"/>
              </w:rPr>
            </w:pPr>
            <w:r w:rsidRPr="003E471B">
              <w:rPr>
                <w:rFonts w:ascii="Arial Narrow" w:hAnsi="Arial Narrow"/>
                <w:b/>
                <w:bCs/>
                <w:color w:val="000000"/>
                <w:sz w:val="20"/>
                <w:szCs w:val="20"/>
              </w:rPr>
              <w:t>Clinical criteria:</w:t>
            </w:r>
          </w:p>
        </w:tc>
      </w:tr>
      <w:tr w:rsidR="0025400C" w:rsidRPr="003E471B" w14:paraId="3FBCE1ED"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78FB919" w14:textId="77777777" w:rsidR="0025400C" w:rsidRPr="003E471B" w:rsidRDefault="0025400C" w:rsidP="00E26E55">
            <w:pPr>
              <w:rPr>
                <w:rFonts w:ascii="Arial Narrow" w:hAnsi="Arial Narrow" w:cs="Arial Narrow"/>
                <w:color w:val="000000"/>
                <w:sz w:val="20"/>
                <w:szCs w:val="20"/>
              </w:rPr>
            </w:pPr>
            <w:r w:rsidRPr="003E471B">
              <w:rPr>
                <w:rFonts w:ascii="Arial Narrow" w:hAnsi="Arial Narrow" w:cs="Arial Narrow"/>
                <w:color w:val="000000"/>
                <w:sz w:val="20"/>
                <w:szCs w:val="20"/>
              </w:rPr>
              <w:t>Patient must not be receiving concomitant PBS-subsidised midostaurin.</w:t>
            </w:r>
          </w:p>
        </w:tc>
      </w:tr>
      <w:tr w:rsidR="0025400C" w:rsidRPr="003E471B" w14:paraId="079DE7FB"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shd w:val="clear" w:color="auto" w:fill="auto"/>
            <w:vAlign w:val="center"/>
            <w:hideMark/>
          </w:tcPr>
          <w:p w14:paraId="4C3425E0" w14:textId="77777777" w:rsidR="0025400C" w:rsidRPr="003E471B" w:rsidRDefault="0025400C" w:rsidP="00E26E55">
            <w:pPr>
              <w:rPr>
                <w:rFonts w:ascii="Arial Narrow" w:hAnsi="Arial Narrow"/>
                <w:color w:val="000000"/>
                <w:sz w:val="20"/>
                <w:szCs w:val="20"/>
              </w:rPr>
            </w:pPr>
            <w:r w:rsidRPr="003E471B">
              <w:rPr>
                <w:rFonts w:ascii="Arial Narrow" w:hAnsi="Arial Narrow"/>
                <w:b/>
                <w:bCs/>
                <w:color w:val="000000"/>
                <w:sz w:val="20"/>
                <w:szCs w:val="20"/>
              </w:rPr>
              <w:t xml:space="preserve">Administrative Advice: </w:t>
            </w:r>
            <w:r w:rsidRPr="003E471B">
              <w:rPr>
                <w:rFonts w:ascii="Arial Narrow" w:hAnsi="Arial Narrow"/>
                <w:color w:val="000000"/>
                <w:sz w:val="20"/>
                <w:szCs w:val="20"/>
              </w:rPr>
              <w:t>No increase in the maximum number of repeats may be authorised.</w:t>
            </w:r>
          </w:p>
        </w:tc>
      </w:tr>
      <w:tr w:rsidR="0025400C" w:rsidRPr="003E471B" w14:paraId="5D92FFE4"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4FD94759" w14:textId="77777777" w:rsidR="0025400C" w:rsidRPr="003E471B" w:rsidRDefault="0025400C" w:rsidP="00E26E55">
            <w:pPr>
              <w:rPr>
                <w:rFonts w:ascii="Arial Narrow" w:hAnsi="Arial Narrow"/>
                <w:b/>
                <w:bCs/>
                <w:color w:val="000000"/>
                <w:sz w:val="20"/>
                <w:szCs w:val="20"/>
              </w:rPr>
            </w:pPr>
            <w:r w:rsidRPr="003E471B">
              <w:rPr>
                <w:rFonts w:ascii="Arial Narrow" w:hAnsi="Arial Narrow" w:cs="Calibri"/>
                <w:b/>
                <w:bCs/>
                <w:color w:val="000000"/>
                <w:sz w:val="20"/>
                <w:szCs w:val="20"/>
              </w:rPr>
              <w:t>Administrative Advice:</w:t>
            </w:r>
            <w:r w:rsidRPr="003E471B">
              <w:rPr>
                <w:rFonts w:ascii="Arial Narrow" w:hAnsi="Arial Narrow" w:cs="Calibri"/>
                <w:color w:val="000000"/>
                <w:sz w:val="20"/>
                <w:szCs w:val="20"/>
              </w:rPr>
              <w:t xml:space="preserve"> No increase in the maximum quantity or number of units may be authorised.</w:t>
            </w:r>
          </w:p>
        </w:tc>
      </w:tr>
      <w:tr w:rsidR="0025400C" w:rsidRPr="003E471B" w14:paraId="36D34D89"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6B6FB082" w14:textId="77777777" w:rsidR="0025400C" w:rsidRPr="003E471B" w:rsidRDefault="0025400C" w:rsidP="00E26E55">
            <w:pPr>
              <w:rPr>
                <w:rFonts w:ascii="Arial Narrow" w:hAnsi="Arial Narrow"/>
                <w:b/>
                <w:bCs/>
                <w:color w:val="000000"/>
                <w:sz w:val="20"/>
                <w:szCs w:val="20"/>
              </w:rPr>
            </w:pPr>
            <w:r w:rsidRPr="003E471B">
              <w:rPr>
                <w:rFonts w:ascii="Arial Narrow" w:hAnsi="Arial Narrow"/>
                <w:b/>
                <w:bCs/>
                <w:color w:val="000000"/>
                <w:sz w:val="20"/>
                <w:szCs w:val="20"/>
              </w:rPr>
              <w:t xml:space="preserve">Administrative Advice: </w:t>
            </w:r>
            <w:r w:rsidRPr="003E471B">
              <w:rPr>
                <w:rFonts w:ascii="Arial Narrow" w:hAnsi="Arial Narrow"/>
                <w:color w:val="000000"/>
                <w:sz w:val="20"/>
                <w:szCs w:val="20"/>
              </w:rPr>
              <w:t>Special Pricing Arrangements apply.</w:t>
            </w:r>
          </w:p>
        </w:tc>
      </w:tr>
      <w:tr w:rsidR="0025400C" w:rsidRPr="003E471B" w14:paraId="657711DD"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6352403B" w14:textId="77777777" w:rsidR="0025400C" w:rsidRPr="003E471B" w:rsidRDefault="0025400C" w:rsidP="00E26E55">
            <w:pPr>
              <w:rPr>
                <w:rFonts w:ascii="Arial Narrow" w:hAnsi="Arial Narrow"/>
                <w:b/>
                <w:bCs/>
                <w:color w:val="000000"/>
                <w:sz w:val="20"/>
                <w:szCs w:val="20"/>
              </w:rPr>
            </w:pPr>
            <w:r w:rsidRPr="003E471B">
              <w:rPr>
                <w:rFonts w:ascii="Arial Narrow" w:hAnsi="Arial Narrow"/>
                <w:b/>
                <w:bCs/>
                <w:color w:val="000000"/>
                <w:sz w:val="20"/>
                <w:szCs w:val="20"/>
              </w:rPr>
              <w:t xml:space="preserve">Caution: </w:t>
            </w:r>
            <w:r w:rsidRPr="003E471B">
              <w:rPr>
                <w:rFonts w:ascii="Arial Narrow" w:hAnsi="Arial Narrow"/>
                <w:color w:val="000000"/>
                <w:sz w:val="20"/>
                <w:szCs w:val="20"/>
              </w:rPr>
              <w:t>Oral azacitidine should not be used interchangeably with injectable azacitidine due to differences in the exposure, dose and schedule of treatment.</w:t>
            </w:r>
          </w:p>
        </w:tc>
      </w:tr>
      <w:tr w:rsidR="0025400C" w:rsidRPr="003E471B" w14:paraId="13389947" w14:textId="77777777" w:rsidTr="00E26E55">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23F543D9" w14:textId="77777777" w:rsidR="0025400C" w:rsidRPr="003E471B" w:rsidRDefault="0025400C" w:rsidP="00E26E55">
            <w:pPr>
              <w:rPr>
                <w:rFonts w:ascii="Arial Narrow" w:hAnsi="Arial Narrow"/>
                <w:bCs/>
                <w:color w:val="000000"/>
                <w:sz w:val="20"/>
                <w:szCs w:val="20"/>
              </w:rPr>
            </w:pPr>
            <w:r w:rsidRPr="003E471B">
              <w:rPr>
                <w:rFonts w:ascii="Arial Narrow" w:hAnsi="Arial Narrow"/>
                <w:b/>
                <w:bCs/>
                <w:color w:val="000000"/>
                <w:sz w:val="20"/>
                <w:szCs w:val="20"/>
              </w:rPr>
              <w:t>Caution:</w:t>
            </w:r>
            <w:r w:rsidRPr="003E471B">
              <w:rPr>
                <w:rFonts w:ascii="Arial Narrow" w:hAnsi="Arial Narrow"/>
                <w:sz w:val="20"/>
                <w:szCs w:val="20"/>
              </w:rPr>
              <w:t xml:space="preserve"> </w:t>
            </w:r>
            <w:r w:rsidRPr="003E471B">
              <w:rPr>
                <w:rFonts w:ascii="Arial Narrow" w:hAnsi="Arial Narrow"/>
                <w:color w:val="000000"/>
                <w:sz w:val="20"/>
                <w:szCs w:val="20"/>
              </w:rPr>
              <w:t>This is a category X drug and must not be given to pregnant women. Pregnancy must be avoided during treatment and for at least 6 months following cessation of therapy.</w:t>
            </w:r>
          </w:p>
        </w:tc>
      </w:tr>
    </w:tbl>
    <w:p w14:paraId="7D5CEA2B" w14:textId="77777777" w:rsidR="0025400C" w:rsidRPr="007E2C1A" w:rsidRDefault="0025400C" w:rsidP="0025400C"/>
    <w:p w14:paraId="7090685B" w14:textId="5C58B232" w:rsidR="0025400C" w:rsidRPr="0083099F" w:rsidRDefault="0025400C" w:rsidP="0025400C">
      <w:pPr>
        <w:pStyle w:val="3-BodyText"/>
        <w:rPr>
          <w:rFonts w:ascii="Calibri" w:hAnsi="Calibri"/>
        </w:rPr>
      </w:pPr>
      <w:r>
        <w:t xml:space="preserve">As advised by the PBAC in July 2022, the resubmission proposed a separate restriction for dose escalation </w:t>
      </w:r>
      <w:r w:rsidRPr="00092738">
        <w:t>to ensure oral azacitidine is used as a continuing therapy (not an initial therapy) in this context</w:t>
      </w:r>
      <w:r>
        <w:t xml:space="preserve"> (paragraph 7.5, azacitidine </w:t>
      </w:r>
      <w:r w:rsidR="001B4DDA">
        <w:t>PSD</w:t>
      </w:r>
      <w:r>
        <w:t>, July 2022 PBAC Meeting).</w:t>
      </w:r>
      <w:r w:rsidRPr="0083099F">
        <w:t xml:space="preserve"> </w:t>
      </w:r>
      <w:r>
        <w:t xml:space="preserve">The resubmission proposed an </w:t>
      </w:r>
      <w:r w:rsidRPr="0083099F">
        <w:t>Authority Required (Written)</w:t>
      </w:r>
      <w:r>
        <w:t xml:space="preserve"> restriction for dose escalation to: </w:t>
      </w:r>
      <w:r w:rsidRPr="0083099F">
        <w:rPr>
          <w:rFonts w:ascii="Calibri" w:hAnsi="Calibri"/>
          <w:snapToGrid/>
        </w:rPr>
        <w:t xml:space="preserve">reduce the risk of use outside the intended population (e.g. blast count above 15%); </w:t>
      </w:r>
      <w:r>
        <w:rPr>
          <w:rFonts w:ascii="Calibri" w:hAnsi="Calibri"/>
          <w:snapToGrid/>
        </w:rPr>
        <w:t>allow</w:t>
      </w:r>
      <w:r w:rsidRPr="0083099F">
        <w:rPr>
          <w:rFonts w:ascii="Calibri" w:hAnsi="Calibri"/>
          <w:snapToGrid/>
        </w:rPr>
        <w:t xml:space="preserve"> prescribers </w:t>
      </w:r>
      <w:r>
        <w:rPr>
          <w:rFonts w:ascii="Calibri" w:hAnsi="Calibri"/>
          <w:snapToGrid/>
        </w:rPr>
        <w:t>to</w:t>
      </w:r>
      <w:r w:rsidRPr="0083099F">
        <w:rPr>
          <w:rFonts w:ascii="Calibri" w:hAnsi="Calibri"/>
          <w:snapToGrid/>
        </w:rPr>
        <w:t xml:space="preserve"> provide evidence of 5% to 15% blasts in the peripheral blood or bone marrow in line with the QUAZAR trial; and align with the midostaurin PBS item code for initiating maintenance, which is also written authority</w:t>
      </w:r>
      <w:r>
        <w:rPr>
          <w:rFonts w:ascii="Calibri" w:hAnsi="Calibri"/>
          <w:snapToGrid/>
        </w:rPr>
        <w:t>.</w:t>
      </w:r>
    </w:p>
    <w:p w14:paraId="6F006B42" w14:textId="77777777" w:rsidR="0025400C" w:rsidRDefault="0025400C" w:rsidP="0025400C">
      <w:pPr>
        <w:pStyle w:val="3-BodyText"/>
        <w:rPr>
          <w:rFonts w:ascii="Calibri" w:hAnsi="Calibri"/>
        </w:rPr>
      </w:pPr>
      <w:r w:rsidRPr="0083099F">
        <w:rPr>
          <w:rFonts w:ascii="Calibri" w:hAnsi="Calibri"/>
        </w:rPr>
        <w:t xml:space="preserve">The </w:t>
      </w:r>
      <w:r>
        <w:rPr>
          <w:rFonts w:ascii="Calibri" w:hAnsi="Calibri"/>
        </w:rPr>
        <w:t>re</w:t>
      </w:r>
      <w:r w:rsidRPr="0083099F">
        <w:rPr>
          <w:rFonts w:ascii="Calibri" w:hAnsi="Calibri"/>
        </w:rPr>
        <w:t>submission propose</w:t>
      </w:r>
      <w:r>
        <w:rPr>
          <w:rFonts w:ascii="Calibri" w:hAnsi="Calibri"/>
        </w:rPr>
        <w:t>d</w:t>
      </w:r>
      <w:r w:rsidRPr="0083099F">
        <w:rPr>
          <w:rFonts w:ascii="Calibri" w:hAnsi="Calibri"/>
        </w:rPr>
        <w:t xml:space="preserve"> that this dose escalation restriction should have one repeat</w:t>
      </w:r>
      <w:r>
        <w:rPr>
          <w:rFonts w:ascii="Calibri" w:hAnsi="Calibri"/>
        </w:rPr>
        <w:t xml:space="preserve">, </w:t>
      </w:r>
      <w:r w:rsidRPr="0083099F">
        <w:rPr>
          <w:rFonts w:ascii="Calibri" w:hAnsi="Calibri"/>
        </w:rPr>
        <w:t>allow</w:t>
      </w:r>
      <w:r>
        <w:rPr>
          <w:rFonts w:ascii="Calibri" w:hAnsi="Calibri"/>
        </w:rPr>
        <w:t>ing</w:t>
      </w:r>
      <w:r w:rsidRPr="0083099F">
        <w:rPr>
          <w:rFonts w:ascii="Calibri" w:hAnsi="Calibri"/>
        </w:rPr>
        <w:t xml:space="preserve"> for two months of treatment at a time. This </w:t>
      </w:r>
      <w:r>
        <w:rPr>
          <w:rFonts w:ascii="Calibri" w:hAnsi="Calibri"/>
        </w:rPr>
        <w:t>aligned with the</w:t>
      </w:r>
      <w:r w:rsidRPr="0083099F">
        <w:rPr>
          <w:rFonts w:ascii="Calibri" w:hAnsi="Calibri"/>
        </w:rPr>
        <w:t xml:space="preserve"> median number of dose escalated cycles </w:t>
      </w:r>
      <w:r>
        <w:rPr>
          <w:rFonts w:ascii="Calibri" w:hAnsi="Calibri"/>
        </w:rPr>
        <w:t>(</w:t>
      </w:r>
      <w:r w:rsidRPr="0083099F">
        <w:rPr>
          <w:rFonts w:ascii="Calibri" w:hAnsi="Calibri"/>
        </w:rPr>
        <w:t>2.0</w:t>
      </w:r>
      <w:r>
        <w:rPr>
          <w:rFonts w:ascii="Calibri" w:hAnsi="Calibri"/>
        </w:rPr>
        <w:t>)</w:t>
      </w:r>
      <w:r w:rsidRPr="0083099F">
        <w:rPr>
          <w:rFonts w:ascii="Calibri" w:hAnsi="Calibri"/>
        </w:rPr>
        <w:t xml:space="preserve"> in the QUAZAR trial</w:t>
      </w:r>
      <w:r>
        <w:rPr>
          <w:rFonts w:ascii="Calibri" w:hAnsi="Calibri"/>
        </w:rPr>
        <w:t>.</w:t>
      </w:r>
    </w:p>
    <w:p w14:paraId="7E1FBB15" w14:textId="51B9006E" w:rsidR="0025400C" w:rsidRDefault="0025400C" w:rsidP="0025400C">
      <w:pPr>
        <w:widowControl w:val="0"/>
        <w:numPr>
          <w:ilvl w:val="1"/>
          <w:numId w:val="1"/>
        </w:numPr>
        <w:spacing w:after="120"/>
        <w:ind w:left="720"/>
      </w:pPr>
      <w:r w:rsidRPr="0083099F">
        <w:t xml:space="preserve">The resubmission </w:t>
      </w:r>
      <w:r>
        <w:t xml:space="preserve">made the following changes to the restriction which aligned with the those suggested in the July 2022 PBAC </w:t>
      </w:r>
      <w:r w:rsidR="00A27B09">
        <w:t>PSD</w:t>
      </w:r>
      <w:r>
        <w:t>:</w:t>
      </w:r>
    </w:p>
    <w:p w14:paraId="22591B6D" w14:textId="415254C0" w:rsidR="0025400C" w:rsidRDefault="0025400C" w:rsidP="0025400C">
      <w:pPr>
        <w:pStyle w:val="ListParagraph"/>
        <w:widowControl w:val="0"/>
        <w:numPr>
          <w:ilvl w:val="0"/>
          <w:numId w:val="46"/>
        </w:numPr>
        <w:spacing w:after="0"/>
        <w:ind w:left="1077" w:hanging="357"/>
      </w:pPr>
      <w:r>
        <w:rPr>
          <w:lang w:val="en-GB"/>
        </w:rPr>
        <w:t xml:space="preserve">restricted use to patients with intermediate- or poor-risk cytogenetics </w:t>
      </w:r>
      <w:r>
        <w:t xml:space="preserve">(paragraph 7.4, azacitidine </w:t>
      </w:r>
      <w:r w:rsidR="001B4DDA">
        <w:t>PSD</w:t>
      </w:r>
      <w:r>
        <w:t>, July 2022 PBAC Meeting);</w:t>
      </w:r>
    </w:p>
    <w:p w14:paraId="4F7DF5BF" w14:textId="0E8A2CF5" w:rsidR="0025400C" w:rsidRPr="00092738" w:rsidRDefault="0025400C" w:rsidP="0025400C">
      <w:pPr>
        <w:pStyle w:val="ListParagraph"/>
        <w:widowControl w:val="0"/>
        <w:numPr>
          <w:ilvl w:val="0"/>
          <w:numId w:val="46"/>
        </w:numPr>
        <w:spacing w:after="0"/>
        <w:ind w:left="1077" w:hanging="357"/>
      </w:pPr>
      <w:r w:rsidRPr="00092738">
        <w:t xml:space="preserve">the initial supply restriction </w:t>
      </w:r>
      <w:r>
        <w:t>was changed to</w:t>
      </w:r>
      <w:r w:rsidRPr="00092738">
        <w:t xml:space="preserve"> Authority Required (telephone/online)</w:t>
      </w:r>
      <w:r>
        <w:t>. The</w:t>
      </w:r>
      <w:r w:rsidRPr="00092738">
        <w:t xml:space="preserve"> continuing supply </w:t>
      </w:r>
      <w:r>
        <w:t>restriction remained</w:t>
      </w:r>
      <w:r w:rsidRPr="00092738">
        <w:t xml:space="preserve"> Authority Required (Streamlined) </w:t>
      </w:r>
      <w:r>
        <w:t xml:space="preserve">(paragraph 7.6, azacitidine </w:t>
      </w:r>
      <w:r w:rsidR="001B4DDA">
        <w:t>PSD</w:t>
      </w:r>
      <w:r>
        <w:t>, July 2022 PBAC Meeting)</w:t>
      </w:r>
      <w:r w:rsidRPr="00092738">
        <w:t xml:space="preserve">; </w:t>
      </w:r>
    </w:p>
    <w:p w14:paraId="2E496F5D" w14:textId="65EB795C" w:rsidR="0025400C" w:rsidRDefault="0025400C" w:rsidP="0025400C">
      <w:pPr>
        <w:pStyle w:val="ListParagraph"/>
        <w:widowControl w:val="0"/>
        <w:numPr>
          <w:ilvl w:val="0"/>
          <w:numId w:val="46"/>
        </w:numPr>
        <w:spacing w:after="0"/>
        <w:ind w:left="1077" w:hanging="357"/>
        <w:rPr>
          <w:lang w:eastAsia="en-US"/>
        </w:rPr>
      </w:pPr>
      <w:r w:rsidRPr="00092738">
        <w:t>include</w:t>
      </w:r>
      <w:r>
        <w:t>d</w:t>
      </w:r>
      <w:r w:rsidRPr="00092738">
        <w:t xml:space="preserve"> a caution stating that oral azacitidine should not be used interchangeably with injectable azacitidine</w:t>
      </w:r>
      <w:r w:rsidRPr="000A0858">
        <w:t xml:space="preserve"> due to differences in the exposure, dose and schedule of treatmen</w:t>
      </w:r>
      <w:r>
        <w:t xml:space="preserve">t (paragraph 7.6, azacitidine </w:t>
      </w:r>
      <w:r w:rsidR="001B4DDA">
        <w:t>PSD</w:t>
      </w:r>
      <w:r>
        <w:t xml:space="preserve">, July 2022 PBAC </w:t>
      </w:r>
      <w:r>
        <w:rPr>
          <w:lang w:eastAsia="en-US"/>
        </w:rPr>
        <w:t>Meeting);</w:t>
      </w:r>
    </w:p>
    <w:p w14:paraId="5242077E" w14:textId="159BADC5" w:rsidR="0025400C" w:rsidRPr="00092738" w:rsidRDefault="0025400C" w:rsidP="0025400C">
      <w:pPr>
        <w:pStyle w:val="ListParagraph"/>
        <w:widowControl w:val="0"/>
        <w:numPr>
          <w:ilvl w:val="0"/>
          <w:numId w:val="46"/>
        </w:numPr>
        <w:spacing w:after="0"/>
        <w:ind w:left="1077" w:hanging="357"/>
      </w:pPr>
      <w:r w:rsidRPr="00602E88">
        <w:rPr>
          <w:lang w:val="en-GB"/>
        </w:rPr>
        <w:t>include</w:t>
      </w:r>
      <w:r>
        <w:rPr>
          <w:lang w:val="en-GB"/>
        </w:rPr>
        <w:t>d</w:t>
      </w:r>
      <w:r w:rsidRPr="00602E88">
        <w:rPr>
          <w:lang w:val="en-GB"/>
        </w:rPr>
        <w:t xml:space="preserve"> </w:t>
      </w:r>
      <w:r>
        <w:rPr>
          <w:lang w:val="en-GB"/>
        </w:rPr>
        <w:t>a</w:t>
      </w:r>
      <w:r w:rsidRPr="00602E88">
        <w:rPr>
          <w:lang w:val="en-GB"/>
        </w:rPr>
        <w:t xml:space="preserve"> caution regarding pregnancy given</w:t>
      </w:r>
      <w:r>
        <w:rPr>
          <w:lang w:val="en-GB"/>
        </w:rPr>
        <w:t xml:space="preserve"> that azacitidine is a Category X drug.</w:t>
      </w:r>
      <w:r>
        <w:t xml:space="preserve"> (paragraph 7.6, azacitidine </w:t>
      </w:r>
      <w:r w:rsidR="001B4DDA">
        <w:t>PSD</w:t>
      </w:r>
      <w:r>
        <w:t>, July 2022 PBAC Meeting);</w:t>
      </w:r>
    </w:p>
    <w:p w14:paraId="4A265C44" w14:textId="10660EE6" w:rsidR="0025400C" w:rsidRDefault="0025400C" w:rsidP="0025400C">
      <w:pPr>
        <w:pStyle w:val="ListParagraph"/>
        <w:widowControl w:val="0"/>
        <w:numPr>
          <w:ilvl w:val="0"/>
          <w:numId w:val="46"/>
        </w:numPr>
        <w:spacing w:after="0"/>
        <w:ind w:left="1077" w:hanging="357"/>
      </w:pPr>
      <w:r w:rsidRPr="00092738">
        <w:t>prevent</w:t>
      </w:r>
      <w:r>
        <w:t>ed</w:t>
      </w:r>
      <w:r w:rsidRPr="00092738">
        <w:t xml:space="preserve"> use in patients post HSCT</w:t>
      </w:r>
      <w:r>
        <w:t xml:space="preserve"> (paragraph 3.9, azacitidine </w:t>
      </w:r>
      <w:r w:rsidR="001B4DDA">
        <w:t>PSD</w:t>
      </w:r>
      <w:r>
        <w:t xml:space="preserve">, July 2022 PBAC Meeting); </w:t>
      </w:r>
    </w:p>
    <w:p w14:paraId="3CAE8155" w14:textId="3656471A" w:rsidR="0025400C" w:rsidRDefault="0025400C" w:rsidP="0025400C">
      <w:pPr>
        <w:pStyle w:val="ListParagraph"/>
        <w:widowControl w:val="0"/>
        <w:numPr>
          <w:ilvl w:val="0"/>
          <w:numId w:val="46"/>
        </w:numPr>
        <w:spacing w:after="0"/>
        <w:ind w:left="1077" w:hanging="357"/>
      </w:pPr>
      <w:r w:rsidRPr="00890660">
        <w:rPr>
          <w:lang w:eastAsia="en-US"/>
        </w:rPr>
        <w:t>the</w:t>
      </w:r>
      <w:r w:rsidRPr="00890660">
        <w:t xml:space="preserve"> population criteria specifying use in adult patients only</w:t>
      </w:r>
      <w:r>
        <w:t xml:space="preserve"> was removed (paragraph 3.10, azacitidine </w:t>
      </w:r>
      <w:r w:rsidR="001B4DDA">
        <w:t>PSD</w:t>
      </w:r>
      <w:r>
        <w:t>, July 2022 PBAC Meeting); and</w:t>
      </w:r>
    </w:p>
    <w:p w14:paraId="0DA4718C" w14:textId="3902AE6A" w:rsidR="00161B52" w:rsidRDefault="0025400C" w:rsidP="0025400C">
      <w:pPr>
        <w:pStyle w:val="ListParagraph"/>
        <w:widowControl w:val="0"/>
        <w:numPr>
          <w:ilvl w:val="0"/>
          <w:numId w:val="46"/>
        </w:numPr>
        <w:ind w:left="1077" w:hanging="357"/>
      </w:pPr>
      <w:r w:rsidRPr="00890660">
        <w:t>prevent</w:t>
      </w:r>
      <w:r>
        <w:t>ed</w:t>
      </w:r>
      <w:r w:rsidRPr="00890660">
        <w:t xml:space="preserve"> concomitant use of oral azacitidine and </w:t>
      </w:r>
      <w:r>
        <w:t xml:space="preserve">PBS-subsidised </w:t>
      </w:r>
      <w:r w:rsidRPr="00890660">
        <w:t>midostaurin</w:t>
      </w:r>
      <w:r>
        <w:t xml:space="preserve"> (paragraph 3.11, azacitidine </w:t>
      </w:r>
      <w:r w:rsidR="001B4DDA">
        <w:t>PSD</w:t>
      </w:r>
      <w:r>
        <w:t>, July 2022 PBAC Meeting).</w:t>
      </w:r>
    </w:p>
    <w:p w14:paraId="36E9F02D" w14:textId="77777777" w:rsidR="00161B52" w:rsidRDefault="00161B52">
      <w:pPr>
        <w:jc w:val="left"/>
        <w:rPr>
          <w:rFonts w:asciiTheme="minorHAnsi" w:hAnsiTheme="minorHAnsi"/>
          <w:snapToGrid w:val="0"/>
        </w:rPr>
      </w:pPr>
      <w:r>
        <w:br w:type="page"/>
      </w:r>
    </w:p>
    <w:p w14:paraId="78A4CF43" w14:textId="77777777" w:rsidR="0025400C" w:rsidRPr="0083099F" w:rsidRDefault="0025400C" w:rsidP="0025400C">
      <w:pPr>
        <w:pStyle w:val="3-BodyText"/>
        <w:rPr>
          <w:rFonts w:ascii="Calibri" w:hAnsi="Calibri"/>
        </w:rPr>
      </w:pPr>
      <w:r>
        <w:rPr>
          <w:rFonts w:ascii="Calibri" w:hAnsi="Calibri"/>
        </w:rPr>
        <w:t>The PBAC noted that the resubmission had changed the following criteria:</w:t>
      </w:r>
      <w:r w:rsidRPr="0083099F">
        <w:t xml:space="preserve"> </w:t>
      </w:r>
    </w:p>
    <w:p w14:paraId="65B04183" w14:textId="77777777" w:rsidR="0025400C" w:rsidRDefault="0025400C" w:rsidP="0025400C">
      <w:pPr>
        <w:pStyle w:val="3-BodyText"/>
        <w:numPr>
          <w:ilvl w:val="0"/>
          <w:numId w:val="0"/>
        </w:numPr>
        <w:ind w:left="720"/>
        <w:rPr>
          <w:rFonts w:ascii="Calibri" w:hAnsi="Calibri"/>
        </w:rPr>
      </w:pPr>
      <w:r>
        <w:t>“</w:t>
      </w:r>
      <w:r w:rsidRPr="0083099F">
        <w:rPr>
          <w:rFonts w:ascii="Calibri" w:hAnsi="Calibri"/>
        </w:rPr>
        <w:t>Patient must not be a candidate for, including those who choose not to proceed to, haematopoietic stem cell transplantation</w:t>
      </w:r>
      <w:r>
        <w:rPr>
          <w:rFonts w:ascii="Calibri" w:hAnsi="Calibri"/>
        </w:rPr>
        <w:t>”</w:t>
      </w:r>
    </w:p>
    <w:p w14:paraId="35CE2851" w14:textId="77777777" w:rsidR="0025400C" w:rsidRDefault="0025400C" w:rsidP="0025400C">
      <w:pPr>
        <w:spacing w:after="120"/>
        <w:ind w:firstLine="720"/>
      </w:pPr>
      <w:r>
        <w:t xml:space="preserve">to </w:t>
      </w:r>
    </w:p>
    <w:p w14:paraId="40ED6A37" w14:textId="77777777" w:rsidR="0025400C" w:rsidRDefault="0025400C" w:rsidP="0025400C">
      <w:pPr>
        <w:spacing w:after="120"/>
        <w:ind w:firstLine="720"/>
        <w:rPr>
          <w:snapToGrid w:val="0"/>
        </w:rPr>
      </w:pPr>
      <w:r>
        <w:t>“</w:t>
      </w:r>
      <w:r w:rsidRPr="0083099F">
        <w:rPr>
          <w:snapToGrid w:val="0"/>
        </w:rPr>
        <w:t>Patient must not be able to complete intensive curative therapy</w:t>
      </w:r>
      <w:r>
        <w:rPr>
          <w:snapToGrid w:val="0"/>
        </w:rPr>
        <w:t>”.</w:t>
      </w:r>
    </w:p>
    <w:p w14:paraId="6F10A20F" w14:textId="77777777" w:rsidR="0025400C" w:rsidRDefault="0025400C" w:rsidP="0025400C">
      <w:pPr>
        <w:spacing w:after="120"/>
        <w:ind w:left="709" w:firstLine="11"/>
        <w:rPr>
          <w:snapToGrid w:val="0"/>
        </w:rPr>
      </w:pPr>
      <w:r>
        <w:rPr>
          <w:snapToGrid w:val="0"/>
        </w:rPr>
        <w:t xml:space="preserve">The PBAC noted that while this change was in line with the TGA indication, it was potentially broader and more open to interpretation than the wording proposed in the previous submission. As such, the PBAC considered this change was not appropriate.  </w:t>
      </w:r>
    </w:p>
    <w:p w14:paraId="6C2610BC" w14:textId="77777777" w:rsidR="0025400C" w:rsidRDefault="0025400C" w:rsidP="0025400C">
      <w:pPr>
        <w:pStyle w:val="3-BodyText"/>
        <w:rPr>
          <w:rFonts w:ascii="Calibri" w:hAnsi="Calibri"/>
        </w:rPr>
      </w:pPr>
      <w:r w:rsidRPr="00481428">
        <w:rPr>
          <w:rFonts w:ascii="Calibri" w:hAnsi="Calibri"/>
        </w:rPr>
        <w:t xml:space="preserve">The resubmission proposed listing of the 200 mg strength for continuing use only. </w:t>
      </w:r>
      <w:r>
        <w:rPr>
          <w:rFonts w:ascii="Calibri" w:hAnsi="Calibri"/>
        </w:rPr>
        <w:t xml:space="preserve">This appeared to align with the Product Information which outlines a recommended dose of 300 mg, with dose adjustment for adverse reactions or AML disease relapse. </w:t>
      </w:r>
    </w:p>
    <w:p w14:paraId="0B5CDCBC" w14:textId="77777777" w:rsidR="0025400C" w:rsidRPr="00C46E07" w:rsidRDefault="0025400C" w:rsidP="0025400C">
      <w:pPr>
        <w:pStyle w:val="3-BodyText"/>
        <w:rPr>
          <w:rFonts w:ascii="Calibri" w:hAnsi="Calibri"/>
        </w:rPr>
      </w:pPr>
      <w:r>
        <w:rPr>
          <w:rFonts w:ascii="Calibri" w:hAnsi="Calibri"/>
        </w:rPr>
        <w:t>As per the previous submission, t</w:t>
      </w:r>
      <w:r w:rsidRPr="00C46E07">
        <w:rPr>
          <w:rFonts w:ascii="Calibri" w:hAnsi="Calibri"/>
        </w:rPr>
        <w:t>he resubmission sought a SPA for oral azacitidine.</w:t>
      </w:r>
      <w:r>
        <w:rPr>
          <w:rFonts w:ascii="Calibri" w:hAnsi="Calibri"/>
        </w:rPr>
        <w:t xml:space="preserve"> The PBAC noted that SPAs are generally not entered for medicines in the F2 formulary such as azacitidine.</w:t>
      </w:r>
    </w:p>
    <w:p w14:paraId="048CC316" w14:textId="77777777" w:rsidR="0025400C" w:rsidRPr="0090150D" w:rsidRDefault="0025400C" w:rsidP="0025400C">
      <w:pPr>
        <w:pStyle w:val="2-SectionHeading"/>
        <w:numPr>
          <w:ilvl w:val="0"/>
          <w:numId w:val="1"/>
        </w:numPr>
      </w:pPr>
      <w:r w:rsidRPr="0090150D">
        <w:t>PBAC Outcome</w:t>
      </w:r>
    </w:p>
    <w:p w14:paraId="2724CB9B" w14:textId="77777777" w:rsidR="0025400C" w:rsidRDefault="0025400C" w:rsidP="0025400C">
      <w:pPr>
        <w:pStyle w:val="3-BodyText"/>
        <w:ind w:left="709" w:hanging="709"/>
        <w:rPr>
          <w:lang w:val="en-GB"/>
        </w:rPr>
      </w:pPr>
      <w:r>
        <w:rPr>
          <w:lang w:val="en-GB"/>
        </w:rPr>
        <w:t xml:space="preserve">The PBAC recommended oral azacitidine as maintenance therapy in patients with acute myeloid leukaemia (AML) who achieve complete remission (CR) or complete remission with incomplete blood count recovery (CRi) following induction chemotherapy with or without consolidation </w:t>
      </w:r>
      <w:r w:rsidRPr="00030DCE">
        <w:rPr>
          <w:lang w:val="en-GB"/>
        </w:rPr>
        <w:t>treatment, and who are not candidates for, including those who choose not to proceed to, haematopoietic stem cell transplantation (HSCT). The PBAC was satisfied that</w:t>
      </w:r>
      <w:r>
        <w:rPr>
          <w:lang w:val="en-GB"/>
        </w:rPr>
        <w:t xml:space="preserve"> oral azacitidine provides, for some patients, a significant improvement in efficacy including improved overall survival (OS) and relapse free survival (RFS). The PBAC considered that the resubmission’s </w:t>
      </w:r>
      <w:r w:rsidRPr="004852CC">
        <w:rPr>
          <w:lang w:val="en-GB"/>
        </w:rPr>
        <w:t xml:space="preserve">changes to the economic model </w:t>
      </w:r>
      <w:r>
        <w:rPr>
          <w:lang w:val="en-GB"/>
        </w:rPr>
        <w:t>parameters adequately addressed its previous concerns</w:t>
      </w:r>
      <w:r w:rsidRPr="004852CC">
        <w:rPr>
          <w:lang w:val="en-GB"/>
        </w:rPr>
        <w:t xml:space="preserve"> </w:t>
      </w:r>
      <w:r>
        <w:rPr>
          <w:lang w:val="en-GB"/>
        </w:rPr>
        <w:t>and that oral azacitidine would be acceptably cost-effective at the price proposed in the resubmission. Further, the PBAC considered that the resubmission’s changes to the financial estimates were reasonable.</w:t>
      </w:r>
    </w:p>
    <w:p w14:paraId="49A3BE04" w14:textId="77777777" w:rsidR="0025400C" w:rsidRDefault="0025400C" w:rsidP="0025400C">
      <w:pPr>
        <w:pStyle w:val="3-BodyText"/>
        <w:ind w:left="709" w:hanging="709"/>
        <w:rPr>
          <w:lang w:val="en-GB"/>
        </w:rPr>
      </w:pPr>
      <w:r>
        <w:rPr>
          <w:lang w:val="en-GB"/>
        </w:rPr>
        <w:t>The PBAC reiterated its previous advice that there is a high unmet need for effective therapies to treat this condition.</w:t>
      </w:r>
    </w:p>
    <w:p w14:paraId="29BD8EF3" w14:textId="77777777" w:rsidR="0025400C" w:rsidRDefault="0025400C" w:rsidP="0025400C">
      <w:pPr>
        <w:pStyle w:val="3-BodyText"/>
        <w:ind w:left="709" w:hanging="709"/>
        <w:rPr>
          <w:lang w:val="en-GB"/>
        </w:rPr>
      </w:pPr>
      <w:r>
        <w:rPr>
          <w:lang w:val="en-GB"/>
        </w:rPr>
        <w:t xml:space="preserve">The PBAC reiterated its previous advice that the claims of superior efficacy and inferior safety compared to BSC were reasonable. </w:t>
      </w:r>
      <w:r w:rsidRPr="008533B1">
        <w:rPr>
          <w:lang w:val="en-GB"/>
        </w:rPr>
        <w:t xml:space="preserve">The PBAC </w:t>
      </w:r>
      <w:r>
        <w:rPr>
          <w:lang w:val="en-GB"/>
        </w:rPr>
        <w:t>recalled</w:t>
      </w:r>
      <w:r w:rsidRPr="008533B1">
        <w:rPr>
          <w:lang w:val="en-GB"/>
        </w:rPr>
        <w:t xml:space="preserve"> that treatment with oral azacitidine was associated with a statistically significant improvement in OS with a median OS in the oral azacitidine arm of 24.7 months compared to 14.8 months in the BSC arm (HR = 0.</w:t>
      </w:r>
      <w:r>
        <w:rPr>
          <w:lang w:val="en-GB"/>
        </w:rPr>
        <w:t>6</w:t>
      </w:r>
      <w:r w:rsidRPr="008533B1">
        <w:rPr>
          <w:lang w:val="en-GB"/>
        </w:rPr>
        <w:t>9; 95% CI: 0.56, 0.86) at a median follow-up of 51.7 months</w:t>
      </w:r>
      <w:r>
        <w:rPr>
          <w:lang w:val="en-GB"/>
        </w:rPr>
        <w:t xml:space="preserve"> in the QUAZAR trial</w:t>
      </w:r>
      <w:r w:rsidRPr="008533B1">
        <w:rPr>
          <w:lang w:val="en-GB"/>
        </w:rPr>
        <w:t xml:space="preserve">.  </w:t>
      </w:r>
    </w:p>
    <w:p w14:paraId="6821BE8A" w14:textId="77777777" w:rsidR="0025400C" w:rsidRDefault="0025400C" w:rsidP="0025400C">
      <w:pPr>
        <w:pStyle w:val="3-BodyText"/>
        <w:ind w:left="709" w:hanging="709"/>
        <w:rPr>
          <w:lang w:val="en-GB"/>
        </w:rPr>
      </w:pPr>
      <w:r>
        <w:rPr>
          <w:lang w:val="en-GB"/>
        </w:rPr>
        <w:t xml:space="preserve">The PBAC considered that the resubmission had adequately addressed its previous concerns around dose escalation for patients with 5% to 15% blasts through the use of a separate Authority Required (Written) restriction and the proposed RSA. In addition, the PBAC noted that the resubmission had provided further information about how the costs of </w:t>
      </w:r>
      <w:r w:rsidRPr="007314A8">
        <w:rPr>
          <w:lang w:val="en-GB"/>
        </w:rPr>
        <w:t>dose escalation</w:t>
      </w:r>
      <w:r>
        <w:rPr>
          <w:lang w:val="en-GB"/>
        </w:rPr>
        <w:t xml:space="preserve"> were included</w:t>
      </w:r>
      <w:r w:rsidRPr="007314A8">
        <w:rPr>
          <w:lang w:val="en-GB"/>
        </w:rPr>
        <w:t xml:space="preserve"> </w:t>
      </w:r>
      <w:r>
        <w:rPr>
          <w:lang w:val="en-GB"/>
        </w:rPr>
        <w:t>in the economic model by applying</w:t>
      </w:r>
      <w:r w:rsidRPr="008533B1">
        <w:rPr>
          <w:lang w:val="en-GB"/>
        </w:rPr>
        <w:t xml:space="preserve"> the relative dose intensity (89.6%) reported in the QUAZAR trial, which incorporated 21.6%</w:t>
      </w:r>
      <w:r>
        <w:rPr>
          <w:lang w:val="en-GB"/>
        </w:rPr>
        <w:t xml:space="preserve"> of patients</w:t>
      </w:r>
      <w:r w:rsidRPr="008533B1">
        <w:rPr>
          <w:lang w:val="en-GB"/>
        </w:rPr>
        <w:t xml:space="preserve"> whose dose was escalated, the majority of which was due to disease relapse.</w:t>
      </w:r>
      <w:r>
        <w:rPr>
          <w:lang w:val="en-GB"/>
        </w:rPr>
        <w:t xml:space="preserve"> The PBAC considered this was reasonable.</w:t>
      </w:r>
    </w:p>
    <w:p w14:paraId="7197B229" w14:textId="678AD64E" w:rsidR="0025400C" w:rsidRDefault="0025400C" w:rsidP="0025400C">
      <w:pPr>
        <w:pStyle w:val="3-BodyText"/>
        <w:ind w:left="709" w:hanging="709"/>
        <w:rPr>
          <w:lang w:val="en-GB"/>
        </w:rPr>
      </w:pPr>
      <w:r w:rsidRPr="008533B1">
        <w:rPr>
          <w:lang w:val="en-GB"/>
        </w:rPr>
        <w:t xml:space="preserve">The PBAC </w:t>
      </w:r>
      <w:r>
        <w:rPr>
          <w:lang w:val="en-GB"/>
        </w:rPr>
        <w:t xml:space="preserve">noted </w:t>
      </w:r>
      <w:r w:rsidRPr="008533B1">
        <w:rPr>
          <w:lang w:val="en-GB"/>
        </w:rPr>
        <w:t xml:space="preserve">that the resubmission’s changes to the economic model parameters </w:t>
      </w:r>
      <w:r>
        <w:rPr>
          <w:lang w:val="en-GB"/>
        </w:rPr>
        <w:t xml:space="preserve">(see paragraph </w:t>
      </w:r>
      <w:r w:rsidR="00857672">
        <w:rPr>
          <w:lang w:val="en-GB"/>
        </w:rPr>
        <w:t>11.7</w:t>
      </w:r>
      <w:r>
        <w:rPr>
          <w:lang w:val="en-GB"/>
        </w:rPr>
        <w:t xml:space="preserve">) were consistent with the advice from July 2022 PBAC </w:t>
      </w:r>
      <w:r w:rsidR="001B4DDA">
        <w:rPr>
          <w:lang w:val="en-GB"/>
        </w:rPr>
        <w:t>PSD</w:t>
      </w:r>
      <w:r>
        <w:rPr>
          <w:lang w:val="en-GB"/>
        </w:rPr>
        <w:t xml:space="preserve">. The PBAC considered that </w:t>
      </w:r>
      <w:r w:rsidRPr="008533B1">
        <w:rPr>
          <w:lang w:val="en-GB"/>
        </w:rPr>
        <w:t xml:space="preserve">its previous concerns </w:t>
      </w:r>
      <w:r>
        <w:rPr>
          <w:lang w:val="en-GB"/>
        </w:rPr>
        <w:t xml:space="preserve">were adequately addressed </w:t>
      </w:r>
      <w:r w:rsidRPr="008533B1">
        <w:rPr>
          <w:lang w:val="en-GB"/>
        </w:rPr>
        <w:t xml:space="preserve">and that oral azacitidine would be acceptably cost-effective at the price proposed in the resubmission. </w:t>
      </w:r>
    </w:p>
    <w:p w14:paraId="639ABCAA" w14:textId="531ECAB7" w:rsidR="0025400C" w:rsidRDefault="0025400C" w:rsidP="0025400C">
      <w:pPr>
        <w:pStyle w:val="3-BodyText"/>
        <w:ind w:left="709" w:hanging="709"/>
        <w:rPr>
          <w:lang w:val="en-GB"/>
        </w:rPr>
      </w:pPr>
      <w:r>
        <w:rPr>
          <w:lang w:val="en-GB"/>
        </w:rPr>
        <w:t>T</w:t>
      </w:r>
      <w:r w:rsidRPr="008533B1">
        <w:rPr>
          <w:lang w:val="en-GB"/>
        </w:rPr>
        <w:t xml:space="preserve">he PBAC considered that the resubmission’s changes to the financial estimates </w:t>
      </w:r>
      <w:r>
        <w:rPr>
          <w:lang w:val="en-GB"/>
        </w:rPr>
        <w:t xml:space="preserve">(see paragraph </w:t>
      </w:r>
      <w:r w:rsidR="00363D0B">
        <w:rPr>
          <w:lang w:val="en-GB"/>
        </w:rPr>
        <w:t>11</w:t>
      </w:r>
      <w:r>
        <w:rPr>
          <w:lang w:val="en-GB"/>
        </w:rPr>
        <w:t xml:space="preserve">.6) were consistent with its suggestions in the July 2022 PBAC </w:t>
      </w:r>
      <w:r w:rsidR="001B4DDA">
        <w:rPr>
          <w:lang w:val="en-GB"/>
        </w:rPr>
        <w:t>PSD</w:t>
      </w:r>
      <w:r w:rsidRPr="008533B1">
        <w:rPr>
          <w:lang w:val="en-GB"/>
        </w:rPr>
        <w:t>.</w:t>
      </w:r>
      <w:r>
        <w:rPr>
          <w:lang w:val="en-GB"/>
        </w:rPr>
        <w:t xml:space="preserve"> The PBAC considered that the revised estimated financial impact of listing oral azacitidine was reasonable. </w:t>
      </w:r>
    </w:p>
    <w:p w14:paraId="4244A3A5" w14:textId="5B66A130" w:rsidR="0025400C" w:rsidRDefault="0025400C" w:rsidP="0025400C">
      <w:pPr>
        <w:pStyle w:val="3-BodyText"/>
        <w:ind w:left="709" w:hanging="709"/>
        <w:rPr>
          <w:lang w:val="en-GB"/>
        </w:rPr>
      </w:pPr>
      <w:r w:rsidRPr="00BD48E9">
        <w:rPr>
          <w:lang w:val="en-GB"/>
        </w:rPr>
        <w:t xml:space="preserve">The PBAC </w:t>
      </w:r>
      <w:r>
        <w:rPr>
          <w:lang w:val="en-GB"/>
        </w:rPr>
        <w:t xml:space="preserve">noted the proposed </w:t>
      </w:r>
      <w:r w:rsidRPr="00BD48E9">
        <w:rPr>
          <w:lang w:val="en-GB"/>
        </w:rPr>
        <w:t xml:space="preserve">risk sharing arrangement (RSA) to manage the risk of oral azacitidine </w:t>
      </w:r>
      <w:r>
        <w:rPr>
          <w:lang w:val="en-GB"/>
        </w:rPr>
        <w:t>being used for</w:t>
      </w:r>
      <w:r w:rsidRPr="00BD48E9">
        <w:rPr>
          <w:lang w:val="en-GB"/>
        </w:rPr>
        <w:t xml:space="preserve"> dose escalation </w:t>
      </w:r>
      <w:r>
        <w:rPr>
          <w:lang w:val="en-GB"/>
        </w:rPr>
        <w:t>in a broader range of patients and circumstances than observed in the trial, and the risk of such use (</w:t>
      </w:r>
      <w:r w:rsidRPr="00BD48E9">
        <w:rPr>
          <w:lang w:val="en-GB"/>
        </w:rPr>
        <w:t>in the dose escalation setting</w:t>
      </w:r>
      <w:r>
        <w:rPr>
          <w:lang w:val="en-GB"/>
        </w:rPr>
        <w:t xml:space="preserve">) not being cost-effective. </w:t>
      </w:r>
      <w:r w:rsidRPr="00BD48E9">
        <w:rPr>
          <w:lang w:val="en-GB"/>
        </w:rPr>
        <w:t xml:space="preserve">The PBAC </w:t>
      </w:r>
      <w:r>
        <w:rPr>
          <w:lang w:val="en-GB"/>
        </w:rPr>
        <w:t>noted</w:t>
      </w:r>
      <w:r w:rsidRPr="00BD48E9">
        <w:rPr>
          <w:lang w:val="en-GB"/>
        </w:rPr>
        <w:t xml:space="preserve"> that </w:t>
      </w:r>
      <w:r>
        <w:rPr>
          <w:lang w:val="en-GB"/>
        </w:rPr>
        <w:t xml:space="preserve">the </w:t>
      </w:r>
      <w:r w:rsidRPr="00BD48E9">
        <w:rPr>
          <w:lang w:val="en-GB"/>
        </w:rPr>
        <w:t>expenditure caps for use of oral azacitidine in the dose escalation setting</w:t>
      </w:r>
      <w:r>
        <w:rPr>
          <w:lang w:val="en-GB"/>
        </w:rPr>
        <w:t>, which were</w:t>
      </w:r>
      <w:r w:rsidRPr="00BD48E9">
        <w:rPr>
          <w:lang w:val="en-GB"/>
        </w:rPr>
        <w:t xml:space="preserve"> based on the ‘Cost to R/PBS for dose escalation’ in Table 21</w:t>
      </w:r>
      <w:r>
        <w:rPr>
          <w:lang w:val="en-GB"/>
        </w:rPr>
        <w:t>, were low</w:t>
      </w:r>
      <w:r w:rsidRPr="00BD48E9">
        <w:rPr>
          <w:lang w:val="en-GB"/>
        </w:rPr>
        <w:t xml:space="preserve">. The PBAC </w:t>
      </w:r>
      <w:r>
        <w:rPr>
          <w:lang w:val="en-GB"/>
        </w:rPr>
        <w:t>requested</w:t>
      </w:r>
      <w:r w:rsidRPr="00BD48E9">
        <w:rPr>
          <w:lang w:val="en-GB"/>
        </w:rPr>
        <w:t xml:space="preserve"> that </w:t>
      </w:r>
      <w:r>
        <w:rPr>
          <w:lang w:val="en-GB"/>
        </w:rPr>
        <w:t xml:space="preserve">the DUSC consider a review of the use of oral azacitidine in the dose escalation setting when at least 24 months of prescription data are available and if use was higher than estimated, the implementation of the proposed RSA would be considered. The PBAC advised, that if implemented, </w:t>
      </w:r>
      <w:r w:rsidRPr="00BD48E9">
        <w:rPr>
          <w:lang w:val="en-GB"/>
        </w:rPr>
        <w:t xml:space="preserve">rebates for use above the cap should be based on the price for 21 tablets being reduced to the price for 14 tablets (which equates to a rebate of around </w:t>
      </w:r>
      <w:r w:rsidR="005D733C" w:rsidRPr="000F0268">
        <w:rPr>
          <w:color w:val="000000"/>
          <w:w w:val="15"/>
          <w:shd w:val="solid" w:color="000000" w:fill="000000"/>
          <w:fitText w:val="-20" w:id="-1404863995"/>
          <w:lang w:val="en-GB"/>
          <w14:textFill>
            <w14:solidFill>
              <w14:srgbClr w14:val="000000">
                <w14:alpha w14:val="100000"/>
              </w14:srgbClr>
            </w14:solidFill>
          </w14:textFill>
        </w:rPr>
        <w:t xml:space="preserve">|  </w:t>
      </w:r>
      <w:r w:rsidR="005D733C" w:rsidRPr="000F0268">
        <w:rPr>
          <w:color w:val="000000"/>
          <w:spacing w:val="-69"/>
          <w:w w:val="15"/>
          <w:shd w:val="solid" w:color="000000" w:fill="000000"/>
          <w:fitText w:val="-20" w:id="-1404863995"/>
          <w:lang w:val="en-GB"/>
          <w14:textFill>
            <w14:solidFill>
              <w14:srgbClr w14:val="000000">
                <w14:alpha w14:val="100000"/>
              </w14:srgbClr>
            </w14:solidFill>
          </w14:textFill>
        </w:rPr>
        <w:t>|</w:t>
      </w:r>
      <w:r w:rsidRPr="00BD48E9">
        <w:rPr>
          <w:lang w:val="en-GB"/>
        </w:rPr>
        <w:t>%).</w:t>
      </w:r>
      <w:r>
        <w:rPr>
          <w:lang w:val="en-GB"/>
        </w:rPr>
        <w:t xml:space="preserve">  </w:t>
      </w:r>
    </w:p>
    <w:p w14:paraId="5E46BB45" w14:textId="77777777" w:rsidR="0025400C" w:rsidRDefault="0025400C" w:rsidP="0025400C">
      <w:pPr>
        <w:pStyle w:val="3-BodyText"/>
        <w:ind w:left="709" w:hanging="709"/>
        <w:rPr>
          <w:lang w:val="en-GB"/>
        </w:rPr>
      </w:pPr>
      <w:r>
        <w:rPr>
          <w:lang w:val="en-GB"/>
        </w:rPr>
        <w:t>The PBAC considered that most of the changes to the proposed restrictions as outlined in paragraph 10.4 were appropriate with the exception of the continuing supply restriction remaining Authority Required (Streamlined). The PBAC considered that continuing supply should, like initial supply, be an Authority Required (telephone/online) to prevent the risk of usage in the dose escalation setting. The PBAC considered that the inclusion of a separate Authority Required (written/online immediate assessment) restriction for dose escalation would be appropriate.</w:t>
      </w:r>
    </w:p>
    <w:p w14:paraId="5A8B2719" w14:textId="77777777" w:rsidR="0025400C" w:rsidRDefault="0025400C" w:rsidP="0025400C">
      <w:pPr>
        <w:pStyle w:val="3-BodyText"/>
        <w:ind w:left="709" w:hanging="709"/>
        <w:rPr>
          <w:lang w:val="en-GB"/>
        </w:rPr>
      </w:pPr>
      <w:r>
        <w:rPr>
          <w:lang w:val="en-GB"/>
        </w:rPr>
        <w:t xml:space="preserve">The PBAC advised that the clinical criteria in the initial supply restriction of ‘Patient must not be able to complete intensive curative therapy’ should be changed to the more specific wording of ‘Patient must not be a candidate for, including those who choose not to proceed to, haematopoietic stem cell transplantation’. </w:t>
      </w:r>
    </w:p>
    <w:p w14:paraId="2767CC8A" w14:textId="77777777" w:rsidR="0025400C" w:rsidRPr="000C6E0D" w:rsidRDefault="0025400C" w:rsidP="0025400C">
      <w:pPr>
        <w:pStyle w:val="ListParagraph"/>
        <w:numPr>
          <w:ilvl w:val="1"/>
          <w:numId w:val="1"/>
        </w:numPr>
        <w:spacing w:after="160"/>
        <w:ind w:left="720"/>
      </w:pPr>
      <w:r>
        <w:t>The PBAC recommended that the Early Supply Rule should apply.</w:t>
      </w:r>
    </w:p>
    <w:p w14:paraId="541E9788" w14:textId="77777777" w:rsidR="0025400C" w:rsidRPr="00A442BC" w:rsidRDefault="0025400C" w:rsidP="0025400C">
      <w:pPr>
        <w:pStyle w:val="ListParagraph"/>
        <w:numPr>
          <w:ilvl w:val="1"/>
          <w:numId w:val="1"/>
        </w:numPr>
        <w:spacing w:after="160"/>
        <w:ind w:left="720"/>
      </w:pPr>
      <w:r>
        <w:t>The PBAC advised that oral azacitidine is not suitable for prescribing by nurse practitioners.</w:t>
      </w:r>
    </w:p>
    <w:p w14:paraId="34A82E99" w14:textId="77777777" w:rsidR="0025400C" w:rsidRPr="007D71EE" w:rsidRDefault="0025400C" w:rsidP="0025400C">
      <w:pPr>
        <w:pStyle w:val="ListParagraph"/>
        <w:numPr>
          <w:ilvl w:val="1"/>
          <w:numId w:val="1"/>
        </w:numPr>
        <w:spacing w:after="160"/>
        <w:ind w:left="720"/>
      </w:pPr>
      <w:r>
        <w:rPr>
          <w:lang w:val="en-GB"/>
        </w:rPr>
        <w:t xml:space="preserve">The PBAC found that the criteria prescribed </w:t>
      </w:r>
      <w:r w:rsidRPr="007D71EE">
        <w:t xml:space="preserve">by the </w:t>
      </w:r>
      <w:r w:rsidRPr="007D71EE">
        <w:rPr>
          <w:i/>
        </w:rPr>
        <w:t>National Health (Pharmaceuticals and Vaccines – Cost Recovery) Regulations 20</w:t>
      </w:r>
      <w:r>
        <w:rPr>
          <w:i/>
        </w:rPr>
        <w:t>22</w:t>
      </w:r>
      <w:r w:rsidRPr="007D71EE">
        <w:t xml:space="preserve"> for Pricing Pathway A were met. Specifically</w:t>
      </w:r>
      <w:r>
        <w:t>,</w:t>
      </w:r>
      <w:r w:rsidRPr="007D71EE">
        <w:t xml:space="preserve"> the PBAC found that in the circumstances of its recommendation for </w:t>
      </w:r>
      <w:r>
        <w:t>oral azacitidine as maintenance therapy in patients with AML</w:t>
      </w:r>
      <w:r w:rsidRPr="007D71EE">
        <w:t>:</w:t>
      </w:r>
    </w:p>
    <w:p w14:paraId="33107687" w14:textId="107054EC" w:rsidR="0025400C" w:rsidRPr="007D71EE" w:rsidRDefault="0025400C" w:rsidP="006F4CC9">
      <w:pPr>
        <w:autoSpaceDE w:val="0"/>
        <w:autoSpaceDN w:val="0"/>
        <w:adjustRightInd w:val="0"/>
        <w:spacing w:after="120"/>
        <w:ind w:left="980" w:hanging="271"/>
      </w:pPr>
      <w:r w:rsidRPr="007D71EE">
        <w:t>a)</w:t>
      </w:r>
      <w:r w:rsidR="006F4CC9">
        <w:tab/>
      </w:r>
      <w:r w:rsidRPr="007D71EE">
        <w:t xml:space="preserve">The treatment is expected to provide a substantial and clinically relevant improvement in efficacy over </w:t>
      </w:r>
      <w:r>
        <w:t>BSC on the basis of the OS</w:t>
      </w:r>
      <w:r w:rsidRPr="007D71EE">
        <w:t xml:space="preserve"> </w:t>
      </w:r>
      <w:r>
        <w:t>gain observed in the QUAZAR trial;</w:t>
      </w:r>
    </w:p>
    <w:p w14:paraId="199FF5CF" w14:textId="20AE85A3" w:rsidR="0025400C" w:rsidRPr="007D71EE" w:rsidRDefault="0025400C" w:rsidP="00637645">
      <w:pPr>
        <w:autoSpaceDE w:val="0"/>
        <w:autoSpaceDN w:val="0"/>
        <w:adjustRightInd w:val="0"/>
        <w:spacing w:after="120"/>
        <w:ind w:left="966" w:hanging="257"/>
      </w:pPr>
      <w:r w:rsidRPr="007D71EE">
        <w:t>b)</w:t>
      </w:r>
      <w:r w:rsidR="006F4CC9">
        <w:tab/>
      </w:r>
      <w:r w:rsidRPr="007D71EE">
        <w:t xml:space="preserve">The treatment is expected to address a high and urgent unmet clinical need </w:t>
      </w:r>
      <w:r>
        <w:t>in the proposed population;</w:t>
      </w:r>
    </w:p>
    <w:p w14:paraId="28A5B4BB" w14:textId="374D9CF5" w:rsidR="0025400C" w:rsidRPr="007D71EE" w:rsidRDefault="0025400C" w:rsidP="00637645">
      <w:pPr>
        <w:autoSpaceDE w:val="0"/>
        <w:autoSpaceDN w:val="0"/>
        <w:adjustRightInd w:val="0"/>
        <w:spacing w:after="120"/>
        <w:ind w:left="966" w:hanging="257"/>
      </w:pPr>
      <w:r w:rsidRPr="007D71EE">
        <w:t>c)</w:t>
      </w:r>
      <w:r w:rsidR="006F4CC9">
        <w:tab/>
      </w:r>
      <w:r w:rsidRPr="007D71EE">
        <w:t>It would be in the public interest for the subsequent pricing application to be progressed under Pricing Pathway A on the basis of the preceding findings</w:t>
      </w:r>
      <w:r>
        <w:t>.</w:t>
      </w:r>
    </w:p>
    <w:p w14:paraId="78133C0D" w14:textId="77777777" w:rsidR="0025400C" w:rsidRDefault="0025400C" w:rsidP="0025400C">
      <w:pPr>
        <w:pStyle w:val="3-BodyText"/>
        <w:ind w:left="709" w:hanging="709"/>
        <w:rPr>
          <w:lang w:val="en-GB"/>
        </w:rPr>
      </w:pPr>
      <w:r>
        <w:rPr>
          <w:lang w:val="en-GB"/>
        </w:rPr>
        <w:t>The PBAC noted that this submission is not eligible for an Independent Review as it received a positive recommendation.</w:t>
      </w:r>
    </w:p>
    <w:p w14:paraId="14F3C1ED" w14:textId="77777777" w:rsidR="0025400C" w:rsidRPr="00B414EB" w:rsidRDefault="0025400C" w:rsidP="0025400C">
      <w:pPr>
        <w:rPr>
          <w:b/>
          <w:bCs/>
          <w:snapToGrid w:val="0"/>
          <w:lang w:val="en-GB"/>
        </w:rPr>
      </w:pPr>
      <w:r w:rsidRPr="00B414EB">
        <w:rPr>
          <w:b/>
          <w:bCs/>
          <w:snapToGrid w:val="0"/>
          <w:lang w:val="en-GB"/>
        </w:rPr>
        <w:t>Outcome:</w:t>
      </w:r>
    </w:p>
    <w:p w14:paraId="0C00D975" w14:textId="2ECDC31E" w:rsidR="0025400C" w:rsidRDefault="0025400C" w:rsidP="0025400C">
      <w:pPr>
        <w:rPr>
          <w:snapToGrid w:val="0"/>
          <w:lang w:val="en-GB"/>
        </w:rPr>
      </w:pPr>
      <w:r w:rsidRPr="00525B39">
        <w:rPr>
          <w:snapToGrid w:val="0"/>
          <w:lang w:val="en-GB"/>
        </w:rPr>
        <w:t xml:space="preserve">Recommended </w:t>
      </w:r>
    </w:p>
    <w:p w14:paraId="17A3103C" w14:textId="77777777" w:rsidR="0025400C" w:rsidRDefault="0025400C" w:rsidP="0025400C">
      <w:pPr>
        <w:pStyle w:val="2-SectionHeading"/>
        <w:numPr>
          <w:ilvl w:val="0"/>
          <w:numId w:val="1"/>
        </w:numPr>
      </w:pPr>
      <w:r>
        <w:t>Recommended listing</w:t>
      </w:r>
    </w:p>
    <w:p w14:paraId="65B28026" w14:textId="77777777" w:rsidR="0025400C" w:rsidRPr="00AC04B4" w:rsidRDefault="0025400C" w:rsidP="0025400C">
      <w:pPr>
        <w:pStyle w:val="3-BodyText"/>
      </w:pPr>
      <w:r w:rsidRPr="00AC04B4">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134"/>
        <w:gridCol w:w="992"/>
        <w:gridCol w:w="992"/>
        <w:gridCol w:w="1134"/>
        <w:gridCol w:w="2076"/>
      </w:tblGrid>
      <w:tr w:rsidR="0025400C" w:rsidRPr="003E471B" w14:paraId="571E4018" w14:textId="77777777" w:rsidTr="00E26E55">
        <w:trPr>
          <w:cantSplit/>
          <w:trHeight w:val="20"/>
        </w:trPr>
        <w:tc>
          <w:tcPr>
            <w:tcW w:w="2689" w:type="dxa"/>
            <w:vAlign w:val="center"/>
          </w:tcPr>
          <w:p w14:paraId="0BEB0E0B" w14:textId="77777777" w:rsidR="0025400C" w:rsidRPr="00B414EB" w:rsidRDefault="0025400C" w:rsidP="00E26E55">
            <w:pPr>
              <w:rPr>
                <w:rFonts w:ascii="Arial Narrow" w:hAnsi="Arial Narrow"/>
                <w:b/>
                <w:bCs/>
                <w:sz w:val="20"/>
                <w:szCs w:val="20"/>
              </w:rPr>
            </w:pPr>
            <w:r w:rsidRPr="00B414EB">
              <w:rPr>
                <w:rFonts w:ascii="Arial Narrow" w:hAnsi="Arial Narrow"/>
                <w:b/>
                <w:bCs/>
                <w:sz w:val="20"/>
                <w:szCs w:val="20"/>
              </w:rPr>
              <w:t>MEDICINAL PRODUCT</w:t>
            </w:r>
          </w:p>
          <w:p w14:paraId="53868679" w14:textId="77777777" w:rsidR="0025400C" w:rsidRPr="003E471B" w:rsidRDefault="0025400C" w:rsidP="00E26E55">
            <w:r w:rsidRPr="00B414EB">
              <w:rPr>
                <w:rFonts w:ascii="Arial Narrow" w:hAnsi="Arial Narrow"/>
                <w:b/>
                <w:bCs/>
                <w:sz w:val="20"/>
                <w:szCs w:val="20"/>
              </w:rPr>
              <w:t>medicinal product pack</w:t>
            </w:r>
          </w:p>
        </w:tc>
        <w:tc>
          <w:tcPr>
            <w:tcW w:w="1134" w:type="dxa"/>
            <w:vAlign w:val="center"/>
          </w:tcPr>
          <w:p w14:paraId="6AE1BEEC" w14:textId="77777777" w:rsidR="0025400C" w:rsidRPr="003E471B" w:rsidRDefault="0025400C" w:rsidP="00E26E55">
            <w:pPr>
              <w:keepLines/>
              <w:jc w:val="center"/>
              <w:rPr>
                <w:rFonts w:ascii="Arial Narrow" w:hAnsi="Arial Narrow"/>
                <w:b/>
                <w:color w:val="000000"/>
                <w:sz w:val="20"/>
                <w:szCs w:val="20"/>
              </w:rPr>
            </w:pPr>
            <w:r w:rsidRPr="003E471B">
              <w:rPr>
                <w:rFonts w:ascii="Arial Narrow" w:hAnsi="Arial Narrow"/>
                <w:b/>
                <w:color w:val="000000"/>
                <w:sz w:val="20"/>
                <w:szCs w:val="20"/>
              </w:rPr>
              <w:t>PBS item code</w:t>
            </w:r>
          </w:p>
        </w:tc>
        <w:tc>
          <w:tcPr>
            <w:tcW w:w="992" w:type="dxa"/>
            <w:vAlign w:val="center"/>
          </w:tcPr>
          <w:p w14:paraId="7166644F" w14:textId="77777777" w:rsidR="0025400C" w:rsidRPr="003E471B" w:rsidRDefault="0025400C" w:rsidP="00E26E55">
            <w:pPr>
              <w:keepLines/>
              <w:jc w:val="center"/>
              <w:rPr>
                <w:rFonts w:ascii="Arial Narrow" w:hAnsi="Arial Narrow"/>
                <w:b/>
                <w:color w:val="000000"/>
                <w:sz w:val="20"/>
                <w:szCs w:val="20"/>
              </w:rPr>
            </w:pPr>
            <w:r w:rsidRPr="003E471B">
              <w:rPr>
                <w:rFonts w:ascii="Arial Narrow" w:hAnsi="Arial Narrow"/>
                <w:b/>
                <w:color w:val="000000"/>
                <w:sz w:val="20"/>
                <w:szCs w:val="20"/>
              </w:rPr>
              <w:t>Max. qty packs</w:t>
            </w:r>
          </w:p>
        </w:tc>
        <w:tc>
          <w:tcPr>
            <w:tcW w:w="992" w:type="dxa"/>
            <w:vAlign w:val="center"/>
          </w:tcPr>
          <w:p w14:paraId="00231F38" w14:textId="77777777" w:rsidR="0025400C" w:rsidRPr="003E471B" w:rsidRDefault="0025400C" w:rsidP="00E26E55">
            <w:pPr>
              <w:keepLines/>
              <w:jc w:val="center"/>
              <w:rPr>
                <w:rFonts w:ascii="Arial Narrow" w:hAnsi="Arial Narrow"/>
                <w:b/>
                <w:color w:val="000000"/>
                <w:sz w:val="20"/>
                <w:szCs w:val="20"/>
              </w:rPr>
            </w:pPr>
            <w:r w:rsidRPr="003E471B">
              <w:rPr>
                <w:rFonts w:ascii="Arial Narrow" w:hAnsi="Arial Narrow"/>
                <w:b/>
                <w:color w:val="000000"/>
                <w:sz w:val="20"/>
                <w:szCs w:val="20"/>
              </w:rPr>
              <w:t>Max. qty units</w:t>
            </w:r>
          </w:p>
        </w:tc>
        <w:tc>
          <w:tcPr>
            <w:tcW w:w="1134" w:type="dxa"/>
            <w:vAlign w:val="center"/>
          </w:tcPr>
          <w:p w14:paraId="5E7145D7" w14:textId="77777777" w:rsidR="0025400C" w:rsidRPr="003E471B" w:rsidRDefault="0025400C" w:rsidP="00E26E55">
            <w:pPr>
              <w:keepLines/>
              <w:jc w:val="center"/>
              <w:rPr>
                <w:rFonts w:ascii="Arial Narrow" w:hAnsi="Arial Narrow"/>
                <w:b/>
                <w:color w:val="000000"/>
                <w:sz w:val="20"/>
                <w:szCs w:val="20"/>
              </w:rPr>
            </w:pPr>
            <w:r w:rsidRPr="003E471B">
              <w:rPr>
                <w:rFonts w:ascii="Arial Narrow" w:hAnsi="Arial Narrow"/>
                <w:b/>
                <w:color w:val="000000"/>
                <w:sz w:val="20"/>
                <w:szCs w:val="20"/>
              </w:rPr>
              <w:t>№.</w:t>
            </w:r>
            <w:r>
              <w:rPr>
                <w:rFonts w:ascii="Arial Narrow" w:hAnsi="Arial Narrow"/>
                <w:b/>
                <w:color w:val="000000"/>
                <w:sz w:val="20"/>
                <w:szCs w:val="20"/>
              </w:rPr>
              <w:t xml:space="preserve"> </w:t>
            </w:r>
            <w:r w:rsidRPr="003E471B">
              <w:rPr>
                <w:rFonts w:ascii="Arial Narrow" w:hAnsi="Arial Narrow"/>
                <w:b/>
                <w:color w:val="000000"/>
                <w:sz w:val="20"/>
                <w:szCs w:val="20"/>
              </w:rPr>
              <w:t>of</w:t>
            </w:r>
          </w:p>
          <w:p w14:paraId="3A91202D" w14:textId="77777777" w:rsidR="0025400C" w:rsidRPr="003E471B" w:rsidRDefault="0025400C" w:rsidP="00E26E55">
            <w:pPr>
              <w:keepLines/>
              <w:jc w:val="center"/>
              <w:rPr>
                <w:rFonts w:ascii="Arial Narrow" w:hAnsi="Arial Narrow"/>
                <w:b/>
                <w:color w:val="000000"/>
                <w:sz w:val="20"/>
                <w:szCs w:val="20"/>
              </w:rPr>
            </w:pPr>
            <w:r w:rsidRPr="003E471B">
              <w:rPr>
                <w:rFonts w:ascii="Arial Narrow" w:hAnsi="Arial Narrow"/>
                <w:b/>
                <w:color w:val="000000"/>
                <w:sz w:val="20"/>
                <w:szCs w:val="20"/>
              </w:rPr>
              <w:t>Rpts</w:t>
            </w:r>
          </w:p>
        </w:tc>
        <w:tc>
          <w:tcPr>
            <w:tcW w:w="2076" w:type="dxa"/>
            <w:vAlign w:val="center"/>
          </w:tcPr>
          <w:p w14:paraId="6C8C22C1" w14:textId="77777777" w:rsidR="0025400C" w:rsidRPr="003E471B" w:rsidRDefault="0025400C" w:rsidP="00E26E55">
            <w:pPr>
              <w:keepLines/>
              <w:rPr>
                <w:rFonts w:ascii="Arial Narrow" w:hAnsi="Arial Narrow"/>
                <w:b/>
                <w:color w:val="000000"/>
                <w:sz w:val="20"/>
                <w:szCs w:val="20"/>
                <w:lang w:val="fr-FR"/>
              </w:rPr>
            </w:pPr>
            <w:r w:rsidRPr="003E471B">
              <w:rPr>
                <w:rFonts w:ascii="Arial Narrow" w:hAnsi="Arial Narrow"/>
                <w:b/>
                <w:color w:val="000000"/>
                <w:sz w:val="20"/>
                <w:szCs w:val="20"/>
              </w:rPr>
              <w:t>Available brands</w:t>
            </w:r>
          </w:p>
        </w:tc>
      </w:tr>
      <w:tr w:rsidR="0025400C" w:rsidRPr="003E471B" w14:paraId="611E3A8B" w14:textId="77777777" w:rsidTr="00E26E55">
        <w:trPr>
          <w:cantSplit/>
          <w:trHeight w:val="20"/>
        </w:trPr>
        <w:tc>
          <w:tcPr>
            <w:tcW w:w="9017" w:type="dxa"/>
            <w:gridSpan w:val="6"/>
            <w:vAlign w:val="center"/>
          </w:tcPr>
          <w:p w14:paraId="3E8DCDD5" w14:textId="77777777" w:rsidR="0025400C" w:rsidRPr="003E471B" w:rsidRDefault="0025400C" w:rsidP="00E26E55">
            <w:pPr>
              <w:keepLines/>
              <w:rPr>
                <w:rFonts w:ascii="Arial Narrow" w:hAnsi="Arial Narrow"/>
                <w:color w:val="000000"/>
                <w:sz w:val="20"/>
                <w:szCs w:val="20"/>
              </w:rPr>
            </w:pPr>
            <w:r w:rsidRPr="003E471B">
              <w:rPr>
                <w:rFonts w:ascii="Arial Narrow" w:hAnsi="Arial Narrow"/>
                <w:color w:val="000000"/>
                <w:sz w:val="20"/>
                <w:szCs w:val="20"/>
              </w:rPr>
              <w:t>AZACITIDINE</w:t>
            </w:r>
          </w:p>
        </w:tc>
      </w:tr>
      <w:tr w:rsidR="0025400C" w:rsidRPr="003E471B" w14:paraId="5CA156A3" w14:textId="77777777" w:rsidTr="00E26E55">
        <w:trPr>
          <w:cantSplit/>
          <w:trHeight w:val="177"/>
        </w:trPr>
        <w:tc>
          <w:tcPr>
            <w:tcW w:w="2689" w:type="dxa"/>
            <w:vAlign w:val="center"/>
          </w:tcPr>
          <w:p w14:paraId="5FB8E25A" w14:textId="77777777" w:rsidR="0025400C" w:rsidRPr="003E471B" w:rsidRDefault="0025400C" w:rsidP="00E26E55">
            <w:pPr>
              <w:keepLines/>
              <w:rPr>
                <w:rFonts w:ascii="Arial Narrow" w:hAnsi="Arial Narrow"/>
                <w:i/>
                <w:iCs/>
                <w:color w:val="000000"/>
                <w:sz w:val="20"/>
                <w:szCs w:val="20"/>
              </w:rPr>
            </w:pPr>
            <w:r w:rsidRPr="003E471B">
              <w:rPr>
                <w:rFonts w:ascii="Arial Narrow" w:hAnsi="Arial Narrow"/>
                <w:color w:val="000000"/>
                <w:sz w:val="20"/>
                <w:szCs w:val="20"/>
              </w:rPr>
              <w:t xml:space="preserve">azacitidine 300 mg tablet, </w:t>
            </w:r>
            <w:r w:rsidRPr="003E471B">
              <w:rPr>
                <w:rFonts w:ascii="Arial Narrow" w:hAnsi="Arial Narrow"/>
                <w:i/>
                <w:iCs/>
                <w:color w:val="000000"/>
                <w:sz w:val="20"/>
                <w:szCs w:val="20"/>
              </w:rPr>
              <w:t>7</w:t>
            </w:r>
          </w:p>
        </w:tc>
        <w:tc>
          <w:tcPr>
            <w:tcW w:w="1134" w:type="dxa"/>
            <w:vAlign w:val="center"/>
          </w:tcPr>
          <w:p w14:paraId="52D07A33" w14:textId="77777777" w:rsidR="0025400C" w:rsidRPr="003E471B" w:rsidRDefault="0025400C" w:rsidP="00E26E55">
            <w:pPr>
              <w:keepLines/>
              <w:jc w:val="center"/>
              <w:rPr>
                <w:rFonts w:ascii="Arial Narrow" w:hAnsi="Arial Narrow"/>
                <w:color w:val="000000"/>
                <w:sz w:val="20"/>
                <w:szCs w:val="20"/>
              </w:rPr>
            </w:pPr>
            <w:r w:rsidRPr="003E471B">
              <w:rPr>
                <w:rFonts w:ascii="Arial Narrow" w:hAnsi="Arial Narrow"/>
                <w:color w:val="000000"/>
                <w:sz w:val="20"/>
                <w:szCs w:val="20"/>
              </w:rPr>
              <w:t>NEW</w:t>
            </w:r>
          </w:p>
        </w:tc>
        <w:tc>
          <w:tcPr>
            <w:tcW w:w="992" w:type="dxa"/>
            <w:vAlign w:val="center"/>
          </w:tcPr>
          <w:p w14:paraId="22ECD8C3" w14:textId="77777777" w:rsidR="0025400C" w:rsidRPr="003E471B" w:rsidRDefault="0025400C" w:rsidP="00E26E55">
            <w:pPr>
              <w:keepLines/>
              <w:jc w:val="center"/>
              <w:rPr>
                <w:rFonts w:ascii="Arial Narrow" w:hAnsi="Arial Narrow"/>
                <w:color w:val="000000"/>
                <w:sz w:val="20"/>
                <w:szCs w:val="20"/>
              </w:rPr>
            </w:pPr>
            <w:r w:rsidRPr="003E471B">
              <w:rPr>
                <w:rFonts w:ascii="Arial Narrow" w:hAnsi="Arial Narrow"/>
                <w:color w:val="000000"/>
                <w:sz w:val="20"/>
                <w:szCs w:val="20"/>
              </w:rPr>
              <w:t>2</w:t>
            </w:r>
          </w:p>
        </w:tc>
        <w:tc>
          <w:tcPr>
            <w:tcW w:w="992" w:type="dxa"/>
            <w:vAlign w:val="center"/>
          </w:tcPr>
          <w:p w14:paraId="73446955" w14:textId="77777777" w:rsidR="0025400C" w:rsidRPr="003E471B" w:rsidRDefault="0025400C" w:rsidP="00E26E55">
            <w:pPr>
              <w:keepLines/>
              <w:jc w:val="center"/>
              <w:rPr>
                <w:rFonts w:ascii="Arial Narrow" w:hAnsi="Arial Narrow"/>
                <w:color w:val="000000"/>
                <w:sz w:val="20"/>
                <w:szCs w:val="20"/>
              </w:rPr>
            </w:pPr>
            <w:r w:rsidRPr="003E471B">
              <w:rPr>
                <w:rFonts w:ascii="Arial Narrow" w:hAnsi="Arial Narrow"/>
                <w:color w:val="000000"/>
                <w:sz w:val="20"/>
                <w:szCs w:val="20"/>
              </w:rPr>
              <w:t>14</w:t>
            </w:r>
          </w:p>
        </w:tc>
        <w:tc>
          <w:tcPr>
            <w:tcW w:w="1134" w:type="dxa"/>
            <w:vAlign w:val="center"/>
          </w:tcPr>
          <w:p w14:paraId="2289E06F" w14:textId="77777777" w:rsidR="0025400C" w:rsidRPr="003E471B" w:rsidRDefault="0025400C" w:rsidP="00E26E55">
            <w:pPr>
              <w:keepLines/>
              <w:jc w:val="center"/>
              <w:rPr>
                <w:rFonts w:ascii="Arial Narrow" w:hAnsi="Arial Narrow"/>
                <w:color w:val="000000"/>
                <w:sz w:val="20"/>
                <w:szCs w:val="20"/>
              </w:rPr>
            </w:pPr>
            <w:r w:rsidRPr="003E471B">
              <w:rPr>
                <w:rFonts w:ascii="Arial Narrow" w:hAnsi="Arial Narrow"/>
                <w:color w:val="000000"/>
                <w:sz w:val="20"/>
                <w:szCs w:val="20"/>
              </w:rPr>
              <w:t>2</w:t>
            </w:r>
          </w:p>
        </w:tc>
        <w:tc>
          <w:tcPr>
            <w:tcW w:w="2076" w:type="dxa"/>
            <w:vAlign w:val="center"/>
          </w:tcPr>
          <w:p w14:paraId="1E73D439" w14:textId="77777777" w:rsidR="0025400C" w:rsidRPr="003E471B" w:rsidRDefault="0025400C" w:rsidP="00E26E55">
            <w:pPr>
              <w:keepLines/>
              <w:rPr>
                <w:rFonts w:ascii="Arial Narrow" w:hAnsi="Arial Narrow"/>
                <w:color w:val="000000"/>
                <w:sz w:val="20"/>
                <w:szCs w:val="20"/>
              </w:rPr>
            </w:pPr>
            <w:r w:rsidRPr="003E471B">
              <w:rPr>
                <w:rFonts w:ascii="Arial Narrow" w:hAnsi="Arial Narrow"/>
                <w:color w:val="000000"/>
                <w:sz w:val="20"/>
                <w:szCs w:val="20"/>
              </w:rPr>
              <w:t>Onureg</w:t>
            </w:r>
          </w:p>
        </w:tc>
      </w:tr>
      <w:tr w:rsidR="0025400C" w:rsidRPr="003E471B" w14:paraId="037622EE" w14:textId="77777777" w:rsidTr="00E26E55">
        <w:tblPrEx>
          <w:tblCellMar>
            <w:top w:w="15" w:type="dxa"/>
            <w:bottom w:w="15" w:type="dxa"/>
          </w:tblCellMar>
          <w:tblLook w:val="04A0" w:firstRow="1" w:lastRow="0" w:firstColumn="1" w:lastColumn="0" w:noHBand="0" w:noVBand="1"/>
        </w:tblPrEx>
        <w:trPr>
          <w:trHeight w:val="20"/>
        </w:trPr>
        <w:tc>
          <w:tcPr>
            <w:tcW w:w="9017" w:type="dxa"/>
            <w:gridSpan w:val="6"/>
            <w:tcBorders>
              <w:top w:val="single" w:sz="4" w:space="0" w:color="auto"/>
              <w:left w:val="single" w:sz="4" w:space="0" w:color="auto"/>
              <w:right w:val="single" w:sz="4" w:space="0" w:color="auto"/>
            </w:tcBorders>
            <w:vAlign w:val="center"/>
          </w:tcPr>
          <w:p w14:paraId="34859371" w14:textId="77777777" w:rsidR="0025400C" w:rsidRPr="003E471B" w:rsidRDefault="0025400C" w:rsidP="00E26E55">
            <w:pPr>
              <w:rPr>
                <w:rFonts w:ascii="Arial Narrow" w:hAnsi="Arial Narrow"/>
                <w:color w:val="000000"/>
                <w:sz w:val="20"/>
                <w:szCs w:val="20"/>
              </w:rPr>
            </w:pPr>
          </w:p>
        </w:tc>
      </w:tr>
      <w:tr w:rsidR="0025400C" w:rsidRPr="003E471B" w14:paraId="7881EBCD" w14:textId="6AB4C608" w:rsidTr="00E26E55">
        <w:tblPrEx>
          <w:tblCellMar>
            <w:top w:w="15" w:type="dxa"/>
            <w:bottom w:w="15" w:type="dxa"/>
          </w:tblCellMar>
          <w:tblLook w:val="04A0" w:firstRow="1" w:lastRow="0" w:firstColumn="1" w:lastColumn="0" w:noHBand="0" w:noVBand="1"/>
        </w:tblPrEx>
        <w:trPr>
          <w:trHeight w:val="20"/>
        </w:trPr>
        <w:tc>
          <w:tcPr>
            <w:tcW w:w="9017" w:type="dxa"/>
            <w:gridSpan w:val="6"/>
            <w:tcBorders>
              <w:top w:val="single" w:sz="4" w:space="0" w:color="auto"/>
              <w:left w:val="single" w:sz="4" w:space="0" w:color="auto"/>
              <w:right w:val="single" w:sz="4" w:space="0" w:color="auto"/>
            </w:tcBorders>
            <w:vAlign w:val="center"/>
          </w:tcPr>
          <w:p w14:paraId="6626C5DF" w14:textId="26C334D6" w:rsidR="0025400C" w:rsidRPr="003E471B" w:rsidRDefault="0025400C" w:rsidP="00E26E55">
            <w:pPr>
              <w:keepLines/>
              <w:rPr>
                <w:rFonts w:ascii="Arial Narrow" w:hAnsi="Arial Narrow"/>
                <w:b/>
                <w:color w:val="000000"/>
                <w:sz w:val="20"/>
                <w:szCs w:val="20"/>
              </w:rPr>
            </w:pPr>
          </w:p>
        </w:tc>
      </w:tr>
      <w:tr w:rsidR="00C71151" w:rsidRPr="003E471B" w14:paraId="60D16423" w14:textId="77777777" w:rsidTr="005F5757">
        <w:tblPrEx>
          <w:tblCellMar>
            <w:top w:w="15" w:type="dxa"/>
            <w:bottom w:w="15" w:type="dxa"/>
          </w:tblCellMar>
          <w:tblLook w:val="04A0" w:firstRow="1" w:lastRow="0" w:firstColumn="1" w:lastColumn="0" w:noHBand="0" w:noVBand="1"/>
        </w:tblPrEx>
        <w:trPr>
          <w:trHeight w:val="20"/>
        </w:trPr>
        <w:tc>
          <w:tcPr>
            <w:tcW w:w="9017" w:type="dxa"/>
            <w:gridSpan w:val="6"/>
            <w:tcBorders>
              <w:top w:val="single" w:sz="4" w:space="0" w:color="auto"/>
              <w:left w:val="single" w:sz="4" w:space="0" w:color="auto"/>
              <w:right w:val="single" w:sz="4" w:space="0" w:color="auto"/>
            </w:tcBorders>
          </w:tcPr>
          <w:p w14:paraId="54E49913" w14:textId="77777777" w:rsidR="00C71151" w:rsidRPr="003E471B" w:rsidRDefault="00C71151" w:rsidP="00E26E55">
            <w:pPr>
              <w:keepLines/>
              <w:rPr>
                <w:rFonts w:ascii="Arial Narrow" w:hAnsi="Arial Narrow"/>
                <w:color w:val="000000"/>
                <w:sz w:val="20"/>
                <w:szCs w:val="20"/>
              </w:rPr>
            </w:pPr>
            <w:r w:rsidRPr="003E471B">
              <w:rPr>
                <w:rFonts w:ascii="Arial Narrow" w:hAnsi="Arial Narrow"/>
                <w:b/>
                <w:color w:val="000000"/>
                <w:sz w:val="20"/>
                <w:szCs w:val="20"/>
              </w:rPr>
              <w:t xml:space="preserve">Category / Program: </w:t>
            </w:r>
            <w:r w:rsidRPr="003E471B">
              <w:rPr>
                <w:rFonts w:ascii="Arial Narrow" w:hAnsi="Arial Narrow"/>
                <w:color w:val="000000"/>
                <w:sz w:val="20"/>
                <w:szCs w:val="20"/>
              </w:rPr>
              <w:t xml:space="preserve">GENERAL – General Schedule (Code GE) </w:t>
            </w:r>
          </w:p>
        </w:tc>
      </w:tr>
      <w:tr w:rsidR="00C71151" w:rsidRPr="003E471B" w14:paraId="25E4CF29" w14:textId="77777777" w:rsidTr="00471C0D">
        <w:tblPrEx>
          <w:tblCellMar>
            <w:top w:w="15" w:type="dxa"/>
            <w:bottom w:w="15" w:type="dxa"/>
          </w:tblCellMar>
          <w:tblLook w:val="04A0" w:firstRow="1" w:lastRow="0" w:firstColumn="1" w:lastColumn="0" w:noHBand="0" w:noVBand="1"/>
        </w:tblPrEx>
        <w:trPr>
          <w:trHeight w:val="20"/>
        </w:trPr>
        <w:tc>
          <w:tcPr>
            <w:tcW w:w="9017" w:type="dxa"/>
            <w:gridSpan w:val="6"/>
            <w:tcBorders>
              <w:left w:val="single" w:sz="4" w:space="0" w:color="auto"/>
              <w:right w:val="single" w:sz="4" w:space="0" w:color="auto"/>
            </w:tcBorders>
          </w:tcPr>
          <w:p w14:paraId="5B1DEB9D" w14:textId="77777777" w:rsidR="00C71151" w:rsidRPr="003E471B" w:rsidRDefault="00C71151" w:rsidP="00E26E55">
            <w:pPr>
              <w:keepLines/>
              <w:rPr>
                <w:rFonts w:ascii="Arial Narrow" w:hAnsi="Arial Narrow"/>
                <w:b/>
                <w:i/>
                <w:iCs/>
                <w:color w:val="000000"/>
                <w:sz w:val="20"/>
                <w:szCs w:val="20"/>
              </w:rPr>
            </w:pPr>
            <w:r w:rsidRPr="003E471B">
              <w:rPr>
                <w:rFonts w:ascii="Arial Narrow" w:hAnsi="Arial Narrow"/>
                <w:b/>
                <w:i/>
                <w:iCs/>
                <w:color w:val="000000"/>
                <w:sz w:val="20"/>
                <w:szCs w:val="20"/>
              </w:rPr>
              <w:t xml:space="preserve">Prescriber type: </w:t>
            </w:r>
            <w:r w:rsidRPr="003E471B">
              <w:rPr>
                <w:rFonts w:ascii="Arial Narrow" w:hAnsi="Arial Narrow"/>
                <w:i/>
                <w:iCs/>
                <w:color w:val="000000"/>
                <w:sz w:val="20"/>
                <w:szCs w:val="20"/>
              </w:rPr>
              <w:fldChar w:fldCharType="begin" w:fldLock="1">
                <w:ffData>
                  <w:name w:val=""/>
                  <w:enabled/>
                  <w:calcOnExit w:val="0"/>
                  <w:checkBox>
                    <w:sizeAuto/>
                    <w:default w:val="1"/>
                  </w:checkBox>
                </w:ffData>
              </w:fldChar>
            </w:r>
            <w:r w:rsidRPr="003E471B">
              <w:rPr>
                <w:rFonts w:ascii="Arial Narrow" w:hAnsi="Arial Narrow"/>
                <w:i/>
                <w:iCs/>
                <w:color w:val="000000"/>
                <w:sz w:val="20"/>
                <w:szCs w:val="20"/>
              </w:rPr>
              <w:instrText xml:space="preserve"> FORMCHECKBOX </w:instrText>
            </w:r>
            <w:r w:rsidR="00396D16">
              <w:rPr>
                <w:rFonts w:ascii="Arial Narrow" w:hAnsi="Arial Narrow"/>
                <w:i/>
                <w:iCs/>
                <w:color w:val="000000"/>
                <w:sz w:val="20"/>
                <w:szCs w:val="20"/>
              </w:rPr>
            </w:r>
            <w:r w:rsidR="00396D16">
              <w:rPr>
                <w:rFonts w:ascii="Arial Narrow" w:hAnsi="Arial Narrow"/>
                <w:i/>
                <w:iCs/>
                <w:color w:val="000000"/>
                <w:sz w:val="20"/>
                <w:szCs w:val="20"/>
              </w:rPr>
              <w:fldChar w:fldCharType="separate"/>
            </w:r>
            <w:r w:rsidRPr="003E471B">
              <w:rPr>
                <w:rFonts w:ascii="Arial Narrow" w:hAnsi="Arial Narrow"/>
                <w:i/>
                <w:iCs/>
                <w:color w:val="000000"/>
                <w:sz w:val="20"/>
                <w:szCs w:val="20"/>
              </w:rPr>
              <w:fldChar w:fldCharType="end"/>
            </w:r>
            <w:r w:rsidRPr="003E471B">
              <w:rPr>
                <w:rFonts w:ascii="Arial Narrow" w:hAnsi="Arial Narrow"/>
                <w:color w:val="000000"/>
                <w:sz w:val="20"/>
                <w:szCs w:val="20"/>
              </w:rPr>
              <w:t>Medical Practitioners</w:t>
            </w:r>
            <w:r w:rsidRPr="003E471B">
              <w:rPr>
                <w:rFonts w:ascii="Arial Narrow" w:hAnsi="Arial Narrow"/>
                <w:i/>
                <w:iCs/>
                <w:color w:val="000000"/>
                <w:sz w:val="20"/>
                <w:szCs w:val="20"/>
              </w:rPr>
              <w:t xml:space="preserve"> </w:t>
            </w:r>
          </w:p>
        </w:tc>
      </w:tr>
      <w:tr w:rsidR="00C71151" w:rsidRPr="003E471B" w14:paraId="0FFBE458" w14:textId="77777777" w:rsidTr="0066204D">
        <w:tblPrEx>
          <w:tblCellMar>
            <w:top w:w="15" w:type="dxa"/>
            <w:bottom w:w="15" w:type="dxa"/>
          </w:tblCellMar>
          <w:tblLook w:val="04A0" w:firstRow="1" w:lastRow="0" w:firstColumn="1" w:lastColumn="0" w:noHBand="0" w:noVBand="1"/>
        </w:tblPrEx>
        <w:trPr>
          <w:trHeight w:val="20"/>
        </w:trPr>
        <w:tc>
          <w:tcPr>
            <w:tcW w:w="9017" w:type="dxa"/>
            <w:gridSpan w:val="6"/>
            <w:tcBorders>
              <w:left w:val="single" w:sz="4" w:space="0" w:color="auto"/>
              <w:bottom w:val="single" w:sz="4" w:space="0" w:color="auto"/>
              <w:right w:val="single" w:sz="4" w:space="0" w:color="auto"/>
            </w:tcBorders>
          </w:tcPr>
          <w:p w14:paraId="6053F571" w14:textId="77777777" w:rsidR="00C71151" w:rsidRPr="003E471B" w:rsidRDefault="00C71151" w:rsidP="00E26E55">
            <w:pPr>
              <w:keepLines/>
              <w:rPr>
                <w:rFonts w:ascii="Arial Narrow" w:hAnsi="Arial Narrow"/>
                <w:color w:val="000000"/>
                <w:sz w:val="20"/>
                <w:szCs w:val="20"/>
              </w:rPr>
            </w:pPr>
            <w:r w:rsidRPr="003E471B">
              <w:rPr>
                <w:rFonts w:ascii="Arial Narrow" w:hAnsi="Arial Narrow"/>
                <w:b/>
                <w:color w:val="000000"/>
                <w:sz w:val="20"/>
                <w:szCs w:val="20"/>
              </w:rPr>
              <w:t xml:space="preserve">Restriction type: </w:t>
            </w:r>
            <w:r w:rsidRPr="003E471B">
              <w:rPr>
                <w:rFonts w:ascii="Arial Narrow" w:hAnsi="Arial Narrow"/>
                <w:color w:val="000000"/>
                <w:sz w:val="20"/>
                <w:szCs w:val="20"/>
              </w:rPr>
              <w:fldChar w:fldCharType="begin" w:fldLock="1">
                <w:ffData>
                  <w:name w:val=""/>
                  <w:enabled/>
                  <w:calcOnExit w:val="0"/>
                  <w:checkBox>
                    <w:sizeAuto/>
                    <w:default w:val="1"/>
                  </w:checkBox>
                </w:ffData>
              </w:fldChar>
            </w:r>
            <w:r w:rsidRPr="003E471B">
              <w:rPr>
                <w:rFonts w:ascii="Arial Narrow" w:hAnsi="Arial Narrow"/>
                <w:color w:val="000000"/>
                <w:sz w:val="20"/>
                <w:szCs w:val="20"/>
              </w:rPr>
              <w:instrText xml:space="preserve"> FORMCHECKBOX </w:instrText>
            </w:r>
            <w:r w:rsidR="00396D16">
              <w:rPr>
                <w:rFonts w:ascii="Arial Narrow" w:hAnsi="Arial Narrow"/>
                <w:color w:val="000000"/>
                <w:sz w:val="20"/>
                <w:szCs w:val="20"/>
              </w:rPr>
            </w:r>
            <w:r w:rsidR="00396D16">
              <w:rPr>
                <w:rFonts w:ascii="Arial Narrow" w:hAnsi="Arial Narrow"/>
                <w:color w:val="000000"/>
                <w:sz w:val="20"/>
                <w:szCs w:val="20"/>
              </w:rPr>
              <w:fldChar w:fldCharType="separate"/>
            </w:r>
            <w:r w:rsidRPr="003E471B">
              <w:rPr>
                <w:rFonts w:ascii="Arial Narrow" w:hAnsi="Arial Narrow"/>
                <w:color w:val="000000"/>
                <w:sz w:val="20"/>
                <w:szCs w:val="20"/>
              </w:rPr>
              <w:fldChar w:fldCharType="end"/>
            </w:r>
            <w:r w:rsidRPr="003E471B">
              <w:rPr>
                <w:rFonts w:ascii="Arial Narrow" w:hAnsi="Arial Narrow"/>
                <w:color w:val="000000"/>
                <w:sz w:val="20"/>
                <w:szCs w:val="20"/>
              </w:rPr>
              <w:t>Authority Required (Telephone/online)</w:t>
            </w:r>
            <w:r w:rsidRPr="003E471B">
              <w:rPr>
                <w:rFonts w:ascii="Arial Narrow" w:hAnsi="Arial Narrow"/>
                <w:i/>
                <w:iCs/>
                <w:color w:val="000000"/>
                <w:sz w:val="20"/>
                <w:szCs w:val="20"/>
              </w:rPr>
              <w:t xml:space="preserve"> </w:t>
            </w:r>
          </w:p>
        </w:tc>
      </w:tr>
      <w:tr w:rsidR="00C71151" w:rsidRPr="003E471B" w14:paraId="7EF8E4A0" w14:textId="77777777" w:rsidTr="00401366">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6AC7684B" w14:textId="77777777" w:rsidR="00C71151" w:rsidRPr="003E471B" w:rsidRDefault="00C71151" w:rsidP="00E26E55">
            <w:pPr>
              <w:keepLines/>
              <w:rPr>
                <w:rFonts w:ascii="Arial Narrow" w:hAnsi="Arial Narrow"/>
                <w:b/>
                <w:bCs/>
                <w:color w:val="000000"/>
                <w:sz w:val="20"/>
                <w:szCs w:val="20"/>
              </w:rPr>
            </w:pPr>
            <w:r w:rsidRPr="003E471B">
              <w:rPr>
                <w:rFonts w:ascii="Arial Narrow" w:hAnsi="Arial Narrow"/>
                <w:b/>
                <w:bCs/>
                <w:color w:val="000000"/>
                <w:sz w:val="20"/>
                <w:szCs w:val="20"/>
              </w:rPr>
              <w:t xml:space="preserve">Condition: </w:t>
            </w:r>
            <w:r w:rsidRPr="003E471B">
              <w:rPr>
                <w:rFonts w:ascii="Arial Narrow" w:hAnsi="Arial Narrow"/>
                <w:bCs/>
                <w:color w:val="000000"/>
                <w:sz w:val="20"/>
                <w:szCs w:val="20"/>
              </w:rPr>
              <w:t>Acute Myeloid Leukaemia</w:t>
            </w:r>
          </w:p>
        </w:tc>
      </w:tr>
      <w:tr w:rsidR="00C71151" w:rsidRPr="003E471B" w14:paraId="08CD3FCD" w14:textId="77777777" w:rsidTr="004D4115">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03B66F02" w14:textId="77777777" w:rsidR="00C71151" w:rsidRPr="003E471B" w:rsidRDefault="00C71151" w:rsidP="00E26E55">
            <w:pPr>
              <w:keepLines/>
              <w:rPr>
                <w:rFonts w:ascii="Arial Narrow" w:hAnsi="Arial Narrow"/>
                <w:color w:val="000000"/>
                <w:sz w:val="20"/>
                <w:szCs w:val="20"/>
              </w:rPr>
            </w:pPr>
            <w:r w:rsidRPr="003E471B">
              <w:rPr>
                <w:rFonts w:ascii="Arial Narrow" w:hAnsi="Arial Narrow"/>
                <w:b/>
                <w:bCs/>
                <w:color w:val="000000"/>
                <w:sz w:val="20"/>
                <w:szCs w:val="20"/>
              </w:rPr>
              <w:t>Indication:</w:t>
            </w:r>
            <w:r w:rsidRPr="003E471B">
              <w:rPr>
                <w:rFonts w:ascii="Arial Narrow" w:hAnsi="Arial Narrow"/>
                <w:color w:val="000000"/>
                <w:sz w:val="20"/>
                <w:szCs w:val="20"/>
              </w:rPr>
              <w:t xml:space="preserve"> </w:t>
            </w:r>
            <w:r w:rsidRPr="003E471B">
              <w:rPr>
                <w:rFonts w:ascii="Arial Narrow" w:hAnsi="Arial Narrow"/>
                <w:bCs/>
                <w:color w:val="000000"/>
                <w:sz w:val="20"/>
                <w:szCs w:val="20"/>
              </w:rPr>
              <w:t>Acute Myeloid Leukaemia</w:t>
            </w:r>
          </w:p>
        </w:tc>
      </w:tr>
      <w:tr w:rsidR="00C71151" w:rsidRPr="003E471B" w14:paraId="18354395" w14:textId="77777777" w:rsidTr="00732CEE">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5C072305" w14:textId="77777777" w:rsidR="00C71151" w:rsidRPr="00EC7AA7" w:rsidRDefault="00C71151" w:rsidP="00E26E55">
            <w:pPr>
              <w:pStyle w:val="NormalWeb"/>
              <w:spacing w:before="0" w:after="0"/>
              <w:rPr>
                <w:rFonts w:ascii="Segoe UI" w:hAnsi="Segoe UI" w:cs="Segoe UI"/>
                <w:snapToGrid/>
                <w:lang w:val="en-AU"/>
              </w:rPr>
            </w:pPr>
            <w:r w:rsidRPr="003E471B">
              <w:rPr>
                <w:rFonts w:ascii="Arial Narrow" w:hAnsi="Arial Narrow"/>
                <w:b/>
                <w:bCs/>
                <w:color w:val="000000"/>
                <w:sz w:val="20"/>
                <w:szCs w:val="20"/>
              </w:rPr>
              <w:t>Treatment Phase:</w:t>
            </w:r>
            <w:r w:rsidRPr="003E471B">
              <w:rPr>
                <w:rFonts w:ascii="Arial Narrow" w:hAnsi="Arial Narrow"/>
                <w:color w:val="000000"/>
                <w:sz w:val="20"/>
                <w:szCs w:val="20"/>
              </w:rPr>
              <w:t xml:space="preserve"> </w:t>
            </w:r>
            <w:r w:rsidRPr="00EC7AA7">
              <w:rPr>
                <w:rFonts w:ascii="Arial Narrow" w:hAnsi="Arial Narrow"/>
                <w:strike/>
                <w:color w:val="000000"/>
                <w:sz w:val="20"/>
                <w:szCs w:val="20"/>
              </w:rPr>
              <w:t>Maintenance therapy</w:t>
            </w:r>
            <w:r w:rsidRPr="00EC7AA7">
              <w:rPr>
                <w:rFonts w:ascii="Arial Narrow" w:hAnsi="Arial Narrow" w:cs="Arial"/>
                <w:snapToGrid/>
                <w:color w:val="000000"/>
                <w:sz w:val="20"/>
                <w:szCs w:val="20"/>
                <w:lang w:val="en-AU"/>
              </w:rPr>
              <w:t xml:space="preserve"> </w:t>
            </w:r>
            <w:r w:rsidRPr="00EC7AA7">
              <w:rPr>
                <w:rFonts w:ascii="Arial Narrow" w:hAnsi="Arial Narrow" w:cs="Arial"/>
                <w:i/>
                <w:iCs/>
                <w:snapToGrid/>
                <w:color w:val="000000"/>
                <w:sz w:val="20"/>
                <w:szCs w:val="20"/>
                <w:lang w:val="en-AU"/>
              </w:rPr>
              <w:t>Treatment following intensive induction chemotherapy</w:t>
            </w:r>
            <w:r>
              <w:rPr>
                <w:rFonts w:ascii="Arial Narrow" w:hAnsi="Arial Narrow" w:cs="Arial"/>
                <w:snapToGrid/>
                <w:color w:val="000000"/>
                <w:sz w:val="20"/>
                <w:szCs w:val="20"/>
                <w:lang w:val="en-AU"/>
              </w:rPr>
              <w:t xml:space="preserve"> -</w:t>
            </w:r>
          </w:p>
          <w:p w14:paraId="18D7571A" w14:textId="77777777" w:rsidR="00C71151" w:rsidRPr="003E471B" w:rsidRDefault="00C71151" w:rsidP="00E26E55">
            <w:pPr>
              <w:rPr>
                <w:rFonts w:ascii="Arial Narrow" w:hAnsi="Arial Narrow"/>
                <w:i/>
                <w:iCs/>
                <w:color w:val="000000"/>
                <w:sz w:val="20"/>
                <w:szCs w:val="20"/>
              </w:rPr>
            </w:pPr>
            <w:r w:rsidRPr="003E471B">
              <w:rPr>
                <w:rFonts w:ascii="Arial Narrow" w:hAnsi="Arial Narrow"/>
                <w:color w:val="000000"/>
                <w:sz w:val="20"/>
                <w:szCs w:val="20"/>
              </w:rPr>
              <w:t>Initial treatment</w:t>
            </w:r>
          </w:p>
        </w:tc>
      </w:tr>
      <w:tr w:rsidR="00C71151" w:rsidRPr="003E471B" w14:paraId="6C991996" w14:textId="77777777" w:rsidTr="002D1354">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7F800051" w14:textId="77777777" w:rsidR="00C71151" w:rsidRPr="003E471B" w:rsidRDefault="00C71151" w:rsidP="00E26E55">
            <w:pPr>
              <w:rPr>
                <w:rFonts w:ascii="Arial Narrow" w:hAnsi="Arial Narrow"/>
                <w:color w:val="000000"/>
                <w:sz w:val="20"/>
                <w:szCs w:val="20"/>
              </w:rPr>
            </w:pPr>
            <w:r w:rsidRPr="003E471B">
              <w:rPr>
                <w:rFonts w:ascii="Arial Narrow" w:hAnsi="Arial Narrow"/>
                <w:b/>
                <w:bCs/>
                <w:color w:val="000000"/>
                <w:sz w:val="20"/>
                <w:szCs w:val="20"/>
              </w:rPr>
              <w:t xml:space="preserve">Clinical criteria: </w:t>
            </w:r>
          </w:p>
        </w:tc>
      </w:tr>
      <w:tr w:rsidR="00C71151" w:rsidRPr="003E471B" w14:paraId="370B0456" w14:textId="77777777" w:rsidTr="00054F89">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2AA5D5E2" w14:textId="77777777" w:rsidR="00C71151" w:rsidRPr="003E471B" w:rsidRDefault="00C71151" w:rsidP="00E26E55">
            <w:pPr>
              <w:rPr>
                <w:rFonts w:ascii="Arial Narrow" w:hAnsi="Arial Narrow" w:cs="Arial Narrow"/>
                <w:iCs/>
                <w:color w:val="000000"/>
                <w:sz w:val="20"/>
                <w:szCs w:val="20"/>
              </w:rPr>
            </w:pPr>
            <w:r w:rsidRPr="003E471B">
              <w:rPr>
                <w:rFonts w:ascii="Arial Narrow" w:hAnsi="Arial Narrow" w:cs="Arial Narrow"/>
                <w:iCs/>
                <w:color w:val="000000"/>
                <w:sz w:val="20"/>
                <w:szCs w:val="20"/>
              </w:rPr>
              <w:t>Patient must have demonstrated first complete remission or complete remission with incomplete blood count recovery following intensive induction chemotherapy,</w:t>
            </w:r>
          </w:p>
        </w:tc>
      </w:tr>
      <w:tr w:rsidR="00C71151" w:rsidRPr="003E471B" w14:paraId="6489D88B" w14:textId="77777777" w:rsidTr="00BF5906">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1A204F2B" w14:textId="77777777" w:rsidR="00C71151" w:rsidRPr="003E471B" w:rsidRDefault="00C71151" w:rsidP="00E26E55">
            <w:pPr>
              <w:rPr>
                <w:rFonts w:ascii="Arial Narrow" w:hAnsi="Arial Narrow"/>
                <w:color w:val="000000"/>
                <w:sz w:val="20"/>
                <w:szCs w:val="20"/>
              </w:rPr>
            </w:pPr>
            <w:r w:rsidRPr="003E471B">
              <w:rPr>
                <w:rFonts w:ascii="Arial Narrow" w:hAnsi="Arial Narrow"/>
                <w:b/>
                <w:bCs/>
                <w:color w:val="000000"/>
                <w:sz w:val="20"/>
                <w:szCs w:val="20"/>
              </w:rPr>
              <w:t>AND</w:t>
            </w:r>
          </w:p>
        </w:tc>
      </w:tr>
      <w:tr w:rsidR="00C71151" w:rsidRPr="003E471B" w14:paraId="5A16DD4E" w14:textId="77777777" w:rsidTr="00CA2CCF">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57E728D8" w14:textId="77777777" w:rsidR="00C71151" w:rsidRPr="003E471B" w:rsidRDefault="00C71151" w:rsidP="00E26E55">
            <w:pPr>
              <w:rPr>
                <w:rFonts w:ascii="Arial Narrow" w:hAnsi="Arial Narrow"/>
                <w:color w:val="000000"/>
                <w:sz w:val="20"/>
                <w:szCs w:val="20"/>
              </w:rPr>
            </w:pPr>
            <w:r w:rsidRPr="003E471B">
              <w:rPr>
                <w:rFonts w:ascii="Arial Narrow" w:hAnsi="Arial Narrow"/>
                <w:b/>
                <w:bCs/>
                <w:color w:val="000000"/>
                <w:sz w:val="20"/>
                <w:szCs w:val="20"/>
              </w:rPr>
              <w:t>Clinical criteria:</w:t>
            </w:r>
          </w:p>
        </w:tc>
      </w:tr>
      <w:tr w:rsidR="00C71151" w:rsidRPr="003E471B" w14:paraId="1056F39E" w14:textId="77777777" w:rsidTr="003F482A">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180EF197" w14:textId="77777777" w:rsidR="00C71151" w:rsidRPr="003E471B" w:rsidRDefault="00C71151" w:rsidP="00E26E55">
            <w:pPr>
              <w:rPr>
                <w:rFonts w:ascii="Arial Narrow" w:hAnsi="Arial Narrow" w:cs="Arial Narrow"/>
                <w:iCs/>
                <w:color w:val="000000"/>
                <w:sz w:val="20"/>
                <w:szCs w:val="20"/>
              </w:rPr>
            </w:pPr>
            <w:r w:rsidRPr="003E471B">
              <w:rPr>
                <w:rFonts w:ascii="Arial Narrow" w:hAnsi="Arial Narrow" w:cs="Arial Narrow"/>
                <w:iCs/>
                <w:color w:val="000000"/>
                <w:sz w:val="20"/>
                <w:szCs w:val="20"/>
              </w:rPr>
              <w:t xml:space="preserve">Patient must not be </w:t>
            </w:r>
            <w:r>
              <w:rPr>
                <w:rFonts w:ascii="Arial Narrow" w:hAnsi="Arial Narrow" w:cs="Arial Narrow"/>
                <w:iCs/>
                <w:color w:val="000000"/>
                <w:sz w:val="20"/>
                <w:szCs w:val="20"/>
              </w:rPr>
              <w:t>a candidate for, including those who choose not to proceed to, haematopoietic stem cell transplantation</w:t>
            </w:r>
            <w:r w:rsidRPr="003E471B">
              <w:rPr>
                <w:rFonts w:ascii="Arial Narrow" w:hAnsi="Arial Narrow" w:cs="Arial Narrow"/>
                <w:iCs/>
                <w:color w:val="000000"/>
                <w:sz w:val="20"/>
                <w:szCs w:val="20"/>
              </w:rPr>
              <w:t>,</w:t>
            </w:r>
          </w:p>
        </w:tc>
      </w:tr>
      <w:tr w:rsidR="00C71151" w:rsidRPr="003E471B" w14:paraId="61B57BCF" w14:textId="77777777" w:rsidTr="00423D32">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30EF26EF" w14:textId="77777777" w:rsidR="00C71151" w:rsidRPr="003E471B" w:rsidRDefault="00C71151" w:rsidP="00E26E55">
            <w:pPr>
              <w:rPr>
                <w:rFonts w:ascii="Arial Narrow" w:hAnsi="Arial Narrow" w:cs="Arial Narrow"/>
                <w:iCs/>
                <w:strike/>
                <w:color w:val="000000"/>
                <w:sz w:val="20"/>
                <w:szCs w:val="20"/>
              </w:rPr>
            </w:pPr>
            <w:r w:rsidRPr="003E471B">
              <w:rPr>
                <w:rFonts w:ascii="Arial Narrow" w:hAnsi="Arial Narrow"/>
                <w:b/>
                <w:bCs/>
                <w:iCs/>
                <w:color w:val="000000"/>
                <w:sz w:val="20"/>
                <w:szCs w:val="20"/>
              </w:rPr>
              <w:t>AND</w:t>
            </w:r>
          </w:p>
        </w:tc>
      </w:tr>
      <w:tr w:rsidR="00C71151" w:rsidRPr="003E471B" w14:paraId="7BA08F6F" w14:textId="77777777" w:rsidTr="00A42981">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77C92BC1" w14:textId="77777777" w:rsidR="00C71151" w:rsidRPr="003E471B" w:rsidRDefault="00C71151" w:rsidP="00E26E55">
            <w:pPr>
              <w:rPr>
                <w:rFonts w:ascii="Arial Narrow" w:hAnsi="Arial Narrow" w:cs="Arial Narrow"/>
                <w:iCs/>
                <w:strike/>
                <w:color w:val="000000"/>
                <w:sz w:val="20"/>
                <w:szCs w:val="20"/>
              </w:rPr>
            </w:pPr>
            <w:r w:rsidRPr="003E471B">
              <w:rPr>
                <w:rFonts w:ascii="Arial Narrow" w:hAnsi="Arial Narrow"/>
                <w:b/>
                <w:bCs/>
                <w:iCs/>
                <w:color w:val="000000"/>
                <w:sz w:val="20"/>
                <w:szCs w:val="20"/>
              </w:rPr>
              <w:t>Clinical criteria:</w:t>
            </w:r>
          </w:p>
        </w:tc>
      </w:tr>
      <w:tr w:rsidR="00C71151" w:rsidRPr="003E471B" w14:paraId="5EDF2AFC" w14:textId="77777777" w:rsidTr="00BD5DE7">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25523C47" w14:textId="77777777" w:rsidR="00C71151" w:rsidRPr="003E471B" w:rsidRDefault="00C71151" w:rsidP="00E26E55">
            <w:pPr>
              <w:rPr>
                <w:rFonts w:ascii="Arial Narrow" w:hAnsi="Arial Narrow" w:cs="Arial Narrow"/>
                <w:iCs/>
                <w:color w:val="000000"/>
                <w:sz w:val="20"/>
                <w:szCs w:val="20"/>
              </w:rPr>
            </w:pPr>
            <w:r w:rsidRPr="003E471B">
              <w:rPr>
                <w:rFonts w:ascii="Arial Narrow" w:hAnsi="Arial Narrow" w:cs="Arial Narrow"/>
                <w:iCs/>
                <w:color w:val="000000"/>
                <w:sz w:val="20"/>
                <w:szCs w:val="20"/>
              </w:rPr>
              <w:t>Patient must have intermediate- or poor-risk cytogenetics at the time of induction therapy,</w:t>
            </w:r>
          </w:p>
        </w:tc>
      </w:tr>
      <w:tr w:rsidR="00C71151" w:rsidRPr="003E471B" w14:paraId="25AA18D6" w14:textId="77777777" w:rsidTr="0068573C">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17E0C9CA" w14:textId="77777777" w:rsidR="00C71151" w:rsidRPr="003E471B" w:rsidRDefault="00C71151" w:rsidP="00E26E55">
            <w:pPr>
              <w:rPr>
                <w:rFonts w:ascii="Arial Narrow" w:hAnsi="Arial Narrow" w:cs="Arial Narrow"/>
                <w:iCs/>
                <w:color w:val="000000"/>
                <w:sz w:val="20"/>
                <w:szCs w:val="20"/>
              </w:rPr>
            </w:pPr>
            <w:r w:rsidRPr="003E471B">
              <w:rPr>
                <w:rFonts w:ascii="Arial Narrow" w:hAnsi="Arial Narrow"/>
                <w:b/>
                <w:bCs/>
                <w:iCs/>
                <w:color w:val="000000"/>
                <w:sz w:val="20"/>
                <w:szCs w:val="20"/>
              </w:rPr>
              <w:t>AND</w:t>
            </w:r>
          </w:p>
        </w:tc>
      </w:tr>
      <w:tr w:rsidR="00C71151" w:rsidRPr="003E471B" w14:paraId="1077D9E5" w14:textId="77777777" w:rsidTr="001118CA">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2EE13340" w14:textId="77777777" w:rsidR="00C71151" w:rsidRPr="003E471B" w:rsidRDefault="00C71151" w:rsidP="00E26E55">
            <w:pPr>
              <w:rPr>
                <w:rFonts w:ascii="Arial Narrow" w:hAnsi="Arial Narrow" w:cs="Arial Narrow"/>
                <w:iCs/>
                <w:color w:val="000000"/>
                <w:sz w:val="20"/>
                <w:szCs w:val="20"/>
              </w:rPr>
            </w:pPr>
            <w:r w:rsidRPr="003E471B">
              <w:rPr>
                <w:rFonts w:ascii="Arial Narrow" w:hAnsi="Arial Narrow"/>
                <w:b/>
                <w:bCs/>
                <w:iCs/>
                <w:color w:val="000000"/>
                <w:sz w:val="20"/>
                <w:szCs w:val="20"/>
              </w:rPr>
              <w:t>Clinical criteria:</w:t>
            </w:r>
          </w:p>
        </w:tc>
      </w:tr>
      <w:tr w:rsidR="00C71151" w:rsidRPr="003E471B" w14:paraId="4029CA56" w14:textId="77777777" w:rsidTr="00A955A4">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497F9FFF" w14:textId="77777777" w:rsidR="00C71151" w:rsidRPr="003E471B" w:rsidRDefault="00C71151" w:rsidP="00E26E55">
            <w:pPr>
              <w:rPr>
                <w:rFonts w:ascii="Arial Narrow" w:hAnsi="Arial Narrow" w:cs="Arial Narrow"/>
                <w:iCs/>
                <w:color w:val="000000"/>
                <w:sz w:val="20"/>
                <w:szCs w:val="20"/>
              </w:rPr>
            </w:pPr>
            <w:r w:rsidRPr="003E471B">
              <w:rPr>
                <w:rFonts w:ascii="Arial Narrow" w:hAnsi="Arial Narrow" w:cs="Arial Narrow"/>
                <w:iCs/>
                <w:color w:val="000000"/>
                <w:sz w:val="20"/>
                <w:szCs w:val="20"/>
              </w:rPr>
              <w:t>Patient must not have undergone a stem cell transplant,</w:t>
            </w:r>
          </w:p>
        </w:tc>
      </w:tr>
      <w:tr w:rsidR="00C71151" w:rsidRPr="003E471B" w14:paraId="3765743F" w14:textId="77777777" w:rsidTr="005D5E6E">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34443301" w14:textId="77777777" w:rsidR="00C71151" w:rsidRPr="003E471B" w:rsidRDefault="00C71151" w:rsidP="00E26E55">
            <w:pPr>
              <w:rPr>
                <w:rFonts w:ascii="Arial Narrow" w:hAnsi="Arial Narrow" w:cs="Arial Narrow"/>
                <w:iCs/>
                <w:color w:val="000000"/>
                <w:sz w:val="20"/>
                <w:szCs w:val="20"/>
              </w:rPr>
            </w:pPr>
            <w:r w:rsidRPr="003E471B">
              <w:rPr>
                <w:rFonts w:ascii="Arial Narrow" w:hAnsi="Arial Narrow"/>
                <w:b/>
                <w:bCs/>
                <w:iCs/>
                <w:color w:val="000000"/>
                <w:sz w:val="20"/>
                <w:szCs w:val="20"/>
              </w:rPr>
              <w:t>AND</w:t>
            </w:r>
          </w:p>
        </w:tc>
      </w:tr>
      <w:tr w:rsidR="00C71151" w:rsidRPr="003E471B" w14:paraId="5A3A3C51" w14:textId="77777777" w:rsidTr="00710485">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3192725E" w14:textId="77777777" w:rsidR="00C71151" w:rsidRPr="003E471B" w:rsidRDefault="00C71151" w:rsidP="00E26E55">
            <w:pPr>
              <w:rPr>
                <w:rFonts w:ascii="Arial Narrow" w:hAnsi="Arial Narrow" w:cs="Arial Narrow"/>
                <w:iCs/>
                <w:color w:val="000000"/>
                <w:sz w:val="20"/>
                <w:szCs w:val="20"/>
              </w:rPr>
            </w:pPr>
            <w:r w:rsidRPr="003E471B">
              <w:rPr>
                <w:rFonts w:ascii="Arial Narrow" w:hAnsi="Arial Narrow"/>
                <w:b/>
                <w:bCs/>
                <w:iCs/>
                <w:color w:val="000000"/>
                <w:sz w:val="20"/>
                <w:szCs w:val="20"/>
              </w:rPr>
              <w:t>Clinical criteria:</w:t>
            </w:r>
          </w:p>
        </w:tc>
      </w:tr>
      <w:tr w:rsidR="00C71151" w:rsidRPr="003E471B" w14:paraId="1D199540" w14:textId="77777777" w:rsidTr="00745BB3">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41EC30D1" w14:textId="77777777" w:rsidR="00C71151" w:rsidRPr="003E471B" w:rsidRDefault="00C71151" w:rsidP="00E26E55">
            <w:pPr>
              <w:rPr>
                <w:rFonts w:ascii="Arial Narrow" w:hAnsi="Arial Narrow" w:cs="Arial Narrow"/>
                <w:iCs/>
                <w:color w:val="000000"/>
                <w:sz w:val="20"/>
                <w:szCs w:val="20"/>
              </w:rPr>
            </w:pPr>
            <w:r w:rsidRPr="003E471B">
              <w:rPr>
                <w:rFonts w:ascii="Arial Narrow" w:hAnsi="Arial Narrow" w:cs="Arial Narrow"/>
                <w:iCs/>
                <w:color w:val="000000"/>
                <w:sz w:val="20"/>
                <w:szCs w:val="20"/>
              </w:rPr>
              <w:t>Patient must not be receiving concomitant PBS-subsidised midostaurin.</w:t>
            </w:r>
          </w:p>
        </w:tc>
      </w:tr>
      <w:tr w:rsidR="00C71151" w:rsidRPr="003E471B" w14:paraId="5CFB24F0" w14:textId="77777777" w:rsidTr="00CC1B0C">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283D9147" w14:textId="77777777" w:rsidR="00C71151" w:rsidRPr="003E471B" w:rsidRDefault="00C71151" w:rsidP="00E26E55">
            <w:pPr>
              <w:rPr>
                <w:rFonts w:ascii="Arial Narrow" w:hAnsi="Arial Narrow"/>
                <w:b/>
                <w:bCs/>
                <w:color w:val="000000"/>
                <w:sz w:val="20"/>
                <w:szCs w:val="20"/>
              </w:rPr>
            </w:pPr>
            <w:r w:rsidRPr="003E471B">
              <w:rPr>
                <w:rFonts w:ascii="Arial Narrow" w:hAnsi="Arial Narrow" w:cs="Calibri"/>
                <w:b/>
                <w:bCs/>
                <w:color w:val="000000"/>
                <w:sz w:val="20"/>
                <w:szCs w:val="20"/>
              </w:rPr>
              <w:t>Administrative Advice:</w:t>
            </w:r>
            <w:r w:rsidRPr="003E471B">
              <w:rPr>
                <w:rFonts w:ascii="Arial Narrow" w:hAnsi="Arial Narrow" w:cs="Calibri"/>
                <w:color w:val="000000"/>
                <w:sz w:val="20"/>
                <w:szCs w:val="20"/>
              </w:rPr>
              <w:t xml:space="preserve"> No increase in the maximum quantity or number of units may be authorised.</w:t>
            </w:r>
          </w:p>
        </w:tc>
      </w:tr>
      <w:tr w:rsidR="00C71151" w:rsidRPr="003E471B" w14:paraId="2141D15B" w14:textId="77777777" w:rsidTr="00E232D4">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01793062" w14:textId="77777777" w:rsidR="00C71151" w:rsidRPr="003E471B" w:rsidRDefault="00C71151" w:rsidP="00E26E55">
            <w:pPr>
              <w:rPr>
                <w:rFonts w:ascii="Arial Narrow" w:hAnsi="Arial Narrow"/>
                <w:color w:val="000000"/>
                <w:sz w:val="20"/>
                <w:szCs w:val="20"/>
              </w:rPr>
            </w:pPr>
            <w:r w:rsidRPr="003E471B">
              <w:rPr>
                <w:rFonts w:ascii="Arial Narrow" w:hAnsi="Arial Narrow"/>
                <w:b/>
                <w:bCs/>
                <w:color w:val="000000"/>
                <w:sz w:val="20"/>
                <w:szCs w:val="20"/>
              </w:rPr>
              <w:t xml:space="preserve">Administrative Advice: </w:t>
            </w:r>
            <w:r w:rsidRPr="003E471B">
              <w:rPr>
                <w:rFonts w:ascii="Arial Narrow" w:hAnsi="Arial Narrow"/>
                <w:color w:val="000000"/>
                <w:sz w:val="20"/>
                <w:szCs w:val="20"/>
              </w:rPr>
              <w:t>No increase in the maximum number of repeats may be authorised.</w:t>
            </w:r>
          </w:p>
        </w:tc>
      </w:tr>
      <w:tr w:rsidR="00C71151" w:rsidRPr="003E471B" w14:paraId="08B80284" w14:textId="77777777" w:rsidTr="00E91514">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02F19399" w14:textId="77777777" w:rsidR="00C71151" w:rsidRPr="003E471B" w:rsidRDefault="00C71151" w:rsidP="00E26E55">
            <w:pPr>
              <w:rPr>
                <w:rFonts w:ascii="Arial Narrow" w:hAnsi="Arial Narrow"/>
                <w:b/>
                <w:bCs/>
                <w:color w:val="000000"/>
                <w:sz w:val="20"/>
                <w:szCs w:val="20"/>
              </w:rPr>
            </w:pPr>
            <w:r w:rsidRPr="003E471B">
              <w:rPr>
                <w:rFonts w:ascii="Arial Narrow" w:hAnsi="Arial Narrow"/>
                <w:b/>
                <w:bCs/>
                <w:color w:val="000000"/>
                <w:sz w:val="20"/>
                <w:szCs w:val="20"/>
              </w:rPr>
              <w:t xml:space="preserve">Administrative Advice: </w:t>
            </w:r>
            <w:r w:rsidRPr="003E471B">
              <w:rPr>
                <w:rFonts w:ascii="Arial Narrow" w:hAnsi="Arial Narrow"/>
                <w:color w:val="000000"/>
                <w:sz w:val="20"/>
                <w:szCs w:val="20"/>
              </w:rPr>
              <w:t>Special Pricing Arrangements apply.</w:t>
            </w:r>
          </w:p>
        </w:tc>
      </w:tr>
      <w:tr w:rsidR="00C71151" w:rsidRPr="003E471B" w14:paraId="2FD10936" w14:textId="77777777" w:rsidTr="00DF1732">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7A1C6EBC" w14:textId="77777777" w:rsidR="00C71151" w:rsidRPr="003E471B" w:rsidRDefault="00C71151" w:rsidP="00E26E55">
            <w:pPr>
              <w:rPr>
                <w:rFonts w:ascii="Arial Narrow" w:hAnsi="Arial Narrow"/>
                <w:b/>
                <w:bCs/>
                <w:color w:val="000000"/>
                <w:sz w:val="20"/>
                <w:szCs w:val="20"/>
              </w:rPr>
            </w:pPr>
            <w:r w:rsidRPr="003E471B">
              <w:rPr>
                <w:rFonts w:ascii="Arial Narrow" w:hAnsi="Arial Narrow"/>
                <w:b/>
                <w:bCs/>
                <w:color w:val="000000"/>
                <w:sz w:val="20"/>
                <w:szCs w:val="20"/>
              </w:rPr>
              <w:t xml:space="preserve">Caution: </w:t>
            </w:r>
            <w:r w:rsidRPr="003E471B">
              <w:rPr>
                <w:rFonts w:ascii="Arial Narrow" w:hAnsi="Arial Narrow"/>
                <w:color w:val="000000"/>
                <w:sz w:val="20"/>
                <w:szCs w:val="20"/>
              </w:rPr>
              <w:t>Oral azacitidine should not be used interchangeably with injectable azacitidine due to differences in the exposure, dose and schedule of treatment.</w:t>
            </w:r>
          </w:p>
        </w:tc>
      </w:tr>
      <w:tr w:rsidR="00C71151" w:rsidRPr="003E471B" w14:paraId="35BE609D" w14:textId="77777777" w:rsidTr="00FA415B">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232DF936" w14:textId="77777777" w:rsidR="00C71151" w:rsidRPr="003E471B" w:rsidRDefault="00C71151" w:rsidP="00E26E55">
            <w:pPr>
              <w:rPr>
                <w:rFonts w:ascii="Arial Narrow" w:hAnsi="Arial Narrow"/>
                <w:b/>
                <w:bCs/>
                <w:color w:val="000000"/>
                <w:sz w:val="20"/>
                <w:szCs w:val="20"/>
              </w:rPr>
            </w:pPr>
            <w:r w:rsidRPr="003E471B">
              <w:rPr>
                <w:rFonts w:ascii="Arial Narrow" w:hAnsi="Arial Narrow"/>
                <w:b/>
                <w:bCs/>
                <w:color w:val="000000"/>
                <w:sz w:val="20"/>
                <w:szCs w:val="20"/>
              </w:rPr>
              <w:t>Caution:</w:t>
            </w:r>
            <w:r w:rsidRPr="003E471B">
              <w:rPr>
                <w:rFonts w:ascii="Arial Narrow" w:hAnsi="Arial Narrow"/>
                <w:sz w:val="20"/>
                <w:szCs w:val="20"/>
              </w:rPr>
              <w:t xml:space="preserve"> </w:t>
            </w:r>
            <w:r w:rsidRPr="003E471B">
              <w:rPr>
                <w:rFonts w:ascii="Arial Narrow" w:hAnsi="Arial Narrow"/>
                <w:color w:val="000000"/>
                <w:sz w:val="20"/>
                <w:szCs w:val="20"/>
              </w:rPr>
              <w:t>This is a category X drug and must not be given to pregnant women. Pregnancy must be avoided during treatment and for at least 6 months following cessation of therapy.</w:t>
            </w:r>
          </w:p>
        </w:tc>
      </w:tr>
      <w:tr w:rsidR="00C71151" w:rsidRPr="00950A82" w14:paraId="1B3C4A9E" w14:textId="77777777" w:rsidTr="00102C35">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3C875860" w14:textId="77777777" w:rsidR="00C71151" w:rsidRPr="00950A82" w:rsidRDefault="00C71151" w:rsidP="00E26E55">
            <w:pPr>
              <w:pStyle w:val="Tabletext"/>
              <w:jc w:val="both"/>
              <w:rPr>
                <w:rFonts w:cs="Arial"/>
                <w:b/>
                <w:i/>
                <w:iCs/>
                <w:color w:val="333333"/>
                <w:szCs w:val="20"/>
              </w:rPr>
            </w:pPr>
            <w:r w:rsidRPr="00950A82">
              <w:rPr>
                <w:rFonts w:cs="Arial"/>
                <w:b/>
                <w:i/>
                <w:iCs/>
                <w:color w:val="333333"/>
                <w:szCs w:val="20"/>
              </w:rPr>
              <w:t xml:space="preserve">Prescribing Instruction </w:t>
            </w:r>
          </w:p>
          <w:p w14:paraId="2F56425A" w14:textId="77777777" w:rsidR="00C71151" w:rsidRPr="00950A82" w:rsidRDefault="00C71151" w:rsidP="00E26E55">
            <w:pPr>
              <w:pStyle w:val="Tabletext"/>
              <w:jc w:val="both"/>
              <w:rPr>
                <w:b/>
                <w:bCs/>
                <w:color w:val="000000"/>
                <w:szCs w:val="20"/>
              </w:rPr>
            </w:pPr>
            <w:r w:rsidRPr="00950A82">
              <w:rPr>
                <w:rFonts w:cs="Arial"/>
                <w:bCs/>
                <w:i/>
                <w:iCs/>
                <w:color w:val="333333"/>
                <w:szCs w:val="20"/>
              </w:rPr>
              <w:t>A complete remission is defined as bone marrow blasts of less than 5%, absence of blasts with Auer rods, absence of extramedullary disease, independent of blood transfusions and a recovery of peripheral blood counts with peripheral neutrophil count &gt; 1.0 x 10</w:t>
            </w:r>
            <w:r w:rsidRPr="00950A82">
              <w:rPr>
                <w:rFonts w:cs="Arial"/>
                <w:bCs/>
                <w:i/>
                <w:iCs/>
                <w:color w:val="333333"/>
                <w:szCs w:val="20"/>
                <w:vertAlign w:val="superscript"/>
              </w:rPr>
              <w:t>9</w:t>
            </w:r>
            <w:r w:rsidRPr="00950A82">
              <w:rPr>
                <w:rFonts w:cs="Arial"/>
                <w:bCs/>
                <w:i/>
                <w:iCs/>
                <w:color w:val="333333"/>
                <w:szCs w:val="20"/>
              </w:rPr>
              <w:t>/L and platelet count ≥ 100 x 10</w:t>
            </w:r>
            <w:r w:rsidRPr="00950A82">
              <w:rPr>
                <w:rFonts w:cs="Arial"/>
                <w:bCs/>
                <w:i/>
                <w:iCs/>
                <w:color w:val="333333"/>
                <w:szCs w:val="20"/>
                <w:vertAlign w:val="superscript"/>
              </w:rPr>
              <w:t>9</w:t>
            </w:r>
            <w:r w:rsidRPr="00950A82">
              <w:rPr>
                <w:rFonts w:cs="Arial"/>
                <w:bCs/>
                <w:i/>
                <w:iCs/>
                <w:color w:val="333333"/>
                <w:szCs w:val="20"/>
              </w:rPr>
              <w:t>/L</w:t>
            </w:r>
          </w:p>
        </w:tc>
      </w:tr>
      <w:tr w:rsidR="00C71151" w:rsidRPr="003E471B" w14:paraId="42FC7736" w14:textId="77777777" w:rsidTr="001E6FAD">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7B214013" w14:textId="77777777" w:rsidR="00C71151" w:rsidRPr="00950A82" w:rsidRDefault="00C71151" w:rsidP="00E26E55">
            <w:pPr>
              <w:pStyle w:val="Tabletext"/>
              <w:jc w:val="both"/>
              <w:rPr>
                <w:rFonts w:cs="Arial"/>
                <w:b/>
                <w:i/>
                <w:iCs/>
                <w:color w:val="333333"/>
                <w:szCs w:val="20"/>
              </w:rPr>
            </w:pPr>
            <w:r w:rsidRPr="00950A82">
              <w:rPr>
                <w:rFonts w:cs="Arial"/>
                <w:b/>
                <w:i/>
                <w:iCs/>
                <w:color w:val="333333"/>
                <w:szCs w:val="20"/>
              </w:rPr>
              <w:t xml:space="preserve">Prescribing Instruction </w:t>
            </w:r>
          </w:p>
          <w:p w14:paraId="45A41668" w14:textId="77777777" w:rsidR="00C71151" w:rsidRPr="00950A82" w:rsidRDefault="00C71151" w:rsidP="00E26E55">
            <w:pPr>
              <w:pStyle w:val="Tabletext"/>
              <w:jc w:val="both"/>
              <w:rPr>
                <w:b/>
                <w:bCs/>
                <w:color w:val="000000"/>
                <w:szCs w:val="20"/>
              </w:rPr>
            </w:pPr>
            <w:r w:rsidRPr="00950A82">
              <w:rPr>
                <w:rFonts w:cs="Arial"/>
                <w:bCs/>
                <w:i/>
                <w:iCs/>
                <w:color w:val="333333"/>
                <w:szCs w:val="20"/>
              </w:rPr>
              <w:t>A complete remission with incomplete blood count recovery is defined as bone marrow blasts of less than 5%, absence of blasts with Auer rods, absence of extramedullary disease, independent of blood transfusions and a recovery of peripheral blood counts with peripheral neutrophil count &lt; 1.0 x 10</w:t>
            </w:r>
            <w:r w:rsidRPr="00950A82">
              <w:rPr>
                <w:rFonts w:cs="Arial"/>
                <w:bCs/>
                <w:i/>
                <w:iCs/>
                <w:color w:val="333333"/>
                <w:szCs w:val="20"/>
                <w:vertAlign w:val="superscript"/>
              </w:rPr>
              <w:t>9</w:t>
            </w:r>
            <w:r w:rsidRPr="00950A82">
              <w:rPr>
                <w:rFonts w:cs="Arial"/>
                <w:bCs/>
                <w:i/>
                <w:iCs/>
                <w:color w:val="333333"/>
                <w:szCs w:val="20"/>
              </w:rPr>
              <w:t>/L or platelet count &lt; 100 x 10</w:t>
            </w:r>
            <w:r w:rsidRPr="00950A82">
              <w:rPr>
                <w:rFonts w:cs="Arial"/>
                <w:bCs/>
                <w:i/>
                <w:iCs/>
                <w:color w:val="333333"/>
                <w:szCs w:val="20"/>
                <w:vertAlign w:val="superscript"/>
              </w:rPr>
              <w:t>9</w:t>
            </w:r>
            <w:r w:rsidRPr="00950A82">
              <w:rPr>
                <w:rFonts w:cs="Arial"/>
                <w:bCs/>
                <w:i/>
                <w:iCs/>
                <w:color w:val="333333"/>
                <w:szCs w:val="20"/>
              </w:rPr>
              <w:t>/L</w:t>
            </w:r>
          </w:p>
        </w:tc>
      </w:tr>
      <w:tr w:rsidR="00C71151" w:rsidRPr="003E471B" w14:paraId="1C5075BE" w14:textId="77777777" w:rsidTr="00545E0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52CAF3B8" w14:textId="77777777" w:rsidR="00C71151" w:rsidRPr="00420460" w:rsidRDefault="00C71151" w:rsidP="00E26E55">
            <w:pPr>
              <w:rPr>
                <w:rFonts w:ascii="Arial Narrow" w:hAnsi="Arial Narrow"/>
                <w:bCs/>
                <w:i/>
                <w:iCs/>
                <w:color w:val="333333"/>
                <w:sz w:val="20"/>
                <w:szCs w:val="20"/>
              </w:rPr>
            </w:pPr>
            <w:r w:rsidRPr="00420460">
              <w:rPr>
                <w:rFonts w:ascii="Arial Narrow" w:hAnsi="Arial Narrow"/>
                <w:b/>
                <w:bCs/>
                <w:i/>
                <w:iCs/>
                <w:color w:val="333333"/>
                <w:sz w:val="20"/>
                <w:szCs w:val="20"/>
              </w:rPr>
              <w:t>Administrative Advice:</w:t>
            </w:r>
          </w:p>
          <w:p w14:paraId="4EF4B1A9" w14:textId="77777777" w:rsidR="00C71151" w:rsidRPr="00420460" w:rsidRDefault="00C71151" w:rsidP="00E26E55">
            <w:pPr>
              <w:rPr>
                <w:rFonts w:ascii="Arial Narrow" w:hAnsi="Arial Narrow"/>
                <w:b/>
                <w:bCs/>
                <w:i/>
                <w:iCs/>
                <w:color w:val="000000"/>
                <w:sz w:val="20"/>
                <w:szCs w:val="20"/>
              </w:rPr>
            </w:pPr>
            <w:r w:rsidRPr="00420460">
              <w:rPr>
                <w:rFonts w:ascii="Arial Narrow" w:hAnsi="Arial Narrow"/>
                <w:bCs/>
                <w:i/>
                <w:iCs/>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55C1A93A" w14:textId="77777777" w:rsidR="0025400C" w:rsidRPr="003E471B" w:rsidRDefault="0025400C" w:rsidP="0025400C">
      <w:pPr>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134"/>
        <w:gridCol w:w="992"/>
        <w:gridCol w:w="992"/>
        <w:gridCol w:w="1134"/>
        <w:gridCol w:w="2076"/>
      </w:tblGrid>
      <w:tr w:rsidR="0025400C" w:rsidRPr="003E471B" w14:paraId="57716E58" w14:textId="77777777" w:rsidTr="00E26E55">
        <w:trPr>
          <w:cantSplit/>
          <w:trHeight w:val="20"/>
        </w:trPr>
        <w:tc>
          <w:tcPr>
            <w:tcW w:w="2689" w:type="dxa"/>
            <w:vAlign w:val="center"/>
          </w:tcPr>
          <w:p w14:paraId="0186008C" w14:textId="77777777" w:rsidR="0025400C" w:rsidRPr="003E471B" w:rsidRDefault="0025400C" w:rsidP="00E26E55">
            <w:pPr>
              <w:keepNext/>
              <w:keepLines/>
              <w:rPr>
                <w:rFonts w:ascii="Arial Narrow" w:hAnsi="Arial Narrow"/>
                <w:b/>
                <w:bCs/>
                <w:color w:val="000000"/>
                <w:sz w:val="20"/>
                <w:szCs w:val="20"/>
              </w:rPr>
            </w:pPr>
            <w:r w:rsidRPr="003E471B">
              <w:rPr>
                <w:rFonts w:ascii="Arial Narrow" w:hAnsi="Arial Narrow"/>
                <w:b/>
                <w:bCs/>
                <w:color w:val="000000"/>
                <w:sz w:val="20"/>
                <w:szCs w:val="20"/>
              </w:rPr>
              <w:t>MEDICINAL PRODUCT</w:t>
            </w:r>
          </w:p>
          <w:p w14:paraId="0CCFB29C" w14:textId="77777777" w:rsidR="0025400C" w:rsidRPr="003E471B" w:rsidRDefault="0025400C" w:rsidP="00E26E55">
            <w:pPr>
              <w:keepNext/>
              <w:keepLines/>
              <w:rPr>
                <w:rFonts w:ascii="Arial Narrow" w:hAnsi="Arial Narrow"/>
                <w:b/>
                <w:color w:val="000000"/>
                <w:sz w:val="20"/>
                <w:szCs w:val="20"/>
              </w:rPr>
            </w:pPr>
            <w:r w:rsidRPr="003E471B">
              <w:rPr>
                <w:rFonts w:ascii="Arial Narrow" w:hAnsi="Arial Narrow"/>
                <w:b/>
                <w:bCs/>
                <w:color w:val="000000"/>
                <w:sz w:val="20"/>
                <w:szCs w:val="20"/>
              </w:rPr>
              <w:t>medicinal product pack</w:t>
            </w:r>
          </w:p>
        </w:tc>
        <w:tc>
          <w:tcPr>
            <w:tcW w:w="1134" w:type="dxa"/>
            <w:vAlign w:val="center"/>
          </w:tcPr>
          <w:p w14:paraId="1703C38C" w14:textId="77777777" w:rsidR="0025400C" w:rsidRPr="003E471B" w:rsidRDefault="0025400C" w:rsidP="00E26E55">
            <w:pPr>
              <w:keepNext/>
              <w:keepLines/>
              <w:jc w:val="center"/>
              <w:rPr>
                <w:rFonts w:ascii="Arial Narrow" w:hAnsi="Arial Narrow"/>
                <w:b/>
                <w:color w:val="000000"/>
                <w:sz w:val="20"/>
                <w:szCs w:val="20"/>
              </w:rPr>
            </w:pPr>
            <w:r w:rsidRPr="003E471B">
              <w:rPr>
                <w:rFonts w:ascii="Arial Narrow" w:hAnsi="Arial Narrow"/>
                <w:b/>
                <w:color w:val="000000"/>
                <w:sz w:val="20"/>
                <w:szCs w:val="20"/>
              </w:rPr>
              <w:t>PBS item code</w:t>
            </w:r>
          </w:p>
        </w:tc>
        <w:tc>
          <w:tcPr>
            <w:tcW w:w="992" w:type="dxa"/>
            <w:vAlign w:val="center"/>
          </w:tcPr>
          <w:p w14:paraId="06718BAC" w14:textId="77777777" w:rsidR="0025400C" w:rsidRPr="003E471B" w:rsidRDefault="0025400C" w:rsidP="00E26E55">
            <w:pPr>
              <w:keepNext/>
              <w:keepLines/>
              <w:jc w:val="center"/>
              <w:rPr>
                <w:rFonts w:ascii="Arial Narrow" w:hAnsi="Arial Narrow"/>
                <w:b/>
                <w:color w:val="000000"/>
                <w:sz w:val="20"/>
                <w:szCs w:val="20"/>
              </w:rPr>
            </w:pPr>
            <w:r w:rsidRPr="003E471B">
              <w:rPr>
                <w:rFonts w:ascii="Arial Narrow" w:hAnsi="Arial Narrow"/>
                <w:b/>
                <w:color w:val="000000"/>
                <w:sz w:val="20"/>
                <w:szCs w:val="20"/>
              </w:rPr>
              <w:t>Max. qty packs</w:t>
            </w:r>
          </w:p>
        </w:tc>
        <w:tc>
          <w:tcPr>
            <w:tcW w:w="992" w:type="dxa"/>
            <w:vAlign w:val="center"/>
          </w:tcPr>
          <w:p w14:paraId="4D07EAFC" w14:textId="77777777" w:rsidR="0025400C" w:rsidRPr="003E471B" w:rsidRDefault="0025400C" w:rsidP="00E26E55">
            <w:pPr>
              <w:keepNext/>
              <w:keepLines/>
              <w:jc w:val="center"/>
              <w:rPr>
                <w:rFonts w:ascii="Arial Narrow" w:hAnsi="Arial Narrow"/>
                <w:b/>
                <w:color w:val="000000"/>
                <w:sz w:val="20"/>
                <w:szCs w:val="20"/>
              </w:rPr>
            </w:pPr>
            <w:r w:rsidRPr="003E471B">
              <w:rPr>
                <w:rFonts w:ascii="Arial Narrow" w:hAnsi="Arial Narrow"/>
                <w:b/>
                <w:color w:val="000000"/>
                <w:sz w:val="20"/>
                <w:szCs w:val="20"/>
              </w:rPr>
              <w:t>Max. qty units</w:t>
            </w:r>
          </w:p>
        </w:tc>
        <w:tc>
          <w:tcPr>
            <w:tcW w:w="1134" w:type="dxa"/>
            <w:vAlign w:val="center"/>
          </w:tcPr>
          <w:p w14:paraId="43CEAF29" w14:textId="77777777" w:rsidR="0025400C" w:rsidRPr="003E471B" w:rsidRDefault="0025400C" w:rsidP="00E26E55">
            <w:pPr>
              <w:keepNext/>
              <w:keepLines/>
              <w:jc w:val="center"/>
              <w:rPr>
                <w:rFonts w:ascii="Arial Narrow" w:hAnsi="Arial Narrow"/>
                <w:b/>
                <w:color w:val="000000"/>
                <w:sz w:val="20"/>
                <w:szCs w:val="20"/>
              </w:rPr>
            </w:pPr>
            <w:r w:rsidRPr="003E471B">
              <w:rPr>
                <w:rFonts w:ascii="Arial Narrow" w:hAnsi="Arial Narrow"/>
                <w:b/>
                <w:color w:val="000000"/>
                <w:sz w:val="20"/>
                <w:szCs w:val="20"/>
              </w:rPr>
              <w:t>№.</w:t>
            </w:r>
            <w:r>
              <w:rPr>
                <w:rFonts w:ascii="Arial Narrow" w:hAnsi="Arial Narrow"/>
                <w:b/>
                <w:color w:val="000000"/>
                <w:sz w:val="20"/>
                <w:szCs w:val="20"/>
              </w:rPr>
              <w:t xml:space="preserve"> </w:t>
            </w:r>
            <w:r w:rsidRPr="003E471B">
              <w:rPr>
                <w:rFonts w:ascii="Arial Narrow" w:hAnsi="Arial Narrow"/>
                <w:b/>
                <w:color w:val="000000"/>
                <w:sz w:val="20"/>
                <w:szCs w:val="20"/>
              </w:rPr>
              <w:t>of</w:t>
            </w:r>
          </w:p>
          <w:p w14:paraId="6B227F60" w14:textId="77777777" w:rsidR="0025400C" w:rsidRPr="003E471B" w:rsidRDefault="0025400C" w:rsidP="00E26E55">
            <w:pPr>
              <w:keepNext/>
              <w:keepLines/>
              <w:jc w:val="center"/>
              <w:rPr>
                <w:rFonts w:ascii="Arial Narrow" w:hAnsi="Arial Narrow"/>
                <w:b/>
                <w:color w:val="000000"/>
                <w:sz w:val="20"/>
                <w:szCs w:val="20"/>
              </w:rPr>
            </w:pPr>
            <w:r w:rsidRPr="003E471B">
              <w:rPr>
                <w:rFonts w:ascii="Arial Narrow" w:hAnsi="Arial Narrow"/>
                <w:b/>
                <w:color w:val="000000"/>
                <w:sz w:val="20"/>
                <w:szCs w:val="20"/>
              </w:rPr>
              <w:t>Rpts</w:t>
            </w:r>
          </w:p>
        </w:tc>
        <w:tc>
          <w:tcPr>
            <w:tcW w:w="2076" w:type="dxa"/>
            <w:vAlign w:val="center"/>
          </w:tcPr>
          <w:p w14:paraId="257D6AA8" w14:textId="77777777" w:rsidR="0025400C" w:rsidRPr="003E471B" w:rsidRDefault="0025400C" w:rsidP="00E26E55">
            <w:pPr>
              <w:keepNext/>
              <w:keepLines/>
              <w:rPr>
                <w:rFonts w:ascii="Arial Narrow" w:hAnsi="Arial Narrow"/>
                <w:b/>
                <w:color w:val="000000"/>
                <w:sz w:val="20"/>
                <w:szCs w:val="20"/>
                <w:lang w:val="fr-FR"/>
              </w:rPr>
            </w:pPr>
            <w:r w:rsidRPr="003E471B">
              <w:rPr>
                <w:rFonts w:ascii="Arial Narrow" w:hAnsi="Arial Narrow"/>
                <w:b/>
                <w:color w:val="000000"/>
                <w:sz w:val="20"/>
                <w:szCs w:val="20"/>
              </w:rPr>
              <w:t>Available brands</w:t>
            </w:r>
          </w:p>
        </w:tc>
      </w:tr>
      <w:tr w:rsidR="0025400C" w:rsidRPr="003E471B" w14:paraId="4C0839AB" w14:textId="77777777" w:rsidTr="00E26E55">
        <w:trPr>
          <w:cantSplit/>
          <w:trHeight w:val="20"/>
        </w:trPr>
        <w:tc>
          <w:tcPr>
            <w:tcW w:w="9017" w:type="dxa"/>
            <w:gridSpan w:val="6"/>
            <w:vAlign w:val="center"/>
          </w:tcPr>
          <w:p w14:paraId="35A31277" w14:textId="77777777" w:rsidR="0025400C" w:rsidRPr="003E471B" w:rsidRDefault="0025400C" w:rsidP="00E26E55">
            <w:pPr>
              <w:keepNext/>
              <w:keepLines/>
              <w:rPr>
                <w:rFonts w:ascii="Arial Narrow" w:hAnsi="Arial Narrow"/>
                <w:color w:val="000000"/>
                <w:sz w:val="20"/>
                <w:szCs w:val="20"/>
              </w:rPr>
            </w:pPr>
            <w:r w:rsidRPr="003E471B">
              <w:rPr>
                <w:rFonts w:ascii="Arial Narrow" w:hAnsi="Arial Narrow"/>
                <w:color w:val="000000"/>
                <w:sz w:val="20"/>
                <w:szCs w:val="20"/>
              </w:rPr>
              <w:t>AZACITIDINE</w:t>
            </w:r>
          </w:p>
        </w:tc>
      </w:tr>
      <w:tr w:rsidR="0025400C" w:rsidRPr="003E471B" w14:paraId="6DA3F8D6" w14:textId="77777777" w:rsidTr="00E26E55">
        <w:trPr>
          <w:cantSplit/>
          <w:trHeight w:val="20"/>
        </w:trPr>
        <w:tc>
          <w:tcPr>
            <w:tcW w:w="2689" w:type="dxa"/>
            <w:vAlign w:val="center"/>
          </w:tcPr>
          <w:p w14:paraId="7299382C" w14:textId="77777777" w:rsidR="0025400C" w:rsidRPr="003E471B" w:rsidRDefault="0025400C" w:rsidP="00E26E55">
            <w:pPr>
              <w:keepNext/>
              <w:keepLines/>
              <w:rPr>
                <w:rFonts w:ascii="Arial Narrow" w:hAnsi="Arial Narrow"/>
                <w:i/>
                <w:iCs/>
                <w:color w:val="000000"/>
                <w:sz w:val="20"/>
                <w:szCs w:val="20"/>
              </w:rPr>
            </w:pPr>
            <w:r w:rsidRPr="003E471B">
              <w:rPr>
                <w:rFonts w:ascii="Arial Narrow" w:hAnsi="Arial Narrow"/>
                <w:color w:val="000000"/>
                <w:sz w:val="20"/>
                <w:szCs w:val="20"/>
              </w:rPr>
              <w:t xml:space="preserve">azacitidine 300 mg tablet, </w:t>
            </w:r>
            <w:r w:rsidRPr="003E471B">
              <w:rPr>
                <w:rFonts w:ascii="Arial Narrow" w:hAnsi="Arial Narrow"/>
                <w:i/>
                <w:iCs/>
                <w:color w:val="000000"/>
                <w:sz w:val="20"/>
                <w:szCs w:val="20"/>
              </w:rPr>
              <w:t>7</w:t>
            </w:r>
          </w:p>
        </w:tc>
        <w:tc>
          <w:tcPr>
            <w:tcW w:w="1134" w:type="dxa"/>
            <w:vAlign w:val="center"/>
          </w:tcPr>
          <w:p w14:paraId="7B0CF521" w14:textId="77777777" w:rsidR="0025400C" w:rsidRPr="003E471B" w:rsidRDefault="0025400C" w:rsidP="00E26E55">
            <w:pPr>
              <w:keepNext/>
              <w:keepLines/>
              <w:jc w:val="center"/>
              <w:rPr>
                <w:rFonts w:ascii="Arial Narrow" w:hAnsi="Arial Narrow"/>
                <w:color w:val="000000"/>
                <w:sz w:val="20"/>
                <w:szCs w:val="20"/>
              </w:rPr>
            </w:pPr>
            <w:r w:rsidRPr="003E471B">
              <w:rPr>
                <w:rFonts w:ascii="Arial Narrow" w:hAnsi="Arial Narrow"/>
                <w:color w:val="000000"/>
                <w:sz w:val="20"/>
                <w:szCs w:val="20"/>
              </w:rPr>
              <w:t>NEW</w:t>
            </w:r>
          </w:p>
        </w:tc>
        <w:tc>
          <w:tcPr>
            <w:tcW w:w="992" w:type="dxa"/>
            <w:vAlign w:val="center"/>
          </w:tcPr>
          <w:p w14:paraId="3B24EAA6" w14:textId="77777777" w:rsidR="0025400C" w:rsidRPr="003E471B" w:rsidRDefault="0025400C" w:rsidP="00E26E55">
            <w:pPr>
              <w:keepNext/>
              <w:keepLines/>
              <w:jc w:val="center"/>
              <w:rPr>
                <w:rFonts w:ascii="Arial Narrow" w:hAnsi="Arial Narrow"/>
                <w:color w:val="000000"/>
                <w:sz w:val="20"/>
                <w:szCs w:val="20"/>
              </w:rPr>
            </w:pPr>
            <w:r w:rsidRPr="003E471B">
              <w:rPr>
                <w:rFonts w:ascii="Arial Narrow" w:hAnsi="Arial Narrow"/>
                <w:color w:val="000000"/>
                <w:sz w:val="20"/>
                <w:szCs w:val="20"/>
              </w:rPr>
              <w:t>2</w:t>
            </w:r>
          </w:p>
        </w:tc>
        <w:tc>
          <w:tcPr>
            <w:tcW w:w="992" w:type="dxa"/>
            <w:vAlign w:val="center"/>
          </w:tcPr>
          <w:p w14:paraId="124ABF4B" w14:textId="77777777" w:rsidR="0025400C" w:rsidRPr="003E471B" w:rsidRDefault="0025400C" w:rsidP="00E26E55">
            <w:pPr>
              <w:keepNext/>
              <w:keepLines/>
              <w:jc w:val="center"/>
              <w:rPr>
                <w:rFonts w:ascii="Arial Narrow" w:hAnsi="Arial Narrow"/>
                <w:color w:val="000000"/>
                <w:sz w:val="20"/>
                <w:szCs w:val="20"/>
              </w:rPr>
            </w:pPr>
            <w:r w:rsidRPr="003E471B">
              <w:rPr>
                <w:rFonts w:ascii="Arial Narrow" w:hAnsi="Arial Narrow"/>
                <w:color w:val="000000"/>
                <w:sz w:val="20"/>
                <w:szCs w:val="20"/>
              </w:rPr>
              <w:t>14</w:t>
            </w:r>
          </w:p>
        </w:tc>
        <w:tc>
          <w:tcPr>
            <w:tcW w:w="1134" w:type="dxa"/>
            <w:vAlign w:val="center"/>
          </w:tcPr>
          <w:p w14:paraId="589963AE" w14:textId="77777777" w:rsidR="0025400C" w:rsidRPr="003E471B" w:rsidRDefault="0025400C" w:rsidP="00E26E55">
            <w:pPr>
              <w:keepNext/>
              <w:keepLines/>
              <w:jc w:val="center"/>
              <w:rPr>
                <w:rFonts w:ascii="Arial Narrow" w:hAnsi="Arial Narrow"/>
                <w:color w:val="000000"/>
                <w:sz w:val="20"/>
                <w:szCs w:val="20"/>
              </w:rPr>
            </w:pPr>
            <w:r w:rsidRPr="003E471B">
              <w:rPr>
                <w:rFonts w:ascii="Arial Narrow" w:hAnsi="Arial Narrow"/>
                <w:color w:val="000000"/>
                <w:sz w:val="20"/>
                <w:szCs w:val="20"/>
              </w:rPr>
              <w:t>2</w:t>
            </w:r>
          </w:p>
        </w:tc>
        <w:tc>
          <w:tcPr>
            <w:tcW w:w="2076" w:type="dxa"/>
            <w:vAlign w:val="center"/>
          </w:tcPr>
          <w:p w14:paraId="0F91F656" w14:textId="77777777" w:rsidR="0025400C" w:rsidRPr="003E471B" w:rsidRDefault="0025400C" w:rsidP="00E26E55">
            <w:pPr>
              <w:keepNext/>
              <w:keepLines/>
              <w:rPr>
                <w:rFonts w:ascii="Arial Narrow" w:hAnsi="Arial Narrow"/>
                <w:color w:val="000000"/>
                <w:sz w:val="20"/>
                <w:szCs w:val="20"/>
              </w:rPr>
            </w:pPr>
            <w:r w:rsidRPr="003E471B">
              <w:rPr>
                <w:rFonts w:ascii="Arial Narrow" w:hAnsi="Arial Narrow"/>
                <w:color w:val="000000"/>
                <w:sz w:val="20"/>
                <w:szCs w:val="20"/>
              </w:rPr>
              <w:t>Onureg</w:t>
            </w:r>
          </w:p>
        </w:tc>
      </w:tr>
      <w:tr w:rsidR="0025400C" w:rsidRPr="003E471B" w14:paraId="2DAC722E" w14:textId="77777777" w:rsidTr="00E26E55">
        <w:trPr>
          <w:cantSplit/>
          <w:trHeight w:val="20"/>
        </w:trPr>
        <w:tc>
          <w:tcPr>
            <w:tcW w:w="2689" w:type="dxa"/>
            <w:vAlign w:val="center"/>
          </w:tcPr>
          <w:p w14:paraId="468E2167" w14:textId="77777777" w:rsidR="0025400C" w:rsidRPr="003E471B" w:rsidRDefault="0025400C" w:rsidP="00E26E55">
            <w:pPr>
              <w:keepNext/>
              <w:keepLines/>
              <w:rPr>
                <w:rFonts w:ascii="Arial Narrow" w:hAnsi="Arial Narrow"/>
                <w:color w:val="000000"/>
                <w:sz w:val="20"/>
                <w:szCs w:val="20"/>
              </w:rPr>
            </w:pPr>
            <w:r w:rsidRPr="003E471B">
              <w:rPr>
                <w:rFonts w:ascii="Arial Narrow" w:hAnsi="Arial Narrow"/>
                <w:color w:val="000000"/>
                <w:sz w:val="20"/>
                <w:szCs w:val="20"/>
              </w:rPr>
              <w:t>Azacitidine</w:t>
            </w:r>
            <w:r>
              <w:rPr>
                <w:rFonts w:ascii="Arial Narrow" w:hAnsi="Arial Narrow"/>
                <w:color w:val="000000"/>
                <w:sz w:val="20"/>
                <w:szCs w:val="20"/>
              </w:rPr>
              <w:t xml:space="preserve"> 2</w:t>
            </w:r>
            <w:r w:rsidRPr="003E471B">
              <w:rPr>
                <w:rFonts w:ascii="Arial Narrow" w:hAnsi="Arial Narrow"/>
                <w:color w:val="000000"/>
                <w:sz w:val="20"/>
                <w:szCs w:val="20"/>
              </w:rPr>
              <w:t xml:space="preserve">00 mg tablet, </w:t>
            </w:r>
            <w:r w:rsidRPr="003E471B">
              <w:rPr>
                <w:rFonts w:ascii="Arial Narrow" w:hAnsi="Arial Narrow"/>
                <w:i/>
                <w:iCs/>
                <w:color w:val="000000"/>
                <w:sz w:val="20"/>
                <w:szCs w:val="20"/>
              </w:rPr>
              <w:t>7</w:t>
            </w:r>
          </w:p>
        </w:tc>
        <w:tc>
          <w:tcPr>
            <w:tcW w:w="1134" w:type="dxa"/>
            <w:vAlign w:val="center"/>
          </w:tcPr>
          <w:p w14:paraId="55A44967" w14:textId="77777777" w:rsidR="0025400C" w:rsidRPr="003E471B" w:rsidRDefault="0025400C" w:rsidP="00E26E55">
            <w:pPr>
              <w:keepNext/>
              <w:keepLines/>
              <w:jc w:val="center"/>
              <w:rPr>
                <w:rFonts w:ascii="Arial Narrow" w:hAnsi="Arial Narrow"/>
                <w:color w:val="000000"/>
                <w:sz w:val="20"/>
                <w:szCs w:val="20"/>
              </w:rPr>
            </w:pPr>
            <w:r w:rsidRPr="003E471B">
              <w:rPr>
                <w:rFonts w:ascii="Arial Narrow" w:hAnsi="Arial Narrow"/>
                <w:color w:val="000000"/>
                <w:sz w:val="20"/>
                <w:szCs w:val="20"/>
              </w:rPr>
              <w:t>NEW</w:t>
            </w:r>
          </w:p>
        </w:tc>
        <w:tc>
          <w:tcPr>
            <w:tcW w:w="992" w:type="dxa"/>
            <w:vAlign w:val="center"/>
          </w:tcPr>
          <w:p w14:paraId="1AA0DE38" w14:textId="77777777" w:rsidR="0025400C" w:rsidRPr="003E471B" w:rsidRDefault="0025400C" w:rsidP="00E26E55">
            <w:pPr>
              <w:keepNext/>
              <w:keepLines/>
              <w:jc w:val="center"/>
              <w:rPr>
                <w:rFonts w:ascii="Arial Narrow" w:hAnsi="Arial Narrow"/>
                <w:color w:val="000000"/>
                <w:sz w:val="20"/>
                <w:szCs w:val="20"/>
              </w:rPr>
            </w:pPr>
            <w:r w:rsidRPr="003E471B">
              <w:rPr>
                <w:rFonts w:ascii="Arial Narrow" w:hAnsi="Arial Narrow"/>
                <w:color w:val="000000"/>
                <w:sz w:val="20"/>
                <w:szCs w:val="20"/>
              </w:rPr>
              <w:t>2</w:t>
            </w:r>
          </w:p>
        </w:tc>
        <w:tc>
          <w:tcPr>
            <w:tcW w:w="992" w:type="dxa"/>
            <w:vAlign w:val="center"/>
          </w:tcPr>
          <w:p w14:paraId="2879D01B" w14:textId="77777777" w:rsidR="0025400C" w:rsidRPr="003E471B" w:rsidRDefault="0025400C" w:rsidP="00E26E55">
            <w:pPr>
              <w:keepNext/>
              <w:keepLines/>
              <w:jc w:val="center"/>
              <w:rPr>
                <w:rFonts w:ascii="Arial Narrow" w:hAnsi="Arial Narrow"/>
                <w:color w:val="000000"/>
                <w:sz w:val="20"/>
                <w:szCs w:val="20"/>
              </w:rPr>
            </w:pPr>
            <w:r w:rsidRPr="003E471B">
              <w:rPr>
                <w:rFonts w:ascii="Arial Narrow" w:hAnsi="Arial Narrow"/>
                <w:color w:val="000000"/>
                <w:sz w:val="20"/>
                <w:szCs w:val="20"/>
              </w:rPr>
              <w:t>14</w:t>
            </w:r>
          </w:p>
        </w:tc>
        <w:tc>
          <w:tcPr>
            <w:tcW w:w="1134" w:type="dxa"/>
            <w:vAlign w:val="center"/>
          </w:tcPr>
          <w:p w14:paraId="64315367" w14:textId="77777777" w:rsidR="0025400C" w:rsidRPr="003E471B" w:rsidRDefault="0025400C" w:rsidP="00E26E55">
            <w:pPr>
              <w:keepNext/>
              <w:keepLines/>
              <w:jc w:val="center"/>
              <w:rPr>
                <w:rFonts w:ascii="Arial Narrow" w:hAnsi="Arial Narrow"/>
                <w:color w:val="000000"/>
                <w:sz w:val="20"/>
                <w:szCs w:val="20"/>
              </w:rPr>
            </w:pPr>
            <w:r w:rsidRPr="003E471B">
              <w:rPr>
                <w:rFonts w:ascii="Arial Narrow" w:hAnsi="Arial Narrow"/>
                <w:color w:val="000000"/>
                <w:sz w:val="20"/>
                <w:szCs w:val="20"/>
              </w:rPr>
              <w:t>2</w:t>
            </w:r>
          </w:p>
        </w:tc>
        <w:tc>
          <w:tcPr>
            <w:tcW w:w="2076" w:type="dxa"/>
            <w:vAlign w:val="center"/>
          </w:tcPr>
          <w:p w14:paraId="53598E14" w14:textId="77777777" w:rsidR="0025400C" w:rsidRPr="003E471B" w:rsidRDefault="0025400C" w:rsidP="00E26E55">
            <w:pPr>
              <w:keepNext/>
              <w:keepLines/>
              <w:rPr>
                <w:rFonts w:ascii="Arial Narrow" w:hAnsi="Arial Narrow"/>
                <w:color w:val="000000"/>
                <w:sz w:val="20"/>
                <w:szCs w:val="20"/>
              </w:rPr>
            </w:pPr>
            <w:r w:rsidRPr="003E471B">
              <w:rPr>
                <w:rFonts w:ascii="Arial Narrow" w:hAnsi="Arial Narrow"/>
                <w:color w:val="000000"/>
                <w:sz w:val="20"/>
                <w:szCs w:val="20"/>
              </w:rPr>
              <w:t>Onureg</w:t>
            </w:r>
          </w:p>
        </w:tc>
      </w:tr>
      <w:tr w:rsidR="0025400C" w:rsidRPr="003E471B" w14:paraId="15AAAD98" w14:textId="77777777" w:rsidTr="00E26E55">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4BA50B2D" w14:textId="128D58A1" w:rsidR="0025400C" w:rsidRPr="003E471B" w:rsidRDefault="0025400C" w:rsidP="00E26E55">
            <w:pPr>
              <w:keepNext/>
              <w:keepLines/>
              <w:rPr>
                <w:rFonts w:ascii="Arial Narrow" w:hAnsi="Arial Narrow"/>
                <w:b/>
                <w:bCs/>
                <w:color w:val="000000"/>
                <w:sz w:val="20"/>
                <w:szCs w:val="20"/>
              </w:rPr>
            </w:pPr>
          </w:p>
        </w:tc>
      </w:tr>
      <w:tr w:rsidR="00C71151" w:rsidRPr="003E471B" w14:paraId="3F515C2A" w14:textId="77777777" w:rsidTr="005B77B0">
        <w:tblPrEx>
          <w:tblCellMar>
            <w:top w:w="15" w:type="dxa"/>
            <w:bottom w:w="15" w:type="dxa"/>
          </w:tblCellMar>
          <w:tblLook w:val="04A0" w:firstRow="1" w:lastRow="0" w:firstColumn="1" w:lastColumn="0" w:noHBand="0" w:noVBand="1"/>
        </w:tblPrEx>
        <w:trPr>
          <w:cantSplit/>
          <w:trHeight w:val="20"/>
        </w:trPr>
        <w:tc>
          <w:tcPr>
            <w:tcW w:w="9017" w:type="dxa"/>
            <w:gridSpan w:val="6"/>
            <w:tcBorders>
              <w:top w:val="single" w:sz="4" w:space="0" w:color="auto"/>
              <w:left w:val="single" w:sz="4" w:space="0" w:color="auto"/>
              <w:right w:val="single" w:sz="4" w:space="0" w:color="auto"/>
            </w:tcBorders>
          </w:tcPr>
          <w:p w14:paraId="53715EDE" w14:textId="77777777" w:rsidR="00C71151" w:rsidRPr="003E471B" w:rsidRDefault="00C71151" w:rsidP="00E26E55">
            <w:pPr>
              <w:keepNext/>
              <w:keepLines/>
              <w:rPr>
                <w:rFonts w:ascii="Arial Narrow" w:hAnsi="Arial Narrow"/>
                <w:color w:val="000000"/>
                <w:sz w:val="20"/>
                <w:szCs w:val="20"/>
              </w:rPr>
            </w:pPr>
            <w:r w:rsidRPr="003E471B">
              <w:rPr>
                <w:rFonts w:ascii="Arial Narrow" w:hAnsi="Arial Narrow"/>
                <w:b/>
                <w:color w:val="000000"/>
                <w:sz w:val="20"/>
                <w:szCs w:val="20"/>
              </w:rPr>
              <w:t xml:space="preserve">Category / Program: </w:t>
            </w:r>
            <w:r w:rsidRPr="003E471B">
              <w:rPr>
                <w:rFonts w:ascii="Arial Narrow" w:hAnsi="Arial Narrow"/>
                <w:color w:val="000000"/>
                <w:sz w:val="20"/>
                <w:szCs w:val="20"/>
              </w:rPr>
              <w:t xml:space="preserve">GENERAL – General Schedule (Code GE) </w:t>
            </w:r>
          </w:p>
        </w:tc>
      </w:tr>
      <w:tr w:rsidR="00C71151" w:rsidRPr="003E471B" w14:paraId="717F3A1D" w14:textId="77777777" w:rsidTr="008E6C60">
        <w:tblPrEx>
          <w:tblCellMar>
            <w:top w:w="15" w:type="dxa"/>
            <w:bottom w:w="15" w:type="dxa"/>
          </w:tblCellMar>
          <w:tblLook w:val="04A0" w:firstRow="1" w:lastRow="0" w:firstColumn="1" w:lastColumn="0" w:noHBand="0" w:noVBand="1"/>
        </w:tblPrEx>
        <w:trPr>
          <w:cantSplit/>
          <w:trHeight w:val="20"/>
        </w:trPr>
        <w:tc>
          <w:tcPr>
            <w:tcW w:w="9017" w:type="dxa"/>
            <w:gridSpan w:val="6"/>
            <w:tcBorders>
              <w:left w:val="single" w:sz="4" w:space="0" w:color="auto"/>
              <w:right w:val="single" w:sz="4" w:space="0" w:color="auto"/>
            </w:tcBorders>
          </w:tcPr>
          <w:p w14:paraId="35615178" w14:textId="77777777" w:rsidR="00C71151" w:rsidRPr="003E471B" w:rsidRDefault="00C71151" w:rsidP="00E26E55">
            <w:pPr>
              <w:keepNext/>
              <w:keepLines/>
              <w:rPr>
                <w:rFonts w:ascii="Arial Narrow" w:hAnsi="Arial Narrow"/>
                <w:b/>
                <w:color w:val="000000"/>
                <w:sz w:val="20"/>
                <w:szCs w:val="20"/>
              </w:rPr>
            </w:pPr>
            <w:r w:rsidRPr="003E471B">
              <w:rPr>
                <w:rFonts w:ascii="Arial Narrow" w:hAnsi="Arial Narrow"/>
                <w:b/>
                <w:color w:val="000000"/>
                <w:sz w:val="20"/>
                <w:szCs w:val="20"/>
              </w:rPr>
              <w:t xml:space="preserve">Prescriber type: </w:t>
            </w:r>
            <w:r w:rsidRPr="003E471B">
              <w:rPr>
                <w:rFonts w:ascii="Arial Narrow" w:hAnsi="Arial Narrow"/>
                <w:color w:val="000000"/>
                <w:sz w:val="20"/>
                <w:szCs w:val="20"/>
              </w:rPr>
              <w:fldChar w:fldCharType="begin" w:fldLock="1">
                <w:ffData>
                  <w:name w:val=""/>
                  <w:enabled/>
                  <w:calcOnExit w:val="0"/>
                  <w:checkBox>
                    <w:sizeAuto/>
                    <w:default w:val="1"/>
                  </w:checkBox>
                </w:ffData>
              </w:fldChar>
            </w:r>
            <w:r w:rsidRPr="003E471B">
              <w:rPr>
                <w:rFonts w:ascii="Arial Narrow" w:hAnsi="Arial Narrow"/>
                <w:color w:val="000000"/>
                <w:sz w:val="20"/>
                <w:szCs w:val="20"/>
              </w:rPr>
              <w:instrText xml:space="preserve"> FORMCHECKBOX </w:instrText>
            </w:r>
            <w:r w:rsidR="00396D16">
              <w:rPr>
                <w:rFonts w:ascii="Arial Narrow" w:hAnsi="Arial Narrow"/>
                <w:color w:val="000000"/>
                <w:sz w:val="20"/>
                <w:szCs w:val="20"/>
              </w:rPr>
            </w:r>
            <w:r w:rsidR="00396D16">
              <w:rPr>
                <w:rFonts w:ascii="Arial Narrow" w:hAnsi="Arial Narrow"/>
                <w:color w:val="000000"/>
                <w:sz w:val="20"/>
                <w:szCs w:val="20"/>
              </w:rPr>
              <w:fldChar w:fldCharType="separate"/>
            </w:r>
            <w:r w:rsidRPr="003E471B">
              <w:rPr>
                <w:rFonts w:ascii="Arial Narrow" w:hAnsi="Arial Narrow"/>
                <w:color w:val="000000"/>
                <w:sz w:val="20"/>
                <w:szCs w:val="20"/>
              </w:rPr>
              <w:fldChar w:fldCharType="end"/>
            </w:r>
            <w:r w:rsidRPr="003E471B">
              <w:rPr>
                <w:rFonts w:ascii="Arial Narrow" w:hAnsi="Arial Narrow"/>
                <w:color w:val="000000"/>
                <w:sz w:val="20"/>
                <w:szCs w:val="20"/>
              </w:rPr>
              <w:t xml:space="preserve">Medical Practitioners </w:t>
            </w:r>
          </w:p>
        </w:tc>
      </w:tr>
      <w:tr w:rsidR="00C71151" w:rsidRPr="003E471B" w14:paraId="00F95923" w14:textId="77777777" w:rsidTr="008A2196">
        <w:tblPrEx>
          <w:tblCellMar>
            <w:top w:w="15" w:type="dxa"/>
            <w:bottom w:w="15" w:type="dxa"/>
          </w:tblCellMar>
          <w:tblLook w:val="04A0" w:firstRow="1" w:lastRow="0" w:firstColumn="1" w:lastColumn="0" w:noHBand="0" w:noVBand="1"/>
        </w:tblPrEx>
        <w:trPr>
          <w:cantSplit/>
          <w:trHeight w:val="20"/>
        </w:trPr>
        <w:tc>
          <w:tcPr>
            <w:tcW w:w="9017" w:type="dxa"/>
            <w:gridSpan w:val="6"/>
            <w:tcBorders>
              <w:left w:val="single" w:sz="4" w:space="0" w:color="auto"/>
              <w:bottom w:val="single" w:sz="4" w:space="0" w:color="auto"/>
              <w:right w:val="single" w:sz="4" w:space="0" w:color="auto"/>
            </w:tcBorders>
          </w:tcPr>
          <w:p w14:paraId="5214BF3D" w14:textId="77777777" w:rsidR="00C71151" w:rsidRPr="003E471B" w:rsidRDefault="00C71151" w:rsidP="00E26E55">
            <w:pPr>
              <w:keepNext/>
              <w:keepLines/>
              <w:rPr>
                <w:rFonts w:ascii="Arial Narrow" w:hAnsi="Arial Narrow"/>
                <w:color w:val="000000"/>
                <w:sz w:val="20"/>
                <w:szCs w:val="20"/>
              </w:rPr>
            </w:pPr>
            <w:r w:rsidRPr="003E471B">
              <w:rPr>
                <w:rFonts w:ascii="Arial Narrow" w:hAnsi="Arial Narrow"/>
                <w:b/>
                <w:color w:val="000000"/>
                <w:sz w:val="20"/>
                <w:szCs w:val="20"/>
              </w:rPr>
              <w:t xml:space="preserve">Restriction type: </w:t>
            </w:r>
            <w:r w:rsidRPr="003E471B">
              <w:rPr>
                <w:rFonts w:ascii="Arial Narrow" w:hAnsi="Arial Narrow"/>
                <w:color w:val="000000"/>
                <w:sz w:val="20"/>
                <w:szCs w:val="20"/>
              </w:rPr>
              <w:fldChar w:fldCharType="begin" w:fldLock="1">
                <w:ffData>
                  <w:name w:val=""/>
                  <w:enabled/>
                  <w:calcOnExit w:val="0"/>
                  <w:checkBox>
                    <w:sizeAuto/>
                    <w:default w:val="1"/>
                  </w:checkBox>
                </w:ffData>
              </w:fldChar>
            </w:r>
            <w:r w:rsidRPr="003E471B">
              <w:rPr>
                <w:rFonts w:ascii="Arial Narrow" w:hAnsi="Arial Narrow"/>
                <w:color w:val="000000"/>
                <w:sz w:val="20"/>
                <w:szCs w:val="20"/>
              </w:rPr>
              <w:instrText xml:space="preserve"> FORMCHECKBOX </w:instrText>
            </w:r>
            <w:r w:rsidR="00396D16">
              <w:rPr>
                <w:rFonts w:ascii="Arial Narrow" w:hAnsi="Arial Narrow"/>
                <w:color w:val="000000"/>
                <w:sz w:val="20"/>
                <w:szCs w:val="20"/>
              </w:rPr>
            </w:r>
            <w:r w:rsidR="00396D16">
              <w:rPr>
                <w:rFonts w:ascii="Arial Narrow" w:hAnsi="Arial Narrow"/>
                <w:color w:val="000000"/>
                <w:sz w:val="20"/>
                <w:szCs w:val="20"/>
              </w:rPr>
              <w:fldChar w:fldCharType="separate"/>
            </w:r>
            <w:r w:rsidRPr="003E471B">
              <w:rPr>
                <w:rFonts w:ascii="Arial Narrow" w:hAnsi="Arial Narrow"/>
                <w:color w:val="000000"/>
                <w:sz w:val="20"/>
                <w:szCs w:val="20"/>
              </w:rPr>
              <w:fldChar w:fldCharType="end"/>
            </w:r>
            <w:r w:rsidRPr="003E471B">
              <w:rPr>
                <w:rFonts w:ascii="Arial Narrow" w:hAnsi="Arial Narrow"/>
                <w:color w:val="000000"/>
                <w:sz w:val="20"/>
                <w:szCs w:val="20"/>
              </w:rPr>
              <w:t xml:space="preserve">Authority Required – </w:t>
            </w:r>
            <w:r w:rsidRPr="00EC7AA7">
              <w:rPr>
                <w:rFonts w:ascii="Arial Narrow" w:hAnsi="Arial Narrow"/>
                <w:strike/>
                <w:color w:val="000000"/>
                <w:sz w:val="20"/>
                <w:szCs w:val="20"/>
              </w:rPr>
              <w:t>Streamlined [new/existing code]</w:t>
            </w:r>
            <w:r w:rsidRPr="003E471B">
              <w:rPr>
                <w:rFonts w:ascii="Arial Narrow" w:hAnsi="Arial Narrow"/>
                <w:color w:val="000000"/>
                <w:sz w:val="20"/>
                <w:szCs w:val="20"/>
              </w:rPr>
              <w:t xml:space="preserve"> </w:t>
            </w:r>
            <w:r>
              <w:rPr>
                <w:rFonts w:ascii="Arial Narrow" w:hAnsi="Arial Narrow"/>
                <w:color w:val="000000"/>
                <w:sz w:val="20"/>
                <w:szCs w:val="20"/>
              </w:rPr>
              <w:t xml:space="preserve"> </w:t>
            </w:r>
            <w:r w:rsidRPr="003E471B">
              <w:rPr>
                <w:rFonts w:ascii="Arial Narrow" w:hAnsi="Arial Narrow"/>
                <w:color w:val="000000"/>
                <w:sz w:val="20"/>
                <w:szCs w:val="20"/>
              </w:rPr>
              <w:t>(Telephone/online)</w:t>
            </w:r>
          </w:p>
        </w:tc>
      </w:tr>
      <w:tr w:rsidR="00C71151" w:rsidRPr="003E471B" w14:paraId="478746D9" w14:textId="77777777" w:rsidTr="00914A6E">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5A5D475B" w14:textId="77777777" w:rsidR="00C71151" w:rsidRPr="003E471B" w:rsidRDefault="00C71151" w:rsidP="00E26E55">
            <w:pPr>
              <w:keepNext/>
              <w:keepLines/>
              <w:rPr>
                <w:rFonts w:ascii="Arial Narrow" w:hAnsi="Arial Narrow"/>
                <w:b/>
                <w:bCs/>
                <w:color w:val="000000"/>
                <w:sz w:val="20"/>
                <w:szCs w:val="20"/>
              </w:rPr>
            </w:pPr>
            <w:r w:rsidRPr="003E471B">
              <w:rPr>
                <w:rFonts w:ascii="Arial Narrow" w:hAnsi="Arial Narrow"/>
                <w:b/>
                <w:bCs/>
                <w:color w:val="000000"/>
                <w:sz w:val="20"/>
                <w:szCs w:val="20"/>
              </w:rPr>
              <w:t xml:space="preserve">Condition: </w:t>
            </w:r>
            <w:r w:rsidRPr="003E471B">
              <w:rPr>
                <w:rFonts w:ascii="Arial Narrow" w:hAnsi="Arial Narrow"/>
                <w:bCs/>
                <w:color w:val="000000"/>
                <w:sz w:val="20"/>
                <w:szCs w:val="20"/>
              </w:rPr>
              <w:t>Acute Myeloid Leukaemia</w:t>
            </w:r>
          </w:p>
        </w:tc>
      </w:tr>
      <w:tr w:rsidR="00C71151" w:rsidRPr="003E471B" w14:paraId="4862F041" w14:textId="77777777" w:rsidTr="00975582">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79E103FD" w14:textId="77777777" w:rsidR="00C71151" w:rsidRPr="003E471B" w:rsidRDefault="00C71151" w:rsidP="00E26E55">
            <w:pPr>
              <w:rPr>
                <w:rFonts w:ascii="Arial Narrow" w:hAnsi="Arial Narrow"/>
                <w:color w:val="000000"/>
                <w:sz w:val="20"/>
                <w:szCs w:val="20"/>
              </w:rPr>
            </w:pPr>
            <w:r w:rsidRPr="003E471B">
              <w:rPr>
                <w:rFonts w:ascii="Arial Narrow" w:hAnsi="Arial Narrow"/>
                <w:b/>
                <w:bCs/>
                <w:color w:val="000000"/>
                <w:sz w:val="20"/>
                <w:szCs w:val="20"/>
              </w:rPr>
              <w:t>Indication:</w:t>
            </w:r>
            <w:r w:rsidRPr="003E471B">
              <w:rPr>
                <w:rFonts w:ascii="Arial Narrow" w:hAnsi="Arial Narrow"/>
                <w:color w:val="000000"/>
                <w:sz w:val="20"/>
                <w:szCs w:val="20"/>
              </w:rPr>
              <w:t xml:space="preserve"> </w:t>
            </w:r>
            <w:r w:rsidRPr="003E471B">
              <w:rPr>
                <w:rFonts w:ascii="Arial Narrow" w:hAnsi="Arial Narrow"/>
                <w:bCs/>
                <w:color w:val="000000"/>
                <w:sz w:val="20"/>
                <w:szCs w:val="20"/>
              </w:rPr>
              <w:t>Acute Myeloid Leukaemia</w:t>
            </w:r>
          </w:p>
        </w:tc>
      </w:tr>
      <w:tr w:rsidR="00C71151" w:rsidRPr="003E471B" w14:paraId="565C3F53" w14:textId="77777777" w:rsidTr="003D5EAF">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3D2883FC" w14:textId="77777777" w:rsidR="00C71151" w:rsidRPr="003E471B" w:rsidRDefault="00C71151" w:rsidP="00E26E55">
            <w:pPr>
              <w:rPr>
                <w:rFonts w:ascii="Arial Narrow" w:hAnsi="Arial Narrow"/>
                <w:color w:val="000000"/>
                <w:sz w:val="20"/>
                <w:szCs w:val="20"/>
              </w:rPr>
            </w:pPr>
            <w:r w:rsidRPr="003E471B">
              <w:rPr>
                <w:rFonts w:ascii="Arial Narrow" w:hAnsi="Arial Narrow"/>
                <w:b/>
                <w:bCs/>
                <w:color w:val="000000"/>
                <w:sz w:val="20"/>
                <w:szCs w:val="20"/>
              </w:rPr>
              <w:t>Treatment Phase:</w:t>
            </w:r>
            <w:r w:rsidRPr="003E471B">
              <w:rPr>
                <w:rFonts w:ascii="Arial Narrow" w:hAnsi="Arial Narrow"/>
                <w:color w:val="000000"/>
                <w:sz w:val="20"/>
                <w:szCs w:val="20"/>
              </w:rPr>
              <w:t xml:space="preserve"> </w:t>
            </w:r>
            <w:r w:rsidRPr="00EC7AA7">
              <w:rPr>
                <w:rFonts w:ascii="Arial Narrow" w:hAnsi="Arial Narrow"/>
                <w:strike/>
                <w:color w:val="000000"/>
                <w:sz w:val="20"/>
                <w:szCs w:val="20"/>
              </w:rPr>
              <w:t>Maintenance therapy</w:t>
            </w:r>
            <w:r w:rsidRPr="003E471B">
              <w:rPr>
                <w:rFonts w:ascii="Arial Narrow" w:hAnsi="Arial Narrow"/>
                <w:color w:val="000000"/>
                <w:sz w:val="20"/>
                <w:szCs w:val="20"/>
              </w:rPr>
              <w:t xml:space="preserve"> </w:t>
            </w:r>
            <w:r w:rsidRPr="00EC7AA7">
              <w:rPr>
                <w:rFonts w:ascii="Arial Narrow" w:hAnsi="Arial Narrow"/>
                <w:i/>
                <w:iCs/>
                <w:color w:val="000000"/>
                <w:sz w:val="20"/>
                <w:szCs w:val="20"/>
              </w:rPr>
              <w:t>Treatment following intensive induction chemotherapy</w:t>
            </w:r>
            <w:r>
              <w:rPr>
                <w:rFonts w:ascii="Arial Narrow" w:hAnsi="Arial Narrow"/>
                <w:color w:val="000000"/>
                <w:sz w:val="20"/>
                <w:szCs w:val="20"/>
              </w:rPr>
              <w:t xml:space="preserve"> -</w:t>
            </w:r>
            <w:r w:rsidRPr="003E471B">
              <w:rPr>
                <w:rFonts w:ascii="Arial Narrow" w:hAnsi="Arial Narrow"/>
                <w:color w:val="000000"/>
                <w:sz w:val="20"/>
                <w:szCs w:val="20"/>
              </w:rPr>
              <w:t>– Continuing treatment</w:t>
            </w:r>
          </w:p>
        </w:tc>
      </w:tr>
      <w:tr w:rsidR="00C71151" w:rsidRPr="003E471B" w14:paraId="42065723" w14:textId="77777777" w:rsidTr="00972D60">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1FEC29A5" w14:textId="77777777" w:rsidR="00C71151" w:rsidRPr="003E471B" w:rsidRDefault="00C71151" w:rsidP="00E26E55">
            <w:pPr>
              <w:rPr>
                <w:rFonts w:ascii="Arial Narrow" w:hAnsi="Arial Narrow"/>
                <w:b/>
                <w:bCs/>
                <w:color w:val="000000"/>
                <w:sz w:val="20"/>
                <w:szCs w:val="20"/>
              </w:rPr>
            </w:pPr>
            <w:r w:rsidRPr="003E471B">
              <w:rPr>
                <w:rFonts w:ascii="Arial Narrow" w:hAnsi="Arial Narrow"/>
                <w:b/>
                <w:bCs/>
                <w:color w:val="000000"/>
                <w:sz w:val="20"/>
                <w:szCs w:val="20"/>
              </w:rPr>
              <w:t>Clinical criteria:</w:t>
            </w:r>
          </w:p>
        </w:tc>
      </w:tr>
      <w:tr w:rsidR="00C71151" w:rsidRPr="003E471B" w14:paraId="52A92C77" w14:textId="77777777" w:rsidTr="00E116DD">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0FCD5100" w14:textId="77777777" w:rsidR="00C71151" w:rsidRPr="003E471B" w:rsidRDefault="00C71151" w:rsidP="00E26E55">
            <w:pPr>
              <w:rPr>
                <w:rFonts w:ascii="Arial Narrow" w:hAnsi="Arial Narrow" w:cs="Arial Narrow"/>
                <w:color w:val="000000"/>
                <w:sz w:val="20"/>
                <w:szCs w:val="20"/>
              </w:rPr>
            </w:pPr>
            <w:r w:rsidRPr="003E471B">
              <w:rPr>
                <w:rFonts w:ascii="Arial Narrow" w:hAnsi="Arial Narrow" w:cs="Arial Narrow"/>
                <w:color w:val="000000"/>
                <w:sz w:val="20"/>
                <w:szCs w:val="20"/>
              </w:rPr>
              <w:t>Patient must have previously received PBS-subsidised treatment with this drug for this condition,</w:t>
            </w:r>
          </w:p>
        </w:tc>
      </w:tr>
      <w:tr w:rsidR="00C71151" w:rsidRPr="003E471B" w14:paraId="211A4E6E" w14:textId="77777777" w:rsidTr="00B11DD5">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22A14D2C" w14:textId="77777777" w:rsidR="00C71151" w:rsidRPr="003E471B" w:rsidRDefault="00C71151" w:rsidP="00E26E55">
            <w:pPr>
              <w:rPr>
                <w:rFonts w:ascii="Arial Narrow" w:hAnsi="Arial Narrow"/>
                <w:color w:val="000000"/>
                <w:sz w:val="20"/>
                <w:szCs w:val="20"/>
              </w:rPr>
            </w:pPr>
            <w:r w:rsidRPr="003E471B">
              <w:rPr>
                <w:rFonts w:ascii="Arial Narrow" w:hAnsi="Arial Narrow"/>
                <w:b/>
                <w:bCs/>
                <w:color w:val="000000"/>
                <w:sz w:val="20"/>
                <w:szCs w:val="20"/>
              </w:rPr>
              <w:t>AND</w:t>
            </w:r>
          </w:p>
        </w:tc>
      </w:tr>
      <w:tr w:rsidR="00C71151" w:rsidRPr="003E471B" w14:paraId="2D146CE0" w14:textId="77777777" w:rsidTr="00217011">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649E6EFB" w14:textId="77777777" w:rsidR="00C71151" w:rsidRPr="003E471B" w:rsidRDefault="00C71151" w:rsidP="00E26E55">
            <w:pPr>
              <w:rPr>
                <w:rFonts w:ascii="Arial Narrow" w:hAnsi="Arial Narrow"/>
                <w:color w:val="000000"/>
                <w:sz w:val="20"/>
                <w:szCs w:val="20"/>
              </w:rPr>
            </w:pPr>
            <w:r w:rsidRPr="003E471B">
              <w:rPr>
                <w:rFonts w:ascii="Arial Narrow" w:hAnsi="Arial Narrow"/>
                <w:b/>
                <w:bCs/>
                <w:color w:val="000000"/>
                <w:sz w:val="20"/>
                <w:szCs w:val="20"/>
              </w:rPr>
              <w:t>Clinical criteria:</w:t>
            </w:r>
          </w:p>
        </w:tc>
      </w:tr>
      <w:tr w:rsidR="00C71151" w:rsidRPr="003E471B" w14:paraId="4A196C50" w14:textId="77777777" w:rsidTr="00B45B65">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6848C0CD" w14:textId="77777777" w:rsidR="00C71151" w:rsidRPr="003E471B" w:rsidRDefault="00C71151" w:rsidP="00E26E55">
            <w:pPr>
              <w:rPr>
                <w:rFonts w:ascii="Arial Narrow" w:hAnsi="Arial Narrow" w:cs="Arial Narrow"/>
                <w:color w:val="000000"/>
                <w:sz w:val="20"/>
                <w:szCs w:val="20"/>
              </w:rPr>
            </w:pPr>
            <w:r w:rsidRPr="003E471B">
              <w:rPr>
                <w:rFonts w:ascii="Arial Narrow" w:hAnsi="Arial Narrow" w:cs="Arial Narrow"/>
                <w:color w:val="000000"/>
                <w:sz w:val="20"/>
                <w:szCs w:val="20"/>
              </w:rPr>
              <w:t xml:space="preserve">Patient must have </w:t>
            </w:r>
            <w:r>
              <w:rPr>
                <w:rFonts w:ascii="Arial Narrow" w:hAnsi="Arial Narrow" w:cs="Arial Narrow"/>
                <w:color w:val="000000"/>
                <w:sz w:val="20"/>
                <w:szCs w:val="20"/>
              </w:rPr>
              <w:t>no more than</w:t>
            </w:r>
            <w:r w:rsidRPr="003E471B">
              <w:rPr>
                <w:rFonts w:ascii="Arial Narrow" w:hAnsi="Arial Narrow" w:cs="Arial Narrow"/>
                <w:color w:val="000000"/>
                <w:sz w:val="20"/>
                <w:szCs w:val="20"/>
              </w:rPr>
              <w:t xml:space="preserve"> 15% blasts in the bone marrow or peripheral blood </w:t>
            </w:r>
            <w:r>
              <w:rPr>
                <w:rFonts w:ascii="Arial Narrow" w:hAnsi="Arial Narrow" w:cs="Arial Narrow"/>
                <w:color w:val="000000"/>
                <w:sz w:val="20"/>
                <w:szCs w:val="20"/>
              </w:rPr>
              <w:t xml:space="preserve">that are </w:t>
            </w:r>
            <w:r w:rsidRPr="003E471B">
              <w:rPr>
                <w:rFonts w:ascii="Arial Narrow" w:hAnsi="Arial Narrow" w:cs="Arial Narrow"/>
                <w:color w:val="000000"/>
                <w:sz w:val="20"/>
                <w:szCs w:val="20"/>
              </w:rPr>
              <w:t>not attributable to any cause</w:t>
            </w:r>
            <w:r>
              <w:rPr>
                <w:rFonts w:ascii="Arial Narrow" w:hAnsi="Arial Narrow" w:cs="Arial Narrow"/>
                <w:color w:val="000000"/>
                <w:sz w:val="20"/>
                <w:szCs w:val="20"/>
              </w:rPr>
              <w:t xml:space="preserve"> other than AML</w:t>
            </w:r>
            <w:r w:rsidRPr="003E471B">
              <w:rPr>
                <w:rFonts w:ascii="Arial Narrow" w:hAnsi="Arial Narrow" w:cs="Arial Narrow"/>
                <w:color w:val="000000"/>
                <w:sz w:val="20"/>
                <w:szCs w:val="20"/>
              </w:rPr>
              <w:t>.</w:t>
            </w:r>
          </w:p>
        </w:tc>
      </w:tr>
      <w:tr w:rsidR="00C71151" w:rsidRPr="003E471B" w14:paraId="215B0D86" w14:textId="77777777" w:rsidTr="00A74ABF">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289CC5C0" w14:textId="77777777" w:rsidR="00C71151" w:rsidRPr="003E471B" w:rsidRDefault="00C71151" w:rsidP="00E26E55">
            <w:pPr>
              <w:rPr>
                <w:rFonts w:ascii="Arial Narrow" w:hAnsi="Arial Narrow" w:cs="Arial Narrow"/>
                <w:color w:val="000000"/>
                <w:sz w:val="20"/>
                <w:szCs w:val="20"/>
              </w:rPr>
            </w:pPr>
            <w:r w:rsidRPr="003E471B">
              <w:rPr>
                <w:rFonts w:ascii="Arial Narrow" w:hAnsi="Arial Narrow"/>
                <w:b/>
                <w:bCs/>
                <w:color w:val="000000"/>
                <w:sz w:val="20"/>
                <w:szCs w:val="20"/>
              </w:rPr>
              <w:t>AND</w:t>
            </w:r>
          </w:p>
        </w:tc>
      </w:tr>
      <w:tr w:rsidR="00C71151" w:rsidRPr="003E471B" w14:paraId="53DD87A7" w14:textId="77777777" w:rsidTr="00EF317F">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743C9999" w14:textId="77777777" w:rsidR="00C71151" w:rsidRPr="003E471B" w:rsidRDefault="00C71151" w:rsidP="00E26E55">
            <w:pPr>
              <w:rPr>
                <w:rFonts w:ascii="Arial Narrow" w:hAnsi="Arial Narrow" w:cs="Arial Narrow"/>
                <w:color w:val="000000"/>
                <w:sz w:val="20"/>
                <w:szCs w:val="20"/>
              </w:rPr>
            </w:pPr>
            <w:r w:rsidRPr="003E471B">
              <w:rPr>
                <w:rFonts w:ascii="Arial Narrow" w:hAnsi="Arial Narrow"/>
                <w:b/>
                <w:bCs/>
                <w:color w:val="000000"/>
                <w:sz w:val="20"/>
                <w:szCs w:val="20"/>
              </w:rPr>
              <w:t>Clinical criteria:</w:t>
            </w:r>
          </w:p>
        </w:tc>
      </w:tr>
      <w:tr w:rsidR="00C71151" w:rsidRPr="003E471B" w14:paraId="15B92EDC" w14:textId="77777777" w:rsidTr="004A6B05">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39268496" w14:textId="77777777" w:rsidR="00C71151" w:rsidRPr="003E471B" w:rsidRDefault="00C71151" w:rsidP="00E26E55">
            <w:pPr>
              <w:rPr>
                <w:rFonts w:ascii="Arial Narrow" w:hAnsi="Arial Narrow" w:cs="Arial Narrow"/>
                <w:color w:val="000000"/>
                <w:sz w:val="20"/>
                <w:szCs w:val="20"/>
              </w:rPr>
            </w:pPr>
            <w:r w:rsidRPr="003E471B">
              <w:rPr>
                <w:rFonts w:ascii="Arial Narrow" w:hAnsi="Arial Narrow" w:cs="Arial Narrow"/>
                <w:color w:val="000000"/>
                <w:sz w:val="20"/>
                <w:szCs w:val="20"/>
              </w:rPr>
              <w:t>Patient must not be receiving concomitant PBS-subsidised midostaurin.</w:t>
            </w:r>
          </w:p>
        </w:tc>
      </w:tr>
      <w:tr w:rsidR="00C71151" w:rsidRPr="003E471B" w14:paraId="3C028865" w14:textId="77777777" w:rsidTr="00ED6EAA">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599B75C9" w14:textId="77777777" w:rsidR="00C71151" w:rsidRPr="003E471B" w:rsidRDefault="00C71151" w:rsidP="00E26E55">
            <w:pPr>
              <w:rPr>
                <w:rFonts w:ascii="Arial Narrow" w:hAnsi="Arial Narrow"/>
                <w:b/>
                <w:bCs/>
                <w:color w:val="000000"/>
                <w:sz w:val="20"/>
                <w:szCs w:val="20"/>
              </w:rPr>
            </w:pPr>
            <w:r w:rsidRPr="003E471B">
              <w:rPr>
                <w:rFonts w:ascii="Arial Narrow" w:hAnsi="Arial Narrow" w:cs="Calibri"/>
                <w:b/>
                <w:bCs/>
                <w:color w:val="000000"/>
                <w:sz w:val="20"/>
                <w:szCs w:val="20"/>
              </w:rPr>
              <w:t>Administrative Advice:</w:t>
            </w:r>
            <w:r w:rsidRPr="003E471B">
              <w:rPr>
                <w:rFonts w:ascii="Arial Narrow" w:hAnsi="Arial Narrow" w:cs="Calibri"/>
                <w:color w:val="000000"/>
                <w:sz w:val="20"/>
                <w:szCs w:val="20"/>
              </w:rPr>
              <w:t xml:space="preserve"> No increase in the maximum quantity or number of units may be authorised.</w:t>
            </w:r>
          </w:p>
        </w:tc>
      </w:tr>
      <w:tr w:rsidR="00C71151" w:rsidRPr="003E471B" w14:paraId="3196443C" w14:textId="77777777" w:rsidTr="00B773D6">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103DE566" w14:textId="77777777" w:rsidR="00C71151" w:rsidRPr="003E471B" w:rsidRDefault="00C71151" w:rsidP="00E26E55">
            <w:pPr>
              <w:rPr>
                <w:rFonts w:ascii="Arial Narrow" w:hAnsi="Arial Narrow"/>
                <w:b/>
                <w:bCs/>
                <w:color w:val="000000"/>
                <w:sz w:val="20"/>
                <w:szCs w:val="20"/>
              </w:rPr>
            </w:pPr>
            <w:r w:rsidRPr="003E471B">
              <w:rPr>
                <w:rFonts w:ascii="Arial Narrow" w:hAnsi="Arial Narrow"/>
                <w:b/>
                <w:bCs/>
                <w:color w:val="000000"/>
                <w:sz w:val="20"/>
                <w:szCs w:val="20"/>
              </w:rPr>
              <w:t xml:space="preserve">Administrative Advice: </w:t>
            </w:r>
            <w:r w:rsidRPr="003E471B">
              <w:rPr>
                <w:rFonts w:ascii="Arial Narrow" w:hAnsi="Arial Narrow"/>
                <w:color w:val="000000"/>
                <w:sz w:val="20"/>
                <w:szCs w:val="20"/>
              </w:rPr>
              <w:t>No increase in the maximum number of repeats may be authorised.</w:t>
            </w:r>
          </w:p>
        </w:tc>
      </w:tr>
      <w:tr w:rsidR="00C71151" w:rsidRPr="003E471B" w14:paraId="70194CB1" w14:textId="77777777" w:rsidTr="004B555A">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4A2B0987" w14:textId="77777777" w:rsidR="00C71151" w:rsidRPr="003E471B" w:rsidRDefault="00C71151" w:rsidP="00E26E55">
            <w:pPr>
              <w:rPr>
                <w:rFonts w:ascii="Arial Narrow" w:hAnsi="Arial Narrow"/>
                <w:b/>
                <w:bCs/>
                <w:color w:val="000000"/>
                <w:sz w:val="20"/>
                <w:szCs w:val="20"/>
              </w:rPr>
            </w:pPr>
            <w:r w:rsidRPr="003E471B">
              <w:rPr>
                <w:rFonts w:ascii="Arial Narrow" w:hAnsi="Arial Narrow"/>
                <w:b/>
                <w:bCs/>
                <w:color w:val="000000"/>
                <w:sz w:val="20"/>
                <w:szCs w:val="20"/>
              </w:rPr>
              <w:t xml:space="preserve">Administrative Advice: </w:t>
            </w:r>
            <w:r w:rsidRPr="003E471B">
              <w:rPr>
                <w:rFonts w:ascii="Arial Narrow" w:hAnsi="Arial Narrow"/>
                <w:color w:val="000000"/>
                <w:sz w:val="20"/>
                <w:szCs w:val="20"/>
              </w:rPr>
              <w:t>Special Pricing Arrangements apply.</w:t>
            </w:r>
          </w:p>
        </w:tc>
      </w:tr>
      <w:tr w:rsidR="00C71151" w:rsidRPr="003E471B" w14:paraId="3DB92912" w14:textId="77777777" w:rsidTr="008759DB">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3A4D2CB7" w14:textId="77777777" w:rsidR="00C71151" w:rsidRPr="003E471B" w:rsidRDefault="00C71151" w:rsidP="00E26E55">
            <w:pPr>
              <w:rPr>
                <w:rFonts w:ascii="Arial Narrow" w:hAnsi="Arial Narrow"/>
                <w:b/>
                <w:bCs/>
                <w:color w:val="000000"/>
                <w:sz w:val="20"/>
                <w:szCs w:val="20"/>
              </w:rPr>
            </w:pPr>
            <w:r w:rsidRPr="003E471B">
              <w:rPr>
                <w:rFonts w:ascii="Arial Narrow" w:hAnsi="Arial Narrow"/>
                <w:b/>
                <w:bCs/>
                <w:color w:val="000000"/>
                <w:sz w:val="20"/>
                <w:szCs w:val="20"/>
              </w:rPr>
              <w:t xml:space="preserve">Caution: </w:t>
            </w:r>
            <w:r w:rsidRPr="003E471B">
              <w:rPr>
                <w:rFonts w:ascii="Arial Narrow" w:hAnsi="Arial Narrow"/>
                <w:color w:val="000000"/>
                <w:sz w:val="20"/>
                <w:szCs w:val="20"/>
              </w:rPr>
              <w:t>Oral azacitidine should not be used interchangeably with injectable azacitidine due to differences in the exposure, dose and schedule of treatment.</w:t>
            </w:r>
          </w:p>
        </w:tc>
      </w:tr>
      <w:tr w:rsidR="00C71151" w:rsidRPr="003E471B" w14:paraId="70BC02DE" w14:textId="77777777" w:rsidTr="00494DB4">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7CBCC41A" w14:textId="77777777" w:rsidR="00C71151" w:rsidRPr="003E471B" w:rsidRDefault="00C71151" w:rsidP="00E26E55">
            <w:pPr>
              <w:rPr>
                <w:rFonts w:ascii="Arial Narrow" w:hAnsi="Arial Narrow"/>
                <w:bCs/>
                <w:color w:val="000000"/>
                <w:sz w:val="20"/>
                <w:szCs w:val="20"/>
              </w:rPr>
            </w:pPr>
            <w:r w:rsidRPr="003E471B">
              <w:rPr>
                <w:rFonts w:ascii="Arial Narrow" w:hAnsi="Arial Narrow"/>
                <w:b/>
                <w:bCs/>
                <w:color w:val="000000"/>
                <w:sz w:val="20"/>
                <w:szCs w:val="20"/>
              </w:rPr>
              <w:t>Caution:</w:t>
            </w:r>
            <w:r w:rsidRPr="003E471B">
              <w:rPr>
                <w:rFonts w:ascii="Arial Narrow" w:hAnsi="Arial Narrow"/>
                <w:sz w:val="20"/>
                <w:szCs w:val="20"/>
              </w:rPr>
              <w:t xml:space="preserve"> </w:t>
            </w:r>
            <w:r w:rsidRPr="003E471B">
              <w:rPr>
                <w:rFonts w:ascii="Arial Narrow" w:hAnsi="Arial Narrow"/>
                <w:color w:val="000000"/>
                <w:sz w:val="20"/>
                <w:szCs w:val="20"/>
              </w:rPr>
              <w:t>This is a category X drug and must not be given to pregnant women. Pregnancy must be avoided during treatment and for at least 6 months following cessation of therapy.</w:t>
            </w:r>
          </w:p>
        </w:tc>
      </w:tr>
      <w:tr w:rsidR="00C71151" w:rsidRPr="003E471B" w14:paraId="6D5F7809" w14:textId="77777777" w:rsidTr="00B5022F">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25B35F65" w14:textId="77777777" w:rsidR="00C71151" w:rsidRPr="004707A8" w:rsidRDefault="00C71151" w:rsidP="00E26E55">
            <w:pPr>
              <w:rPr>
                <w:rFonts w:ascii="Arial Narrow" w:hAnsi="Arial Narrow"/>
                <w:b/>
                <w:bCs/>
                <w:i/>
                <w:iCs/>
                <w:color w:val="000000"/>
                <w:sz w:val="20"/>
                <w:szCs w:val="20"/>
              </w:rPr>
            </w:pPr>
            <w:r w:rsidRPr="004707A8">
              <w:rPr>
                <w:rFonts w:ascii="Arial Narrow" w:hAnsi="Arial Narrow"/>
                <w:b/>
                <w:bCs/>
                <w:i/>
                <w:iCs/>
                <w:color w:val="333333"/>
                <w:sz w:val="20"/>
                <w:szCs w:val="20"/>
              </w:rPr>
              <w:t xml:space="preserve">Administrative Advice: </w:t>
            </w:r>
            <w:r w:rsidRPr="004707A8">
              <w:rPr>
                <w:rFonts w:ascii="Arial Narrow" w:hAnsi="Arial Narrow"/>
                <w:bCs/>
                <w:i/>
                <w:iCs/>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169084DD" w14:textId="77777777" w:rsidR="00C71151" w:rsidRPr="00C71151" w:rsidRDefault="00C71151" w:rsidP="00C711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134"/>
        <w:gridCol w:w="992"/>
        <w:gridCol w:w="992"/>
        <w:gridCol w:w="1134"/>
        <w:gridCol w:w="2076"/>
      </w:tblGrid>
      <w:tr w:rsidR="0025400C" w:rsidRPr="003E471B" w14:paraId="453EE82C" w14:textId="77777777" w:rsidTr="00E26E55">
        <w:trPr>
          <w:cantSplit/>
          <w:trHeight w:val="20"/>
        </w:trPr>
        <w:tc>
          <w:tcPr>
            <w:tcW w:w="2689" w:type="dxa"/>
            <w:vAlign w:val="center"/>
          </w:tcPr>
          <w:p w14:paraId="71EDB9BC" w14:textId="77777777" w:rsidR="0025400C" w:rsidRPr="003E471B" w:rsidRDefault="0025400C" w:rsidP="00E26E55">
            <w:pPr>
              <w:keepLines/>
              <w:rPr>
                <w:rFonts w:ascii="Arial Narrow" w:hAnsi="Arial Narrow"/>
                <w:b/>
                <w:bCs/>
                <w:color w:val="000000"/>
                <w:sz w:val="20"/>
                <w:szCs w:val="20"/>
              </w:rPr>
            </w:pPr>
            <w:r>
              <w:rPr>
                <w:rFonts w:ascii="Arial Narrow" w:hAnsi="Arial Narrow"/>
                <w:b/>
                <w:bCs/>
                <w:color w:val="000000"/>
                <w:sz w:val="20"/>
                <w:szCs w:val="20"/>
              </w:rPr>
              <w:t>M</w:t>
            </w:r>
            <w:r w:rsidRPr="003E471B">
              <w:rPr>
                <w:rFonts w:ascii="Arial Narrow" w:hAnsi="Arial Narrow"/>
                <w:b/>
                <w:bCs/>
                <w:color w:val="000000"/>
                <w:sz w:val="20"/>
                <w:szCs w:val="20"/>
              </w:rPr>
              <w:t>EDICINAL PRODUCT</w:t>
            </w:r>
          </w:p>
          <w:p w14:paraId="47FB64B9" w14:textId="77777777" w:rsidR="0025400C" w:rsidRPr="003E471B" w:rsidRDefault="0025400C" w:rsidP="00E26E55">
            <w:pPr>
              <w:keepLines/>
              <w:rPr>
                <w:rFonts w:ascii="Arial Narrow" w:hAnsi="Arial Narrow"/>
                <w:b/>
                <w:color w:val="000000"/>
                <w:sz w:val="20"/>
                <w:szCs w:val="20"/>
              </w:rPr>
            </w:pPr>
            <w:r w:rsidRPr="003E471B">
              <w:rPr>
                <w:rFonts w:ascii="Arial Narrow" w:hAnsi="Arial Narrow"/>
                <w:b/>
                <w:bCs/>
                <w:color w:val="000000"/>
                <w:sz w:val="20"/>
                <w:szCs w:val="20"/>
              </w:rPr>
              <w:t>medicinal product pack</w:t>
            </w:r>
          </w:p>
        </w:tc>
        <w:tc>
          <w:tcPr>
            <w:tcW w:w="1134" w:type="dxa"/>
            <w:vAlign w:val="center"/>
          </w:tcPr>
          <w:p w14:paraId="1253EEB1" w14:textId="77777777" w:rsidR="0025400C" w:rsidRPr="003E471B" w:rsidRDefault="0025400C" w:rsidP="00E26E55">
            <w:pPr>
              <w:keepLines/>
              <w:jc w:val="center"/>
              <w:rPr>
                <w:rFonts w:ascii="Arial Narrow" w:hAnsi="Arial Narrow"/>
                <w:b/>
                <w:color w:val="000000"/>
                <w:sz w:val="20"/>
                <w:szCs w:val="20"/>
              </w:rPr>
            </w:pPr>
            <w:r w:rsidRPr="003E471B">
              <w:rPr>
                <w:rFonts w:ascii="Arial Narrow" w:hAnsi="Arial Narrow"/>
                <w:b/>
                <w:color w:val="000000"/>
                <w:sz w:val="20"/>
                <w:szCs w:val="20"/>
              </w:rPr>
              <w:t>PBS item code</w:t>
            </w:r>
          </w:p>
        </w:tc>
        <w:tc>
          <w:tcPr>
            <w:tcW w:w="992" w:type="dxa"/>
            <w:vAlign w:val="center"/>
          </w:tcPr>
          <w:p w14:paraId="38F8BBD7" w14:textId="77777777" w:rsidR="0025400C" w:rsidRPr="003E471B" w:rsidRDefault="0025400C" w:rsidP="00E26E55">
            <w:pPr>
              <w:keepLines/>
              <w:jc w:val="center"/>
              <w:rPr>
                <w:rFonts w:ascii="Arial Narrow" w:hAnsi="Arial Narrow"/>
                <w:b/>
                <w:color w:val="000000"/>
                <w:sz w:val="20"/>
                <w:szCs w:val="20"/>
              </w:rPr>
            </w:pPr>
            <w:r w:rsidRPr="003E471B">
              <w:rPr>
                <w:rFonts w:ascii="Arial Narrow" w:hAnsi="Arial Narrow"/>
                <w:b/>
                <w:color w:val="000000"/>
                <w:sz w:val="20"/>
                <w:szCs w:val="20"/>
              </w:rPr>
              <w:t>Max. qty packs</w:t>
            </w:r>
          </w:p>
        </w:tc>
        <w:tc>
          <w:tcPr>
            <w:tcW w:w="992" w:type="dxa"/>
            <w:vAlign w:val="center"/>
          </w:tcPr>
          <w:p w14:paraId="394B0225" w14:textId="77777777" w:rsidR="0025400C" w:rsidRPr="003E471B" w:rsidRDefault="0025400C" w:rsidP="00E26E55">
            <w:pPr>
              <w:keepLines/>
              <w:jc w:val="center"/>
              <w:rPr>
                <w:rFonts w:ascii="Arial Narrow" w:hAnsi="Arial Narrow"/>
                <w:b/>
                <w:color w:val="000000"/>
                <w:sz w:val="20"/>
                <w:szCs w:val="20"/>
              </w:rPr>
            </w:pPr>
            <w:r w:rsidRPr="003E471B">
              <w:rPr>
                <w:rFonts w:ascii="Arial Narrow" w:hAnsi="Arial Narrow"/>
                <w:b/>
                <w:color w:val="000000"/>
                <w:sz w:val="20"/>
                <w:szCs w:val="20"/>
              </w:rPr>
              <w:t>Max. qty units</w:t>
            </w:r>
          </w:p>
        </w:tc>
        <w:tc>
          <w:tcPr>
            <w:tcW w:w="1134" w:type="dxa"/>
            <w:vAlign w:val="center"/>
          </w:tcPr>
          <w:p w14:paraId="0D9E1385" w14:textId="77777777" w:rsidR="0025400C" w:rsidRPr="003E471B" w:rsidRDefault="0025400C" w:rsidP="00E26E55">
            <w:pPr>
              <w:keepLines/>
              <w:jc w:val="center"/>
              <w:rPr>
                <w:rFonts w:ascii="Arial Narrow" w:hAnsi="Arial Narrow"/>
                <w:b/>
                <w:color w:val="000000"/>
                <w:sz w:val="20"/>
                <w:szCs w:val="20"/>
              </w:rPr>
            </w:pPr>
            <w:r w:rsidRPr="003E471B">
              <w:rPr>
                <w:rFonts w:ascii="Arial Narrow" w:hAnsi="Arial Narrow"/>
                <w:b/>
                <w:color w:val="000000"/>
                <w:sz w:val="20"/>
                <w:szCs w:val="20"/>
              </w:rPr>
              <w:t>№.</w:t>
            </w:r>
            <w:r>
              <w:rPr>
                <w:rFonts w:ascii="Arial Narrow" w:hAnsi="Arial Narrow"/>
                <w:b/>
                <w:color w:val="000000"/>
                <w:sz w:val="20"/>
                <w:szCs w:val="20"/>
              </w:rPr>
              <w:t xml:space="preserve"> </w:t>
            </w:r>
            <w:r w:rsidRPr="003E471B">
              <w:rPr>
                <w:rFonts w:ascii="Arial Narrow" w:hAnsi="Arial Narrow"/>
                <w:b/>
                <w:color w:val="000000"/>
                <w:sz w:val="20"/>
                <w:szCs w:val="20"/>
              </w:rPr>
              <w:t>of</w:t>
            </w:r>
          </w:p>
          <w:p w14:paraId="045F9323" w14:textId="77777777" w:rsidR="0025400C" w:rsidRPr="003E471B" w:rsidRDefault="0025400C" w:rsidP="00E26E55">
            <w:pPr>
              <w:keepLines/>
              <w:jc w:val="center"/>
              <w:rPr>
                <w:rFonts w:ascii="Arial Narrow" w:hAnsi="Arial Narrow"/>
                <w:b/>
                <w:color w:val="000000"/>
                <w:sz w:val="20"/>
                <w:szCs w:val="20"/>
              </w:rPr>
            </w:pPr>
            <w:r w:rsidRPr="003E471B">
              <w:rPr>
                <w:rFonts w:ascii="Arial Narrow" w:hAnsi="Arial Narrow"/>
                <w:b/>
                <w:color w:val="000000"/>
                <w:sz w:val="20"/>
                <w:szCs w:val="20"/>
              </w:rPr>
              <w:t>Rpts</w:t>
            </w:r>
          </w:p>
        </w:tc>
        <w:tc>
          <w:tcPr>
            <w:tcW w:w="2076" w:type="dxa"/>
            <w:vAlign w:val="center"/>
          </w:tcPr>
          <w:p w14:paraId="619C5392" w14:textId="77777777" w:rsidR="0025400C" w:rsidRPr="003E471B" w:rsidRDefault="0025400C" w:rsidP="00E26E55">
            <w:pPr>
              <w:keepLines/>
              <w:rPr>
                <w:rFonts w:ascii="Arial Narrow" w:hAnsi="Arial Narrow"/>
                <w:b/>
                <w:color w:val="000000"/>
                <w:sz w:val="20"/>
                <w:szCs w:val="20"/>
                <w:lang w:val="fr-FR"/>
              </w:rPr>
            </w:pPr>
            <w:r w:rsidRPr="003E471B">
              <w:rPr>
                <w:rFonts w:ascii="Arial Narrow" w:hAnsi="Arial Narrow"/>
                <w:b/>
                <w:color w:val="000000"/>
                <w:sz w:val="20"/>
                <w:szCs w:val="20"/>
              </w:rPr>
              <w:t>Available brands</w:t>
            </w:r>
          </w:p>
        </w:tc>
      </w:tr>
      <w:tr w:rsidR="0025400C" w:rsidRPr="003E471B" w14:paraId="3BF0C25A" w14:textId="77777777" w:rsidTr="00E26E55">
        <w:trPr>
          <w:cantSplit/>
          <w:trHeight w:val="20"/>
        </w:trPr>
        <w:tc>
          <w:tcPr>
            <w:tcW w:w="9017" w:type="dxa"/>
            <w:gridSpan w:val="6"/>
            <w:vAlign w:val="center"/>
          </w:tcPr>
          <w:p w14:paraId="195DBB8D" w14:textId="77777777" w:rsidR="0025400C" w:rsidRPr="003E471B" w:rsidRDefault="0025400C" w:rsidP="00E26E55">
            <w:pPr>
              <w:keepLines/>
              <w:rPr>
                <w:rFonts w:ascii="Arial Narrow" w:hAnsi="Arial Narrow"/>
                <w:color w:val="000000"/>
                <w:sz w:val="20"/>
                <w:szCs w:val="20"/>
              </w:rPr>
            </w:pPr>
            <w:r w:rsidRPr="003E471B">
              <w:rPr>
                <w:rFonts w:ascii="Arial Narrow" w:hAnsi="Arial Narrow"/>
                <w:color w:val="000000"/>
                <w:sz w:val="20"/>
                <w:szCs w:val="20"/>
              </w:rPr>
              <w:t>AZACITIDINE</w:t>
            </w:r>
          </w:p>
        </w:tc>
      </w:tr>
      <w:tr w:rsidR="0025400C" w:rsidRPr="003E471B" w14:paraId="4E7A4F79" w14:textId="77777777" w:rsidTr="00E26E55">
        <w:trPr>
          <w:cantSplit/>
          <w:trHeight w:val="20"/>
        </w:trPr>
        <w:tc>
          <w:tcPr>
            <w:tcW w:w="2689" w:type="dxa"/>
            <w:vAlign w:val="center"/>
          </w:tcPr>
          <w:p w14:paraId="1E5CBE08" w14:textId="77777777" w:rsidR="0025400C" w:rsidRPr="003E471B" w:rsidRDefault="0025400C" w:rsidP="00E26E55">
            <w:pPr>
              <w:keepLines/>
              <w:rPr>
                <w:rFonts w:ascii="Arial Narrow" w:hAnsi="Arial Narrow"/>
                <w:color w:val="000000"/>
                <w:sz w:val="20"/>
                <w:szCs w:val="20"/>
              </w:rPr>
            </w:pPr>
            <w:r w:rsidRPr="003E471B">
              <w:rPr>
                <w:rFonts w:ascii="Arial Narrow" w:hAnsi="Arial Narrow"/>
                <w:color w:val="000000"/>
                <w:sz w:val="20"/>
                <w:szCs w:val="20"/>
              </w:rPr>
              <w:t>azacitidine 300 mg tablet, 7</w:t>
            </w:r>
          </w:p>
        </w:tc>
        <w:tc>
          <w:tcPr>
            <w:tcW w:w="1134" w:type="dxa"/>
            <w:vAlign w:val="center"/>
          </w:tcPr>
          <w:p w14:paraId="66F2E962" w14:textId="77777777" w:rsidR="0025400C" w:rsidRPr="003E471B" w:rsidRDefault="0025400C" w:rsidP="00E26E55">
            <w:pPr>
              <w:keepLines/>
              <w:jc w:val="center"/>
              <w:rPr>
                <w:rFonts w:ascii="Arial Narrow" w:hAnsi="Arial Narrow"/>
                <w:color w:val="000000"/>
                <w:sz w:val="20"/>
                <w:szCs w:val="20"/>
              </w:rPr>
            </w:pPr>
            <w:r w:rsidRPr="003E471B">
              <w:rPr>
                <w:rFonts w:ascii="Arial Narrow" w:hAnsi="Arial Narrow"/>
                <w:color w:val="000000"/>
                <w:sz w:val="20"/>
                <w:szCs w:val="20"/>
              </w:rPr>
              <w:t>NEW</w:t>
            </w:r>
          </w:p>
        </w:tc>
        <w:tc>
          <w:tcPr>
            <w:tcW w:w="992" w:type="dxa"/>
            <w:vAlign w:val="center"/>
          </w:tcPr>
          <w:p w14:paraId="0FF04273" w14:textId="77777777" w:rsidR="0025400C" w:rsidRPr="003E471B" w:rsidRDefault="0025400C" w:rsidP="00E26E55">
            <w:pPr>
              <w:keepLines/>
              <w:jc w:val="center"/>
              <w:rPr>
                <w:rFonts w:ascii="Arial Narrow" w:hAnsi="Arial Narrow"/>
                <w:color w:val="000000"/>
                <w:sz w:val="20"/>
                <w:szCs w:val="20"/>
              </w:rPr>
            </w:pPr>
            <w:r w:rsidRPr="003E471B">
              <w:rPr>
                <w:rFonts w:ascii="Arial Narrow" w:hAnsi="Arial Narrow"/>
                <w:color w:val="000000"/>
                <w:sz w:val="20"/>
                <w:szCs w:val="20"/>
              </w:rPr>
              <w:t>3</w:t>
            </w:r>
          </w:p>
        </w:tc>
        <w:tc>
          <w:tcPr>
            <w:tcW w:w="992" w:type="dxa"/>
            <w:vAlign w:val="center"/>
          </w:tcPr>
          <w:p w14:paraId="0F31F432" w14:textId="77777777" w:rsidR="0025400C" w:rsidRPr="003E471B" w:rsidRDefault="0025400C" w:rsidP="00E26E55">
            <w:pPr>
              <w:keepLines/>
              <w:jc w:val="center"/>
              <w:rPr>
                <w:rFonts w:ascii="Arial Narrow" w:hAnsi="Arial Narrow"/>
                <w:color w:val="000000"/>
                <w:sz w:val="20"/>
                <w:szCs w:val="20"/>
              </w:rPr>
            </w:pPr>
            <w:r w:rsidRPr="003E471B">
              <w:rPr>
                <w:rFonts w:ascii="Arial Narrow" w:hAnsi="Arial Narrow"/>
                <w:color w:val="000000"/>
                <w:sz w:val="20"/>
                <w:szCs w:val="20"/>
              </w:rPr>
              <w:t>21</w:t>
            </w:r>
          </w:p>
        </w:tc>
        <w:tc>
          <w:tcPr>
            <w:tcW w:w="1134" w:type="dxa"/>
            <w:vAlign w:val="center"/>
          </w:tcPr>
          <w:p w14:paraId="0A71E168" w14:textId="77777777" w:rsidR="0025400C" w:rsidRPr="003E471B" w:rsidRDefault="0025400C" w:rsidP="00E26E55">
            <w:pPr>
              <w:keepLines/>
              <w:jc w:val="center"/>
              <w:rPr>
                <w:rFonts w:ascii="Arial Narrow" w:hAnsi="Arial Narrow"/>
                <w:color w:val="000000"/>
                <w:sz w:val="20"/>
                <w:szCs w:val="20"/>
              </w:rPr>
            </w:pPr>
            <w:r w:rsidRPr="003E471B">
              <w:rPr>
                <w:rFonts w:ascii="Arial Narrow" w:hAnsi="Arial Narrow"/>
                <w:color w:val="000000"/>
                <w:sz w:val="20"/>
                <w:szCs w:val="20"/>
              </w:rPr>
              <w:t>1</w:t>
            </w:r>
          </w:p>
        </w:tc>
        <w:tc>
          <w:tcPr>
            <w:tcW w:w="2076" w:type="dxa"/>
            <w:vAlign w:val="center"/>
          </w:tcPr>
          <w:p w14:paraId="4DE111F2" w14:textId="77777777" w:rsidR="0025400C" w:rsidRPr="003E471B" w:rsidRDefault="0025400C" w:rsidP="00E26E55">
            <w:pPr>
              <w:keepLines/>
              <w:rPr>
                <w:rFonts w:ascii="Arial Narrow" w:hAnsi="Arial Narrow"/>
                <w:color w:val="000000"/>
                <w:sz w:val="20"/>
                <w:szCs w:val="20"/>
              </w:rPr>
            </w:pPr>
            <w:r w:rsidRPr="003E471B">
              <w:rPr>
                <w:rFonts w:ascii="Arial Narrow" w:hAnsi="Arial Narrow"/>
                <w:color w:val="000000"/>
                <w:sz w:val="20"/>
                <w:szCs w:val="20"/>
              </w:rPr>
              <w:t>Onureg</w:t>
            </w:r>
          </w:p>
        </w:tc>
      </w:tr>
      <w:tr w:rsidR="0025400C" w:rsidRPr="003E471B" w14:paraId="6B5CCA85" w14:textId="0E04E6CD" w:rsidTr="00E26E55">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4547B7A3" w14:textId="4145DB0A" w:rsidR="0025400C" w:rsidRPr="003E471B" w:rsidRDefault="0025400C" w:rsidP="00E26E55">
            <w:pPr>
              <w:keepNext/>
              <w:keepLines/>
              <w:rPr>
                <w:rFonts w:ascii="Arial Narrow" w:hAnsi="Arial Narrow"/>
                <w:b/>
                <w:bCs/>
                <w:color w:val="000000"/>
                <w:sz w:val="20"/>
                <w:szCs w:val="20"/>
              </w:rPr>
            </w:pPr>
          </w:p>
        </w:tc>
      </w:tr>
      <w:tr w:rsidR="00C71151" w:rsidRPr="003E471B" w14:paraId="74D43CA7" w14:textId="77777777" w:rsidTr="002A472A">
        <w:tblPrEx>
          <w:tblCellMar>
            <w:top w:w="15" w:type="dxa"/>
            <w:bottom w:w="15" w:type="dxa"/>
          </w:tblCellMar>
          <w:tblLook w:val="04A0" w:firstRow="1" w:lastRow="0" w:firstColumn="1" w:lastColumn="0" w:noHBand="0" w:noVBand="1"/>
        </w:tblPrEx>
        <w:trPr>
          <w:cantSplit/>
          <w:trHeight w:val="20"/>
        </w:trPr>
        <w:tc>
          <w:tcPr>
            <w:tcW w:w="9017" w:type="dxa"/>
            <w:gridSpan w:val="6"/>
            <w:tcBorders>
              <w:top w:val="single" w:sz="4" w:space="0" w:color="auto"/>
              <w:left w:val="single" w:sz="4" w:space="0" w:color="auto"/>
              <w:right w:val="single" w:sz="4" w:space="0" w:color="auto"/>
            </w:tcBorders>
          </w:tcPr>
          <w:p w14:paraId="5873FD96" w14:textId="77777777" w:rsidR="00C71151" w:rsidRPr="003E471B" w:rsidRDefault="00C71151" w:rsidP="00E26E55">
            <w:pPr>
              <w:keepNext/>
              <w:keepLines/>
              <w:rPr>
                <w:rFonts w:ascii="Arial Narrow" w:hAnsi="Arial Narrow"/>
                <w:color w:val="000000"/>
                <w:sz w:val="20"/>
                <w:szCs w:val="20"/>
              </w:rPr>
            </w:pPr>
            <w:r w:rsidRPr="003E471B">
              <w:rPr>
                <w:rFonts w:ascii="Arial Narrow" w:hAnsi="Arial Narrow"/>
                <w:b/>
                <w:color w:val="000000"/>
                <w:sz w:val="20"/>
                <w:szCs w:val="20"/>
              </w:rPr>
              <w:t xml:space="preserve">Category / Program: </w:t>
            </w:r>
            <w:r w:rsidRPr="003E471B">
              <w:rPr>
                <w:rFonts w:ascii="Arial Narrow" w:hAnsi="Arial Narrow"/>
                <w:color w:val="000000"/>
                <w:sz w:val="20"/>
                <w:szCs w:val="20"/>
              </w:rPr>
              <w:t xml:space="preserve">GENERAL – General Schedule (Code GE) </w:t>
            </w:r>
          </w:p>
        </w:tc>
      </w:tr>
      <w:tr w:rsidR="00C71151" w:rsidRPr="003E471B" w14:paraId="599FE44E" w14:textId="77777777" w:rsidTr="00EE05B4">
        <w:tblPrEx>
          <w:tblCellMar>
            <w:top w:w="15" w:type="dxa"/>
            <w:bottom w:w="15" w:type="dxa"/>
          </w:tblCellMar>
          <w:tblLook w:val="04A0" w:firstRow="1" w:lastRow="0" w:firstColumn="1" w:lastColumn="0" w:noHBand="0" w:noVBand="1"/>
        </w:tblPrEx>
        <w:trPr>
          <w:cantSplit/>
          <w:trHeight w:val="20"/>
        </w:trPr>
        <w:tc>
          <w:tcPr>
            <w:tcW w:w="9017" w:type="dxa"/>
            <w:gridSpan w:val="6"/>
            <w:tcBorders>
              <w:left w:val="single" w:sz="4" w:space="0" w:color="auto"/>
              <w:right w:val="single" w:sz="4" w:space="0" w:color="auto"/>
            </w:tcBorders>
          </w:tcPr>
          <w:p w14:paraId="4CB1BCAC" w14:textId="77777777" w:rsidR="00C71151" w:rsidRPr="003E471B" w:rsidRDefault="00C71151" w:rsidP="00E26E55">
            <w:pPr>
              <w:keepNext/>
              <w:keepLines/>
              <w:rPr>
                <w:rFonts w:ascii="Arial Narrow" w:hAnsi="Arial Narrow"/>
                <w:b/>
                <w:color w:val="000000"/>
                <w:sz w:val="20"/>
                <w:szCs w:val="20"/>
              </w:rPr>
            </w:pPr>
            <w:r w:rsidRPr="003E471B">
              <w:rPr>
                <w:rFonts w:ascii="Arial Narrow" w:hAnsi="Arial Narrow"/>
                <w:b/>
                <w:color w:val="000000"/>
                <w:sz w:val="20"/>
                <w:szCs w:val="20"/>
              </w:rPr>
              <w:t xml:space="preserve">Prescriber type: </w:t>
            </w:r>
            <w:r w:rsidRPr="003E471B">
              <w:rPr>
                <w:rFonts w:ascii="Arial Narrow" w:hAnsi="Arial Narrow"/>
                <w:color w:val="000000"/>
                <w:sz w:val="20"/>
                <w:szCs w:val="20"/>
              </w:rPr>
              <w:fldChar w:fldCharType="begin" w:fldLock="1">
                <w:ffData>
                  <w:name w:val=""/>
                  <w:enabled/>
                  <w:calcOnExit w:val="0"/>
                  <w:checkBox>
                    <w:sizeAuto/>
                    <w:default w:val="1"/>
                  </w:checkBox>
                </w:ffData>
              </w:fldChar>
            </w:r>
            <w:r w:rsidRPr="003E471B">
              <w:rPr>
                <w:rFonts w:ascii="Arial Narrow" w:hAnsi="Arial Narrow"/>
                <w:color w:val="000000"/>
                <w:sz w:val="20"/>
                <w:szCs w:val="20"/>
              </w:rPr>
              <w:instrText xml:space="preserve"> FORMCHECKBOX </w:instrText>
            </w:r>
            <w:r w:rsidR="00396D16">
              <w:rPr>
                <w:rFonts w:ascii="Arial Narrow" w:hAnsi="Arial Narrow"/>
                <w:color w:val="000000"/>
                <w:sz w:val="20"/>
                <w:szCs w:val="20"/>
              </w:rPr>
            </w:r>
            <w:r w:rsidR="00396D16">
              <w:rPr>
                <w:rFonts w:ascii="Arial Narrow" w:hAnsi="Arial Narrow"/>
                <w:color w:val="000000"/>
                <w:sz w:val="20"/>
                <w:szCs w:val="20"/>
              </w:rPr>
              <w:fldChar w:fldCharType="separate"/>
            </w:r>
            <w:r w:rsidRPr="003E471B">
              <w:rPr>
                <w:rFonts w:ascii="Arial Narrow" w:hAnsi="Arial Narrow"/>
                <w:color w:val="000000"/>
                <w:sz w:val="20"/>
                <w:szCs w:val="20"/>
              </w:rPr>
              <w:fldChar w:fldCharType="end"/>
            </w:r>
            <w:r w:rsidRPr="003E471B">
              <w:rPr>
                <w:rFonts w:ascii="Arial Narrow" w:hAnsi="Arial Narrow"/>
                <w:color w:val="000000"/>
                <w:sz w:val="20"/>
                <w:szCs w:val="20"/>
              </w:rPr>
              <w:t xml:space="preserve">Medical Practitioners </w:t>
            </w:r>
          </w:p>
        </w:tc>
      </w:tr>
      <w:tr w:rsidR="00C71151" w:rsidRPr="003E471B" w14:paraId="52712B86" w14:textId="77777777" w:rsidTr="008609C2">
        <w:tblPrEx>
          <w:tblCellMar>
            <w:top w:w="15" w:type="dxa"/>
            <w:bottom w:w="15" w:type="dxa"/>
          </w:tblCellMar>
          <w:tblLook w:val="04A0" w:firstRow="1" w:lastRow="0" w:firstColumn="1" w:lastColumn="0" w:noHBand="0" w:noVBand="1"/>
        </w:tblPrEx>
        <w:trPr>
          <w:cantSplit/>
          <w:trHeight w:val="20"/>
        </w:trPr>
        <w:tc>
          <w:tcPr>
            <w:tcW w:w="9017" w:type="dxa"/>
            <w:gridSpan w:val="6"/>
            <w:tcBorders>
              <w:left w:val="single" w:sz="4" w:space="0" w:color="auto"/>
              <w:bottom w:val="single" w:sz="4" w:space="0" w:color="auto"/>
              <w:right w:val="single" w:sz="4" w:space="0" w:color="auto"/>
            </w:tcBorders>
          </w:tcPr>
          <w:p w14:paraId="1F5D1EBE" w14:textId="77777777" w:rsidR="00C71151" w:rsidRPr="003E471B" w:rsidRDefault="00C71151" w:rsidP="00E26E55">
            <w:pPr>
              <w:keepNext/>
              <w:keepLines/>
              <w:rPr>
                <w:rFonts w:ascii="Arial Narrow" w:hAnsi="Arial Narrow"/>
                <w:color w:val="000000"/>
                <w:sz w:val="20"/>
                <w:szCs w:val="20"/>
              </w:rPr>
            </w:pPr>
            <w:r w:rsidRPr="003E471B">
              <w:rPr>
                <w:rFonts w:ascii="Arial Narrow" w:hAnsi="Arial Narrow"/>
                <w:b/>
                <w:color w:val="000000"/>
                <w:sz w:val="20"/>
                <w:szCs w:val="20"/>
              </w:rPr>
              <w:t xml:space="preserve">Restriction type: </w:t>
            </w:r>
            <w:r w:rsidRPr="003E471B">
              <w:rPr>
                <w:rFonts w:ascii="Arial Narrow" w:hAnsi="Arial Narrow"/>
                <w:color w:val="000000"/>
                <w:sz w:val="20"/>
                <w:szCs w:val="20"/>
              </w:rPr>
              <w:fldChar w:fldCharType="begin" w:fldLock="1">
                <w:ffData>
                  <w:name w:val=""/>
                  <w:enabled/>
                  <w:calcOnExit w:val="0"/>
                  <w:checkBox>
                    <w:sizeAuto/>
                    <w:default w:val="1"/>
                  </w:checkBox>
                </w:ffData>
              </w:fldChar>
            </w:r>
            <w:r w:rsidRPr="003E471B">
              <w:rPr>
                <w:rFonts w:ascii="Arial Narrow" w:hAnsi="Arial Narrow"/>
                <w:color w:val="000000"/>
                <w:sz w:val="20"/>
                <w:szCs w:val="20"/>
              </w:rPr>
              <w:instrText xml:space="preserve"> FORMCHECKBOX </w:instrText>
            </w:r>
            <w:r w:rsidR="00396D16">
              <w:rPr>
                <w:rFonts w:ascii="Arial Narrow" w:hAnsi="Arial Narrow"/>
                <w:color w:val="000000"/>
                <w:sz w:val="20"/>
                <w:szCs w:val="20"/>
              </w:rPr>
            </w:r>
            <w:r w:rsidR="00396D16">
              <w:rPr>
                <w:rFonts w:ascii="Arial Narrow" w:hAnsi="Arial Narrow"/>
                <w:color w:val="000000"/>
                <w:sz w:val="20"/>
                <w:szCs w:val="20"/>
              </w:rPr>
              <w:fldChar w:fldCharType="separate"/>
            </w:r>
            <w:r w:rsidRPr="003E471B">
              <w:rPr>
                <w:rFonts w:ascii="Arial Narrow" w:hAnsi="Arial Narrow"/>
                <w:color w:val="000000"/>
                <w:sz w:val="20"/>
                <w:szCs w:val="20"/>
              </w:rPr>
              <w:fldChar w:fldCharType="end"/>
            </w:r>
            <w:r w:rsidRPr="003E471B">
              <w:rPr>
                <w:rFonts w:ascii="Arial Narrow" w:hAnsi="Arial Narrow"/>
                <w:color w:val="000000"/>
                <w:sz w:val="20"/>
                <w:szCs w:val="20"/>
              </w:rPr>
              <w:t xml:space="preserve">Authority Required </w:t>
            </w:r>
            <w:r>
              <w:rPr>
                <w:rFonts w:ascii="Arial Narrow" w:hAnsi="Arial Narrow"/>
                <w:color w:val="000000"/>
                <w:sz w:val="20"/>
                <w:szCs w:val="20"/>
              </w:rPr>
              <w:t>(</w:t>
            </w:r>
            <w:r w:rsidRPr="00EC7AA7">
              <w:rPr>
                <w:rFonts w:ascii="Arial Narrow" w:hAnsi="Arial Narrow" w:cs="Calibri"/>
                <w:i/>
                <w:iCs/>
                <w:sz w:val="18"/>
                <w:szCs w:val="18"/>
              </w:rPr>
              <w:t>in writing - legacy) - Postal/HPOS upload or Online PBS Authorities immediate assessment</w:t>
            </w:r>
          </w:p>
        </w:tc>
      </w:tr>
      <w:tr w:rsidR="00C71151" w:rsidRPr="003E471B" w14:paraId="55E73BD3" w14:textId="77777777" w:rsidTr="00151ABE">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38A2BADB" w14:textId="77777777" w:rsidR="00C71151" w:rsidRPr="003E471B" w:rsidRDefault="00C71151" w:rsidP="00E26E55">
            <w:pPr>
              <w:keepLines/>
              <w:rPr>
                <w:rFonts w:ascii="Arial Narrow" w:hAnsi="Arial Narrow"/>
                <w:b/>
                <w:bCs/>
                <w:color w:val="000000"/>
                <w:sz w:val="20"/>
                <w:szCs w:val="20"/>
              </w:rPr>
            </w:pPr>
            <w:r w:rsidRPr="003E471B">
              <w:rPr>
                <w:rFonts w:ascii="Arial Narrow" w:hAnsi="Arial Narrow"/>
                <w:b/>
                <w:bCs/>
                <w:color w:val="000000"/>
                <w:sz w:val="20"/>
                <w:szCs w:val="20"/>
              </w:rPr>
              <w:t xml:space="preserve">Condition: </w:t>
            </w:r>
            <w:r w:rsidRPr="003E471B">
              <w:rPr>
                <w:rFonts w:ascii="Arial Narrow" w:hAnsi="Arial Narrow"/>
                <w:bCs/>
                <w:color w:val="000000"/>
                <w:sz w:val="20"/>
                <w:szCs w:val="20"/>
              </w:rPr>
              <w:t>Acute Myeloid Leukaemia</w:t>
            </w:r>
          </w:p>
        </w:tc>
      </w:tr>
      <w:tr w:rsidR="00C71151" w:rsidRPr="003E471B" w14:paraId="49788A55" w14:textId="77777777" w:rsidTr="007270DE">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420B6042" w14:textId="77777777" w:rsidR="00C71151" w:rsidRPr="003E471B" w:rsidRDefault="00C71151" w:rsidP="00E26E55">
            <w:pPr>
              <w:rPr>
                <w:rFonts w:ascii="Arial Narrow" w:hAnsi="Arial Narrow"/>
                <w:color w:val="000000"/>
                <w:sz w:val="20"/>
                <w:szCs w:val="20"/>
              </w:rPr>
            </w:pPr>
            <w:r w:rsidRPr="003E471B">
              <w:rPr>
                <w:rFonts w:ascii="Arial Narrow" w:hAnsi="Arial Narrow"/>
                <w:b/>
                <w:bCs/>
                <w:color w:val="000000"/>
                <w:sz w:val="20"/>
                <w:szCs w:val="20"/>
              </w:rPr>
              <w:t>Indication:</w:t>
            </w:r>
            <w:r w:rsidRPr="003E471B">
              <w:rPr>
                <w:rFonts w:ascii="Arial Narrow" w:hAnsi="Arial Narrow"/>
                <w:color w:val="000000"/>
                <w:sz w:val="20"/>
                <w:szCs w:val="20"/>
              </w:rPr>
              <w:t xml:space="preserve"> </w:t>
            </w:r>
            <w:r w:rsidRPr="003E471B">
              <w:rPr>
                <w:rFonts w:ascii="Arial Narrow" w:hAnsi="Arial Narrow"/>
                <w:bCs/>
                <w:color w:val="000000"/>
                <w:sz w:val="20"/>
                <w:szCs w:val="20"/>
              </w:rPr>
              <w:t>Acute Myeloid Leukaemia</w:t>
            </w:r>
          </w:p>
        </w:tc>
      </w:tr>
      <w:tr w:rsidR="00C71151" w:rsidRPr="003E471B" w14:paraId="069523F7" w14:textId="77777777" w:rsidTr="00BF2D5B">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66773766" w14:textId="77777777" w:rsidR="00C71151" w:rsidRPr="003E471B" w:rsidRDefault="00C71151" w:rsidP="00E26E55">
            <w:pPr>
              <w:rPr>
                <w:rFonts w:ascii="Arial Narrow" w:hAnsi="Arial Narrow"/>
                <w:color w:val="000000"/>
                <w:sz w:val="20"/>
                <w:szCs w:val="20"/>
              </w:rPr>
            </w:pPr>
            <w:r w:rsidRPr="003E471B">
              <w:rPr>
                <w:rFonts w:ascii="Arial Narrow" w:hAnsi="Arial Narrow"/>
                <w:b/>
                <w:bCs/>
                <w:color w:val="000000"/>
                <w:sz w:val="20"/>
                <w:szCs w:val="20"/>
              </w:rPr>
              <w:t>Treatment Phase:</w:t>
            </w:r>
            <w:r w:rsidRPr="003E471B">
              <w:rPr>
                <w:rFonts w:ascii="Arial Narrow" w:hAnsi="Arial Narrow"/>
                <w:color w:val="000000"/>
                <w:sz w:val="20"/>
                <w:szCs w:val="20"/>
              </w:rPr>
              <w:t xml:space="preserve"> Dose escalation therapy – Continuing treatment</w:t>
            </w:r>
          </w:p>
        </w:tc>
      </w:tr>
      <w:tr w:rsidR="00C71151" w:rsidRPr="003E471B" w14:paraId="6156197F" w14:textId="77777777" w:rsidTr="00787A63">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431D97D2" w14:textId="77777777" w:rsidR="00C71151" w:rsidRPr="003E471B" w:rsidRDefault="00C71151" w:rsidP="00E26E55">
            <w:pPr>
              <w:rPr>
                <w:rFonts w:ascii="Arial Narrow" w:hAnsi="Arial Narrow"/>
                <w:b/>
                <w:bCs/>
                <w:color w:val="000000"/>
                <w:sz w:val="20"/>
                <w:szCs w:val="20"/>
              </w:rPr>
            </w:pPr>
            <w:r w:rsidRPr="003E471B">
              <w:rPr>
                <w:rFonts w:ascii="Arial Narrow" w:hAnsi="Arial Narrow"/>
                <w:b/>
                <w:bCs/>
                <w:color w:val="000000"/>
                <w:sz w:val="20"/>
                <w:szCs w:val="20"/>
              </w:rPr>
              <w:t>Clinical criteria:</w:t>
            </w:r>
          </w:p>
        </w:tc>
      </w:tr>
      <w:tr w:rsidR="00C71151" w:rsidRPr="003E471B" w14:paraId="6E36D01E" w14:textId="77777777" w:rsidTr="00567C87">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565DF96E" w14:textId="77777777" w:rsidR="00C71151" w:rsidRPr="003E471B" w:rsidRDefault="00C71151" w:rsidP="00E26E55">
            <w:pPr>
              <w:rPr>
                <w:rFonts w:ascii="Arial Narrow" w:hAnsi="Arial Narrow" w:cs="Arial Narrow"/>
                <w:color w:val="000000"/>
                <w:sz w:val="20"/>
                <w:szCs w:val="20"/>
              </w:rPr>
            </w:pPr>
            <w:r w:rsidRPr="003E471B">
              <w:rPr>
                <w:rFonts w:ascii="Arial Narrow" w:hAnsi="Arial Narrow" w:cs="Arial Narrow"/>
                <w:color w:val="000000"/>
                <w:sz w:val="20"/>
                <w:szCs w:val="20"/>
              </w:rPr>
              <w:t>Patient must have previously received PBS-subsidised treatment with this drug for this condition,</w:t>
            </w:r>
          </w:p>
        </w:tc>
      </w:tr>
      <w:tr w:rsidR="00C71151" w:rsidRPr="003E471B" w14:paraId="78D377DE" w14:textId="77777777" w:rsidTr="00080709">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380D7F25" w14:textId="77777777" w:rsidR="00C71151" w:rsidRPr="003E471B" w:rsidRDefault="00C71151" w:rsidP="00E26E55">
            <w:pPr>
              <w:rPr>
                <w:rFonts w:ascii="Arial Narrow" w:hAnsi="Arial Narrow"/>
                <w:color w:val="000000"/>
                <w:sz w:val="20"/>
                <w:szCs w:val="20"/>
              </w:rPr>
            </w:pPr>
            <w:r w:rsidRPr="003E471B">
              <w:rPr>
                <w:rFonts w:ascii="Arial Narrow" w:hAnsi="Arial Narrow"/>
                <w:b/>
                <w:bCs/>
                <w:color w:val="000000"/>
                <w:sz w:val="20"/>
                <w:szCs w:val="20"/>
              </w:rPr>
              <w:t>AND</w:t>
            </w:r>
          </w:p>
        </w:tc>
      </w:tr>
      <w:tr w:rsidR="00C71151" w:rsidRPr="003E471B" w14:paraId="55D96878" w14:textId="77777777" w:rsidTr="003C41C6">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1F031F6D" w14:textId="77777777" w:rsidR="00C71151" w:rsidRPr="003E471B" w:rsidRDefault="00C71151" w:rsidP="00E26E55">
            <w:pPr>
              <w:rPr>
                <w:rFonts w:ascii="Arial Narrow" w:hAnsi="Arial Narrow"/>
                <w:color w:val="000000"/>
                <w:sz w:val="20"/>
                <w:szCs w:val="20"/>
              </w:rPr>
            </w:pPr>
            <w:r w:rsidRPr="003E471B">
              <w:rPr>
                <w:rFonts w:ascii="Arial Narrow" w:hAnsi="Arial Narrow"/>
                <w:b/>
                <w:bCs/>
                <w:color w:val="000000"/>
                <w:sz w:val="20"/>
                <w:szCs w:val="20"/>
              </w:rPr>
              <w:t>Clinical criteria:</w:t>
            </w:r>
          </w:p>
        </w:tc>
      </w:tr>
      <w:tr w:rsidR="00C71151" w:rsidRPr="003E471B" w14:paraId="407E4CD2" w14:textId="77777777" w:rsidTr="00CF1587">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0E07135B" w14:textId="77777777" w:rsidR="00C71151" w:rsidRPr="003E471B" w:rsidRDefault="00C71151" w:rsidP="00E26E55">
            <w:pPr>
              <w:rPr>
                <w:rFonts w:ascii="Arial Narrow" w:hAnsi="Arial Narrow"/>
                <w:color w:val="000000"/>
                <w:sz w:val="20"/>
                <w:szCs w:val="20"/>
              </w:rPr>
            </w:pPr>
            <w:r w:rsidRPr="003E471B">
              <w:rPr>
                <w:rFonts w:ascii="Arial Narrow" w:hAnsi="Arial Narrow"/>
                <w:color w:val="000000"/>
                <w:sz w:val="20"/>
                <w:szCs w:val="20"/>
              </w:rPr>
              <w:t>Patient must have 5% to 15% blasts in the peripheral blood or bone marrow</w:t>
            </w:r>
            <w:r>
              <w:rPr>
                <w:rFonts w:ascii="Arial Narrow" w:hAnsi="Arial Narrow"/>
                <w:color w:val="000000"/>
                <w:sz w:val="20"/>
                <w:szCs w:val="20"/>
              </w:rPr>
              <w:t xml:space="preserve">, </w:t>
            </w:r>
            <w:r w:rsidRPr="00D74D6F">
              <w:rPr>
                <w:rFonts w:ascii="Arial Narrow" w:hAnsi="Arial Narrow"/>
                <w:color w:val="000000"/>
                <w:sz w:val="20"/>
                <w:szCs w:val="20"/>
              </w:rPr>
              <w:t>in conjunction with clinical assessment,</w:t>
            </w:r>
            <w:r w:rsidRPr="003E471B">
              <w:rPr>
                <w:rFonts w:ascii="Arial Narrow" w:hAnsi="Arial Narrow"/>
                <w:color w:val="000000"/>
                <w:sz w:val="20"/>
                <w:szCs w:val="20"/>
              </w:rPr>
              <w:t xml:space="preserve"> in order to extend the dose schedule as per the TGA Product Information.</w:t>
            </w:r>
          </w:p>
        </w:tc>
      </w:tr>
      <w:tr w:rsidR="00C71151" w:rsidRPr="003E471B" w14:paraId="7D7260A3" w14:textId="77777777" w:rsidTr="00970A33">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22B46423" w14:textId="77777777" w:rsidR="00C71151" w:rsidRPr="003E471B" w:rsidRDefault="00C71151" w:rsidP="00E26E55">
            <w:pPr>
              <w:rPr>
                <w:rFonts w:ascii="Arial Narrow" w:hAnsi="Arial Narrow"/>
                <w:color w:val="000000"/>
                <w:sz w:val="20"/>
                <w:szCs w:val="20"/>
              </w:rPr>
            </w:pPr>
            <w:r w:rsidRPr="003E471B">
              <w:rPr>
                <w:rFonts w:ascii="Arial Narrow" w:hAnsi="Arial Narrow"/>
                <w:b/>
                <w:bCs/>
                <w:color w:val="000000"/>
                <w:sz w:val="20"/>
                <w:szCs w:val="20"/>
              </w:rPr>
              <w:t>AND</w:t>
            </w:r>
          </w:p>
        </w:tc>
      </w:tr>
      <w:tr w:rsidR="00C71151" w:rsidRPr="003E471B" w14:paraId="42DF5A01" w14:textId="77777777" w:rsidTr="00EC6917">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1506D9D4" w14:textId="77777777" w:rsidR="00C71151" w:rsidRPr="003E471B" w:rsidRDefault="00C71151" w:rsidP="00E26E55">
            <w:pPr>
              <w:rPr>
                <w:rFonts w:ascii="Arial Narrow" w:hAnsi="Arial Narrow" w:cs="Arial Narrow"/>
                <w:color w:val="000000"/>
                <w:sz w:val="20"/>
                <w:szCs w:val="20"/>
              </w:rPr>
            </w:pPr>
            <w:r w:rsidRPr="003E471B">
              <w:rPr>
                <w:rFonts w:ascii="Arial Narrow" w:hAnsi="Arial Narrow"/>
                <w:b/>
                <w:bCs/>
                <w:color w:val="000000"/>
                <w:sz w:val="20"/>
                <w:szCs w:val="20"/>
              </w:rPr>
              <w:t>Clinical criteria:</w:t>
            </w:r>
          </w:p>
        </w:tc>
      </w:tr>
      <w:tr w:rsidR="005D733C" w:rsidRPr="003E471B" w14:paraId="06B680ED" w14:textId="77777777" w:rsidTr="00DA3FEB">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6A4F7E8B" w14:textId="77777777" w:rsidR="005D733C" w:rsidRPr="003E471B" w:rsidRDefault="005D733C" w:rsidP="00E26E55">
            <w:pPr>
              <w:rPr>
                <w:rFonts w:ascii="Arial Narrow" w:hAnsi="Arial Narrow" w:cs="Arial Narrow"/>
                <w:color w:val="000000"/>
                <w:sz w:val="20"/>
                <w:szCs w:val="20"/>
              </w:rPr>
            </w:pPr>
            <w:r w:rsidRPr="003E471B">
              <w:rPr>
                <w:rFonts w:ascii="Arial Narrow" w:hAnsi="Arial Narrow" w:cs="Arial Narrow"/>
                <w:color w:val="000000"/>
                <w:sz w:val="20"/>
                <w:szCs w:val="20"/>
              </w:rPr>
              <w:t>Patient must not be receiving concomitant PBS-subsidised midostaurin.</w:t>
            </w:r>
          </w:p>
        </w:tc>
      </w:tr>
      <w:tr w:rsidR="005D733C" w:rsidRPr="003E471B" w14:paraId="17975359" w14:textId="77777777" w:rsidTr="00772F97">
        <w:tblPrEx>
          <w:tblCellMar>
            <w:top w:w="15" w:type="dxa"/>
            <w:bottom w:w="15" w:type="dxa"/>
          </w:tblCellMar>
          <w:tblLook w:val="04A0" w:firstRow="1" w:lastRow="0" w:firstColumn="1" w:lastColumn="0" w:noHBand="0" w:noVBand="1"/>
        </w:tblPrEx>
        <w:trPr>
          <w:cantSplit/>
          <w:trHeight w:val="20"/>
        </w:trPr>
        <w:tc>
          <w:tcPr>
            <w:tcW w:w="9017" w:type="dxa"/>
            <w:gridSpan w:val="6"/>
            <w:shd w:val="clear" w:color="auto" w:fill="auto"/>
            <w:vAlign w:val="center"/>
            <w:hideMark/>
          </w:tcPr>
          <w:p w14:paraId="2758E008" w14:textId="77777777" w:rsidR="005D733C" w:rsidRPr="003E471B" w:rsidRDefault="005D733C" w:rsidP="00E26E55">
            <w:pPr>
              <w:rPr>
                <w:rFonts w:ascii="Arial Narrow" w:hAnsi="Arial Narrow"/>
                <w:color w:val="000000"/>
                <w:sz w:val="20"/>
                <w:szCs w:val="20"/>
              </w:rPr>
            </w:pPr>
            <w:r w:rsidRPr="003E471B">
              <w:rPr>
                <w:rFonts w:ascii="Arial Narrow" w:hAnsi="Arial Narrow"/>
                <w:b/>
                <w:bCs/>
                <w:color w:val="000000"/>
                <w:sz w:val="20"/>
                <w:szCs w:val="20"/>
              </w:rPr>
              <w:t xml:space="preserve">Administrative Advice: </w:t>
            </w:r>
            <w:r w:rsidRPr="003E471B">
              <w:rPr>
                <w:rFonts w:ascii="Arial Narrow" w:hAnsi="Arial Narrow"/>
                <w:color w:val="000000"/>
                <w:sz w:val="20"/>
                <w:szCs w:val="20"/>
              </w:rPr>
              <w:t>No increase in the maximum number of repeats may be authorised.</w:t>
            </w:r>
          </w:p>
        </w:tc>
      </w:tr>
      <w:tr w:rsidR="005D733C" w:rsidRPr="003E471B" w14:paraId="50765E98" w14:textId="77777777" w:rsidTr="00D524EF">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7D44B8E7" w14:textId="77777777" w:rsidR="005D733C" w:rsidRPr="003E471B" w:rsidRDefault="005D733C" w:rsidP="00E26E55">
            <w:pPr>
              <w:rPr>
                <w:rFonts w:ascii="Arial Narrow" w:hAnsi="Arial Narrow"/>
                <w:b/>
                <w:bCs/>
                <w:color w:val="000000"/>
                <w:sz w:val="20"/>
                <w:szCs w:val="20"/>
              </w:rPr>
            </w:pPr>
            <w:r w:rsidRPr="003E471B">
              <w:rPr>
                <w:rFonts w:ascii="Arial Narrow" w:hAnsi="Arial Narrow" w:cs="Calibri"/>
                <w:b/>
                <w:bCs/>
                <w:color w:val="000000"/>
                <w:sz w:val="20"/>
                <w:szCs w:val="20"/>
              </w:rPr>
              <w:t>Administrative Advice:</w:t>
            </w:r>
            <w:r w:rsidRPr="003E471B">
              <w:rPr>
                <w:rFonts w:ascii="Arial Narrow" w:hAnsi="Arial Narrow" w:cs="Calibri"/>
                <w:color w:val="000000"/>
                <w:sz w:val="20"/>
                <w:szCs w:val="20"/>
              </w:rPr>
              <w:t xml:space="preserve"> No increase in the maximum quantity or number of units may be authorised.</w:t>
            </w:r>
          </w:p>
        </w:tc>
      </w:tr>
      <w:tr w:rsidR="005D733C" w:rsidRPr="003E471B" w14:paraId="26FECC6E" w14:textId="77777777" w:rsidTr="00C858D9">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71D22C6A" w14:textId="77777777" w:rsidR="005D733C" w:rsidRPr="003E471B" w:rsidRDefault="005D733C" w:rsidP="00E26E55">
            <w:pPr>
              <w:rPr>
                <w:rFonts w:ascii="Arial Narrow" w:hAnsi="Arial Narrow"/>
                <w:b/>
                <w:bCs/>
                <w:color w:val="000000"/>
                <w:sz w:val="20"/>
                <w:szCs w:val="20"/>
              </w:rPr>
            </w:pPr>
            <w:r w:rsidRPr="003E471B">
              <w:rPr>
                <w:rFonts w:ascii="Arial Narrow" w:hAnsi="Arial Narrow"/>
                <w:b/>
                <w:bCs/>
                <w:color w:val="000000"/>
                <w:sz w:val="20"/>
                <w:szCs w:val="20"/>
              </w:rPr>
              <w:t xml:space="preserve">Administrative Advice: </w:t>
            </w:r>
            <w:r w:rsidRPr="003E471B">
              <w:rPr>
                <w:rFonts w:ascii="Arial Narrow" w:hAnsi="Arial Narrow"/>
                <w:color w:val="000000"/>
                <w:sz w:val="20"/>
                <w:szCs w:val="20"/>
              </w:rPr>
              <w:t>Special Pricing Arrangements apply.</w:t>
            </w:r>
          </w:p>
        </w:tc>
      </w:tr>
      <w:tr w:rsidR="005D733C" w:rsidRPr="003E471B" w14:paraId="18B1BD93" w14:textId="77777777" w:rsidTr="00F269F0">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3B0DBA52" w14:textId="77777777" w:rsidR="005D733C" w:rsidRPr="003E471B" w:rsidRDefault="005D733C" w:rsidP="00E26E55">
            <w:pPr>
              <w:rPr>
                <w:rFonts w:ascii="Arial Narrow" w:hAnsi="Arial Narrow"/>
                <w:b/>
                <w:bCs/>
                <w:color w:val="000000"/>
                <w:sz w:val="20"/>
                <w:szCs w:val="20"/>
              </w:rPr>
            </w:pPr>
            <w:r w:rsidRPr="003E471B">
              <w:rPr>
                <w:rFonts w:ascii="Arial Narrow" w:hAnsi="Arial Narrow"/>
                <w:b/>
                <w:bCs/>
                <w:color w:val="000000"/>
                <w:sz w:val="20"/>
                <w:szCs w:val="20"/>
              </w:rPr>
              <w:t xml:space="preserve">Caution: </w:t>
            </w:r>
            <w:r w:rsidRPr="003E471B">
              <w:rPr>
                <w:rFonts w:ascii="Arial Narrow" w:hAnsi="Arial Narrow"/>
                <w:color w:val="000000"/>
                <w:sz w:val="20"/>
                <w:szCs w:val="20"/>
              </w:rPr>
              <w:t>Oral azacitidine should not be used interchangeably with injectable azacitidine due to differences in the exposure, dose and schedule of treatment.</w:t>
            </w:r>
          </w:p>
        </w:tc>
      </w:tr>
      <w:tr w:rsidR="005D733C" w:rsidRPr="003E471B" w14:paraId="44D7C550" w14:textId="77777777" w:rsidTr="00877564">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3DBADDB2" w14:textId="77777777" w:rsidR="005D733C" w:rsidRPr="003E471B" w:rsidRDefault="005D733C" w:rsidP="00E26E55">
            <w:pPr>
              <w:rPr>
                <w:rFonts w:ascii="Arial Narrow" w:hAnsi="Arial Narrow"/>
                <w:bCs/>
                <w:color w:val="000000"/>
                <w:sz w:val="20"/>
                <w:szCs w:val="20"/>
              </w:rPr>
            </w:pPr>
            <w:r w:rsidRPr="003E471B">
              <w:rPr>
                <w:rFonts w:ascii="Arial Narrow" w:hAnsi="Arial Narrow"/>
                <w:b/>
                <w:bCs/>
                <w:color w:val="000000"/>
                <w:sz w:val="20"/>
                <w:szCs w:val="20"/>
              </w:rPr>
              <w:t>Caution:</w:t>
            </w:r>
            <w:r w:rsidRPr="003E471B">
              <w:rPr>
                <w:rFonts w:ascii="Arial Narrow" w:hAnsi="Arial Narrow"/>
                <w:sz w:val="20"/>
                <w:szCs w:val="20"/>
              </w:rPr>
              <w:t xml:space="preserve"> </w:t>
            </w:r>
            <w:r w:rsidRPr="003E471B">
              <w:rPr>
                <w:rFonts w:ascii="Arial Narrow" w:hAnsi="Arial Narrow"/>
                <w:color w:val="000000"/>
                <w:sz w:val="20"/>
                <w:szCs w:val="20"/>
              </w:rPr>
              <w:t>This is a category X drug and must not be given to pregnant women. Pregnancy must be avoided during treatment and for at least 6 months following cessation of therapy.</w:t>
            </w:r>
          </w:p>
        </w:tc>
      </w:tr>
      <w:tr w:rsidR="005D733C" w:rsidRPr="0016077B" w14:paraId="2CD7FE28" w14:textId="77777777" w:rsidTr="006519CF">
        <w:tblPrEx>
          <w:tblCellMar>
            <w:top w:w="15" w:type="dxa"/>
            <w:bottom w:w="15" w:type="dxa"/>
          </w:tblCellMar>
          <w:tblLook w:val="04A0" w:firstRow="1" w:lastRow="0" w:firstColumn="1" w:lastColumn="0" w:noHBand="0" w:noVBand="1"/>
        </w:tblPrEx>
        <w:trPr>
          <w:cantSplit/>
          <w:trHeight w:val="20"/>
        </w:trPr>
        <w:tc>
          <w:tcPr>
            <w:tcW w:w="9017" w:type="dxa"/>
            <w:gridSpan w:val="6"/>
            <w:shd w:val="clear" w:color="auto" w:fill="auto"/>
          </w:tcPr>
          <w:p w14:paraId="784F7507" w14:textId="77777777" w:rsidR="005D733C" w:rsidRPr="0016077B" w:rsidRDefault="005D733C" w:rsidP="00E26E55">
            <w:pPr>
              <w:textAlignment w:val="baseline"/>
              <w:rPr>
                <w:rFonts w:ascii="Arial Narrow" w:hAnsi="Arial Narrow" w:cs="Open Sans"/>
                <w:color w:val="333333"/>
                <w:sz w:val="20"/>
                <w:szCs w:val="20"/>
              </w:rPr>
            </w:pPr>
            <w:r w:rsidRPr="0016077B">
              <w:rPr>
                <w:rFonts w:ascii="Arial Narrow" w:hAnsi="Arial Narrow" w:cs="Open Sans"/>
                <w:b/>
                <w:bCs/>
                <w:color w:val="333333"/>
                <w:sz w:val="20"/>
                <w:szCs w:val="20"/>
                <w:bdr w:val="none" w:sz="0" w:space="0" w:color="auto" w:frame="1"/>
              </w:rPr>
              <w:t>Prescribing Instructions:</w:t>
            </w:r>
          </w:p>
          <w:p w14:paraId="1B49758C" w14:textId="77777777" w:rsidR="005D733C" w:rsidRPr="0016077B" w:rsidRDefault="005D733C" w:rsidP="00E26E55">
            <w:pPr>
              <w:textAlignment w:val="baseline"/>
              <w:rPr>
                <w:rFonts w:ascii="Arial Narrow" w:hAnsi="Arial Narrow" w:cstheme="minorHAnsi"/>
                <w:i/>
                <w:iCs/>
                <w:color w:val="333333"/>
                <w:sz w:val="20"/>
                <w:szCs w:val="20"/>
              </w:rPr>
            </w:pPr>
            <w:r w:rsidRPr="0016077B">
              <w:rPr>
                <w:rFonts w:ascii="Arial Narrow" w:hAnsi="Arial Narrow" w:cstheme="minorHAnsi"/>
                <w:i/>
                <w:iCs/>
                <w:color w:val="333333"/>
                <w:sz w:val="20"/>
                <w:szCs w:val="20"/>
              </w:rPr>
              <w:t xml:space="preserve">Authority applications must be made via the Online PBS Authorities System (real time assessment), or in writing via HPOS form upload or mail: </w:t>
            </w:r>
          </w:p>
          <w:p w14:paraId="6C2F33D4" w14:textId="77777777" w:rsidR="005D733C" w:rsidRDefault="005D733C" w:rsidP="00E26E55">
            <w:pPr>
              <w:textAlignment w:val="baseline"/>
              <w:rPr>
                <w:rFonts w:ascii="Arial Narrow" w:hAnsi="Arial Narrow" w:cstheme="minorHAnsi"/>
                <w:i/>
                <w:iCs/>
                <w:color w:val="333333"/>
                <w:sz w:val="20"/>
                <w:szCs w:val="20"/>
              </w:rPr>
            </w:pPr>
          </w:p>
          <w:p w14:paraId="69E44027" w14:textId="77777777" w:rsidR="005D733C" w:rsidRPr="0016077B" w:rsidRDefault="005D733C" w:rsidP="00E26E55">
            <w:pPr>
              <w:textAlignment w:val="baseline"/>
              <w:rPr>
                <w:rFonts w:ascii="Arial Narrow" w:hAnsi="Arial Narrow" w:cstheme="minorHAnsi"/>
                <w:i/>
                <w:iCs/>
                <w:color w:val="333333"/>
                <w:sz w:val="20"/>
                <w:szCs w:val="20"/>
              </w:rPr>
            </w:pPr>
            <w:r w:rsidRPr="0016077B">
              <w:rPr>
                <w:rFonts w:ascii="Arial Narrow" w:hAnsi="Arial Narrow" w:cstheme="minorHAnsi"/>
                <w:i/>
                <w:iCs/>
                <w:color w:val="333333"/>
                <w:sz w:val="20"/>
                <w:szCs w:val="20"/>
              </w:rPr>
              <w:t>If the application is submitted through HPOS form upload or mail, it must include:</w:t>
            </w:r>
          </w:p>
          <w:p w14:paraId="747E06FC" w14:textId="77777777" w:rsidR="005D733C" w:rsidRPr="0016077B" w:rsidRDefault="005D733C" w:rsidP="00E26E55">
            <w:pPr>
              <w:textAlignment w:val="baseline"/>
              <w:rPr>
                <w:rFonts w:ascii="Arial Narrow" w:hAnsi="Arial Narrow"/>
                <w:i/>
                <w:iCs/>
                <w:sz w:val="20"/>
                <w:szCs w:val="20"/>
                <w:lang w:val="en"/>
              </w:rPr>
            </w:pPr>
            <w:r w:rsidRPr="0016077B">
              <w:rPr>
                <w:rFonts w:ascii="Arial Narrow" w:hAnsi="Arial Narrow"/>
                <w:i/>
                <w:iCs/>
                <w:sz w:val="20"/>
                <w:szCs w:val="20"/>
                <w:lang w:val="en"/>
              </w:rPr>
              <w:t>(a) a completed authority prescription form; and</w:t>
            </w:r>
          </w:p>
          <w:p w14:paraId="21DEE430" w14:textId="77777777" w:rsidR="005D733C" w:rsidRPr="0016077B" w:rsidRDefault="005D733C" w:rsidP="00E26E55">
            <w:pPr>
              <w:rPr>
                <w:rFonts w:ascii="Arial Narrow" w:hAnsi="Arial Narrow"/>
                <w:i/>
                <w:iCs/>
                <w:sz w:val="20"/>
                <w:szCs w:val="20"/>
                <w:lang w:val="en"/>
              </w:rPr>
            </w:pPr>
            <w:r w:rsidRPr="0016077B">
              <w:rPr>
                <w:rFonts w:ascii="Arial Narrow" w:hAnsi="Arial Narrow"/>
                <w:i/>
                <w:iCs/>
                <w:sz w:val="20"/>
                <w:szCs w:val="20"/>
                <w:lang w:val="en"/>
              </w:rPr>
              <w:t>(b) a completed authority application form relevant to the indication and treatment phase (the latest version is located on the website specified in the Administrative Advice)</w:t>
            </w:r>
          </w:p>
          <w:p w14:paraId="7EE4DBFA" w14:textId="77777777" w:rsidR="005D733C" w:rsidRPr="0016077B" w:rsidRDefault="005D733C" w:rsidP="00E26E55">
            <w:pPr>
              <w:rPr>
                <w:rFonts w:ascii="Arial Narrow" w:hAnsi="Arial Narrow"/>
                <w:b/>
                <w:bCs/>
                <w:color w:val="000000"/>
                <w:sz w:val="20"/>
                <w:szCs w:val="20"/>
              </w:rPr>
            </w:pPr>
          </w:p>
        </w:tc>
      </w:tr>
      <w:tr w:rsidR="005D733C" w:rsidRPr="0016077B" w14:paraId="16D0D4D6" w14:textId="77777777" w:rsidTr="00195588">
        <w:tblPrEx>
          <w:tblCellMar>
            <w:top w:w="15" w:type="dxa"/>
            <w:bottom w:w="15" w:type="dxa"/>
          </w:tblCellMar>
          <w:tblLook w:val="04A0" w:firstRow="1" w:lastRow="0" w:firstColumn="1" w:lastColumn="0" w:noHBand="0" w:noVBand="1"/>
        </w:tblPrEx>
        <w:trPr>
          <w:cantSplit/>
          <w:trHeight w:val="20"/>
        </w:trPr>
        <w:tc>
          <w:tcPr>
            <w:tcW w:w="9017" w:type="dxa"/>
            <w:gridSpan w:val="6"/>
            <w:shd w:val="clear" w:color="auto" w:fill="auto"/>
          </w:tcPr>
          <w:p w14:paraId="698206CE" w14:textId="77777777" w:rsidR="005D733C" w:rsidRPr="0016077B" w:rsidRDefault="005D733C" w:rsidP="00E26E55">
            <w:pPr>
              <w:textAlignment w:val="baseline"/>
              <w:rPr>
                <w:rFonts w:ascii="Arial Narrow" w:hAnsi="Arial Narrow" w:cs="Open Sans"/>
                <w:color w:val="333333"/>
                <w:sz w:val="20"/>
                <w:szCs w:val="20"/>
              </w:rPr>
            </w:pPr>
            <w:r w:rsidRPr="0016077B">
              <w:rPr>
                <w:rFonts w:ascii="Arial Narrow" w:hAnsi="Arial Narrow" w:cs="Open Sans"/>
                <w:b/>
                <w:bCs/>
                <w:color w:val="333333"/>
                <w:sz w:val="20"/>
                <w:szCs w:val="20"/>
                <w:bdr w:val="none" w:sz="0" w:space="0" w:color="auto" w:frame="1"/>
              </w:rPr>
              <w:t>Prescribing Instructions:</w:t>
            </w:r>
          </w:p>
          <w:p w14:paraId="3C4BF85C" w14:textId="77777777" w:rsidR="005D733C" w:rsidRPr="00C47114" w:rsidRDefault="005D733C" w:rsidP="00E26E55">
            <w:pPr>
              <w:textAlignment w:val="baseline"/>
              <w:rPr>
                <w:rFonts w:ascii="Arial Narrow" w:hAnsi="Arial Narrow" w:cs="Open Sans"/>
                <w:i/>
                <w:iCs/>
                <w:color w:val="333333"/>
                <w:sz w:val="20"/>
                <w:szCs w:val="20"/>
              </w:rPr>
            </w:pPr>
            <w:r w:rsidRPr="00C47114">
              <w:rPr>
                <w:rFonts w:ascii="Arial Narrow" w:hAnsi="Arial Narrow" w:cs="Open Sans"/>
                <w:i/>
                <w:iCs/>
                <w:color w:val="333333"/>
                <w:sz w:val="20"/>
                <w:szCs w:val="20"/>
              </w:rPr>
              <w:t>Authority applications must include:</w:t>
            </w:r>
          </w:p>
          <w:p w14:paraId="4983AE00" w14:textId="77777777" w:rsidR="005D733C" w:rsidRPr="00C47114" w:rsidRDefault="005D733C" w:rsidP="0025400C">
            <w:pPr>
              <w:pStyle w:val="ListParagraph"/>
              <w:numPr>
                <w:ilvl w:val="0"/>
                <w:numId w:val="49"/>
              </w:numPr>
              <w:textAlignment w:val="baseline"/>
              <w:rPr>
                <w:rFonts w:ascii="Arial Narrow" w:hAnsi="Arial Narrow" w:cs="Open Sans"/>
                <w:i/>
                <w:iCs/>
                <w:color w:val="333333"/>
                <w:sz w:val="20"/>
                <w:szCs w:val="20"/>
              </w:rPr>
            </w:pPr>
            <w:r w:rsidRPr="00C47114">
              <w:rPr>
                <w:rFonts w:ascii="Arial Narrow" w:hAnsi="Arial Narrow" w:cs="Open Sans"/>
                <w:i/>
                <w:iCs/>
                <w:color w:val="333333"/>
                <w:sz w:val="20"/>
                <w:szCs w:val="20"/>
              </w:rPr>
              <w:t>details (</w:t>
            </w:r>
            <w:r>
              <w:rPr>
                <w:rFonts w:ascii="Arial Narrow" w:hAnsi="Arial Narrow" w:cs="Open Sans"/>
                <w:i/>
                <w:iCs/>
                <w:color w:val="333333"/>
                <w:sz w:val="20"/>
                <w:szCs w:val="20"/>
              </w:rPr>
              <w:t xml:space="preserve">blast percentage, </w:t>
            </w:r>
            <w:r w:rsidRPr="00C47114">
              <w:rPr>
                <w:rFonts w:ascii="Arial Narrow" w:hAnsi="Arial Narrow" w:cs="Open Sans"/>
                <w:i/>
                <w:iCs/>
                <w:color w:val="333333"/>
                <w:sz w:val="20"/>
                <w:szCs w:val="20"/>
              </w:rPr>
              <w:t>date, unique identifying number/code or provider number) of the pathology test demonstrating blast percentage</w:t>
            </w:r>
          </w:p>
          <w:p w14:paraId="5BB701E7" w14:textId="77777777" w:rsidR="005D733C" w:rsidRPr="0016077B" w:rsidRDefault="005D733C" w:rsidP="00E26E55">
            <w:pPr>
              <w:textAlignment w:val="baseline"/>
              <w:rPr>
                <w:rFonts w:ascii="Arial Narrow" w:hAnsi="Arial Narrow" w:cs="Open Sans"/>
                <w:b/>
                <w:bCs/>
                <w:color w:val="333333"/>
                <w:sz w:val="20"/>
                <w:szCs w:val="20"/>
                <w:bdr w:val="none" w:sz="0" w:space="0" w:color="auto" w:frame="1"/>
              </w:rPr>
            </w:pPr>
            <w:r w:rsidRPr="0016077B">
              <w:rPr>
                <w:rFonts w:ascii="Arial Narrow" w:hAnsi="Arial Narrow" w:cs="Open Sans"/>
                <w:i/>
                <w:iCs/>
                <w:color w:val="333333"/>
                <w:sz w:val="20"/>
                <w:szCs w:val="20"/>
              </w:rPr>
              <w:t>All reports must be documented in the patient’s medical records.</w:t>
            </w:r>
          </w:p>
        </w:tc>
      </w:tr>
      <w:tr w:rsidR="005D733C" w:rsidRPr="0016077B" w14:paraId="2BD2CF41" w14:textId="77777777" w:rsidTr="00153CCB">
        <w:tblPrEx>
          <w:tblCellMar>
            <w:top w:w="15" w:type="dxa"/>
            <w:bottom w:w="15" w:type="dxa"/>
          </w:tblCellMar>
          <w:tblLook w:val="04A0" w:firstRow="1" w:lastRow="0" w:firstColumn="1" w:lastColumn="0" w:noHBand="0" w:noVBand="1"/>
        </w:tblPrEx>
        <w:trPr>
          <w:cantSplit/>
          <w:trHeight w:val="20"/>
        </w:trPr>
        <w:tc>
          <w:tcPr>
            <w:tcW w:w="9017" w:type="dxa"/>
            <w:gridSpan w:val="6"/>
            <w:shd w:val="clear" w:color="auto" w:fill="auto"/>
          </w:tcPr>
          <w:p w14:paraId="529935AE" w14:textId="77777777" w:rsidR="005D733C" w:rsidRPr="005D733C" w:rsidRDefault="005D733C" w:rsidP="00E26E55">
            <w:pPr>
              <w:textAlignment w:val="baseline"/>
              <w:rPr>
                <w:rFonts w:ascii="Arial Narrow" w:hAnsi="Arial Narrow" w:cs="Open Sans"/>
                <w:sz w:val="20"/>
                <w:szCs w:val="20"/>
              </w:rPr>
            </w:pPr>
          </w:p>
          <w:p w14:paraId="65AB4397" w14:textId="77777777" w:rsidR="005D733C" w:rsidRPr="0016077B" w:rsidRDefault="005D733C" w:rsidP="00E26E55">
            <w:pPr>
              <w:textAlignment w:val="baseline"/>
              <w:rPr>
                <w:rFonts w:ascii="Arial Narrow" w:hAnsi="Arial Narrow"/>
                <w:b/>
                <w:bCs/>
                <w:color w:val="333333"/>
                <w:sz w:val="20"/>
                <w:szCs w:val="20"/>
                <w:bdr w:val="none" w:sz="0" w:space="0" w:color="auto" w:frame="1"/>
              </w:rPr>
            </w:pPr>
            <w:r w:rsidRPr="0016077B">
              <w:rPr>
                <w:rFonts w:ascii="Arial Narrow" w:hAnsi="Arial Narrow"/>
                <w:b/>
                <w:bCs/>
                <w:color w:val="333333"/>
                <w:sz w:val="20"/>
                <w:szCs w:val="20"/>
                <w:bdr w:val="none" w:sz="0" w:space="0" w:color="auto" w:frame="1"/>
              </w:rPr>
              <w:t>Administrative Advice:</w:t>
            </w:r>
          </w:p>
          <w:p w14:paraId="764CE672" w14:textId="77777777" w:rsidR="005D733C" w:rsidRPr="0016077B" w:rsidRDefault="005D733C" w:rsidP="00E26E55">
            <w:pPr>
              <w:textAlignment w:val="baseline"/>
              <w:rPr>
                <w:rFonts w:ascii="Arial Narrow" w:hAnsi="Arial Narrow"/>
                <w:i/>
                <w:iCs/>
                <w:sz w:val="20"/>
                <w:szCs w:val="20"/>
              </w:rPr>
            </w:pPr>
            <w:r w:rsidRPr="0016077B">
              <w:rPr>
                <w:rFonts w:ascii="Arial Narrow" w:hAnsi="Arial Narrow"/>
                <w:i/>
                <w:iCs/>
                <w:sz w:val="20"/>
                <w:szCs w:val="20"/>
              </w:rPr>
              <w:t xml:space="preserve">Any queries concerning the arrangements to prescribe may be directed to Services Australia on 1800 700 270 (hours of operation 8 a.m. to 5 p.m. Monday to Friday)., </w:t>
            </w:r>
          </w:p>
          <w:p w14:paraId="7F31A782" w14:textId="77777777" w:rsidR="005D733C" w:rsidRPr="0016077B" w:rsidRDefault="005D733C" w:rsidP="00E26E55">
            <w:pPr>
              <w:textAlignment w:val="baseline"/>
              <w:rPr>
                <w:rFonts w:ascii="Arial Narrow" w:hAnsi="Arial Narrow"/>
                <w:i/>
                <w:iCs/>
                <w:sz w:val="20"/>
                <w:szCs w:val="20"/>
              </w:rPr>
            </w:pPr>
          </w:p>
          <w:p w14:paraId="2EF42F6C" w14:textId="77777777" w:rsidR="005D733C" w:rsidRPr="0016077B" w:rsidRDefault="005D733C" w:rsidP="00E26E55">
            <w:pPr>
              <w:textAlignment w:val="baseline"/>
              <w:rPr>
                <w:rFonts w:ascii="Arial Narrow" w:hAnsi="Arial Narrow"/>
                <w:i/>
                <w:iCs/>
                <w:sz w:val="20"/>
                <w:szCs w:val="20"/>
              </w:rPr>
            </w:pPr>
            <w:r w:rsidRPr="0016077B">
              <w:rPr>
                <w:rFonts w:ascii="Arial Narrow" w:hAnsi="Arial Narrow"/>
                <w:i/>
                <w:iCs/>
                <w:sz w:val="20"/>
                <w:szCs w:val="20"/>
              </w:rPr>
              <w:t xml:space="preserve">Prescribing information (including Authority Application forms and other relevant documentation as applicable) is available on the Services Australia website at </w:t>
            </w:r>
            <w:hyperlink r:id="rId14" w:history="1">
              <w:r w:rsidRPr="0016077B">
                <w:rPr>
                  <w:rFonts w:ascii="Arial Narrow" w:hAnsi="Arial Narrow"/>
                  <w:sz w:val="20"/>
                  <w:szCs w:val="20"/>
                </w:rPr>
                <w:t>www.servicesaustralia.gov.au</w:t>
              </w:r>
            </w:hyperlink>
            <w:r w:rsidRPr="0016077B">
              <w:rPr>
                <w:rFonts w:ascii="Arial Narrow" w:hAnsi="Arial Narrow"/>
                <w:i/>
                <w:iCs/>
                <w:sz w:val="20"/>
                <w:szCs w:val="20"/>
              </w:rPr>
              <w:t xml:space="preserve">, </w:t>
            </w:r>
          </w:p>
          <w:p w14:paraId="68CC0C30" w14:textId="77777777" w:rsidR="005D733C" w:rsidRPr="0016077B" w:rsidRDefault="005D733C" w:rsidP="00E26E55">
            <w:pPr>
              <w:textAlignment w:val="baseline"/>
              <w:rPr>
                <w:rFonts w:ascii="Arial Narrow" w:hAnsi="Arial Narrow"/>
                <w:i/>
                <w:iCs/>
                <w:sz w:val="20"/>
                <w:szCs w:val="20"/>
              </w:rPr>
            </w:pPr>
          </w:p>
          <w:p w14:paraId="76FC71FD" w14:textId="77777777" w:rsidR="005D733C" w:rsidRPr="0016077B" w:rsidRDefault="005D733C" w:rsidP="00E26E55">
            <w:pPr>
              <w:textAlignment w:val="baseline"/>
              <w:rPr>
                <w:rFonts w:ascii="Arial Narrow" w:hAnsi="Arial Narrow"/>
                <w:i/>
                <w:iCs/>
                <w:color w:val="333333"/>
                <w:sz w:val="20"/>
                <w:szCs w:val="20"/>
              </w:rPr>
            </w:pPr>
            <w:r w:rsidRPr="0016077B">
              <w:rPr>
                <w:rFonts w:ascii="Arial Narrow" w:hAnsi="Arial Narrow"/>
                <w:i/>
                <w:iCs/>
                <w:color w:val="333333"/>
                <w:sz w:val="20"/>
                <w:szCs w:val="20"/>
              </w:rPr>
              <w:t>Applications for authorisation under this restriction should be made in real time using the Online PBS Authorities system (see www.servicesaustralia.gov.au/HPOS).</w:t>
            </w:r>
          </w:p>
          <w:p w14:paraId="4DADEDF9" w14:textId="77777777" w:rsidR="005D733C" w:rsidRPr="0016077B" w:rsidRDefault="005D733C" w:rsidP="00E26E55">
            <w:pPr>
              <w:textAlignment w:val="baseline"/>
              <w:rPr>
                <w:rFonts w:ascii="Arial Narrow" w:hAnsi="Arial Narrow"/>
                <w:i/>
                <w:iCs/>
                <w:sz w:val="20"/>
                <w:szCs w:val="20"/>
              </w:rPr>
            </w:pPr>
          </w:p>
          <w:p w14:paraId="248F3510" w14:textId="77777777" w:rsidR="005D733C" w:rsidRPr="0016077B" w:rsidRDefault="005D733C" w:rsidP="00E26E55">
            <w:pPr>
              <w:textAlignment w:val="baseline"/>
              <w:rPr>
                <w:rFonts w:ascii="Arial Narrow" w:hAnsi="Arial Narrow"/>
                <w:i/>
                <w:iCs/>
                <w:sz w:val="20"/>
                <w:szCs w:val="20"/>
              </w:rPr>
            </w:pPr>
            <w:r w:rsidRPr="0016077B">
              <w:rPr>
                <w:rFonts w:ascii="Arial Narrow" w:hAnsi="Arial Narrow"/>
                <w:i/>
                <w:iCs/>
                <w:sz w:val="20"/>
                <w:szCs w:val="20"/>
              </w:rPr>
              <w:t xml:space="preserve">Alternatively, applications for authority to prescribe can be submitted online using the form upload facility in Health Professional Online Services (HPOS) at </w:t>
            </w:r>
            <w:hyperlink r:id="rId15" w:history="1">
              <w:r w:rsidRPr="0016077B">
                <w:rPr>
                  <w:rFonts w:ascii="Arial Narrow" w:hAnsi="Arial Narrow"/>
                  <w:sz w:val="20"/>
                  <w:szCs w:val="20"/>
                </w:rPr>
                <w:t>www.servicesaustralia.gov.au/hpos</w:t>
              </w:r>
            </w:hyperlink>
            <w:r w:rsidRPr="0016077B">
              <w:rPr>
                <w:rFonts w:ascii="Arial Narrow" w:hAnsi="Arial Narrow"/>
                <w:i/>
                <w:iCs/>
                <w:sz w:val="20"/>
                <w:szCs w:val="20"/>
              </w:rPr>
              <w:t xml:space="preserve">, </w:t>
            </w:r>
          </w:p>
          <w:p w14:paraId="24F364DB" w14:textId="77777777" w:rsidR="005D733C" w:rsidRPr="0016077B" w:rsidRDefault="005D733C" w:rsidP="00E26E55">
            <w:pPr>
              <w:textAlignment w:val="baseline"/>
              <w:rPr>
                <w:rFonts w:ascii="Arial Narrow" w:hAnsi="Arial Narrow"/>
                <w:i/>
                <w:iCs/>
                <w:sz w:val="20"/>
                <w:szCs w:val="20"/>
              </w:rPr>
            </w:pPr>
          </w:p>
          <w:p w14:paraId="2870E852" w14:textId="77777777" w:rsidR="005D733C" w:rsidRPr="0016077B" w:rsidRDefault="005D733C" w:rsidP="00E26E55">
            <w:pPr>
              <w:textAlignment w:val="baseline"/>
              <w:rPr>
                <w:rFonts w:ascii="Arial Narrow" w:hAnsi="Arial Narrow"/>
                <w:i/>
                <w:iCs/>
                <w:sz w:val="20"/>
                <w:szCs w:val="20"/>
              </w:rPr>
            </w:pPr>
            <w:r w:rsidRPr="0016077B">
              <w:rPr>
                <w:rFonts w:ascii="Arial Narrow" w:hAnsi="Arial Narrow"/>
                <w:i/>
                <w:iCs/>
                <w:sz w:val="20"/>
                <w:szCs w:val="20"/>
              </w:rPr>
              <w:t xml:space="preserve">Or mailed to: </w:t>
            </w:r>
          </w:p>
          <w:p w14:paraId="0E8D6590" w14:textId="77777777" w:rsidR="005D733C" w:rsidRPr="0016077B" w:rsidRDefault="005D733C" w:rsidP="00E26E55">
            <w:pPr>
              <w:textAlignment w:val="baseline"/>
              <w:rPr>
                <w:rFonts w:ascii="Arial Narrow" w:hAnsi="Arial Narrow"/>
                <w:i/>
                <w:iCs/>
                <w:sz w:val="20"/>
                <w:szCs w:val="20"/>
              </w:rPr>
            </w:pPr>
            <w:r w:rsidRPr="0016077B">
              <w:rPr>
                <w:rFonts w:ascii="Arial Narrow" w:hAnsi="Arial Narrow"/>
                <w:i/>
                <w:iCs/>
                <w:sz w:val="20"/>
                <w:szCs w:val="20"/>
              </w:rPr>
              <w:t xml:space="preserve">Services Australia </w:t>
            </w:r>
          </w:p>
          <w:p w14:paraId="617DFBA2" w14:textId="77777777" w:rsidR="005D733C" w:rsidRPr="0016077B" w:rsidRDefault="005D733C" w:rsidP="00E26E55">
            <w:pPr>
              <w:textAlignment w:val="baseline"/>
              <w:rPr>
                <w:rFonts w:ascii="Arial Narrow" w:hAnsi="Arial Narrow"/>
                <w:i/>
                <w:iCs/>
                <w:sz w:val="20"/>
                <w:szCs w:val="20"/>
              </w:rPr>
            </w:pPr>
            <w:r w:rsidRPr="0016077B">
              <w:rPr>
                <w:rFonts w:ascii="Arial Narrow" w:hAnsi="Arial Narrow"/>
                <w:i/>
                <w:iCs/>
                <w:sz w:val="20"/>
                <w:szCs w:val="20"/>
              </w:rPr>
              <w:t xml:space="preserve">Complex Drugs </w:t>
            </w:r>
          </w:p>
          <w:p w14:paraId="392B6A24" w14:textId="77777777" w:rsidR="005D733C" w:rsidRPr="0016077B" w:rsidRDefault="005D733C" w:rsidP="00E26E55">
            <w:pPr>
              <w:textAlignment w:val="baseline"/>
              <w:rPr>
                <w:rFonts w:ascii="Arial Narrow" w:hAnsi="Arial Narrow"/>
                <w:i/>
                <w:iCs/>
                <w:sz w:val="20"/>
                <w:szCs w:val="20"/>
              </w:rPr>
            </w:pPr>
            <w:r w:rsidRPr="0016077B">
              <w:rPr>
                <w:rFonts w:ascii="Arial Narrow" w:hAnsi="Arial Narrow"/>
                <w:i/>
                <w:iCs/>
                <w:sz w:val="20"/>
                <w:szCs w:val="20"/>
              </w:rPr>
              <w:t xml:space="preserve">Reply Paid 9826 </w:t>
            </w:r>
          </w:p>
          <w:p w14:paraId="5193BD52" w14:textId="77777777" w:rsidR="005D733C" w:rsidRPr="0016077B" w:rsidRDefault="005D733C" w:rsidP="00E26E55">
            <w:pPr>
              <w:textAlignment w:val="baseline"/>
              <w:rPr>
                <w:rFonts w:ascii="Arial Narrow" w:hAnsi="Arial Narrow" w:cs="Open Sans"/>
                <w:b/>
                <w:bCs/>
                <w:color w:val="333333"/>
                <w:sz w:val="20"/>
                <w:szCs w:val="20"/>
                <w:bdr w:val="none" w:sz="0" w:space="0" w:color="auto" w:frame="1"/>
              </w:rPr>
            </w:pPr>
            <w:r w:rsidRPr="0016077B">
              <w:rPr>
                <w:rFonts w:ascii="Arial Narrow" w:hAnsi="Arial Narrow"/>
                <w:i/>
                <w:iCs/>
                <w:sz w:val="20"/>
                <w:szCs w:val="20"/>
              </w:rPr>
              <w:t>HOBART TAS 7001</w:t>
            </w:r>
          </w:p>
        </w:tc>
      </w:tr>
    </w:tbl>
    <w:p w14:paraId="5D234D2A" w14:textId="6EFD142F" w:rsidR="0025400C" w:rsidRPr="00D6522C" w:rsidRDefault="0025400C" w:rsidP="0025400C">
      <w:pPr>
        <w:rPr>
          <w:rFonts w:cs="Calibri"/>
        </w:rPr>
      </w:pPr>
      <w:r w:rsidRPr="00BB6D30">
        <w:rPr>
          <w:rFonts w:asciiTheme="minorHAnsi" w:hAnsiTheme="minorHAnsi"/>
          <w:b/>
          <w:bCs/>
          <w:i/>
          <w:szCs w:val="22"/>
        </w:rPr>
        <w:t>This restriction may be subject to further review. Should there be any changes made to the restriction the sponsor will be informed</w:t>
      </w:r>
      <w:r w:rsidRPr="007F262A">
        <w:rPr>
          <w:rFonts w:asciiTheme="minorHAnsi" w:hAnsiTheme="minorHAnsi"/>
          <w:szCs w:val="22"/>
        </w:rPr>
        <w:t>.</w:t>
      </w:r>
    </w:p>
    <w:p w14:paraId="3447A97D" w14:textId="404EA37E" w:rsidR="0024132A" w:rsidRDefault="0024132A" w:rsidP="0024132A">
      <w:pPr>
        <w:pStyle w:val="2-SectionHeading"/>
        <w:rPr>
          <w:bCs/>
          <w:lang w:val="en-GB"/>
        </w:rPr>
      </w:pPr>
      <w:r w:rsidRPr="00C07617">
        <w:t>Context for Decision</w:t>
      </w:r>
    </w:p>
    <w:p w14:paraId="3C3DE7F8" w14:textId="77777777" w:rsidR="0024132A" w:rsidRPr="007129F2" w:rsidRDefault="0024132A" w:rsidP="00322892">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DF8DA7B" w14:textId="2B8E7430" w:rsidR="0024132A" w:rsidRPr="00C07617" w:rsidRDefault="0024132A" w:rsidP="0024132A">
      <w:pPr>
        <w:pStyle w:val="2-SectionHeading"/>
      </w:pPr>
      <w:r>
        <w:t>Sponsor’s Comment</w:t>
      </w:r>
    </w:p>
    <w:p w14:paraId="380DE10C" w14:textId="56B39F4E" w:rsidR="00322892" w:rsidRDefault="00322892" w:rsidP="00322892">
      <w:pPr>
        <w:ind w:left="720"/>
      </w:pPr>
      <w:r w:rsidRPr="005B7E9C">
        <w:t xml:space="preserve">The Sponsor welcomes the PBAC’s decision to </w:t>
      </w:r>
      <w:r>
        <w:t xml:space="preserve">recommend </w:t>
      </w:r>
      <w:r w:rsidRPr="005B7E9C">
        <w:t>oral azacitidine</w:t>
      </w:r>
      <w:r>
        <w:t xml:space="preserve"> (Onureg®)</w:t>
      </w:r>
      <w:r w:rsidRPr="005B7E9C">
        <w:t xml:space="preserve"> for maintenance therapy in certain patients with acute myeloid leukaemia (AML) who are not candidates for, including those who choose not to proceed to, haematopoietic stem cell transplantation (HSCT)</w:t>
      </w:r>
      <w:r w:rsidR="00234137">
        <w:t>,</w:t>
      </w:r>
      <w:r>
        <w:t xml:space="preserve"> and will</w:t>
      </w:r>
      <w:r w:rsidRPr="005B7E9C">
        <w:t xml:space="preserve"> work with the PBAC and the Department of Health</w:t>
      </w:r>
      <w:r>
        <w:t xml:space="preserve"> and Aged Care</w:t>
      </w:r>
      <w:r w:rsidRPr="005B7E9C">
        <w:t xml:space="preserve"> to provide access </w:t>
      </w:r>
      <w:r>
        <w:t xml:space="preserve">for these </w:t>
      </w:r>
      <w:r w:rsidRPr="005B7E9C">
        <w:t>patients</w:t>
      </w:r>
      <w:r>
        <w:t xml:space="preserve"> in need</w:t>
      </w:r>
      <w:r w:rsidRPr="005B7E9C">
        <w:t>.</w:t>
      </w:r>
    </w:p>
    <w:p w14:paraId="69EB0BA4" w14:textId="77777777" w:rsidR="00857672" w:rsidRPr="009E3743" w:rsidRDefault="00857672" w:rsidP="00857672">
      <w:pPr>
        <w:pStyle w:val="2-SectionHeading"/>
        <w:numPr>
          <w:ilvl w:val="0"/>
          <w:numId w:val="1"/>
        </w:numPr>
        <w:rPr>
          <w:rFonts w:eastAsia="Calibri"/>
          <w:lang w:eastAsia="en-US"/>
        </w:rPr>
      </w:pPr>
      <w:r w:rsidRPr="009E3743">
        <w:rPr>
          <w:rFonts w:eastAsia="Calibri"/>
          <w:lang w:eastAsia="en-US"/>
        </w:rPr>
        <w:t xml:space="preserve">Corrigendum </w:t>
      </w:r>
    </w:p>
    <w:p w14:paraId="792A6FDC" w14:textId="77777777" w:rsidR="00857672" w:rsidRPr="000254E1" w:rsidRDefault="00857672" w:rsidP="00857672">
      <w:pPr>
        <w:spacing w:after="120"/>
        <w:rPr>
          <w:rFonts w:eastAsia="Calibri" w:cstheme="minorHAnsi"/>
          <w:lang w:eastAsia="en-US"/>
        </w:rPr>
      </w:pPr>
      <w:r w:rsidRPr="000254E1">
        <w:rPr>
          <w:rFonts w:eastAsia="Calibri" w:cstheme="minorHAnsi"/>
          <w:lang w:eastAsia="en-US"/>
        </w:rPr>
        <w:t xml:space="preserve">The following changes were made: </w:t>
      </w:r>
    </w:p>
    <w:tbl>
      <w:tblPr>
        <w:tblStyle w:val="TableGrid"/>
        <w:tblW w:w="5000" w:type="pct"/>
        <w:tblLook w:val="04A0" w:firstRow="1" w:lastRow="0" w:firstColumn="1" w:lastColumn="0" w:noHBand="0" w:noVBand="1"/>
      </w:tblPr>
      <w:tblGrid>
        <w:gridCol w:w="7508"/>
        <w:gridCol w:w="1509"/>
      </w:tblGrid>
      <w:tr w:rsidR="00857672" w:rsidRPr="00022E18" w14:paraId="7DA157A6" w14:textId="77777777" w:rsidTr="00857672">
        <w:trPr>
          <w:trHeight w:val="783"/>
        </w:trPr>
        <w:tc>
          <w:tcPr>
            <w:tcW w:w="4163" w:type="pct"/>
          </w:tcPr>
          <w:p w14:paraId="6C125097" w14:textId="77777777" w:rsidR="00857672" w:rsidRPr="009E3743" w:rsidRDefault="00857672" w:rsidP="00230EA5">
            <w:pPr>
              <w:rPr>
                <w:rFonts w:ascii="Arial Narrow" w:eastAsia="Calibri" w:hAnsi="Arial Narrow"/>
                <w:b/>
                <w:bCs/>
                <w:sz w:val="20"/>
                <w:szCs w:val="20"/>
                <w:lang w:eastAsia="en-US"/>
              </w:rPr>
            </w:pPr>
            <w:r w:rsidRPr="009E3743">
              <w:rPr>
                <w:rFonts w:ascii="Arial Narrow" w:eastAsia="Calibri" w:hAnsi="Arial Narrow"/>
                <w:b/>
                <w:bCs/>
                <w:sz w:val="20"/>
                <w:szCs w:val="20"/>
                <w:lang w:eastAsia="en-US"/>
              </w:rPr>
              <w:t>Change made</w:t>
            </w:r>
          </w:p>
        </w:tc>
        <w:tc>
          <w:tcPr>
            <w:tcW w:w="837" w:type="pct"/>
          </w:tcPr>
          <w:p w14:paraId="15AAB2DC" w14:textId="77777777" w:rsidR="00857672" w:rsidRPr="007D672B" w:rsidRDefault="00857672" w:rsidP="00230EA5">
            <w:pPr>
              <w:rPr>
                <w:rFonts w:ascii="Arial Narrow" w:eastAsia="Calibri" w:hAnsi="Arial Narrow" w:cstheme="minorHAnsi"/>
                <w:b/>
                <w:sz w:val="20"/>
                <w:szCs w:val="20"/>
                <w:lang w:eastAsia="en-US"/>
              </w:rPr>
            </w:pPr>
            <w:r w:rsidRPr="007D672B">
              <w:rPr>
                <w:rFonts w:ascii="Arial Narrow" w:eastAsia="Calibri" w:hAnsi="Arial Narrow" w:cstheme="minorHAnsi"/>
                <w:b/>
                <w:sz w:val="20"/>
                <w:szCs w:val="20"/>
                <w:lang w:eastAsia="en-US"/>
              </w:rPr>
              <w:t>Date of revision</w:t>
            </w:r>
          </w:p>
        </w:tc>
      </w:tr>
      <w:tr w:rsidR="00857672" w14:paraId="50AF7BC1" w14:textId="77777777" w:rsidTr="00857672">
        <w:trPr>
          <w:trHeight w:val="406"/>
        </w:trPr>
        <w:tc>
          <w:tcPr>
            <w:tcW w:w="4163" w:type="pct"/>
          </w:tcPr>
          <w:p w14:paraId="2B766C66" w14:textId="0F094FB8" w:rsidR="00857672" w:rsidRDefault="00857672" w:rsidP="00230EA5">
            <w:pPr>
              <w:rPr>
                <w:rFonts w:ascii="Arial Narrow" w:eastAsia="Calibri" w:hAnsi="Arial Narrow"/>
                <w:sz w:val="20"/>
                <w:szCs w:val="20"/>
                <w:lang w:eastAsia="en-US"/>
              </w:rPr>
            </w:pPr>
            <w:r>
              <w:rPr>
                <w:rFonts w:ascii="Arial Narrow" w:eastAsia="Calibri" w:hAnsi="Arial Narrow"/>
                <w:sz w:val="20"/>
                <w:szCs w:val="20"/>
                <w:lang w:eastAsia="en-US"/>
              </w:rPr>
              <w:t>Table 19</w:t>
            </w:r>
            <w:r w:rsidR="00C613DA">
              <w:rPr>
                <w:rFonts w:ascii="Arial Narrow" w:eastAsia="Calibri" w:hAnsi="Arial Narrow"/>
                <w:sz w:val="20"/>
                <w:szCs w:val="20"/>
                <w:lang w:eastAsia="en-US"/>
              </w:rPr>
              <w:t xml:space="preserve"> was</w:t>
            </w:r>
            <w:r>
              <w:rPr>
                <w:rFonts w:ascii="Arial Narrow" w:eastAsia="Calibri" w:hAnsi="Arial Narrow"/>
                <w:sz w:val="20"/>
                <w:szCs w:val="20"/>
                <w:lang w:eastAsia="en-US"/>
              </w:rPr>
              <w:t xml:space="preserve"> </w:t>
            </w:r>
            <w:r w:rsidR="00C613DA">
              <w:rPr>
                <w:rFonts w:ascii="Arial Narrow" w:eastAsia="Calibri" w:hAnsi="Arial Narrow"/>
                <w:sz w:val="20"/>
                <w:szCs w:val="20"/>
                <w:lang w:eastAsia="en-US"/>
              </w:rPr>
              <w:t>u</w:t>
            </w:r>
            <w:r>
              <w:rPr>
                <w:rFonts w:ascii="Arial Narrow" w:eastAsia="Calibri" w:hAnsi="Arial Narrow"/>
                <w:sz w:val="20"/>
                <w:szCs w:val="20"/>
                <w:lang w:eastAsia="en-US"/>
              </w:rPr>
              <w:t>pdated to include references to the post</w:t>
            </w:r>
            <w:r w:rsidR="0011604E">
              <w:rPr>
                <w:rFonts w:ascii="Arial Narrow" w:eastAsia="Calibri" w:hAnsi="Arial Narrow"/>
                <w:sz w:val="20"/>
                <w:szCs w:val="20"/>
                <w:lang w:eastAsia="en-US"/>
              </w:rPr>
              <w:t xml:space="preserve"> </w:t>
            </w:r>
            <w:r>
              <w:rPr>
                <w:rFonts w:ascii="Arial Narrow" w:eastAsia="Calibri" w:hAnsi="Arial Narrow"/>
                <w:sz w:val="20"/>
                <w:szCs w:val="20"/>
                <w:lang w:eastAsia="en-US"/>
              </w:rPr>
              <w:t>PBAC correction</w:t>
            </w:r>
          </w:p>
        </w:tc>
        <w:tc>
          <w:tcPr>
            <w:tcW w:w="837" w:type="pct"/>
          </w:tcPr>
          <w:p w14:paraId="79294796" w14:textId="77777777" w:rsidR="00857672" w:rsidRDefault="00857672" w:rsidP="00230EA5">
            <w:pPr>
              <w:jc w:val="center"/>
              <w:rPr>
                <w:rFonts w:ascii="Arial Narrow" w:eastAsia="Calibri" w:hAnsi="Arial Narrow"/>
                <w:sz w:val="20"/>
                <w:szCs w:val="20"/>
                <w:lang w:eastAsia="en-US"/>
              </w:rPr>
            </w:pPr>
            <w:r>
              <w:rPr>
                <w:rFonts w:ascii="Arial Narrow" w:eastAsia="Calibri" w:hAnsi="Arial Narrow"/>
                <w:sz w:val="20"/>
                <w:szCs w:val="20"/>
                <w:lang w:eastAsia="en-US"/>
              </w:rPr>
              <w:t>29 June 2023</w:t>
            </w:r>
          </w:p>
        </w:tc>
      </w:tr>
      <w:tr w:rsidR="00857672" w14:paraId="675EA3CF" w14:textId="77777777" w:rsidTr="00857672">
        <w:trPr>
          <w:trHeight w:val="406"/>
        </w:trPr>
        <w:tc>
          <w:tcPr>
            <w:tcW w:w="4163" w:type="pct"/>
          </w:tcPr>
          <w:p w14:paraId="772B6EE1" w14:textId="7343EE87" w:rsidR="00857672" w:rsidRDefault="00857672" w:rsidP="00230EA5">
            <w:pPr>
              <w:rPr>
                <w:rFonts w:ascii="Arial Narrow" w:eastAsia="Calibri" w:hAnsi="Arial Narrow"/>
                <w:sz w:val="20"/>
                <w:szCs w:val="20"/>
                <w:lang w:eastAsia="en-US"/>
              </w:rPr>
            </w:pPr>
            <w:r>
              <w:rPr>
                <w:rFonts w:ascii="Arial Narrow" w:eastAsia="Calibri" w:hAnsi="Arial Narrow"/>
                <w:sz w:val="20"/>
                <w:szCs w:val="20"/>
                <w:lang w:eastAsia="en-US"/>
              </w:rPr>
              <w:t xml:space="preserve">Paragraph </w:t>
            </w:r>
            <w:r w:rsidR="00363D0B">
              <w:rPr>
                <w:rFonts w:ascii="Arial Narrow" w:eastAsia="Calibri" w:hAnsi="Arial Narrow"/>
                <w:sz w:val="20"/>
                <w:szCs w:val="20"/>
                <w:lang w:eastAsia="en-US"/>
              </w:rPr>
              <w:t>11</w:t>
            </w:r>
            <w:r>
              <w:rPr>
                <w:rFonts w:ascii="Arial Narrow" w:eastAsia="Calibri" w:hAnsi="Arial Narrow"/>
                <w:sz w:val="20"/>
                <w:szCs w:val="20"/>
                <w:lang w:eastAsia="en-US"/>
              </w:rPr>
              <w:t>.5 was added to explain the error identified post PBAC</w:t>
            </w:r>
          </w:p>
        </w:tc>
        <w:tc>
          <w:tcPr>
            <w:tcW w:w="837" w:type="pct"/>
          </w:tcPr>
          <w:p w14:paraId="5849B0C9" w14:textId="77777777" w:rsidR="00857672" w:rsidRDefault="00857672" w:rsidP="00230EA5">
            <w:pPr>
              <w:jc w:val="center"/>
              <w:rPr>
                <w:rFonts w:ascii="Arial Narrow" w:eastAsia="Calibri" w:hAnsi="Arial Narrow"/>
                <w:sz w:val="20"/>
                <w:szCs w:val="20"/>
                <w:lang w:eastAsia="en-US"/>
              </w:rPr>
            </w:pPr>
            <w:r>
              <w:rPr>
                <w:rFonts w:ascii="Arial Narrow" w:eastAsia="Calibri" w:hAnsi="Arial Narrow"/>
                <w:sz w:val="20"/>
                <w:szCs w:val="20"/>
                <w:lang w:eastAsia="en-US"/>
              </w:rPr>
              <w:t>29 June 2023</w:t>
            </w:r>
          </w:p>
        </w:tc>
      </w:tr>
      <w:tr w:rsidR="00857672" w14:paraId="20089D8F" w14:textId="77777777" w:rsidTr="00857672">
        <w:trPr>
          <w:trHeight w:val="406"/>
        </w:trPr>
        <w:tc>
          <w:tcPr>
            <w:tcW w:w="4163" w:type="pct"/>
          </w:tcPr>
          <w:p w14:paraId="34BF3AE7" w14:textId="1022A316" w:rsidR="00857672" w:rsidRDefault="00857672" w:rsidP="00230EA5">
            <w:pPr>
              <w:rPr>
                <w:rFonts w:ascii="Arial Narrow" w:eastAsia="Calibri" w:hAnsi="Arial Narrow"/>
                <w:sz w:val="20"/>
                <w:szCs w:val="20"/>
                <w:lang w:eastAsia="en-US"/>
              </w:rPr>
            </w:pPr>
            <w:r>
              <w:rPr>
                <w:rFonts w:ascii="Arial Narrow" w:eastAsia="Calibri" w:hAnsi="Arial Narrow"/>
                <w:sz w:val="20"/>
                <w:szCs w:val="20"/>
                <w:lang w:eastAsia="en-US"/>
              </w:rPr>
              <w:t xml:space="preserve">Paragraph </w:t>
            </w:r>
            <w:r w:rsidR="00363D0B">
              <w:rPr>
                <w:rFonts w:ascii="Arial Narrow" w:eastAsia="Calibri" w:hAnsi="Arial Narrow"/>
                <w:sz w:val="20"/>
                <w:szCs w:val="20"/>
                <w:lang w:eastAsia="en-US"/>
              </w:rPr>
              <w:t>11</w:t>
            </w:r>
            <w:r>
              <w:rPr>
                <w:rFonts w:ascii="Arial Narrow" w:eastAsia="Calibri" w:hAnsi="Arial Narrow"/>
                <w:sz w:val="20"/>
                <w:szCs w:val="20"/>
                <w:lang w:eastAsia="en-US"/>
              </w:rPr>
              <w:t>.9 was added to explain the changes to the financial impact estimates</w:t>
            </w:r>
          </w:p>
        </w:tc>
        <w:tc>
          <w:tcPr>
            <w:tcW w:w="837" w:type="pct"/>
          </w:tcPr>
          <w:p w14:paraId="27438FAE" w14:textId="77777777" w:rsidR="00857672" w:rsidRDefault="00857672" w:rsidP="00230EA5">
            <w:pPr>
              <w:jc w:val="center"/>
              <w:rPr>
                <w:rFonts w:ascii="Arial Narrow" w:eastAsia="Calibri" w:hAnsi="Arial Narrow"/>
                <w:sz w:val="20"/>
                <w:szCs w:val="20"/>
                <w:lang w:eastAsia="en-US"/>
              </w:rPr>
            </w:pPr>
            <w:r>
              <w:rPr>
                <w:rFonts w:ascii="Arial Narrow" w:eastAsia="Calibri" w:hAnsi="Arial Narrow"/>
                <w:sz w:val="20"/>
                <w:szCs w:val="20"/>
                <w:lang w:eastAsia="en-US"/>
              </w:rPr>
              <w:t>29 June 2023</w:t>
            </w:r>
          </w:p>
        </w:tc>
      </w:tr>
      <w:tr w:rsidR="00857672" w14:paraId="068A6866" w14:textId="77777777" w:rsidTr="00857672">
        <w:trPr>
          <w:trHeight w:val="406"/>
        </w:trPr>
        <w:tc>
          <w:tcPr>
            <w:tcW w:w="4163" w:type="pct"/>
          </w:tcPr>
          <w:p w14:paraId="05913C69" w14:textId="1BD74827" w:rsidR="00857672" w:rsidRDefault="00857672" w:rsidP="00230EA5">
            <w:pPr>
              <w:rPr>
                <w:rFonts w:ascii="Arial Narrow" w:eastAsia="Calibri" w:hAnsi="Arial Narrow"/>
                <w:sz w:val="20"/>
                <w:szCs w:val="20"/>
                <w:lang w:eastAsia="en-US"/>
              </w:rPr>
            </w:pPr>
            <w:r>
              <w:rPr>
                <w:rFonts w:ascii="Arial Narrow" w:eastAsia="Calibri" w:hAnsi="Arial Narrow"/>
                <w:sz w:val="20"/>
                <w:szCs w:val="20"/>
                <w:lang w:eastAsia="en-US"/>
              </w:rPr>
              <w:t>Table 21</w:t>
            </w:r>
            <w:r w:rsidR="00C613DA">
              <w:rPr>
                <w:rFonts w:ascii="Arial Narrow" w:eastAsia="Calibri" w:hAnsi="Arial Narrow"/>
                <w:sz w:val="20"/>
                <w:szCs w:val="20"/>
                <w:lang w:eastAsia="en-US"/>
              </w:rPr>
              <w:t xml:space="preserve"> was u</w:t>
            </w:r>
            <w:r>
              <w:rPr>
                <w:rFonts w:ascii="Arial Narrow" w:eastAsia="Calibri" w:hAnsi="Arial Narrow"/>
                <w:sz w:val="20"/>
                <w:szCs w:val="20"/>
                <w:lang w:eastAsia="en-US"/>
              </w:rPr>
              <w:t>pdated to include the post PBAC revised estimates</w:t>
            </w:r>
          </w:p>
        </w:tc>
        <w:tc>
          <w:tcPr>
            <w:tcW w:w="837" w:type="pct"/>
          </w:tcPr>
          <w:p w14:paraId="2FC74A3C" w14:textId="77777777" w:rsidR="00857672" w:rsidRDefault="00857672" w:rsidP="00230EA5">
            <w:pPr>
              <w:jc w:val="center"/>
              <w:rPr>
                <w:rFonts w:ascii="Arial Narrow" w:eastAsia="Calibri" w:hAnsi="Arial Narrow"/>
                <w:sz w:val="20"/>
                <w:szCs w:val="20"/>
                <w:lang w:eastAsia="en-US"/>
              </w:rPr>
            </w:pPr>
            <w:r>
              <w:rPr>
                <w:rFonts w:ascii="Arial Narrow" w:eastAsia="Calibri" w:hAnsi="Arial Narrow"/>
                <w:sz w:val="20"/>
                <w:szCs w:val="20"/>
                <w:lang w:eastAsia="en-US"/>
              </w:rPr>
              <w:t>29 June 2023</w:t>
            </w:r>
          </w:p>
        </w:tc>
      </w:tr>
      <w:tr w:rsidR="00857672" w14:paraId="252268E5" w14:textId="77777777" w:rsidTr="00857672">
        <w:trPr>
          <w:trHeight w:val="406"/>
        </w:trPr>
        <w:tc>
          <w:tcPr>
            <w:tcW w:w="4163" w:type="pct"/>
          </w:tcPr>
          <w:p w14:paraId="06D3B540" w14:textId="2CF7CCBF" w:rsidR="00857672" w:rsidRDefault="00857672" w:rsidP="00230EA5">
            <w:pPr>
              <w:rPr>
                <w:rFonts w:ascii="Arial Narrow" w:eastAsia="Calibri" w:hAnsi="Arial Narrow"/>
                <w:sz w:val="20"/>
                <w:szCs w:val="20"/>
                <w:lang w:eastAsia="en-US"/>
              </w:rPr>
            </w:pPr>
            <w:r>
              <w:rPr>
                <w:rFonts w:ascii="Arial Narrow" w:eastAsia="Calibri" w:hAnsi="Arial Narrow"/>
                <w:sz w:val="20"/>
                <w:szCs w:val="20"/>
                <w:lang w:eastAsia="en-US"/>
              </w:rPr>
              <w:t>Paragraph</w:t>
            </w:r>
            <w:r w:rsidR="0011604E">
              <w:rPr>
                <w:rFonts w:ascii="Arial Narrow" w:eastAsia="Calibri" w:hAnsi="Arial Narrow"/>
                <w:sz w:val="20"/>
                <w:szCs w:val="20"/>
                <w:lang w:eastAsia="en-US"/>
              </w:rPr>
              <w:t xml:space="preserve"> </w:t>
            </w:r>
            <w:r w:rsidR="00363D0B">
              <w:rPr>
                <w:rFonts w:ascii="Arial Narrow" w:eastAsia="Calibri" w:hAnsi="Arial Narrow"/>
                <w:sz w:val="20"/>
                <w:szCs w:val="20"/>
                <w:lang w:eastAsia="en-US"/>
              </w:rPr>
              <w:t>11</w:t>
            </w:r>
            <w:r>
              <w:rPr>
                <w:rFonts w:ascii="Arial Narrow" w:eastAsia="Calibri" w:hAnsi="Arial Narrow"/>
                <w:sz w:val="20"/>
                <w:szCs w:val="20"/>
                <w:lang w:eastAsia="en-US"/>
              </w:rPr>
              <w:t>.10 was amended to include the revised total estimates</w:t>
            </w:r>
          </w:p>
        </w:tc>
        <w:tc>
          <w:tcPr>
            <w:tcW w:w="837" w:type="pct"/>
          </w:tcPr>
          <w:p w14:paraId="02DD0177" w14:textId="77777777" w:rsidR="00857672" w:rsidRDefault="00857672" w:rsidP="00230EA5">
            <w:pPr>
              <w:jc w:val="center"/>
              <w:rPr>
                <w:rFonts w:ascii="Arial Narrow" w:eastAsia="Calibri" w:hAnsi="Arial Narrow"/>
                <w:sz w:val="20"/>
                <w:szCs w:val="20"/>
                <w:lang w:eastAsia="en-US"/>
              </w:rPr>
            </w:pPr>
            <w:r>
              <w:rPr>
                <w:rFonts w:ascii="Arial Narrow" w:eastAsia="Calibri" w:hAnsi="Arial Narrow"/>
                <w:sz w:val="20"/>
                <w:szCs w:val="20"/>
                <w:lang w:eastAsia="en-US"/>
              </w:rPr>
              <w:t>29 June 2023</w:t>
            </w:r>
          </w:p>
        </w:tc>
      </w:tr>
      <w:tr w:rsidR="00857672" w14:paraId="7647F6B3" w14:textId="77777777" w:rsidTr="00857672">
        <w:trPr>
          <w:trHeight w:val="406"/>
        </w:trPr>
        <w:tc>
          <w:tcPr>
            <w:tcW w:w="4163" w:type="pct"/>
          </w:tcPr>
          <w:p w14:paraId="341EF188" w14:textId="3976874A" w:rsidR="00857672" w:rsidRDefault="00857672" w:rsidP="00230EA5">
            <w:pPr>
              <w:rPr>
                <w:rFonts w:ascii="Arial Narrow" w:eastAsia="Calibri" w:hAnsi="Arial Narrow"/>
                <w:sz w:val="20"/>
                <w:szCs w:val="20"/>
                <w:lang w:eastAsia="en-US"/>
              </w:rPr>
            </w:pPr>
            <w:r>
              <w:rPr>
                <w:rFonts w:ascii="Arial Narrow" w:eastAsia="Calibri" w:hAnsi="Arial Narrow"/>
                <w:sz w:val="20"/>
                <w:szCs w:val="20"/>
                <w:lang w:eastAsia="en-US"/>
              </w:rPr>
              <w:t>Paragraph</w:t>
            </w:r>
            <w:r w:rsidR="0011604E">
              <w:rPr>
                <w:rFonts w:ascii="Arial Narrow" w:eastAsia="Calibri" w:hAnsi="Arial Narrow"/>
                <w:sz w:val="20"/>
                <w:szCs w:val="20"/>
                <w:lang w:eastAsia="en-US"/>
              </w:rPr>
              <w:t xml:space="preserve"> </w:t>
            </w:r>
            <w:r w:rsidR="00363D0B">
              <w:rPr>
                <w:rFonts w:ascii="Arial Narrow" w:eastAsia="Calibri" w:hAnsi="Arial Narrow"/>
                <w:sz w:val="20"/>
                <w:szCs w:val="20"/>
                <w:lang w:eastAsia="en-US"/>
              </w:rPr>
              <w:t>11</w:t>
            </w:r>
            <w:r>
              <w:rPr>
                <w:rFonts w:ascii="Arial Narrow" w:eastAsia="Calibri" w:hAnsi="Arial Narrow"/>
                <w:sz w:val="20"/>
                <w:szCs w:val="20"/>
                <w:lang w:eastAsia="en-US"/>
              </w:rPr>
              <w:t>.11 was amended to include the revised effective AEMP</w:t>
            </w:r>
          </w:p>
        </w:tc>
        <w:tc>
          <w:tcPr>
            <w:tcW w:w="837" w:type="pct"/>
          </w:tcPr>
          <w:p w14:paraId="2224CE2B" w14:textId="77777777" w:rsidR="00857672" w:rsidRDefault="00857672" w:rsidP="00230EA5">
            <w:pPr>
              <w:jc w:val="center"/>
              <w:rPr>
                <w:rFonts w:ascii="Arial Narrow" w:eastAsia="Calibri" w:hAnsi="Arial Narrow"/>
                <w:sz w:val="20"/>
                <w:szCs w:val="20"/>
                <w:lang w:eastAsia="en-US"/>
              </w:rPr>
            </w:pPr>
            <w:r>
              <w:rPr>
                <w:rFonts w:ascii="Arial Narrow" w:eastAsia="Calibri" w:hAnsi="Arial Narrow"/>
                <w:sz w:val="20"/>
                <w:szCs w:val="20"/>
                <w:lang w:eastAsia="en-US"/>
              </w:rPr>
              <w:t>29 June 2023</w:t>
            </w:r>
          </w:p>
        </w:tc>
      </w:tr>
    </w:tbl>
    <w:p w14:paraId="748DB21A" w14:textId="77777777" w:rsidR="0025400C" w:rsidRDefault="0025400C" w:rsidP="0025400C"/>
    <w:sectPr w:rsidR="0025400C" w:rsidSect="002010FD">
      <w:headerReference w:type="even" r:id="rId16"/>
      <w:headerReference w:type="default" r:id="rId17"/>
      <w:footerReference w:type="even" r:id="rId18"/>
      <w:footerReference w:type="default" r:id="rId19"/>
      <w:headerReference w:type="first" r:id="rId20"/>
      <w:footerReference w:type="first" r:id="rId21"/>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A59F8" w14:textId="77777777" w:rsidR="00AE7FDC" w:rsidRDefault="00AE7FDC" w:rsidP="00124A51">
      <w:r>
        <w:separator/>
      </w:r>
    </w:p>
    <w:p w14:paraId="1B1A5E7B" w14:textId="77777777" w:rsidR="00AE7FDC" w:rsidRDefault="00AE7FDC"/>
  </w:endnote>
  <w:endnote w:type="continuationSeparator" w:id="0">
    <w:p w14:paraId="76D86F6F" w14:textId="77777777" w:rsidR="00AE7FDC" w:rsidRDefault="00AE7FDC" w:rsidP="00124A51">
      <w:r>
        <w:continuationSeparator/>
      </w:r>
    </w:p>
    <w:p w14:paraId="6837DF45" w14:textId="77777777" w:rsidR="00AE7FDC" w:rsidRDefault="00AE7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3E4C" w14:textId="77777777" w:rsidR="005B3F49" w:rsidRDefault="005B3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4BD8" w14:textId="77777777" w:rsidR="00EA0E1F" w:rsidRDefault="00EA0E1F">
    <w:pPr>
      <w:pStyle w:val="Footer"/>
      <w:jc w:val="center"/>
    </w:pPr>
  </w:p>
  <w:sdt>
    <w:sdtPr>
      <w:id w:val="2027363683"/>
      <w:docPartObj>
        <w:docPartGallery w:val="Page Numbers (Bottom of Page)"/>
        <w:docPartUnique/>
      </w:docPartObj>
    </w:sdtPr>
    <w:sdtEndPr>
      <w:rPr>
        <w:noProof/>
      </w:rPr>
    </w:sdtEndPr>
    <w:sdtContent>
      <w:p w14:paraId="7B53A0AC" w14:textId="2D84F2FF" w:rsidR="00EA0E1F" w:rsidRDefault="00EA0E1F" w:rsidP="007647F0">
        <w:pPr>
          <w:pStyle w:val="Footer"/>
          <w:jc w:val="center"/>
        </w:pPr>
        <w:r w:rsidRPr="00350F89">
          <w:rPr>
            <w:b/>
            <w:bCs/>
          </w:rPr>
          <w:fldChar w:fldCharType="begin"/>
        </w:r>
        <w:r w:rsidRPr="00350F89">
          <w:rPr>
            <w:b/>
            <w:bCs/>
          </w:rPr>
          <w:instrText xml:space="preserve"> PAGE   \* MERGEFORMAT </w:instrText>
        </w:r>
        <w:r w:rsidRPr="00350F89">
          <w:rPr>
            <w:b/>
            <w:bCs/>
          </w:rPr>
          <w:fldChar w:fldCharType="separate"/>
        </w:r>
        <w:r>
          <w:rPr>
            <w:b/>
            <w:bCs/>
            <w:noProof/>
          </w:rPr>
          <w:t>35</w:t>
        </w:r>
        <w:r w:rsidRPr="00350F89">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98A6" w14:textId="77777777" w:rsidR="005B3F49" w:rsidRDefault="005B3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53C52" w14:textId="77777777" w:rsidR="00AE7FDC" w:rsidRDefault="00AE7FDC" w:rsidP="00124A51">
      <w:r>
        <w:separator/>
      </w:r>
    </w:p>
    <w:p w14:paraId="15A7FEEB" w14:textId="77777777" w:rsidR="00AE7FDC" w:rsidRDefault="00AE7FDC"/>
  </w:footnote>
  <w:footnote w:type="continuationSeparator" w:id="0">
    <w:p w14:paraId="20D4F0FB" w14:textId="77777777" w:rsidR="00AE7FDC" w:rsidRDefault="00AE7FDC" w:rsidP="00124A51">
      <w:r>
        <w:continuationSeparator/>
      </w:r>
    </w:p>
    <w:p w14:paraId="242D9B1C" w14:textId="77777777" w:rsidR="00AE7FDC" w:rsidRDefault="00AE7FDC"/>
  </w:footnote>
  <w:footnote w:id="1">
    <w:p w14:paraId="25D961F4" w14:textId="1EBD9424" w:rsidR="00EA0E1F" w:rsidRDefault="00EA0E1F">
      <w:pPr>
        <w:pStyle w:val="FootnoteText"/>
      </w:pPr>
      <w:r>
        <w:rPr>
          <w:rStyle w:val="FootnoteReference"/>
        </w:rPr>
        <w:footnoteRef/>
      </w:r>
      <w:r>
        <w:t xml:space="preserve"> </w:t>
      </w:r>
      <w:r w:rsidRPr="000907F4">
        <w:rPr>
          <w:rFonts w:ascii="Arial Narrow" w:hAnsi="Arial Narrow"/>
        </w:rPr>
        <w:t>The pre-PBAC response state</w:t>
      </w:r>
      <w:r>
        <w:rPr>
          <w:rFonts w:ascii="Arial Narrow" w:hAnsi="Arial Narrow"/>
        </w:rPr>
        <w:t>d</w:t>
      </w:r>
      <w:r w:rsidRPr="000907F4">
        <w:rPr>
          <w:rFonts w:ascii="Arial Narrow" w:hAnsi="Arial Narrow"/>
        </w:rPr>
        <w:t xml:space="preserve"> that th</w:t>
      </w:r>
      <w:r>
        <w:rPr>
          <w:rFonts w:ascii="Arial Narrow" w:hAnsi="Arial Narrow"/>
        </w:rPr>
        <w:t>e</w:t>
      </w:r>
      <w:r w:rsidRPr="000907F4">
        <w:rPr>
          <w:rFonts w:ascii="Arial Narrow" w:hAnsi="Arial Narrow"/>
        </w:rPr>
        <w:t xml:space="preserve"> ICER </w:t>
      </w:r>
      <w:r>
        <w:rPr>
          <w:rFonts w:ascii="Arial Narrow" w:hAnsi="Arial Narrow"/>
        </w:rPr>
        <w:t xml:space="preserve">for this scenario would be </w:t>
      </w:r>
      <w:r w:rsidR="008F5FFE" w:rsidRPr="008F5FFE">
        <w:rPr>
          <w:rFonts w:ascii="Arial Narrow" w:hAnsi="Arial Narrow"/>
        </w:rPr>
        <w:t>$75,000 to &lt; $95,000</w:t>
      </w:r>
      <w:r w:rsidR="00D97BF8">
        <w:rPr>
          <w:rFonts w:ascii="Arial Narrow" w:hAnsi="Arial Narrow"/>
        </w:rPr>
        <w:t xml:space="preserve"> </w:t>
      </w:r>
      <w:r>
        <w:rPr>
          <w:rFonts w:ascii="Arial Narrow" w:hAnsi="Arial Narrow"/>
        </w:rPr>
        <w:t>per QALY</w:t>
      </w:r>
      <w:r w:rsidRPr="000907F4">
        <w:rPr>
          <w:rFonts w:ascii="Arial Narrow" w:hAnsi="Arial Narrow"/>
        </w:rPr>
        <w:t xml:space="preserve">, but </w:t>
      </w:r>
      <w:r>
        <w:rPr>
          <w:rFonts w:ascii="Arial Narrow" w:hAnsi="Arial Narrow"/>
        </w:rPr>
        <w:t xml:space="preserve">this was </w:t>
      </w:r>
      <w:r w:rsidRPr="008A5608">
        <w:rPr>
          <w:rFonts w:ascii="Arial Narrow" w:hAnsi="Arial Narrow"/>
        </w:rPr>
        <w:t>using 51.7 months as the extrapolation point, rather than 55 cycles.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A0E7D" w14:textId="77777777" w:rsidR="005B3F49" w:rsidRDefault="005B3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EE99" w14:textId="1DC2D7E6" w:rsidR="00EA0E1F" w:rsidRPr="00350F89" w:rsidRDefault="00835984" w:rsidP="00350F89">
    <w:pPr>
      <w:tabs>
        <w:tab w:val="left" w:pos="142"/>
        <w:tab w:val="right" w:pos="9027"/>
      </w:tabs>
      <w:jc w:val="center"/>
      <w:rPr>
        <w:i/>
        <w:iCs/>
      </w:rPr>
    </w:pPr>
    <w:r>
      <w:rPr>
        <w:i/>
        <w:iCs/>
      </w:rPr>
      <w:t>Public Summary Document</w:t>
    </w:r>
    <w:r w:rsidR="00EA0E1F" w:rsidRPr="00350F89">
      <w:rPr>
        <w:i/>
        <w:iCs/>
      </w:rPr>
      <w:t xml:space="preserve"> – July 2022 PBAC Meeting</w:t>
    </w:r>
    <w:r w:rsidR="00732D82">
      <w:rPr>
        <w:i/>
        <w:iCs/>
      </w:rPr>
      <w:t xml:space="preserve"> with September 2022</w:t>
    </w:r>
    <w:r w:rsidR="001E7B40">
      <w:rPr>
        <w:i/>
        <w:iCs/>
      </w:rPr>
      <w:t xml:space="preserve"> PBAC Intracycle Meeting</w:t>
    </w:r>
    <w:r w:rsidR="00CC4D9A">
      <w:rPr>
        <w:i/>
        <w:iCs/>
      </w:rPr>
      <w:t xml:space="preserve"> Addendum with Corrigendum</w:t>
    </w:r>
  </w:p>
  <w:p w14:paraId="6F78BCA4" w14:textId="77777777" w:rsidR="00EA0E1F" w:rsidRDefault="00EA0E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D40A5" w14:textId="77777777" w:rsidR="005B3F49" w:rsidRDefault="005B3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7D291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CE171A"/>
    <w:multiLevelType w:val="multilevel"/>
    <w:tmpl w:val="DEB8DB28"/>
    <w:lvl w:ilvl="0">
      <w:start w:val="1"/>
      <w:numFmt w:val="decimal"/>
      <w:lvlText w:val="%1"/>
      <w:lvlJc w:val="left"/>
      <w:pPr>
        <w:ind w:left="720" w:hanging="720"/>
      </w:pPr>
      <w:rPr>
        <w:rFonts w:hint="default"/>
        <w:b/>
      </w:rPr>
    </w:lvl>
    <w:lvl w:ilvl="1">
      <w:start w:val="1"/>
      <w:numFmt w:val="lowerRoman"/>
      <w:lvlText w:val="%2."/>
      <w:lvlJc w:val="right"/>
      <w:pPr>
        <w:ind w:left="6816" w:hanging="720"/>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E156B5"/>
    <w:multiLevelType w:val="multilevel"/>
    <w:tmpl w:val="59E408A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143685"/>
    <w:multiLevelType w:val="hybridMultilevel"/>
    <w:tmpl w:val="8200E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257E48"/>
    <w:multiLevelType w:val="hybridMultilevel"/>
    <w:tmpl w:val="6074ACD4"/>
    <w:lvl w:ilvl="0" w:tplc="30EAD55A">
      <w:start w:val="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AD3158"/>
    <w:multiLevelType w:val="hybridMultilevel"/>
    <w:tmpl w:val="79B696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69D0CEF"/>
    <w:multiLevelType w:val="hybridMultilevel"/>
    <w:tmpl w:val="F92CA944"/>
    <w:lvl w:ilvl="0" w:tplc="577E13EE">
      <w:numFmt w:val="bullet"/>
      <w:lvlText w:val="-"/>
      <w:lvlJc w:val="left"/>
      <w:pPr>
        <w:ind w:left="720" w:hanging="360"/>
      </w:pPr>
      <w:rPr>
        <w:rFonts w:ascii="Arial Narrow" w:eastAsiaTheme="minorHAnsi"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F16B15"/>
    <w:multiLevelType w:val="hybridMultilevel"/>
    <w:tmpl w:val="B45E2F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432D0C"/>
    <w:multiLevelType w:val="hybridMultilevel"/>
    <w:tmpl w:val="A00A4A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54D05A7"/>
    <w:multiLevelType w:val="hybridMultilevel"/>
    <w:tmpl w:val="E62820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92E5045"/>
    <w:multiLevelType w:val="hybridMultilevel"/>
    <w:tmpl w:val="608C639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0180DB3"/>
    <w:multiLevelType w:val="multilevel"/>
    <w:tmpl w:val="11566820"/>
    <w:lvl w:ilvl="0">
      <w:start w:val="1"/>
      <w:numFmt w:val="decimal"/>
      <w:lvlText w:val="%1"/>
      <w:lvlJc w:val="left"/>
      <w:pPr>
        <w:ind w:left="720" w:hanging="720"/>
      </w:pPr>
      <w:rPr>
        <w:rFonts w:hint="default"/>
        <w:b/>
      </w:rPr>
    </w:lvl>
    <w:lvl w:ilvl="1">
      <w:start w:val="1"/>
      <w:numFmt w:val="bullet"/>
      <w:lvlText w:val=""/>
      <w:lvlJc w:val="left"/>
      <w:pPr>
        <w:ind w:left="6816"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166D55"/>
    <w:multiLevelType w:val="hybridMultilevel"/>
    <w:tmpl w:val="1466D3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516B40"/>
    <w:multiLevelType w:val="hybridMultilevel"/>
    <w:tmpl w:val="38046E1E"/>
    <w:lvl w:ilvl="0" w:tplc="B7167F66">
      <w:start w:val="1"/>
      <w:numFmt w:val="decimal"/>
      <w:lvlText w:val="%1."/>
      <w:lvlJc w:val="left"/>
      <w:pPr>
        <w:ind w:left="5032" w:hanging="360"/>
      </w:pPr>
      <w:rPr>
        <w:b w:val="0"/>
        <w:bCs w:val="0"/>
        <w:i w:val="0"/>
        <w:iCs w:val="0"/>
        <w:color w:val="auto"/>
      </w:rPr>
    </w:lvl>
    <w:lvl w:ilvl="1" w:tplc="0EF063E4">
      <w:start w:val="1"/>
      <w:numFmt w:val="lowerLetter"/>
      <w:lvlText w:val="%2."/>
      <w:lvlJc w:val="left"/>
      <w:pPr>
        <w:ind w:left="726" w:hanging="360"/>
      </w:pPr>
      <w:rPr>
        <w:rFonts w:hint="default"/>
        <w:i w:val="0"/>
        <w:iCs w:val="0"/>
      </w:r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21" w15:restartNumberingAfterBreak="0">
    <w:nsid w:val="458D67A6"/>
    <w:multiLevelType w:val="hybridMultilevel"/>
    <w:tmpl w:val="691AA37A"/>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526494"/>
    <w:multiLevelType w:val="hybridMultilevel"/>
    <w:tmpl w:val="90C2DD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EC05668"/>
    <w:multiLevelType w:val="hybridMultilevel"/>
    <w:tmpl w:val="BA7EFD28"/>
    <w:lvl w:ilvl="0" w:tplc="5C14E54C">
      <w:numFmt w:val="bullet"/>
      <w:lvlText w:val="-"/>
      <w:lvlJc w:val="left"/>
      <w:pPr>
        <w:ind w:left="1440" w:hanging="360"/>
      </w:pPr>
      <w:rPr>
        <w:rFonts w:ascii="Arial Narrow" w:eastAsiaTheme="minorHAnsi" w:hAnsi="Arial Narrow"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93CA35A2">
      <w:numFmt w:val="bullet"/>
      <w:lvlText w:val="-"/>
      <w:lvlJc w:val="left"/>
      <w:pPr>
        <w:ind w:left="2880" w:hanging="360"/>
      </w:pPr>
      <w:rPr>
        <w:rFonts w:ascii="Arial Narrow" w:eastAsiaTheme="minorHAnsi" w:hAnsi="Arial Narrow" w:cstheme="minorHAnsi"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F890903"/>
    <w:multiLevelType w:val="hybridMultilevel"/>
    <w:tmpl w:val="B9628EE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2560424"/>
    <w:multiLevelType w:val="hybridMultilevel"/>
    <w:tmpl w:val="085ADE4A"/>
    <w:lvl w:ilvl="0" w:tplc="A8786E5A">
      <w:start w:val="1"/>
      <w:numFmt w:val="lowerLetter"/>
      <w:lvlText w:val="%1)"/>
      <w:lvlJc w:val="left"/>
      <w:pPr>
        <w:ind w:left="720" w:hanging="360"/>
      </w:pPr>
      <w:rPr>
        <w:rFonts w:cs="Open San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AF100A"/>
    <w:multiLevelType w:val="multilevel"/>
    <w:tmpl w:val="11566820"/>
    <w:lvl w:ilvl="0">
      <w:start w:val="1"/>
      <w:numFmt w:val="decimal"/>
      <w:lvlText w:val="%1"/>
      <w:lvlJc w:val="left"/>
      <w:pPr>
        <w:ind w:left="720" w:hanging="720"/>
      </w:pPr>
      <w:rPr>
        <w:rFonts w:hint="default"/>
        <w:b/>
      </w:rPr>
    </w:lvl>
    <w:lvl w:ilvl="1">
      <w:start w:val="1"/>
      <w:numFmt w:val="bullet"/>
      <w:lvlText w:val=""/>
      <w:lvlJc w:val="left"/>
      <w:pPr>
        <w:ind w:left="6816"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15742E"/>
    <w:multiLevelType w:val="multilevel"/>
    <w:tmpl w:val="17BCDC86"/>
    <w:lvl w:ilvl="0">
      <w:start w:val="1"/>
      <w:numFmt w:val="none"/>
      <w:pStyle w:val="Chapter"/>
      <w:lvlText w:val=""/>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B8B1C5B"/>
    <w:multiLevelType w:val="hybridMultilevel"/>
    <w:tmpl w:val="28D254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2297A59"/>
    <w:multiLevelType w:val="hybridMultilevel"/>
    <w:tmpl w:val="CEAC30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F47E4C"/>
    <w:multiLevelType w:val="multilevel"/>
    <w:tmpl w:val="11566820"/>
    <w:lvl w:ilvl="0">
      <w:start w:val="1"/>
      <w:numFmt w:val="decimal"/>
      <w:lvlText w:val="%1"/>
      <w:lvlJc w:val="left"/>
      <w:pPr>
        <w:ind w:left="720" w:hanging="720"/>
      </w:pPr>
      <w:rPr>
        <w:rFonts w:hint="default"/>
        <w:b/>
      </w:rPr>
    </w:lvl>
    <w:lvl w:ilvl="1">
      <w:start w:val="1"/>
      <w:numFmt w:val="bullet"/>
      <w:lvlText w:val=""/>
      <w:lvlJc w:val="left"/>
      <w:pPr>
        <w:ind w:left="6816"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3CB0485"/>
    <w:multiLevelType w:val="hybridMultilevel"/>
    <w:tmpl w:val="7EA64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6816"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EC5B55"/>
    <w:multiLevelType w:val="hybridMultilevel"/>
    <w:tmpl w:val="2BA6EDB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EC272B"/>
    <w:multiLevelType w:val="hybridMultilevel"/>
    <w:tmpl w:val="4DA634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07706481">
    <w:abstractNumId w:val="36"/>
  </w:num>
  <w:num w:numId="2" w16cid:durableId="1774742683">
    <w:abstractNumId w:val="19"/>
  </w:num>
  <w:num w:numId="3" w16cid:durableId="1537233846">
    <w:abstractNumId w:val="21"/>
  </w:num>
  <w:num w:numId="4" w16cid:durableId="1794903878">
    <w:abstractNumId w:val="0"/>
  </w:num>
  <w:num w:numId="5" w16cid:durableId="1064333578">
    <w:abstractNumId w:val="36"/>
  </w:num>
  <w:num w:numId="6" w16cid:durableId="1600408442">
    <w:abstractNumId w:val="38"/>
  </w:num>
  <w:num w:numId="7" w16cid:durableId="1040321770">
    <w:abstractNumId w:val="24"/>
  </w:num>
  <w:num w:numId="8" w16cid:durableId="896403950">
    <w:abstractNumId w:val="16"/>
  </w:num>
  <w:num w:numId="9" w16cid:durableId="2029334084">
    <w:abstractNumId w:val="12"/>
  </w:num>
  <w:num w:numId="10" w16cid:durableId="1265263389">
    <w:abstractNumId w:val="31"/>
  </w:num>
  <w:num w:numId="11" w16cid:durableId="1613396166">
    <w:abstractNumId w:val="28"/>
  </w:num>
  <w:num w:numId="12" w16cid:durableId="2114662717">
    <w:abstractNumId w:val="29"/>
  </w:num>
  <w:num w:numId="13" w16cid:durableId="1977756583">
    <w:abstractNumId w:val="20"/>
  </w:num>
  <w:num w:numId="14" w16cid:durableId="1197541338">
    <w:abstractNumId w:val="33"/>
  </w:num>
  <w:num w:numId="15" w16cid:durableId="2026132973">
    <w:abstractNumId w:val="0"/>
  </w:num>
  <w:num w:numId="16" w16cid:durableId="1361390815">
    <w:abstractNumId w:val="0"/>
  </w:num>
  <w:num w:numId="17" w16cid:durableId="1285842123">
    <w:abstractNumId w:val="0"/>
  </w:num>
  <w:num w:numId="18" w16cid:durableId="217205621">
    <w:abstractNumId w:val="0"/>
  </w:num>
  <w:num w:numId="19" w16cid:durableId="1920479215">
    <w:abstractNumId w:val="37"/>
  </w:num>
  <w:num w:numId="20" w16cid:durableId="113208185">
    <w:abstractNumId w:val="4"/>
  </w:num>
  <w:num w:numId="21" w16cid:durableId="266735977">
    <w:abstractNumId w:val="6"/>
  </w:num>
  <w:num w:numId="22" w16cid:durableId="13121413">
    <w:abstractNumId w:val="0"/>
  </w:num>
  <w:num w:numId="23" w16cid:durableId="2075201796">
    <w:abstractNumId w:val="0"/>
  </w:num>
  <w:num w:numId="24" w16cid:durableId="1746219077">
    <w:abstractNumId w:val="7"/>
  </w:num>
  <w:num w:numId="25" w16cid:durableId="1457333973">
    <w:abstractNumId w:val="0"/>
  </w:num>
  <w:num w:numId="26" w16cid:durableId="33115460">
    <w:abstractNumId w:val="3"/>
  </w:num>
  <w:num w:numId="27" w16cid:durableId="915675758">
    <w:abstractNumId w:val="26"/>
  </w:num>
  <w:num w:numId="28" w16cid:durableId="382146693">
    <w:abstractNumId w:val="5"/>
  </w:num>
  <w:num w:numId="29" w16cid:durableId="18436692">
    <w:abstractNumId w:val="1"/>
  </w:num>
  <w:num w:numId="30" w16cid:durableId="214702339">
    <w:abstractNumId w:val="9"/>
  </w:num>
  <w:num w:numId="31" w16cid:durableId="1776169862">
    <w:abstractNumId w:val="13"/>
  </w:num>
  <w:num w:numId="32" w16cid:durableId="153879234">
    <w:abstractNumId w:val="8"/>
  </w:num>
  <w:num w:numId="33" w16cid:durableId="783116205">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6761945">
    <w:abstractNumId w:val="34"/>
  </w:num>
  <w:num w:numId="35" w16cid:durableId="670912513">
    <w:abstractNumId w:val="2"/>
  </w:num>
  <w:num w:numId="36" w16cid:durableId="890846025">
    <w:abstractNumId w:val="32"/>
  </w:num>
  <w:num w:numId="37" w16cid:durableId="83653914">
    <w:abstractNumId w:val="27"/>
  </w:num>
  <w:num w:numId="38" w16cid:durableId="1998531821">
    <w:abstractNumId w:val="17"/>
  </w:num>
  <w:num w:numId="39" w16cid:durableId="859322967">
    <w:abstractNumId w:val="15"/>
  </w:num>
  <w:num w:numId="40" w16cid:durableId="700014469">
    <w:abstractNumId w:val="36"/>
  </w:num>
  <w:num w:numId="41" w16cid:durableId="2093700760">
    <w:abstractNumId w:val="36"/>
  </w:num>
  <w:num w:numId="42" w16cid:durableId="38365093">
    <w:abstractNumId w:val="35"/>
  </w:num>
  <w:num w:numId="43" w16cid:durableId="780803948">
    <w:abstractNumId w:val="11"/>
  </w:num>
  <w:num w:numId="44" w16cid:durableId="2025744111">
    <w:abstractNumId w:val="23"/>
  </w:num>
  <w:num w:numId="45" w16cid:durableId="1530484272">
    <w:abstractNumId w:val="22"/>
  </w:num>
  <w:num w:numId="46" w16cid:durableId="1178735506">
    <w:abstractNumId w:val="10"/>
  </w:num>
  <w:num w:numId="47" w16cid:durableId="862137265">
    <w:abstractNumId w:val="25"/>
  </w:num>
  <w:num w:numId="48" w16cid:durableId="1838568679">
    <w:abstractNumId w:val="14"/>
  </w:num>
  <w:num w:numId="49" w16cid:durableId="130354061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6FD"/>
    <w:rsid w:val="00000790"/>
    <w:rsid w:val="0000110B"/>
    <w:rsid w:val="000019BA"/>
    <w:rsid w:val="00003499"/>
    <w:rsid w:val="000039B7"/>
    <w:rsid w:val="000051C4"/>
    <w:rsid w:val="0000639A"/>
    <w:rsid w:val="00010E66"/>
    <w:rsid w:val="00011576"/>
    <w:rsid w:val="00013247"/>
    <w:rsid w:val="00013DF6"/>
    <w:rsid w:val="0001434D"/>
    <w:rsid w:val="00015886"/>
    <w:rsid w:val="000162EF"/>
    <w:rsid w:val="000171CA"/>
    <w:rsid w:val="00017B0D"/>
    <w:rsid w:val="000207C9"/>
    <w:rsid w:val="00020E8B"/>
    <w:rsid w:val="000218D4"/>
    <w:rsid w:val="0002225F"/>
    <w:rsid w:val="00023763"/>
    <w:rsid w:val="000260E0"/>
    <w:rsid w:val="000270A2"/>
    <w:rsid w:val="000274B8"/>
    <w:rsid w:val="00027C46"/>
    <w:rsid w:val="00030977"/>
    <w:rsid w:val="0003220F"/>
    <w:rsid w:val="00032BAE"/>
    <w:rsid w:val="00033863"/>
    <w:rsid w:val="0003444B"/>
    <w:rsid w:val="00035DC0"/>
    <w:rsid w:val="00035F33"/>
    <w:rsid w:val="00036829"/>
    <w:rsid w:val="00036D35"/>
    <w:rsid w:val="00040895"/>
    <w:rsid w:val="000435EE"/>
    <w:rsid w:val="00043C37"/>
    <w:rsid w:val="00044E22"/>
    <w:rsid w:val="00045017"/>
    <w:rsid w:val="00045A2B"/>
    <w:rsid w:val="00046545"/>
    <w:rsid w:val="0004698F"/>
    <w:rsid w:val="0004709F"/>
    <w:rsid w:val="000511D9"/>
    <w:rsid w:val="000539D0"/>
    <w:rsid w:val="00054621"/>
    <w:rsid w:val="000546D7"/>
    <w:rsid w:val="00054981"/>
    <w:rsid w:val="00056953"/>
    <w:rsid w:val="00056ECF"/>
    <w:rsid w:val="000604DF"/>
    <w:rsid w:val="00060B0E"/>
    <w:rsid w:val="000619F8"/>
    <w:rsid w:val="000653B5"/>
    <w:rsid w:val="00065B69"/>
    <w:rsid w:val="00065E4C"/>
    <w:rsid w:val="00066360"/>
    <w:rsid w:val="00066AF8"/>
    <w:rsid w:val="00067DCE"/>
    <w:rsid w:val="0007094F"/>
    <w:rsid w:val="00071248"/>
    <w:rsid w:val="0007194F"/>
    <w:rsid w:val="000720B9"/>
    <w:rsid w:val="000737F7"/>
    <w:rsid w:val="000741FB"/>
    <w:rsid w:val="0007672F"/>
    <w:rsid w:val="00076B54"/>
    <w:rsid w:val="000774F0"/>
    <w:rsid w:val="00080909"/>
    <w:rsid w:val="000812CA"/>
    <w:rsid w:val="00081E63"/>
    <w:rsid w:val="000820DB"/>
    <w:rsid w:val="0008258D"/>
    <w:rsid w:val="00083E99"/>
    <w:rsid w:val="000848E7"/>
    <w:rsid w:val="00084FA8"/>
    <w:rsid w:val="00084FCC"/>
    <w:rsid w:val="000856C5"/>
    <w:rsid w:val="0008592E"/>
    <w:rsid w:val="00085944"/>
    <w:rsid w:val="00085C31"/>
    <w:rsid w:val="00086329"/>
    <w:rsid w:val="00086F29"/>
    <w:rsid w:val="000902D9"/>
    <w:rsid w:val="000907F4"/>
    <w:rsid w:val="00090C7E"/>
    <w:rsid w:val="00091169"/>
    <w:rsid w:val="00092600"/>
    <w:rsid w:val="0009262B"/>
    <w:rsid w:val="0009272F"/>
    <w:rsid w:val="00093310"/>
    <w:rsid w:val="0009445C"/>
    <w:rsid w:val="00095200"/>
    <w:rsid w:val="00095FE5"/>
    <w:rsid w:val="00096284"/>
    <w:rsid w:val="000A163E"/>
    <w:rsid w:val="000A1BC0"/>
    <w:rsid w:val="000A2084"/>
    <w:rsid w:val="000A3F92"/>
    <w:rsid w:val="000A6039"/>
    <w:rsid w:val="000A6C5D"/>
    <w:rsid w:val="000A7142"/>
    <w:rsid w:val="000A7453"/>
    <w:rsid w:val="000A7D08"/>
    <w:rsid w:val="000B00C1"/>
    <w:rsid w:val="000B0121"/>
    <w:rsid w:val="000B05CA"/>
    <w:rsid w:val="000B0670"/>
    <w:rsid w:val="000B0E75"/>
    <w:rsid w:val="000B2DCB"/>
    <w:rsid w:val="000B32EB"/>
    <w:rsid w:val="000B5C86"/>
    <w:rsid w:val="000B5CE0"/>
    <w:rsid w:val="000B6CAC"/>
    <w:rsid w:val="000B7612"/>
    <w:rsid w:val="000B78AE"/>
    <w:rsid w:val="000C0F44"/>
    <w:rsid w:val="000C1F13"/>
    <w:rsid w:val="000C28C1"/>
    <w:rsid w:val="000C3DF9"/>
    <w:rsid w:val="000C538D"/>
    <w:rsid w:val="000C5C16"/>
    <w:rsid w:val="000C6713"/>
    <w:rsid w:val="000C7666"/>
    <w:rsid w:val="000C7676"/>
    <w:rsid w:val="000D1BFC"/>
    <w:rsid w:val="000D1D5D"/>
    <w:rsid w:val="000D281A"/>
    <w:rsid w:val="000D2848"/>
    <w:rsid w:val="000D326A"/>
    <w:rsid w:val="000D38D4"/>
    <w:rsid w:val="000D4959"/>
    <w:rsid w:val="000D51FB"/>
    <w:rsid w:val="000D6E8C"/>
    <w:rsid w:val="000D7AF9"/>
    <w:rsid w:val="000E0640"/>
    <w:rsid w:val="000E0CB4"/>
    <w:rsid w:val="000E135D"/>
    <w:rsid w:val="000E3A1A"/>
    <w:rsid w:val="000E440D"/>
    <w:rsid w:val="000E5F4B"/>
    <w:rsid w:val="000E6572"/>
    <w:rsid w:val="000F00BA"/>
    <w:rsid w:val="000F0268"/>
    <w:rsid w:val="000F07BB"/>
    <w:rsid w:val="000F316A"/>
    <w:rsid w:val="000F3C74"/>
    <w:rsid w:val="000F4BB8"/>
    <w:rsid w:val="000F4FA9"/>
    <w:rsid w:val="000F53FB"/>
    <w:rsid w:val="000F7127"/>
    <w:rsid w:val="000F7B54"/>
    <w:rsid w:val="00100ACE"/>
    <w:rsid w:val="00100F8A"/>
    <w:rsid w:val="0010205E"/>
    <w:rsid w:val="001025C2"/>
    <w:rsid w:val="00103025"/>
    <w:rsid w:val="001033AD"/>
    <w:rsid w:val="0010394A"/>
    <w:rsid w:val="00103AB5"/>
    <w:rsid w:val="0010452E"/>
    <w:rsid w:val="001054E4"/>
    <w:rsid w:val="001056E2"/>
    <w:rsid w:val="00105768"/>
    <w:rsid w:val="00105AE2"/>
    <w:rsid w:val="001060C6"/>
    <w:rsid w:val="00106B80"/>
    <w:rsid w:val="0011032E"/>
    <w:rsid w:val="00110BCA"/>
    <w:rsid w:val="001110D3"/>
    <w:rsid w:val="00112195"/>
    <w:rsid w:val="0011348B"/>
    <w:rsid w:val="001135AC"/>
    <w:rsid w:val="00113E86"/>
    <w:rsid w:val="0011410F"/>
    <w:rsid w:val="00114B24"/>
    <w:rsid w:val="00115982"/>
    <w:rsid w:val="0011604E"/>
    <w:rsid w:val="0011638B"/>
    <w:rsid w:val="00116C53"/>
    <w:rsid w:val="001171E8"/>
    <w:rsid w:val="0011741E"/>
    <w:rsid w:val="0011742E"/>
    <w:rsid w:val="001177D0"/>
    <w:rsid w:val="001201F5"/>
    <w:rsid w:val="001211EA"/>
    <w:rsid w:val="00121799"/>
    <w:rsid w:val="001222FC"/>
    <w:rsid w:val="0012353A"/>
    <w:rsid w:val="00123902"/>
    <w:rsid w:val="00123D63"/>
    <w:rsid w:val="0012442C"/>
    <w:rsid w:val="001244EA"/>
    <w:rsid w:val="00124A51"/>
    <w:rsid w:val="00124D1A"/>
    <w:rsid w:val="00126621"/>
    <w:rsid w:val="00126B1D"/>
    <w:rsid w:val="00127009"/>
    <w:rsid w:val="001301E9"/>
    <w:rsid w:val="00131D82"/>
    <w:rsid w:val="0013208D"/>
    <w:rsid w:val="00132B22"/>
    <w:rsid w:val="00133B94"/>
    <w:rsid w:val="00133D36"/>
    <w:rsid w:val="00134DEE"/>
    <w:rsid w:val="0013644A"/>
    <w:rsid w:val="00137645"/>
    <w:rsid w:val="0014015A"/>
    <w:rsid w:val="00140E02"/>
    <w:rsid w:val="00140E99"/>
    <w:rsid w:val="00141831"/>
    <w:rsid w:val="00143F67"/>
    <w:rsid w:val="00145540"/>
    <w:rsid w:val="001456B0"/>
    <w:rsid w:val="00150DAE"/>
    <w:rsid w:val="001523BB"/>
    <w:rsid w:val="00153537"/>
    <w:rsid w:val="00153C88"/>
    <w:rsid w:val="0015442E"/>
    <w:rsid w:val="00154DFE"/>
    <w:rsid w:val="00156155"/>
    <w:rsid w:val="00156F8F"/>
    <w:rsid w:val="00157130"/>
    <w:rsid w:val="001576B1"/>
    <w:rsid w:val="0016047B"/>
    <w:rsid w:val="00160654"/>
    <w:rsid w:val="00160A4C"/>
    <w:rsid w:val="00160DCC"/>
    <w:rsid w:val="00161A39"/>
    <w:rsid w:val="00161B52"/>
    <w:rsid w:val="00162913"/>
    <w:rsid w:val="00162984"/>
    <w:rsid w:val="00163EFF"/>
    <w:rsid w:val="00163F66"/>
    <w:rsid w:val="00164EBE"/>
    <w:rsid w:val="001661FB"/>
    <w:rsid w:val="001666C3"/>
    <w:rsid w:val="001671A0"/>
    <w:rsid w:val="0016767F"/>
    <w:rsid w:val="00173565"/>
    <w:rsid w:val="00173B07"/>
    <w:rsid w:val="00174EFC"/>
    <w:rsid w:val="00175078"/>
    <w:rsid w:val="001751FA"/>
    <w:rsid w:val="001760E7"/>
    <w:rsid w:val="0017656A"/>
    <w:rsid w:val="00176FA6"/>
    <w:rsid w:val="00176FAF"/>
    <w:rsid w:val="00180448"/>
    <w:rsid w:val="00181D9C"/>
    <w:rsid w:val="00182949"/>
    <w:rsid w:val="00184B0E"/>
    <w:rsid w:val="00184CAF"/>
    <w:rsid w:val="0018752F"/>
    <w:rsid w:val="001913B3"/>
    <w:rsid w:val="00192336"/>
    <w:rsid w:val="001923C0"/>
    <w:rsid w:val="00192CBA"/>
    <w:rsid w:val="00193838"/>
    <w:rsid w:val="00194AD8"/>
    <w:rsid w:val="00195222"/>
    <w:rsid w:val="00196093"/>
    <w:rsid w:val="00196BB8"/>
    <w:rsid w:val="001975D8"/>
    <w:rsid w:val="001A0A3A"/>
    <w:rsid w:val="001A1470"/>
    <w:rsid w:val="001A178E"/>
    <w:rsid w:val="001A43FA"/>
    <w:rsid w:val="001A47C5"/>
    <w:rsid w:val="001A48F7"/>
    <w:rsid w:val="001A5747"/>
    <w:rsid w:val="001A59FB"/>
    <w:rsid w:val="001A5E9E"/>
    <w:rsid w:val="001A6354"/>
    <w:rsid w:val="001A6366"/>
    <w:rsid w:val="001A7AE8"/>
    <w:rsid w:val="001B204E"/>
    <w:rsid w:val="001B2372"/>
    <w:rsid w:val="001B3443"/>
    <w:rsid w:val="001B4D20"/>
    <w:rsid w:val="001B4DDA"/>
    <w:rsid w:val="001C02AA"/>
    <w:rsid w:val="001C0B4E"/>
    <w:rsid w:val="001C283B"/>
    <w:rsid w:val="001C2A9B"/>
    <w:rsid w:val="001C39BD"/>
    <w:rsid w:val="001C4299"/>
    <w:rsid w:val="001C46EE"/>
    <w:rsid w:val="001C4874"/>
    <w:rsid w:val="001C53D8"/>
    <w:rsid w:val="001C57B4"/>
    <w:rsid w:val="001C57E0"/>
    <w:rsid w:val="001C5F94"/>
    <w:rsid w:val="001C6E66"/>
    <w:rsid w:val="001C7F75"/>
    <w:rsid w:val="001D08BD"/>
    <w:rsid w:val="001D1100"/>
    <w:rsid w:val="001D1391"/>
    <w:rsid w:val="001D1F6A"/>
    <w:rsid w:val="001D25D7"/>
    <w:rsid w:val="001D50B2"/>
    <w:rsid w:val="001D7645"/>
    <w:rsid w:val="001D7B6C"/>
    <w:rsid w:val="001E1E86"/>
    <w:rsid w:val="001E238E"/>
    <w:rsid w:val="001E2483"/>
    <w:rsid w:val="001E27DA"/>
    <w:rsid w:val="001E2B1E"/>
    <w:rsid w:val="001E2CFF"/>
    <w:rsid w:val="001E2F24"/>
    <w:rsid w:val="001E30D1"/>
    <w:rsid w:val="001E30D4"/>
    <w:rsid w:val="001E34DF"/>
    <w:rsid w:val="001E3617"/>
    <w:rsid w:val="001E3AA5"/>
    <w:rsid w:val="001E52EB"/>
    <w:rsid w:val="001E61D2"/>
    <w:rsid w:val="001E6B7A"/>
    <w:rsid w:val="001E740C"/>
    <w:rsid w:val="001E77C9"/>
    <w:rsid w:val="001E7B40"/>
    <w:rsid w:val="001F0A11"/>
    <w:rsid w:val="001F1235"/>
    <w:rsid w:val="001F14C1"/>
    <w:rsid w:val="001F1A7F"/>
    <w:rsid w:val="001F1CB3"/>
    <w:rsid w:val="001F2038"/>
    <w:rsid w:val="001F2EE7"/>
    <w:rsid w:val="001F38B5"/>
    <w:rsid w:val="001F4006"/>
    <w:rsid w:val="001F4081"/>
    <w:rsid w:val="001F492F"/>
    <w:rsid w:val="001F5803"/>
    <w:rsid w:val="001F63FE"/>
    <w:rsid w:val="001F6424"/>
    <w:rsid w:val="001F7361"/>
    <w:rsid w:val="001F7F89"/>
    <w:rsid w:val="002010FD"/>
    <w:rsid w:val="002011B0"/>
    <w:rsid w:val="00202237"/>
    <w:rsid w:val="002025CD"/>
    <w:rsid w:val="0020264F"/>
    <w:rsid w:val="00202A30"/>
    <w:rsid w:val="00203181"/>
    <w:rsid w:val="00203783"/>
    <w:rsid w:val="0020385F"/>
    <w:rsid w:val="002049AA"/>
    <w:rsid w:val="002068A0"/>
    <w:rsid w:val="00206B2F"/>
    <w:rsid w:val="00207021"/>
    <w:rsid w:val="0020732F"/>
    <w:rsid w:val="00207D00"/>
    <w:rsid w:val="002105C1"/>
    <w:rsid w:val="00210D3E"/>
    <w:rsid w:val="00210D5D"/>
    <w:rsid w:val="00213149"/>
    <w:rsid w:val="00213EF5"/>
    <w:rsid w:val="002150CA"/>
    <w:rsid w:val="002150EF"/>
    <w:rsid w:val="00216BF5"/>
    <w:rsid w:val="00223B49"/>
    <w:rsid w:val="00223D5A"/>
    <w:rsid w:val="00224B91"/>
    <w:rsid w:val="00224DD4"/>
    <w:rsid w:val="002251A5"/>
    <w:rsid w:val="0022677B"/>
    <w:rsid w:val="002278A0"/>
    <w:rsid w:val="002309CC"/>
    <w:rsid w:val="002311D2"/>
    <w:rsid w:val="0023209F"/>
    <w:rsid w:val="00233C01"/>
    <w:rsid w:val="00234137"/>
    <w:rsid w:val="0023413C"/>
    <w:rsid w:val="002346F0"/>
    <w:rsid w:val="00235534"/>
    <w:rsid w:val="002360D0"/>
    <w:rsid w:val="0023629D"/>
    <w:rsid w:val="00236503"/>
    <w:rsid w:val="00237255"/>
    <w:rsid w:val="00237FE2"/>
    <w:rsid w:val="00237FE3"/>
    <w:rsid w:val="0024132A"/>
    <w:rsid w:val="00241EE8"/>
    <w:rsid w:val="002424AF"/>
    <w:rsid w:val="002439DC"/>
    <w:rsid w:val="00243C26"/>
    <w:rsid w:val="002441D2"/>
    <w:rsid w:val="00244DC8"/>
    <w:rsid w:val="002458BA"/>
    <w:rsid w:val="00245CE9"/>
    <w:rsid w:val="00246129"/>
    <w:rsid w:val="0024636C"/>
    <w:rsid w:val="00246FF8"/>
    <w:rsid w:val="00247925"/>
    <w:rsid w:val="00250074"/>
    <w:rsid w:val="00251006"/>
    <w:rsid w:val="002524D5"/>
    <w:rsid w:val="00253B1D"/>
    <w:rsid w:val="0025400C"/>
    <w:rsid w:val="00254DCF"/>
    <w:rsid w:val="0025534B"/>
    <w:rsid w:val="00255561"/>
    <w:rsid w:val="00255BB7"/>
    <w:rsid w:val="00257120"/>
    <w:rsid w:val="002574C9"/>
    <w:rsid w:val="00257541"/>
    <w:rsid w:val="00257980"/>
    <w:rsid w:val="00257A39"/>
    <w:rsid w:val="00257AC4"/>
    <w:rsid w:val="00261EEF"/>
    <w:rsid w:val="00262A1A"/>
    <w:rsid w:val="00262A87"/>
    <w:rsid w:val="00262EC2"/>
    <w:rsid w:val="00263163"/>
    <w:rsid w:val="00264399"/>
    <w:rsid w:val="00264652"/>
    <w:rsid w:val="00264D26"/>
    <w:rsid w:val="002652BF"/>
    <w:rsid w:val="0026542F"/>
    <w:rsid w:val="00267642"/>
    <w:rsid w:val="00267AEA"/>
    <w:rsid w:val="002700E6"/>
    <w:rsid w:val="0027067F"/>
    <w:rsid w:val="00270BD4"/>
    <w:rsid w:val="0027294B"/>
    <w:rsid w:val="00273291"/>
    <w:rsid w:val="00273EB4"/>
    <w:rsid w:val="00273FC8"/>
    <w:rsid w:val="00274682"/>
    <w:rsid w:val="00275107"/>
    <w:rsid w:val="00275C5A"/>
    <w:rsid w:val="00280D2A"/>
    <w:rsid w:val="00281014"/>
    <w:rsid w:val="00284B3E"/>
    <w:rsid w:val="00285E02"/>
    <w:rsid w:val="00286367"/>
    <w:rsid w:val="0028651C"/>
    <w:rsid w:val="002865B4"/>
    <w:rsid w:val="0028665D"/>
    <w:rsid w:val="0029059E"/>
    <w:rsid w:val="002A14AB"/>
    <w:rsid w:val="002A2906"/>
    <w:rsid w:val="002A2ADE"/>
    <w:rsid w:val="002A2B88"/>
    <w:rsid w:val="002A2F50"/>
    <w:rsid w:val="002A67C2"/>
    <w:rsid w:val="002B05A1"/>
    <w:rsid w:val="002B09A4"/>
    <w:rsid w:val="002B1035"/>
    <w:rsid w:val="002B1C1F"/>
    <w:rsid w:val="002B204D"/>
    <w:rsid w:val="002B37F2"/>
    <w:rsid w:val="002B432F"/>
    <w:rsid w:val="002B4B54"/>
    <w:rsid w:val="002B5593"/>
    <w:rsid w:val="002B62B3"/>
    <w:rsid w:val="002B64CA"/>
    <w:rsid w:val="002B66D5"/>
    <w:rsid w:val="002B6754"/>
    <w:rsid w:val="002B67BC"/>
    <w:rsid w:val="002B6CCE"/>
    <w:rsid w:val="002B6F8A"/>
    <w:rsid w:val="002C0552"/>
    <w:rsid w:val="002C2510"/>
    <w:rsid w:val="002C2775"/>
    <w:rsid w:val="002C27C1"/>
    <w:rsid w:val="002C4F49"/>
    <w:rsid w:val="002C5099"/>
    <w:rsid w:val="002C5889"/>
    <w:rsid w:val="002C71CE"/>
    <w:rsid w:val="002C71D2"/>
    <w:rsid w:val="002C7429"/>
    <w:rsid w:val="002D0838"/>
    <w:rsid w:val="002D08F8"/>
    <w:rsid w:val="002D1BB0"/>
    <w:rsid w:val="002D54E0"/>
    <w:rsid w:val="002D577C"/>
    <w:rsid w:val="002D59A5"/>
    <w:rsid w:val="002E02D4"/>
    <w:rsid w:val="002E1071"/>
    <w:rsid w:val="002E15B9"/>
    <w:rsid w:val="002E2158"/>
    <w:rsid w:val="002E32A7"/>
    <w:rsid w:val="002E40B6"/>
    <w:rsid w:val="002E449C"/>
    <w:rsid w:val="002E4F02"/>
    <w:rsid w:val="002E5E1C"/>
    <w:rsid w:val="002E6229"/>
    <w:rsid w:val="002E6D87"/>
    <w:rsid w:val="002E7722"/>
    <w:rsid w:val="002F07BA"/>
    <w:rsid w:val="002F0DA9"/>
    <w:rsid w:val="002F1014"/>
    <w:rsid w:val="002F1494"/>
    <w:rsid w:val="002F2BCD"/>
    <w:rsid w:val="002F2D63"/>
    <w:rsid w:val="002F5669"/>
    <w:rsid w:val="002F5A87"/>
    <w:rsid w:val="002F643C"/>
    <w:rsid w:val="002F71C0"/>
    <w:rsid w:val="002F74F1"/>
    <w:rsid w:val="002F7C51"/>
    <w:rsid w:val="002F7D64"/>
    <w:rsid w:val="00301017"/>
    <w:rsid w:val="00301286"/>
    <w:rsid w:val="0030155F"/>
    <w:rsid w:val="0030522F"/>
    <w:rsid w:val="0030587B"/>
    <w:rsid w:val="00306D98"/>
    <w:rsid w:val="0030786C"/>
    <w:rsid w:val="00307F5E"/>
    <w:rsid w:val="0031031A"/>
    <w:rsid w:val="00310981"/>
    <w:rsid w:val="0031182B"/>
    <w:rsid w:val="00311AA0"/>
    <w:rsid w:val="00311D62"/>
    <w:rsid w:val="003124D9"/>
    <w:rsid w:val="00312594"/>
    <w:rsid w:val="00312C23"/>
    <w:rsid w:val="00312D20"/>
    <w:rsid w:val="00314A7D"/>
    <w:rsid w:val="003150B0"/>
    <w:rsid w:val="00315498"/>
    <w:rsid w:val="00316474"/>
    <w:rsid w:val="00316523"/>
    <w:rsid w:val="003177AF"/>
    <w:rsid w:val="0032072B"/>
    <w:rsid w:val="00320D4F"/>
    <w:rsid w:val="00322107"/>
    <w:rsid w:val="00322355"/>
    <w:rsid w:val="00322846"/>
    <w:rsid w:val="0032286D"/>
    <w:rsid w:val="00322892"/>
    <w:rsid w:val="003243DA"/>
    <w:rsid w:val="00326DA7"/>
    <w:rsid w:val="003270E4"/>
    <w:rsid w:val="00327216"/>
    <w:rsid w:val="003273F0"/>
    <w:rsid w:val="0032758D"/>
    <w:rsid w:val="00330DAA"/>
    <w:rsid w:val="00330F5C"/>
    <w:rsid w:val="00333CE8"/>
    <w:rsid w:val="00334471"/>
    <w:rsid w:val="00334A4F"/>
    <w:rsid w:val="003366C9"/>
    <w:rsid w:val="003371B0"/>
    <w:rsid w:val="00340DF1"/>
    <w:rsid w:val="003410F6"/>
    <w:rsid w:val="00342502"/>
    <w:rsid w:val="00345122"/>
    <w:rsid w:val="00350F89"/>
    <w:rsid w:val="003517F9"/>
    <w:rsid w:val="00351BA9"/>
    <w:rsid w:val="0035445B"/>
    <w:rsid w:val="00354765"/>
    <w:rsid w:val="00354F64"/>
    <w:rsid w:val="00356190"/>
    <w:rsid w:val="0035620E"/>
    <w:rsid w:val="00356C94"/>
    <w:rsid w:val="00360345"/>
    <w:rsid w:val="00360C9D"/>
    <w:rsid w:val="00361A05"/>
    <w:rsid w:val="003624C4"/>
    <w:rsid w:val="00363B00"/>
    <w:rsid w:val="00363D0B"/>
    <w:rsid w:val="003654AC"/>
    <w:rsid w:val="00365782"/>
    <w:rsid w:val="003662FA"/>
    <w:rsid w:val="003710CF"/>
    <w:rsid w:val="0037358A"/>
    <w:rsid w:val="003750F6"/>
    <w:rsid w:val="003760FC"/>
    <w:rsid w:val="00376AEF"/>
    <w:rsid w:val="00377DEF"/>
    <w:rsid w:val="00380382"/>
    <w:rsid w:val="0038365C"/>
    <w:rsid w:val="0038369B"/>
    <w:rsid w:val="00383B78"/>
    <w:rsid w:val="00383C87"/>
    <w:rsid w:val="00384943"/>
    <w:rsid w:val="003859D4"/>
    <w:rsid w:val="00385A9D"/>
    <w:rsid w:val="00385E36"/>
    <w:rsid w:val="00385EE5"/>
    <w:rsid w:val="003902B1"/>
    <w:rsid w:val="003903D8"/>
    <w:rsid w:val="0039179C"/>
    <w:rsid w:val="00392F2D"/>
    <w:rsid w:val="00393C74"/>
    <w:rsid w:val="00396272"/>
    <w:rsid w:val="00396896"/>
    <w:rsid w:val="00396FD0"/>
    <w:rsid w:val="003973B6"/>
    <w:rsid w:val="00397442"/>
    <w:rsid w:val="003A1A7A"/>
    <w:rsid w:val="003A20B8"/>
    <w:rsid w:val="003A2392"/>
    <w:rsid w:val="003A2831"/>
    <w:rsid w:val="003A2BBB"/>
    <w:rsid w:val="003A2E73"/>
    <w:rsid w:val="003A31AD"/>
    <w:rsid w:val="003A3CB6"/>
    <w:rsid w:val="003A3ED1"/>
    <w:rsid w:val="003A44DB"/>
    <w:rsid w:val="003A5BD6"/>
    <w:rsid w:val="003A6176"/>
    <w:rsid w:val="003A6ABA"/>
    <w:rsid w:val="003B1CF7"/>
    <w:rsid w:val="003B3623"/>
    <w:rsid w:val="003B37D6"/>
    <w:rsid w:val="003B3971"/>
    <w:rsid w:val="003B4BCA"/>
    <w:rsid w:val="003B4E43"/>
    <w:rsid w:val="003B55D1"/>
    <w:rsid w:val="003B5B61"/>
    <w:rsid w:val="003B631B"/>
    <w:rsid w:val="003B677A"/>
    <w:rsid w:val="003B6D3C"/>
    <w:rsid w:val="003B774C"/>
    <w:rsid w:val="003C15B3"/>
    <w:rsid w:val="003C1654"/>
    <w:rsid w:val="003C2293"/>
    <w:rsid w:val="003C525C"/>
    <w:rsid w:val="003C5542"/>
    <w:rsid w:val="003C6039"/>
    <w:rsid w:val="003C7D19"/>
    <w:rsid w:val="003C7D2F"/>
    <w:rsid w:val="003D1828"/>
    <w:rsid w:val="003D1DE4"/>
    <w:rsid w:val="003D1E9A"/>
    <w:rsid w:val="003D2422"/>
    <w:rsid w:val="003D39A1"/>
    <w:rsid w:val="003D3FBF"/>
    <w:rsid w:val="003D4A30"/>
    <w:rsid w:val="003D4D74"/>
    <w:rsid w:val="003D7452"/>
    <w:rsid w:val="003D79BB"/>
    <w:rsid w:val="003D7C98"/>
    <w:rsid w:val="003D7D9D"/>
    <w:rsid w:val="003E0543"/>
    <w:rsid w:val="003E1679"/>
    <w:rsid w:val="003E2D57"/>
    <w:rsid w:val="003E3463"/>
    <w:rsid w:val="003E34FD"/>
    <w:rsid w:val="003E61EA"/>
    <w:rsid w:val="003E69BB"/>
    <w:rsid w:val="003E749E"/>
    <w:rsid w:val="003F1791"/>
    <w:rsid w:val="003F2E01"/>
    <w:rsid w:val="003F4060"/>
    <w:rsid w:val="003F4156"/>
    <w:rsid w:val="003F58AF"/>
    <w:rsid w:val="003F5ADF"/>
    <w:rsid w:val="003F61BF"/>
    <w:rsid w:val="003F6796"/>
    <w:rsid w:val="003F718A"/>
    <w:rsid w:val="00400B29"/>
    <w:rsid w:val="00400F18"/>
    <w:rsid w:val="00401D34"/>
    <w:rsid w:val="0040504B"/>
    <w:rsid w:val="00405135"/>
    <w:rsid w:val="004059F4"/>
    <w:rsid w:val="00407FE5"/>
    <w:rsid w:val="004101B0"/>
    <w:rsid w:val="00410326"/>
    <w:rsid w:val="004105BA"/>
    <w:rsid w:val="00410708"/>
    <w:rsid w:val="00410EC7"/>
    <w:rsid w:val="00411B39"/>
    <w:rsid w:val="004127A7"/>
    <w:rsid w:val="00412D8D"/>
    <w:rsid w:val="00412E3D"/>
    <w:rsid w:val="00413A1E"/>
    <w:rsid w:val="00414476"/>
    <w:rsid w:val="00414C2E"/>
    <w:rsid w:val="00414C34"/>
    <w:rsid w:val="004151CF"/>
    <w:rsid w:val="0041605A"/>
    <w:rsid w:val="00416364"/>
    <w:rsid w:val="0041696C"/>
    <w:rsid w:val="0041777B"/>
    <w:rsid w:val="0042047F"/>
    <w:rsid w:val="0042050F"/>
    <w:rsid w:val="00420AA6"/>
    <w:rsid w:val="00420B9F"/>
    <w:rsid w:val="0042192C"/>
    <w:rsid w:val="00422260"/>
    <w:rsid w:val="00422612"/>
    <w:rsid w:val="0042413F"/>
    <w:rsid w:val="00425112"/>
    <w:rsid w:val="0042599C"/>
    <w:rsid w:val="004304F3"/>
    <w:rsid w:val="0043166B"/>
    <w:rsid w:val="004319F8"/>
    <w:rsid w:val="00431E55"/>
    <w:rsid w:val="004321F6"/>
    <w:rsid w:val="00432A5B"/>
    <w:rsid w:val="00433044"/>
    <w:rsid w:val="00433508"/>
    <w:rsid w:val="00434088"/>
    <w:rsid w:val="00437479"/>
    <w:rsid w:val="004375B9"/>
    <w:rsid w:val="004428D0"/>
    <w:rsid w:val="0044294E"/>
    <w:rsid w:val="00444185"/>
    <w:rsid w:val="004443A7"/>
    <w:rsid w:val="0044442C"/>
    <w:rsid w:val="00445941"/>
    <w:rsid w:val="004464EB"/>
    <w:rsid w:val="00446A0A"/>
    <w:rsid w:val="00447D26"/>
    <w:rsid w:val="00447DFC"/>
    <w:rsid w:val="0045119A"/>
    <w:rsid w:val="00451D77"/>
    <w:rsid w:val="00451E05"/>
    <w:rsid w:val="0045598A"/>
    <w:rsid w:val="00455D45"/>
    <w:rsid w:val="004619F2"/>
    <w:rsid w:val="004626AA"/>
    <w:rsid w:val="00463C26"/>
    <w:rsid w:val="00464595"/>
    <w:rsid w:val="004648F9"/>
    <w:rsid w:val="004658B5"/>
    <w:rsid w:val="00471061"/>
    <w:rsid w:val="004715AA"/>
    <w:rsid w:val="00471E64"/>
    <w:rsid w:val="00471EA5"/>
    <w:rsid w:val="00472A79"/>
    <w:rsid w:val="00473665"/>
    <w:rsid w:val="00473F19"/>
    <w:rsid w:val="00475E22"/>
    <w:rsid w:val="0048088E"/>
    <w:rsid w:val="00480F2B"/>
    <w:rsid w:val="004810A9"/>
    <w:rsid w:val="00481AA4"/>
    <w:rsid w:val="00482720"/>
    <w:rsid w:val="004835E7"/>
    <w:rsid w:val="004852CC"/>
    <w:rsid w:val="004867E2"/>
    <w:rsid w:val="00490B17"/>
    <w:rsid w:val="00490F69"/>
    <w:rsid w:val="00491B3A"/>
    <w:rsid w:val="00491E6C"/>
    <w:rsid w:val="004920CE"/>
    <w:rsid w:val="00492CFD"/>
    <w:rsid w:val="0049387F"/>
    <w:rsid w:val="00494207"/>
    <w:rsid w:val="00494DD5"/>
    <w:rsid w:val="00495EF3"/>
    <w:rsid w:val="004962D2"/>
    <w:rsid w:val="004967CD"/>
    <w:rsid w:val="004A00BE"/>
    <w:rsid w:val="004A0DA1"/>
    <w:rsid w:val="004A13D6"/>
    <w:rsid w:val="004A1C29"/>
    <w:rsid w:val="004A3396"/>
    <w:rsid w:val="004A48BA"/>
    <w:rsid w:val="004A52E9"/>
    <w:rsid w:val="004A6040"/>
    <w:rsid w:val="004A6597"/>
    <w:rsid w:val="004A7848"/>
    <w:rsid w:val="004B0892"/>
    <w:rsid w:val="004B151C"/>
    <w:rsid w:val="004B1CB4"/>
    <w:rsid w:val="004B2C42"/>
    <w:rsid w:val="004B2EC6"/>
    <w:rsid w:val="004B2F18"/>
    <w:rsid w:val="004B3BA4"/>
    <w:rsid w:val="004B3DDB"/>
    <w:rsid w:val="004B44FD"/>
    <w:rsid w:val="004B5CFC"/>
    <w:rsid w:val="004B66AD"/>
    <w:rsid w:val="004B68EE"/>
    <w:rsid w:val="004B6F79"/>
    <w:rsid w:val="004B774D"/>
    <w:rsid w:val="004C0049"/>
    <w:rsid w:val="004C4AED"/>
    <w:rsid w:val="004C4C3D"/>
    <w:rsid w:val="004C5B01"/>
    <w:rsid w:val="004C67C1"/>
    <w:rsid w:val="004C79C5"/>
    <w:rsid w:val="004D2C2D"/>
    <w:rsid w:val="004D69B5"/>
    <w:rsid w:val="004D719A"/>
    <w:rsid w:val="004D7227"/>
    <w:rsid w:val="004D78E9"/>
    <w:rsid w:val="004E0E7F"/>
    <w:rsid w:val="004E0EB8"/>
    <w:rsid w:val="004E107F"/>
    <w:rsid w:val="004E18E9"/>
    <w:rsid w:val="004E2ADC"/>
    <w:rsid w:val="004E3ADD"/>
    <w:rsid w:val="004E43B2"/>
    <w:rsid w:val="004E5D36"/>
    <w:rsid w:val="004E6826"/>
    <w:rsid w:val="004E6DC8"/>
    <w:rsid w:val="004E77F2"/>
    <w:rsid w:val="004F14DD"/>
    <w:rsid w:val="004F1D02"/>
    <w:rsid w:val="004F2221"/>
    <w:rsid w:val="004F23FC"/>
    <w:rsid w:val="004F2679"/>
    <w:rsid w:val="004F2B26"/>
    <w:rsid w:val="004F2F21"/>
    <w:rsid w:val="004F3DE5"/>
    <w:rsid w:val="004F6803"/>
    <w:rsid w:val="004F6849"/>
    <w:rsid w:val="004F6913"/>
    <w:rsid w:val="004F7865"/>
    <w:rsid w:val="0050174E"/>
    <w:rsid w:val="00501854"/>
    <w:rsid w:val="0050219B"/>
    <w:rsid w:val="00503F17"/>
    <w:rsid w:val="0050412E"/>
    <w:rsid w:val="00506413"/>
    <w:rsid w:val="00506928"/>
    <w:rsid w:val="005076E0"/>
    <w:rsid w:val="005077EF"/>
    <w:rsid w:val="00511AD5"/>
    <w:rsid w:val="00511DC7"/>
    <w:rsid w:val="005136DE"/>
    <w:rsid w:val="005142C5"/>
    <w:rsid w:val="0051465D"/>
    <w:rsid w:val="00514AF5"/>
    <w:rsid w:val="0051501B"/>
    <w:rsid w:val="005152B5"/>
    <w:rsid w:val="005211AA"/>
    <w:rsid w:val="0052123C"/>
    <w:rsid w:val="00521319"/>
    <w:rsid w:val="00522BC8"/>
    <w:rsid w:val="00523C28"/>
    <w:rsid w:val="0053176B"/>
    <w:rsid w:val="00536F42"/>
    <w:rsid w:val="00537182"/>
    <w:rsid w:val="00541EDD"/>
    <w:rsid w:val="00542743"/>
    <w:rsid w:val="00542C2D"/>
    <w:rsid w:val="00543F4D"/>
    <w:rsid w:val="005478BD"/>
    <w:rsid w:val="005479E3"/>
    <w:rsid w:val="00551985"/>
    <w:rsid w:val="00552BD3"/>
    <w:rsid w:val="005532A0"/>
    <w:rsid w:val="00555109"/>
    <w:rsid w:val="00555D6B"/>
    <w:rsid w:val="0055674A"/>
    <w:rsid w:val="00556B35"/>
    <w:rsid w:val="0055702A"/>
    <w:rsid w:val="0055741A"/>
    <w:rsid w:val="00560E54"/>
    <w:rsid w:val="00560F8E"/>
    <w:rsid w:val="0056114C"/>
    <w:rsid w:val="005611B7"/>
    <w:rsid w:val="0056150E"/>
    <w:rsid w:val="005618D4"/>
    <w:rsid w:val="005641DE"/>
    <w:rsid w:val="005649AD"/>
    <w:rsid w:val="00565DF0"/>
    <w:rsid w:val="0056696F"/>
    <w:rsid w:val="00566DDF"/>
    <w:rsid w:val="0057035E"/>
    <w:rsid w:val="005707DE"/>
    <w:rsid w:val="00572269"/>
    <w:rsid w:val="0057244A"/>
    <w:rsid w:val="00572F26"/>
    <w:rsid w:val="005750C5"/>
    <w:rsid w:val="005752DE"/>
    <w:rsid w:val="00575D8D"/>
    <w:rsid w:val="00576486"/>
    <w:rsid w:val="005765FF"/>
    <w:rsid w:val="00576972"/>
    <w:rsid w:val="005778AE"/>
    <w:rsid w:val="00581E9F"/>
    <w:rsid w:val="00583699"/>
    <w:rsid w:val="00585CDD"/>
    <w:rsid w:val="00587058"/>
    <w:rsid w:val="005878F9"/>
    <w:rsid w:val="00591957"/>
    <w:rsid w:val="00591C8E"/>
    <w:rsid w:val="00597BF9"/>
    <w:rsid w:val="005A0D4F"/>
    <w:rsid w:val="005A309A"/>
    <w:rsid w:val="005A373D"/>
    <w:rsid w:val="005A3B43"/>
    <w:rsid w:val="005B004D"/>
    <w:rsid w:val="005B0B58"/>
    <w:rsid w:val="005B0E28"/>
    <w:rsid w:val="005B288B"/>
    <w:rsid w:val="005B3F49"/>
    <w:rsid w:val="005B4052"/>
    <w:rsid w:val="005B4E53"/>
    <w:rsid w:val="005B5857"/>
    <w:rsid w:val="005B73BB"/>
    <w:rsid w:val="005B79E9"/>
    <w:rsid w:val="005C001A"/>
    <w:rsid w:val="005C012A"/>
    <w:rsid w:val="005C0702"/>
    <w:rsid w:val="005C19C4"/>
    <w:rsid w:val="005C1B83"/>
    <w:rsid w:val="005C25FF"/>
    <w:rsid w:val="005C2D55"/>
    <w:rsid w:val="005C346B"/>
    <w:rsid w:val="005C66AC"/>
    <w:rsid w:val="005C72A4"/>
    <w:rsid w:val="005D044D"/>
    <w:rsid w:val="005D05C7"/>
    <w:rsid w:val="005D0ABD"/>
    <w:rsid w:val="005D18AD"/>
    <w:rsid w:val="005D26B4"/>
    <w:rsid w:val="005D2AF4"/>
    <w:rsid w:val="005D2E81"/>
    <w:rsid w:val="005D38D4"/>
    <w:rsid w:val="005D4F94"/>
    <w:rsid w:val="005D554A"/>
    <w:rsid w:val="005D5717"/>
    <w:rsid w:val="005D60A1"/>
    <w:rsid w:val="005D69E1"/>
    <w:rsid w:val="005D6E12"/>
    <w:rsid w:val="005D733C"/>
    <w:rsid w:val="005E0771"/>
    <w:rsid w:val="005E11C4"/>
    <w:rsid w:val="005E2E9D"/>
    <w:rsid w:val="005E3597"/>
    <w:rsid w:val="005E6CBC"/>
    <w:rsid w:val="005E72FF"/>
    <w:rsid w:val="005E73C0"/>
    <w:rsid w:val="005F08D8"/>
    <w:rsid w:val="005F12DA"/>
    <w:rsid w:val="005F20DC"/>
    <w:rsid w:val="005F2706"/>
    <w:rsid w:val="005F4D43"/>
    <w:rsid w:val="005F5055"/>
    <w:rsid w:val="005F67D1"/>
    <w:rsid w:val="005F6A8F"/>
    <w:rsid w:val="005F6ADA"/>
    <w:rsid w:val="005F6B50"/>
    <w:rsid w:val="005F6BB7"/>
    <w:rsid w:val="005F6CE0"/>
    <w:rsid w:val="005F6E76"/>
    <w:rsid w:val="005F7242"/>
    <w:rsid w:val="005F7588"/>
    <w:rsid w:val="00602121"/>
    <w:rsid w:val="00602E88"/>
    <w:rsid w:val="0060302A"/>
    <w:rsid w:val="00603DB9"/>
    <w:rsid w:val="00606FBA"/>
    <w:rsid w:val="00607669"/>
    <w:rsid w:val="006076F4"/>
    <w:rsid w:val="00607726"/>
    <w:rsid w:val="00607AFD"/>
    <w:rsid w:val="00612F97"/>
    <w:rsid w:val="0061345D"/>
    <w:rsid w:val="00613E95"/>
    <w:rsid w:val="0061549B"/>
    <w:rsid w:val="00616802"/>
    <w:rsid w:val="00617E12"/>
    <w:rsid w:val="00620C25"/>
    <w:rsid w:val="00621477"/>
    <w:rsid w:val="00621ADA"/>
    <w:rsid w:val="006227FC"/>
    <w:rsid w:val="00623249"/>
    <w:rsid w:val="00623F7B"/>
    <w:rsid w:val="00624201"/>
    <w:rsid w:val="00631264"/>
    <w:rsid w:val="0063158F"/>
    <w:rsid w:val="00631D6B"/>
    <w:rsid w:val="00632008"/>
    <w:rsid w:val="00632019"/>
    <w:rsid w:val="00632183"/>
    <w:rsid w:val="00632F9E"/>
    <w:rsid w:val="006330A1"/>
    <w:rsid w:val="0063479F"/>
    <w:rsid w:val="006353F0"/>
    <w:rsid w:val="006357B5"/>
    <w:rsid w:val="006364A1"/>
    <w:rsid w:val="0063678E"/>
    <w:rsid w:val="006367A0"/>
    <w:rsid w:val="00637229"/>
    <w:rsid w:val="00637645"/>
    <w:rsid w:val="00637BFD"/>
    <w:rsid w:val="00641C4E"/>
    <w:rsid w:val="00641FB3"/>
    <w:rsid w:val="00642072"/>
    <w:rsid w:val="00642CFE"/>
    <w:rsid w:val="0064434C"/>
    <w:rsid w:val="00644839"/>
    <w:rsid w:val="00645591"/>
    <w:rsid w:val="00646C9F"/>
    <w:rsid w:val="006471CC"/>
    <w:rsid w:val="00647517"/>
    <w:rsid w:val="00647A29"/>
    <w:rsid w:val="00650139"/>
    <w:rsid w:val="0065079F"/>
    <w:rsid w:val="00650E8B"/>
    <w:rsid w:val="00652A28"/>
    <w:rsid w:val="0065379F"/>
    <w:rsid w:val="006539AD"/>
    <w:rsid w:val="006540D7"/>
    <w:rsid w:val="006541F8"/>
    <w:rsid w:val="00656188"/>
    <w:rsid w:val="006563ED"/>
    <w:rsid w:val="00656521"/>
    <w:rsid w:val="0065715A"/>
    <w:rsid w:val="00660262"/>
    <w:rsid w:val="00660E25"/>
    <w:rsid w:val="006610F1"/>
    <w:rsid w:val="00661717"/>
    <w:rsid w:val="00661C6B"/>
    <w:rsid w:val="006621C8"/>
    <w:rsid w:val="006623CC"/>
    <w:rsid w:val="00667506"/>
    <w:rsid w:val="0067062F"/>
    <w:rsid w:val="00671004"/>
    <w:rsid w:val="00672646"/>
    <w:rsid w:val="006740F8"/>
    <w:rsid w:val="00674E42"/>
    <w:rsid w:val="0067681C"/>
    <w:rsid w:val="006813F8"/>
    <w:rsid w:val="00682112"/>
    <w:rsid w:val="00682BA6"/>
    <w:rsid w:val="00684335"/>
    <w:rsid w:val="006845E6"/>
    <w:rsid w:val="00686114"/>
    <w:rsid w:val="00686957"/>
    <w:rsid w:val="006872BA"/>
    <w:rsid w:val="00690795"/>
    <w:rsid w:val="00690C8A"/>
    <w:rsid w:val="00691648"/>
    <w:rsid w:val="006917D7"/>
    <w:rsid w:val="00692F11"/>
    <w:rsid w:val="0069434C"/>
    <w:rsid w:val="00694F44"/>
    <w:rsid w:val="006955B5"/>
    <w:rsid w:val="00695615"/>
    <w:rsid w:val="00695B86"/>
    <w:rsid w:val="006961A2"/>
    <w:rsid w:val="00696F51"/>
    <w:rsid w:val="006979A5"/>
    <w:rsid w:val="006A4A9B"/>
    <w:rsid w:val="006A4E6A"/>
    <w:rsid w:val="006A6B99"/>
    <w:rsid w:val="006A7E5F"/>
    <w:rsid w:val="006B261B"/>
    <w:rsid w:val="006B2C90"/>
    <w:rsid w:val="006B33DE"/>
    <w:rsid w:val="006B35E6"/>
    <w:rsid w:val="006B465A"/>
    <w:rsid w:val="006B6DD0"/>
    <w:rsid w:val="006B7A10"/>
    <w:rsid w:val="006C0399"/>
    <w:rsid w:val="006C15E5"/>
    <w:rsid w:val="006C1AC5"/>
    <w:rsid w:val="006C2A8E"/>
    <w:rsid w:val="006C3255"/>
    <w:rsid w:val="006C3E01"/>
    <w:rsid w:val="006C3F26"/>
    <w:rsid w:val="006C5FBB"/>
    <w:rsid w:val="006C6D8A"/>
    <w:rsid w:val="006C7DCD"/>
    <w:rsid w:val="006D0D17"/>
    <w:rsid w:val="006D10AA"/>
    <w:rsid w:val="006D1C62"/>
    <w:rsid w:val="006D267B"/>
    <w:rsid w:val="006D3C7D"/>
    <w:rsid w:val="006D43EE"/>
    <w:rsid w:val="006D4659"/>
    <w:rsid w:val="006D526B"/>
    <w:rsid w:val="006D5D5F"/>
    <w:rsid w:val="006D68FB"/>
    <w:rsid w:val="006D6AB9"/>
    <w:rsid w:val="006D75CB"/>
    <w:rsid w:val="006E2868"/>
    <w:rsid w:val="006E6872"/>
    <w:rsid w:val="006E7A26"/>
    <w:rsid w:val="006E7CB4"/>
    <w:rsid w:val="006F14E4"/>
    <w:rsid w:val="006F29CD"/>
    <w:rsid w:val="006F306C"/>
    <w:rsid w:val="006F356A"/>
    <w:rsid w:val="006F4CC9"/>
    <w:rsid w:val="006F63A5"/>
    <w:rsid w:val="006F7FCA"/>
    <w:rsid w:val="007002F9"/>
    <w:rsid w:val="00700EC1"/>
    <w:rsid w:val="0070142B"/>
    <w:rsid w:val="00702684"/>
    <w:rsid w:val="0070276E"/>
    <w:rsid w:val="00702F8F"/>
    <w:rsid w:val="0070351D"/>
    <w:rsid w:val="00704178"/>
    <w:rsid w:val="00705787"/>
    <w:rsid w:val="007063CF"/>
    <w:rsid w:val="007079FC"/>
    <w:rsid w:val="00711224"/>
    <w:rsid w:val="00711A36"/>
    <w:rsid w:val="00712895"/>
    <w:rsid w:val="0071338D"/>
    <w:rsid w:val="00714754"/>
    <w:rsid w:val="00714C26"/>
    <w:rsid w:val="0071505B"/>
    <w:rsid w:val="0071529C"/>
    <w:rsid w:val="0071604C"/>
    <w:rsid w:val="007170DA"/>
    <w:rsid w:val="007172AD"/>
    <w:rsid w:val="00720801"/>
    <w:rsid w:val="00722641"/>
    <w:rsid w:val="00722B1B"/>
    <w:rsid w:val="00722BDA"/>
    <w:rsid w:val="00722E9D"/>
    <w:rsid w:val="007237A7"/>
    <w:rsid w:val="0072416F"/>
    <w:rsid w:val="0072485C"/>
    <w:rsid w:val="007249F0"/>
    <w:rsid w:val="00727C94"/>
    <w:rsid w:val="00731938"/>
    <w:rsid w:val="00731B0A"/>
    <w:rsid w:val="00731EAE"/>
    <w:rsid w:val="00731FC8"/>
    <w:rsid w:val="00732227"/>
    <w:rsid w:val="00732BBD"/>
    <w:rsid w:val="00732D82"/>
    <w:rsid w:val="00733073"/>
    <w:rsid w:val="00735033"/>
    <w:rsid w:val="00735146"/>
    <w:rsid w:val="00735328"/>
    <w:rsid w:val="00735FBD"/>
    <w:rsid w:val="0073685B"/>
    <w:rsid w:val="007371C9"/>
    <w:rsid w:val="00737328"/>
    <w:rsid w:val="00737DFC"/>
    <w:rsid w:val="00741E10"/>
    <w:rsid w:val="007449BF"/>
    <w:rsid w:val="00744D91"/>
    <w:rsid w:val="00746BC0"/>
    <w:rsid w:val="00746C12"/>
    <w:rsid w:val="00747657"/>
    <w:rsid w:val="007477A8"/>
    <w:rsid w:val="007479D9"/>
    <w:rsid w:val="00750E90"/>
    <w:rsid w:val="007510B4"/>
    <w:rsid w:val="00752142"/>
    <w:rsid w:val="007523F9"/>
    <w:rsid w:val="0075357E"/>
    <w:rsid w:val="00753888"/>
    <w:rsid w:val="007542BA"/>
    <w:rsid w:val="007573E8"/>
    <w:rsid w:val="00760AF6"/>
    <w:rsid w:val="00760C4E"/>
    <w:rsid w:val="00760D48"/>
    <w:rsid w:val="00760F9E"/>
    <w:rsid w:val="00761A8B"/>
    <w:rsid w:val="007627BE"/>
    <w:rsid w:val="00762977"/>
    <w:rsid w:val="007630AA"/>
    <w:rsid w:val="007647F0"/>
    <w:rsid w:val="00764888"/>
    <w:rsid w:val="00764F03"/>
    <w:rsid w:val="00765B1A"/>
    <w:rsid w:val="00771D21"/>
    <w:rsid w:val="00772542"/>
    <w:rsid w:val="007741D0"/>
    <w:rsid w:val="00774356"/>
    <w:rsid w:val="00777335"/>
    <w:rsid w:val="00784209"/>
    <w:rsid w:val="007843F2"/>
    <w:rsid w:val="0078501A"/>
    <w:rsid w:val="00785A9F"/>
    <w:rsid w:val="0078756A"/>
    <w:rsid w:val="0079211B"/>
    <w:rsid w:val="007925DF"/>
    <w:rsid w:val="00794199"/>
    <w:rsid w:val="00795B5B"/>
    <w:rsid w:val="00795B76"/>
    <w:rsid w:val="00796EA0"/>
    <w:rsid w:val="00797D9F"/>
    <w:rsid w:val="007A0474"/>
    <w:rsid w:val="007A08AA"/>
    <w:rsid w:val="007A0A12"/>
    <w:rsid w:val="007A132D"/>
    <w:rsid w:val="007A1345"/>
    <w:rsid w:val="007A1DE3"/>
    <w:rsid w:val="007A20FA"/>
    <w:rsid w:val="007A2DDB"/>
    <w:rsid w:val="007A346B"/>
    <w:rsid w:val="007A653D"/>
    <w:rsid w:val="007A70BA"/>
    <w:rsid w:val="007A7AF4"/>
    <w:rsid w:val="007B0D68"/>
    <w:rsid w:val="007B251D"/>
    <w:rsid w:val="007B396F"/>
    <w:rsid w:val="007B4670"/>
    <w:rsid w:val="007B4F58"/>
    <w:rsid w:val="007B528D"/>
    <w:rsid w:val="007B5D58"/>
    <w:rsid w:val="007B5FD4"/>
    <w:rsid w:val="007B6148"/>
    <w:rsid w:val="007B63CA"/>
    <w:rsid w:val="007B66BE"/>
    <w:rsid w:val="007B711E"/>
    <w:rsid w:val="007B77D1"/>
    <w:rsid w:val="007C0223"/>
    <w:rsid w:val="007C07C7"/>
    <w:rsid w:val="007C0A0A"/>
    <w:rsid w:val="007C1CD9"/>
    <w:rsid w:val="007C2C6B"/>
    <w:rsid w:val="007C32EF"/>
    <w:rsid w:val="007C361D"/>
    <w:rsid w:val="007C4B84"/>
    <w:rsid w:val="007C5DDB"/>
    <w:rsid w:val="007C70FF"/>
    <w:rsid w:val="007C72EE"/>
    <w:rsid w:val="007C7928"/>
    <w:rsid w:val="007C7C25"/>
    <w:rsid w:val="007D004F"/>
    <w:rsid w:val="007D0727"/>
    <w:rsid w:val="007D0B38"/>
    <w:rsid w:val="007D0DC5"/>
    <w:rsid w:val="007D270E"/>
    <w:rsid w:val="007D292E"/>
    <w:rsid w:val="007D3C6D"/>
    <w:rsid w:val="007D3FBC"/>
    <w:rsid w:val="007D4242"/>
    <w:rsid w:val="007D5440"/>
    <w:rsid w:val="007D54F1"/>
    <w:rsid w:val="007D67DD"/>
    <w:rsid w:val="007D69EB"/>
    <w:rsid w:val="007D7D97"/>
    <w:rsid w:val="007E114A"/>
    <w:rsid w:val="007E128F"/>
    <w:rsid w:val="007E2CB4"/>
    <w:rsid w:val="007E6C08"/>
    <w:rsid w:val="007E6D4A"/>
    <w:rsid w:val="007F034A"/>
    <w:rsid w:val="007F0CD7"/>
    <w:rsid w:val="007F0EB7"/>
    <w:rsid w:val="007F1017"/>
    <w:rsid w:val="007F41E3"/>
    <w:rsid w:val="007F4469"/>
    <w:rsid w:val="007F4A3F"/>
    <w:rsid w:val="007F4A61"/>
    <w:rsid w:val="007F5255"/>
    <w:rsid w:val="007F56CC"/>
    <w:rsid w:val="007F5C20"/>
    <w:rsid w:val="007F5FDA"/>
    <w:rsid w:val="007F61C2"/>
    <w:rsid w:val="007F6B8F"/>
    <w:rsid w:val="00800889"/>
    <w:rsid w:val="00801F45"/>
    <w:rsid w:val="0080242D"/>
    <w:rsid w:val="008043F4"/>
    <w:rsid w:val="0080470B"/>
    <w:rsid w:val="00805142"/>
    <w:rsid w:val="00805FCE"/>
    <w:rsid w:val="00806843"/>
    <w:rsid w:val="00806F62"/>
    <w:rsid w:val="00807A8B"/>
    <w:rsid w:val="00807C5F"/>
    <w:rsid w:val="00810EF1"/>
    <w:rsid w:val="008112DA"/>
    <w:rsid w:val="00811383"/>
    <w:rsid w:val="00811811"/>
    <w:rsid w:val="00811D9C"/>
    <w:rsid w:val="00812030"/>
    <w:rsid w:val="0081203C"/>
    <w:rsid w:val="00812149"/>
    <w:rsid w:val="0081267C"/>
    <w:rsid w:val="00812CAC"/>
    <w:rsid w:val="00813569"/>
    <w:rsid w:val="00815993"/>
    <w:rsid w:val="00816361"/>
    <w:rsid w:val="008166EF"/>
    <w:rsid w:val="00816FEF"/>
    <w:rsid w:val="00820A8C"/>
    <w:rsid w:val="00820DBB"/>
    <w:rsid w:val="008215FB"/>
    <w:rsid w:val="00821821"/>
    <w:rsid w:val="00821E79"/>
    <w:rsid w:val="00821F57"/>
    <w:rsid w:val="00823174"/>
    <w:rsid w:val="00823CA3"/>
    <w:rsid w:val="00824128"/>
    <w:rsid w:val="00825751"/>
    <w:rsid w:val="00826184"/>
    <w:rsid w:val="008264EB"/>
    <w:rsid w:val="00826581"/>
    <w:rsid w:val="00827168"/>
    <w:rsid w:val="00833B05"/>
    <w:rsid w:val="0083576E"/>
    <w:rsid w:val="00835859"/>
    <w:rsid w:val="00835984"/>
    <w:rsid w:val="008362B4"/>
    <w:rsid w:val="008362C5"/>
    <w:rsid w:val="00836A00"/>
    <w:rsid w:val="0083745A"/>
    <w:rsid w:val="0084032E"/>
    <w:rsid w:val="00840CA2"/>
    <w:rsid w:val="00842676"/>
    <w:rsid w:val="0084374F"/>
    <w:rsid w:val="0084476E"/>
    <w:rsid w:val="00844A22"/>
    <w:rsid w:val="008463F1"/>
    <w:rsid w:val="0084709D"/>
    <w:rsid w:val="00847703"/>
    <w:rsid w:val="00847DF5"/>
    <w:rsid w:val="00851B20"/>
    <w:rsid w:val="0085309D"/>
    <w:rsid w:val="00854458"/>
    <w:rsid w:val="00856897"/>
    <w:rsid w:val="00856E9A"/>
    <w:rsid w:val="00857672"/>
    <w:rsid w:val="0086075D"/>
    <w:rsid w:val="00862502"/>
    <w:rsid w:val="00862CC1"/>
    <w:rsid w:val="00865F2A"/>
    <w:rsid w:val="0086608D"/>
    <w:rsid w:val="008660D4"/>
    <w:rsid w:val="008662A0"/>
    <w:rsid w:val="008701B2"/>
    <w:rsid w:val="00871555"/>
    <w:rsid w:val="00871723"/>
    <w:rsid w:val="00871FA9"/>
    <w:rsid w:val="008728E9"/>
    <w:rsid w:val="008731C8"/>
    <w:rsid w:val="00874B75"/>
    <w:rsid w:val="008756DB"/>
    <w:rsid w:val="008766C9"/>
    <w:rsid w:val="00876E81"/>
    <w:rsid w:val="008812B5"/>
    <w:rsid w:val="008818DC"/>
    <w:rsid w:val="0088252A"/>
    <w:rsid w:val="00882874"/>
    <w:rsid w:val="00882E3C"/>
    <w:rsid w:val="00883787"/>
    <w:rsid w:val="008855E4"/>
    <w:rsid w:val="00885C5D"/>
    <w:rsid w:val="008868FD"/>
    <w:rsid w:val="00886CD2"/>
    <w:rsid w:val="00890660"/>
    <w:rsid w:val="00891E6F"/>
    <w:rsid w:val="0089275D"/>
    <w:rsid w:val="00892A36"/>
    <w:rsid w:val="00893239"/>
    <w:rsid w:val="00893A3A"/>
    <w:rsid w:val="00894489"/>
    <w:rsid w:val="008963A5"/>
    <w:rsid w:val="00896D5D"/>
    <w:rsid w:val="008A0354"/>
    <w:rsid w:val="008A2EC8"/>
    <w:rsid w:val="008A30A3"/>
    <w:rsid w:val="008A3363"/>
    <w:rsid w:val="008A3371"/>
    <w:rsid w:val="008A3C3E"/>
    <w:rsid w:val="008A4584"/>
    <w:rsid w:val="008A5475"/>
    <w:rsid w:val="008A5608"/>
    <w:rsid w:val="008A6401"/>
    <w:rsid w:val="008A76E4"/>
    <w:rsid w:val="008A79DE"/>
    <w:rsid w:val="008B1757"/>
    <w:rsid w:val="008B438B"/>
    <w:rsid w:val="008B516B"/>
    <w:rsid w:val="008B5958"/>
    <w:rsid w:val="008B5A92"/>
    <w:rsid w:val="008B7992"/>
    <w:rsid w:val="008B7D7E"/>
    <w:rsid w:val="008C0B3C"/>
    <w:rsid w:val="008C0EC9"/>
    <w:rsid w:val="008C14BF"/>
    <w:rsid w:val="008C332F"/>
    <w:rsid w:val="008C350E"/>
    <w:rsid w:val="008C391F"/>
    <w:rsid w:val="008C5610"/>
    <w:rsid w:val="008C5739"/>
    <w:rsid w:val="008C57FC"/>
    <w:rsid w:val="008C5F81"/>
    <w:rsid w:val="008C7ECB"/>
    <w:rsid w:val="008C7EE4"/>
    <w:rsid w:val="008D1701"/>
    <w:rsid w:val="008D3B86"/>
    <w:rsid w:val="008D46F6"/>
    <w:rsid w:val="008D4755"/>
    <w:rsid w:val="008D4C3D"/>
    <w:rsid w:val="008D4E53"/>
    <w:rsid w:val="008D743C"/>
    <w:rsid w:val="008D74A6"/>
    <w:rsid w:val="008E007F"/>
    <w:rsid w:val="008E058C"/>
    <w:rsid w:val="008E0D3C"/>
    <w:rsid w:val="008E1B9E"/>
    <w:rsid w:val="008E55AB"/>
    <w:rsid w:val="008E631B"/>
    <w:rsid w:val="008E70FE"/>
    <w:rsid w:val="008E71BC"/>
    <w:rsid w:val="008F120A"/>
    <w:rsid w:val="008F27E0"/>
    <w:rsid w:val="008F2895"/>
    <w:rsid w:val="008F42EE"/>
    <w:rsid w:val="008F45F3"/>
    <w:rsid w:val="008F48EB"/>
    <w:rsid w:val="008F4CD8"/>
    <w:rsid w:val="008F4F0B"/>
    <w:rsid w:val="008F5E80"/>
    <w:rsid w:val="008F5FFE"/>
    <w:rsid w:val="0090337F"/>
    <w:rsid w:val="009046C4"/>
    <w:rsid w:val="009062A5"/>
    <w:rsid w:val="00907AD4"/>
    <w:rsid w:val="00907EB2"/>
    <w:rsid w:val="00910FA7"/>
    <w:rsid w:val="00911272"/>
    <w:rsid w:val="009135D6"/>
    <w:rsid w:val="00914C77"/>
    <w:rsid w:val="00915A8F"/>
    <w:rsid w:val="00916816"/>
    <w:rsid w:val="00917565"/>
    <w:rsid w:val="0091799C"/>
    <w:rsid w:val="009213EE"/>
    <w:rsid w:val="00921ACB"/>
    <w:rsid w:val="00922C7B"/>
    <w:rsid w:val="0092369B"/>
    <w:rsid w:val="00924163"/>
    <w:rsid w:val="00925AB0"/>
    <w:rsid w:val="00934988"/>
    <w:rsid w:val="009353F3"/>
    <w:rsid w:val="00937089"/>
    <w:rsid w:val="00937B7A"/>
    <w:rsid w:val="00942A95"/>
    <w:rsid w:val="00942D08"/>
    <w:rsid w:val="00944F8A"/>
    <w:rsid w:val="00946516"/>
    <w:rsid w:val="009510A2"/>
    <w:rsid w:val="0095133D"/>
    <w:rsid w:val="00953257"/>
    <w:rsid w:val="00953808"/>
    <w:rsid w:val="0095474C"/>
    <w:rsid w:val="00955883"/>
    <w:rsid w:val="00957685"/>
    <w:rsid w:val="0096005D"/>
    <w:rsid w:val="0096102D"/>
    <w:rsid w:val="00962CB9"/>
    <w:rsid w:val="00964227"/>
    <w:rsid w:val="00964312"/>
    <w:rsid w:val="0096591B"/>
    <w:rsid w:val="00965B8A"/>
    <w:rsid w:val="0097071F"/>
    <w:rsid w:val="009717AC"/>
    <w:rsid w:val="009740CF"/>
    <w:rsid w:val="009751C1"/>
    <w:rsid w:val="00975472"/>
    <w:rsid w:val="0097709A"/>
    <w:rsid w:val="00980FD1"/>
    <w:rsid w:val="009811F1"/>
    <w:rsid w:val="0098345E"/>
    <w:rsid w:val="00983E57"/>
    <w:rsid w:val="009841C2"/>
    <w:rsid w:val="00985DE2"/>
    <w:rsid w:val="009862B4"/>
    <w:rsid w:val="00986702"/>
    <w:rsid w:val="0098675D"/>
    <w:rsid w:val="009926E0"/>
    <w:rsid w:val="00993F35"/>
    <w:rsid w:val="0099451E"/>
    <w:rsid w:val="00995043"/>
    <w:rsid w:val="00996B1A"/>
    <w:rsid w:val="0099739B"/>
    <w:rsid w:val="009A2CD1"/>
    <w:rsid w:val="009A2DCC"/>
    <w:rsid w:val="009A4C8E"/>
    <w:rsid w:val="009A572C"/>
    <w:rsid w:val="009A5ABC"/>
    <w:rsid w:val="009A7F10"/>
    <w:rsid w:val="009B0968"/>
    <w:rsid w:val="009B211A"/>
    <w:rsid w:val="009B3E26"/>
    <w:rsid w:val="009B43C0"/>
    <w:rsid w:val="009B4CCD"/>
    <w:rsid w:val="009B5D5E"/>
    <w:rsid w:val="009B6323"/>
    <w:rsid w:val="009B65BD"/>
    <w:rsid w:val="009C1AD7"/>
    <w:rsid w:val="009C2A06"/>
    <w:rsid w:val="009C3706"/>
    <w:rsid w:val="009C3A3A"/>
    <w:rsid w:val="009C4C7C"/>
    <w:rsid w:val="009C6CEA"/>
    <w:rsid w:val="009C7B85"/>
    <w:rsid w:val="009D0254"/>
    <w:rsid w:val="009D15AF"/>
    <w:rsid w:val="009D1A64"/>
    <w:rsid w:val="009D46BB"/>
    <w:rsid w:val="009D4940"/>
    <w:rsid w:val="009D5B91"/>
    <w:rsid w:val="009D6FA6"/>
    <w:rsid w:val="009D792E"/>
    <w:rsid w:val="009E0DFE"/>
    <w:rsid w:val="009E31F6"/>
    <w:rsid w:val="009E3966"/>
    <w:rsid w:val="009E3A76"/>
    <w:rsid w:val="009E47B4"/>
    <w:rsid w:val="009E4C07"/>
    <w:rsid w:val="009E5535"/>
    <w:rsid w:val="009E5E2D"/>
    <w:rsid w:val="009E61AF"/>
    <w:rsid w:val="009E794F"/>
    <w:rsid w:val="009F1C21"/>
    <w:rsid w:val="009F2EB8"/>
    <w:rsid w:val="009F33FC"/>
    <w:rsid w:val="009F7A13"/>
    <w:rsid w:val="009F7D35"/>
    <w:rsid w:val="00A01184"/>
    <w:rsid w:val="00A02CA4"/>
    <w:rsid w:val="00A03060"/>
    <w:rsid w:val="00A03656"/>
    <w:rsid w:val="00A037C2"/>
    <w:rsid w:val="00A03D43"/>
    <w:rsid w:val="00A04380"/>
    <w:rsid w:val="00A05472"/>
    <w:rsid w:val="00A05C32"/>
    <w:rsid w:val="00A0612A"/>
    <w:rsid w:val="00A0653F"/>
    <w:rsid w:val="00A10BE6"/>
    <w:rsid w:val="00A11CD0"/>
    <w:rsid w:val="00A11D1D"/>
    <w:rsid w:val="00A13948"/>
    <w:rsid w:val="00A14120"/>
    <w:rsid w:val="00A1555B"/>
    <w:rsid w:val="00A155C5"/>
    <w:rsid w:val="00A16AD8"/>
    <w:rsid w:val="00A16CD7"/>
    <w:rsid w:val="00A16EC7"/>
    <w:rsid w:val="00A21606"/>
    <w:rsid w:val="00A21922"/>
    <w:rsid w:val="00A21C95"/>
    <w:rsid w:val="00A21CF3"/>
    <w:rsid w:val="00A21E99"/>
    <w:rsid w:val="00A23723"/>
    <w:rsid w:val="00A2453C"/>
    <w:rsid w:val="00A24757"/>
    <w:rsid w:val="00A24813"/>
    <w:rsid w:val="00A24D49"/>
    <w:rsid w:val="00A27AEC"/>
    <w:rsid w:val="00A27B09"/>
    <w:rsid w:val="00A320DB"/>
    <w:rsid w:val="00A35D16"/>
    <w:rsid w:val="00A371EC"/>
    <w:rsid w:val="00A37BCD"/>
    <w:rsid w:val="00A37E73"/>
    <w:rsid w:val="00A40107"/>
    <w:rsid w:val="00A4069E"/>
    <w:rsid w:val="00A4159D"/>
    <w:rsid w:val="00A41689"/>
    <w:rsid w:val="00A41768"/>
    <w:rsid w:val="00A42571"/>
    <w:rsid w:val="00A42592"/>
    <w:rsid w:val="00A43C59"/>
    <w:rsid w:val="00A43F3E"/>
    <w:rsid w:val="00A45A42"/>
    <w:rsid w:val="00A468A4"/>
    <w:rsid w:val="00A47572"/>
    <w:rsid w:val="00A47668"/>
    <w:rsid w:val="00A50ECD"/>
    <w:rsid w:val="00A518F3"/>
    <w:rsid w:val="00A51E92"/>
    <w:rsid w:val="00A52729"/>
    <w:rsid w:val="00A52E4D"/>
    <w:rsid w:val="00A531C1"/>
    <w:rsid w:val="00A5350D"/>
    <w:rsid w:val="00A53675"/>
    <w:rsid w:val="00A55D06"/>
    <w:rsid w:val="00A564D7"/>
    <w:rsid w:val="00A56B6A"/>
    <w:rsid w:val="00A56BF7"/>
    <w:rsid w:val="00A578DC"/>
    <w:rsid w:val="00A637B5"/>
    <w:rsid w:val="00A640E2"/>
    <w:rsid w:val="00A64D65"/>
    <w:rsid w:val="00A6725B"/>
    <w:rsid w:val="00A70605"/>
    <w:rsid w:val="00A71587"/>
    <w:rsid w:val="00A73134"/>
    <w:rsid w:val="00A7432C"/>
    <w:rsid w:val="00A76001"/>
    <w:rsid w:val="00A777B2"/>
    <w:rsid w:val="00A77851"/>
    <w:rsid w:val="00A80E12"/>
    <w:rsid w:val="00A825D4"/>
    <w:rsid w:val="00A828F6"/>
    <w:rsid w:val="00A82B73"/>
    <w:rsid w:val="00A854B7"/>
    <w:rsid w:val="00A86426"/>
    <w:rsid w:val="00A86E8B"/>
    <w:rsid w:val="00A87164"/>
    <w:rsid w:val="00A90D48"/>
    <w:rsid w:val="00A926AC"/>
    <w:rsid w:val="00A93072"/>
    <w:rsid w:val="00A930A9"/>
    <w:rsid w:val="00A93684"/>
    <w:rsid w:val="00A938BD"/>
    <w:rsid w:val="00A93953"/>
    <w:rsid w:val="00A94ECA"/>
    <w:rsid w:val="00A959D8"/>
    <w:rsid w:val="00A95B56"/>
    <w:rsid w:val="00A96B75"/>
    <w:rsid w:val="00AA113D"/>
    <w:rsid w:val="00AA32D6"/>
    <w:rsid w:val="00AA6BD5"/>
    <w:rsid w:val="00AA6BD8"/>
    <w:rsid w:val="00AA6C7D"/>
    <w:rsid w:val="00AA7FD6"/>
    <w:rsid w:val="00AB042A"/>
    <w:rsid w:val="00AB19EF"/>
    <w:rsid w:val="00AB2D34"/>
    <w:rsid w:val="00AB3430"/>
    <w:rsid w:val="00AB37B9"/>
    <w:rsid w:val="00AB4AD1"/>
    <w:rsid w:val="00AB5E07"/>
    <w:rsid w:val="00AB7CFA"/>
    <w:rsid w:val="00AC0565"/>
    <w:rsid w:val="00AC0DFC"/>
    <w:rsid w:val="00AC1DF6"/>
    <w:rsid w:val="00AC36A2"/>
    <w:rsid w:val="00AC4F47"/>
    <w:rsid w:val="00AC5B48"/>
    <w:rsid w:val="00AC64B4"/>
    <w:rsid w:val="00AD0C5C"/>
    <w:rsid w:val="00AD1450"/>
    <w:rsid w:val="00AD203A"/>
    <w:rsid w:val="00AD242F"/>
    <w:rsid w:val="00AD2AB9"/>
    <w:rsid w:val="00AD5A69"/>
    <w:rsid w:val="00AD6502"/>
    <w:rsid w:val="00AD7919"/>
    <w:rsid w:val="00AE0695"/>
    <w:rsid w:val="00AE0883"/>
    <w:rsid w:val="00AE0EA4"/>
    <w:rsid w:val="00AE30E4"/>
    <w:rsid w:val="00AE3E7E"/>
    <w:rsid w:val="00AE3F30"/>
    <w:rsid w:val="00AE4481"/>
    <w:rsid w:val="00AE57EB"/>
    <w:rsid w:val="00AE7FDC"/>
    <w:rsid w:val="00AF0947"/>
    <w:rsid w:val="00AF1315"/>
    <w:rsid w:val="00AF19BF"/>
    <w:rsid w:val="00AF2B9C"/>
    <w:rsid w:val="00AF2DC3"/>
    <w:rsid w:val="00AF3522"/>
    <w:rsid w:val="00AF61A6"/>
    <w:rsid w:val="00B00262"/>
    <w:rsid w:val="00B033CF"/>
    <w:rsid w:val="00B033E5"/>
    <w:rsid w:val="00B03A63"/>
    <w:rsid w:val="00B04081"/>
    <w:rsid w:val="00B05424"/>
    <w:rsid w:val="00B135AB"/>
    <w:rsid w:val="00B17B04"/>
    <w:rsid w:val="00B17DFB"/>
    <w:rsid w:val="00B201A4"/>
    <w:rsid w:val="00B201D1"/>
    <w:rsid w:val="00B213A6"/>
    <w:rsid w:val="00B21DF5"/>
    <w:rsid w:val="00B22B1A"/>
    <w:rsid w:val="00B235B0"/>
    <w:rsid w:val="00B23C5B"/>
    <w:rsid w:val="00B23EE7"/>
    <w:rsid w:val="00B24DF6"/>
    <w:rsid w:val="00B26DC1"/>
    <w:rsid w:val="00B3256F"/>
    <w:rsid w:val="00B33048"/>
    <w:rsid w:val="00B34FE2"/>
    <w:rsid w:val="00B35166"/>
    <w:rsid w:val="00B357D8"/>
    <w:rsid w:val="00B360F4"/>
    <w:rsid w:val="00B36A00"/>
    <w:rsid w:val="00B37BFC"/>
    <w:rsid w:val="00B40358"/>
    <w:rsid w:val="00B41614"/>
    <w:rsid w:val="00B4284F"/>
    <w:rsid w:val="00B42851"/>
    <w:rsid w:val="00B42F80"/>
    <w:rsid w:val="00B435CB"/>
    <w:rsid w:val="00B44C8F"/>
    <w:rsid w:val="00B451F9"/>
    <w:rsid w:val="00B505C8"/>
    <w:rsid w:val="00B50DB8"/>
    <w:rsid w:val="00B51035"/>
    <w:rsid w:val="00B5205F"/>
    <w:rsid w:val="00B53318"/>
    <w:rsid w:val="00B53654"/>
    <w:rsid w:val="00B538E8"/>
    <w:rsid w:val="00B53905"/>
    <w:rsid w:val="00B54B5B"/>
    <w:rsid w:val="00B5562E"/>
    <w:rsid w:val="00B55862"/>
    <w:rsid w:val="00B55A4C"/>
    <w:rsid w:val="00B55D65"/>
    <w:rsid w:val="00B5657E"/>
    <w:rsid w:val="00B56950"/>
    <w:rsid w:val="00B56BF8"/>
    <w:rsid w:val="00B57000"/>
    <w:rsid w:val="00B60939"/>
    <w:rsid w:val="00B60AFD"/>
    <w:rsid w:val="00B62715"/>
    <w:rsid w:val="00B62A59"/>
    <w:rsid w:val="00B6365C"/>
    <w:rsid w:val="00B64C03"/>
    <w:rsid w:val="00B65611"/>
    <w:rsid w:val="00B708F6"/>
    <w:rsid w:val="00B70E8E"/>
    <w:rsid w:val="00B72763"/>
    <w:rsid w:val="00B727DE"/>
    <w:rsid w:val="00B73611"/>
    <w:rsid w:val="00B73646"/>
    <w:rsid w:val="00B73F4A"/>
    <w:rsid w:val="00B76B3F"/>
    <w:rsid w:val="00B76C92"/>
    <w:rsid w:val="00B77F78"/>
    <w:rsid w:val="00B804E2"/>
    <w:rsid w:val="00B818A4"/>
    <w:rsid w:val="00B81A7F"/>
    <w:rsid w:val="00B81CAC"/>
    <w:rsid w:val="00B82774"/>
    <w:rsid w:val="00B83DCD"/>
    <w:rsid w:val="00B84117"/>
    <w:rsid w:val="00B84D3D"/>
    <w:rsid w:val="00B85316"/>
    <w:rsid w:val="00B858F0"/>
    <w:rsid w:val="00B85AA2"/>
    <w:rsid w:val="00B8649C"/>
    <w:rsid w:val="00B8695D"/>
    <w:rsid w:val="00B87F0A"/>
    <w:rsid w:val="00B911CA"/>
    <w:rsid w:val="00B91CF8"/>
    <w:rsid w:val="00B92D0B"/>
    <w:rsid w:val="00B94945"/>
    <w:rsid w:val="00B94DD6"/>
    <w:rsid w:val="00B96FE0"/>
    <w:rsid w:val="00B975F4"/>
    <w:rsid w:val="00BA0F89"/>
    <w:rsid w:val="00BA1669"/>
    <w:rsid w:val="00BA2FCF"/>
    <w:rsid w:val="00BA322D"/>
    <w:rsid w:val="00BA35C5"/>
    <w:rsid w:val="00BA63FA"/>
    <w:rsid w:val="00BA684E"/>
    <w:rsid w:val="00BA6A4C"/>
    <w:rsid w:val="00BB00B3"/>
    <w:rsid w:val="00BB0BDD"/>
    <w:rsid w:val="00BB0FCC"/>
    <w:rsid w:val="00BB176C"/>
    <w:rsid w:val="00BB1DEF"/>
    <w:rsid w:val="00BB1E0F"/>
    <w:rsid w:val="00BB1EA6"/>
    <w:rsid w:val="00BB2A73"/>
    <w:rsid w:val="00BB3A45"/>
    <w:rsid w:val="00BB42E5"/>
    <w:rsid w:val="00BB4ACC"/>
    <w:rsid w:val="00BB703E"/>
    <w:rsid w:val="00BB732D"/>
    <w:rsid w:val="00BB7405"/>
    <w:rsid w:val="00BC1195"/>
    <w:rsid w:val="00BC2A7F"/>
    <w:rsid w:val="00BC2CC7"/>
    <w:rsid w:val="00BC31C0"/>
    <w:rsid w:val="00BC3631"/>
    <w:rsid w:val="00BC591F"/>
    <w:rsid w:val="00BC7D6D"/>
    <w:rsid w:val="00BD0C6D"/>
    <w:rsid w:val="00BD2108"/>
    <w:rsid w:val="00BD32D2"/>
    <w:rsid w:val="00BD6684"/>
    <w:rsid w:val="00BD68A3"/>
    <w:rsid w:val="00BD6938"/>
    <w:rsid w:val="00BD6CF3"/>
    <w:rsid w:val="00BD7DD8"/>
    <w:rsid w:val="00BE0ECA"/>
    <w:rsid w:val="00BE2180"/>
    <w:rsid w:val="00BE21F2"/>
    <w:rsid w:val="00BE2C91"/>
    <w:rsid w:val="00BE2D28"/>
    <w:rsid w:val="00BE331F"/>
    <w:rsid w:val="00BE4275"/>
    <w:rsid w:val="00BE453D"/>
    <w:rsid w:val="00BF0022"/>
    <w:rsid w:val="00BF0609"/>
    <w:rsid w:val="00BF06AE"/>
    <w:rsid w:val="00BF07EC"/>
    <w:rsid w:val="00BF0F95"/>
    <w:rsid w:val="00BF1416"/>
    <w:rsid w:val="00BF2433"/>
    <w:rsid w:val="00BF3946"/>
    <w:rsid w:val="00BF4804"/>
    <w:rsid w:val="00BF5FA0"/>
    <w:rsid w:val="00BF61C9"/>
    <w:rsid w:val="00BF6C94"/>
    <w:rsid w:val="00BF7B6F"/>
    <w:rsid w:val="00C00424"/>
    <w:rsid w:val="00C01140"/>
    <w:rsid w:val="00C020B3"/>
    <w:rsid w:val="00C0456C"/>
    <w:rsid w:val="00C0614D"/>
    <w:rsid w:val="00C1179F"/>
    <w:rsid w:val="00C12C14"/>
    <w:rsid w:val="00C13482"/>
    <w:rsid w:val="00C15F04"/>
    <w:rsid w:val="00C179B3"/>
    <w:rsid w:val="00C17E3F"/>
    <w:rsid w:val="00C200AA"/>
    <w:rsid w:val="00C20790"/>
    <w:rsid w:val="00C23049"/>
    <w:rsid w:val="00C231A8"/>
    <w:rsid w:val="00C237ED"/>
    <w:rsid w:val="00C24632"/>
    <w:rsid w:val="00C2468B"/>
    <w:rsid w:val="00C24ED6"/>
    <w:rsid w:val="00C24F43"/>
    <w:rsid w:val="00C252DD"/>
    <w:rsid w:val="00C25418"/>
    <w:rsid w:val="00C25D9C"/>
    <w:rsid w:val="00C26FBF"/>
    <w:rsid w:val="00C2778B"/>
    <w:rsid w:val="00C27D4E"/>
    <w:rsid w:val="00C31649"/>
    <w:rsid w:val="00C32937"/>
    <w:rsid w:val="00C3434C"/>
    <w:rsid w:val="00C4003C"/>
    <w:rsid w:val="00C40385"/>
    <w:rsid w:val="00C41768"/>
    <w:rsid w:val="00C41F68"/>
    <w:rsid w:val="00C43B78"/>
    <w:rsid w:val="00C43E29"/>
    <w:rsid w:val="00C442AC"/>
    <w:rsid w:val="00C444CF"/>
    <w:rsid w:val="00C46B90"/>
    <w:rsid w:val="00C475AA"/>
    <w:rsid w:val="00C53C98"/>
    <w:rsid w:val="00C540B8"/>
    <w:rsid w:val="00C54D41"/>
    <w:rsid w:val="00C5577E"/>
    <w:rsid w:val="00C56FCF"/>
    <w:rsid w:val="00C57B6C"/>
    <w:rsid w:val="00C613DA"/>
    <w:rsid w:val="00C61E6F"/>
    <w:rsid w:val="00C6256B"/>
    <w:rsid w:val="00C628A6"/>
    <w:rsid w:val="00C64099"/>
    <w:rsid w:val="00C64344"/>
    <w:rsid w:val="00C65108"/>
    <w:rsid w:val="00C65576"/>
    <w:rsid w:val="00C66165"/>
    <w:rsid w:val="00C7060A"/>
    <w:rsid w:val="00C70D2D"/>
    <w:rsid w:val="00C70D83"/>
    <w:rsid w:val="00C71151"/>
    <w:rsid w:val="00C7151A"/>
    <w:rsid w:val="00C717E3"/>
    <w:rsid w:val="00C71F60"/>
    <w:rsid w:val="00C72241"/>
    <w:rsid w:val="00C750C8"/>
    <w:rsid w:val="00C7560F"/>
    <w:rsid w:val="00C75EDD"/>
    <w:rsid w:val="00C80A0E"/>
    <w:rsid w:val="00C8213F"/>
    <w:rsid w:val="00C8214F"/>
    <w:rsid w:val="00C83711"/>
    <w:rsid w:val="00C85154"/>
    <w:rsid w:val="00C8797A"/>
    <w:rsid w:val="00C900B8"/>
    <w:rsid w:val="00C90C71"/>
    <w:rsid w:val="00C9198E"/>
    <w:rsid w:val="00C91FD1"/>
    <w:rsid w:val="00C931CF"/>
    <w:rsid w:val="00C938CF"/>
    <w:rsid w:val="00C939E3"/>
    <w:rsid w:val="00C94053"/>
    <w:rsid w:val="00C94318"/>
    <w:rsid w:val="00C946DA"/>
    <w:rsid w:val="00C9624D"/>
    <w:rsid w:val="00C969DA"/>
    <w:rsid w:val="00C96A84"/>
    <w:rsid w:val="00C97E71"/>
    <w:rsid w:val="00CA21DB"/>
    <w:rsid w:val="00CA2B06"/>
    <w:rsid w:val="00CA2C77"/>
    <w:rsid w:val="00CA444F"/>
    <w:rsid w:val="00CA5245"/>
    <w:rsid w:val="00CA6881"/>
    <w:rsid w:val="00CA71F4"/>
    <w:rsid w:val="00CA7726"/>
    <w:rsid w:val="00CA7B09"/>
    <w:rsid w:val="00CB12A5"/>
    <w:rsid w:val="00CB1811"/>
    <w:rsid w:val="00CB1CAC"/>
    <w:rsid w:val="00CB1E25"/>
    <w:rsid w:val="00CB2F2A"/>
    <w:rsid w:val="00CB3219"/>
    <w:rsid w:val="00CB5B1A"/>
    <w:rsid w:val="00CB6B22"/>
    <w:rsid w:val="00CB7F5F"/>
    <w:rsid w:val="00CC1B39"/>
    <w:rsid w:val="00CC2A63"/>
    <w:rsid w:val="00CC35EA"/>
    <w:rsid w:val="00CC3848"/>
    <w:rsid w:val="00CC4A1E"/>
    <w:rsid w:val="00CC4D9A"/>
    <w:rsid w:val="00CC4FEF"/>
    <w:rsid w:val="00CC7E95"/>
    <w:rsid w:val="00CD3F77"/>
    <w:rsid w:val="00CD46E6"/>
    <w:rsid w:val="00CD517A"/>
    <w:rsid w:val="00CD6ADC"/>
    <w:rsid w:val="00CD6C2F"/>
    <w:rsid w:val="00CD7193"/>
    <w:rsid w:val="00CE31E7"/>
    <w:rsid w:val="00CE38C8"/>
    <w:rsid w:val="00CE3D7C"/>
    <w:rsid w:val="00CE4C9D"/>
    <w:rsid w:val="00CE5050"/>
    <w:rsid w:val="00CE5CD7"/>
    <w:rsid w:val="00CE6274"/>
    <w:rsid w:val="00CE77B6"/>
    <w:rsid w:val="00CF10B6"/>
    <w:rsid w:val="00CF2B8D"/>
    <w:rsid w:val="00CF456B"/>
    <w:rsid w:val="00CF5A22"/>
    <w:rsid w:val="00D0262E"/>
    <w:rsid w:val="00D03DF8"/>
    <w:rsid w:val="00D04DAF"/>
    <w:rsid w:val="00D05E3D"/>
    <w:rsid w:val="00D06139"/>
    <w:rsid w:val="00D110BD"/>
    <w:rsid w:val="00D13675"/>
    <w:rsid w:val="00D13D6D"/>
    <w:rsid w:val="00D141E1"/>
    <w:rsid w:val="00D15314"/>
    <w:rsid w:val="00D15743"/>
    <w:rsid w:val="00D16256"/>
    <w:rsid w:val="00D17D6C"/>
    <w:rsid w:val="00D20AA8"/>
    <w:rsid w:val="00D2155B"/>
    <w:rsid w:val="00D23D11"/>
    <w:rsid w:val="00D244B6"/>
    <w:rsid w:val="00D248C3"/>
    <w:rsid w:val="00D2754D"/>
    <w:rsid w:val="00D27B27"/>
    <w:rsid w:val="00D3360E"/>
    <w:rsid w:val="00D33BE9"/>
    <w:rsid w:val="00D33F93"/>
    <w:rsid w:val="00D3452E"/>
    <w:rsid w:val="00D357FF"/>
    <w:rsid w:val="00D359C3"/>
    <w:rsid w:val="00D424C7"/>
    <w:rsid w:val="00D43457"/>
    <w:rsid w:val="00D43B2A"/>
    <w:rsid w:val="00D43D83"/>
    <w:rsid w:val="00D4515A"/>
    <w:rsid w:val="00D46413"/>
    <w:rsid w:val="00D47575"/>
    <w:rsid w:val="00D475BA"/>
    <w:rsid w:val="00D50A58"/>
    <w:rsid w:val="00D5243B"/>
    <w:rsid w:val="00D52FC4"/>
    <w:rsid w:val="00D533EC"/>
    <w:rsid w:val="00D54AA4"/>
    <w:rsid w:val="00D56A95"/>
    <w:rsid w:val="00D57EBF"/>
    <w:rsid w:val="00D62E5F"/>
    <w:rsid w:val="00D63863"/>
    <w:rsid w:val="00D64142"/>
    <w:rsid w:val="00D702FB"/>
    <w:rsid w:val="00D70F16"/>
    <w:rsid w:val="00D7129A"/>
    <w:rsid w:val="00D72350"/>
    <w:rsid w:val="00D72F57"/>
    <w:rsid w:val="00D7368D"/>
    <w:rsid w:val="00D755CD"/>
    <w:rsid w:val="00D76A44"/>
    <w:rsid w:val="00D81477"/>
    <w:rsid w:val="00D815EF"/>
    <w:rsid w:val="00D818E7"/>
    <w:rsid w:val="00D81985"/>
    <w:rsid w:val="00D81F26"/>
    <w:rsid w:val="00D83EB9"/>
    <w:rsid w:val="00D841F1"/>
    <w:rsid w:val="00D86231"/>
    <w:rsid w:val="00D8730F"/>
    <w:rsid w:val="00D91923"/>
    <w:rsid w:val="00D91D56"/>
    <w:rsid w:val="00D93753"/>
    <w:rsid w:val="00D93FAA"/>
    <w:rsid w:val="00D96243"/>
    <w:rsid w:val="00D96814"/>
    <w:rsid w:val="00D96D6A"/>
    <w:rsid w:val="00D971A5"/>
    <w:rsid w:val="00D9774D"/>
    <w:rsid w:val="00D97BF8"/>
    <w:rsid w:val="00D97F0F"/>
    <w:rsid w:val="00DA02B6"/>
    <w:rsid w:val="00DA3167"/>
    <w:rsid w:val="00DA3545"/>
    <w:rsid w:val="00DA4DC3"/>
    <w:rsid w:val="00DA4F1F"/>
    <w:rsid w:val="00DA5289"/>
    <w:rsid w:val="00DA5F7F"/>
    <w:rsid w:val="00DA72FB"/>
    <w:rsid w:val="00DA77A5"/>
    <w:rsid w:val="00DA7CA1"/>
    <w:rsid w:val="00DB021D"/>
    <w:rsid w:val="00DB2C14"/>
    <w:rsid w:val="00DB384D"/>
    <w:rsid w:val="00DB3DBF"/>
    <w:rsid w:val="00DB484F"/>
    <w:rsid w:val="00DB6419"/>
    <w:rsid w:val="00DB786C"/>
    <w:rsid w:val="00DC04F6"/>
    <w:rsid w:val="00DC0690"/>
    <w:rsid w:val="00DC0C74"/>
    <w:rsid w:val="00DC1D65"/>
    <w:rsid w:val="00DC3C57"/>
    <w:rsid w:val="00DC45D4"/>
    <w:rsid w:val="00DC5501"/>
    <w:rsid w:val="00DC5773"/>
    <w:rsid w:val="00DC5852"/>
    <w:rsid w:val="00DC7124"/>
    <w:rsid w:val="00DC7154"/>
    <w:rsid w:val="00DC7E8A"/>
    <w:rsid w:val="00DD0462"/>
    <w:rsid w:val="00DD0F78"/>
    <w:rsid w:val="00DD273C"/>
    <w:rsid w:val="00DD3B3A"/>
    <w:rsid w:val="00DD3F28"/>
    <w:rsid w:val="00DD4537"/>
    <w:rsid w:val="00DD4E15"/>
    <w:rsid w:val="00DD508F"/>
    <w:rsid w:val="00DD6BCA"/>
    <w:rsid w:val="00DD7019"/>
    <w:rsid w:val="00DE026C"/>
    <w:rsid w:val="00DE2304"/>
    <w:rsid w:val="00DE283F"/>
    <w:rsid w:val="00DE2DAE"/>
    <w:rsid w:val="00DE3138"/>
    <w:rsid w:val="00DE37F8"/>
    <w:rsid w:val="00DE46E0"/>
    <w:rsid w:val="00DE4735"/>
    <w:rsid w:val="00DE4FCB"/>
    <w:rsid w:val="00DE58CB"/>
    <w:rsid w:val="00DE5C57"/>
    <w:rsid w:val="00DE5D07"/>
    <w:rsid w:val="00DE72A7"/>
    <w:rsid w:val="00DE7832"/>
    <w:rsid w:val="00DE78E2"/>
    <w:rsid w:val="00DF18FC"/>
    <w:rsid w:val="00DF37BD"/>
    <w:rsid w:val="00DF4519"/>
    <w:rsid w:val="00DF491C"/>
    <w:rsid w:val="00DF57F0"/>
    <w:rsid w:val="00DF599C"/>
    <w:rsid w:val="00DF5D2B"/>
    <w:rsid w:val="00DF6D32"/>
    <w:rsid w:val="00E00E8E"/>
    <w:rsid w:val="00E02086"/>
    <w:rsid w:val="00E037DC"/>
    <w:rsid w:val="00E04504"/>
    <w:rsid w:val="00E05630"/>
    <w:rsid w:val="00E06DBB"/>
    <w:rsid w:val="00E10149"/>
    <w:rsid w:val="00E11340"/>
    <w:rsid w:val="00E122A1"/>
    <w:rsid w:val="00E135CE"/>
    <w:rsid w:val="00E142A1"/>
    <w:rsid w:val="00E16372"/>
    <w:rsid w:val="00E20E4D"/>
    <w:rsid w:val="00E20ED6"/>
    <w:rsid w:val="00E21358"/>
    <w:rsid w:val="00E2167F"/>
    <w:rsid w:val="00E22306"/>
    <w:rsid w:val="00E2249B"/>
    <w:rsid w:val="00E22A0D"/>
    <w:rsid w:val="00E244F6"/>
    <w:rsid w:val="00E2520D"/>
    <w:rsid w:val="00E25E11"/>
    <w:rsid w:val="00E273D1"/>
    <w:rsid w:val="00E2771E"/>
    <w:rsid w:val="00E27FF2"/>
    <w:rsid w:val="00E31169"/>
    <w:rsid w:val="00E311EF"/>
    <w:rsid w:val="00E32180"/>
    <w:rsid w:val="00E34948"/>
    <w:rsid w:val="00E366EA"/>
    <w:rsid w:val="00E37569"/>
    <w:rsid w:val="00E401B2"/>
    <w:rsid w:val="00E403D8"/>
    <w:rsid w:val="00E41B34"/>
    <w:rsid w:val="00E41BCE"/>
    <w:rsid w:val="00E41E30"/>
    <w:rsid w:val="00E42F73"/>
    <w:rsid w:val="00E43D70"/>
    <w:rsid w:val="00E45C22"/>
    <w:rsid w:val="00E466F3"/>
    <w:rsid w:val="00E46E84"/>
    <w:rsid w:val="00E47362"/>
    <w:rsid w:val="00E47B2C"/>
    <w:rsid w:val="00E50AC5"/>
    <w:rsid w:val="00E50E96"/>
    <w:rsid w:val="00E5131A"/>
    <w:rsid w:val="00E51560"/>
    <w:rsid w:val="00E5263F"/>
    <w:rsid w:val="00E53B08"/>
    <w:rsid w:val="00E53BB6"/>
    <w:rsid w:val="00E53FC8"/>
    <w:rsid w:val="00E54347"/>
    <w:rsid w:val="00E54D6C"/>
    <w:rsid w:val="00E550BB"/>
    <w:rsid w:val="00E55376"/>
    <w:rsid w:val="00E55424"/>
    <w:rsid w:val="00E55915"/>
    <w:rsid w:val="00E55BB5"/>
    <w:rsid w:val="00E65BC0"/>
    <w:rsid w:val="00E65E79"/>
    <w:rsid w:val="00E66BA2"/>
    <w:rsid w:val="00E67416"/>
    <w:rsid w:val="00E67A75"/>
    <w:rsid w:val="00E70A60"/>
    <w:rsid w:val="00E71023"/>
    <w:rsid w:val="00E718B6"/>
    <w:rsid w:val="00E723BA"/>
    <w:rsid w:val="00E725C0"/>
    <w:rsid w:val="00E73581"/>
    <w:rsid w:val="00E7437D"/>
    <w:rsid w:val="00E75BD5"/>
    <w:rsid w:val="00E80BBE"/>
    <w:rsid w:val="00E81AA4"/>
    <w:rsid w:val="00E833F7"/>
    <w:rsid w:val="00E8345E"/>
    <w:rsid w:val="00E83BDF"/>
    <w:rsid w:val="00E845D5"/>
    <w:rsid w:val="00E848CD"/>
    <w:rsid w:val="00E85546"/>
    <w:rsid w:val="00E85D67"/>
    <w:rsid w:val="00E86A28"/>
    <w:rsid w:val="00E8728B"/>
    <w:rsid w:val="00E87A1D"/>
    <w:rsid w:val="00E902B6"/>
    <w:rsid w:val="00E9094A"/>
    <w:rsid w:val="00E91D35"/>
    <w:rsid w:val="00E926A5"/>
    <w:rsid w:val="00E97AA1"/>
    <w:rsid w:val="00EA0A0E"/>
    <w:rsid w:val="00EA0E1F"/>
    <w:rsid w:val="00EA163E"/>
    <w:rsid w:val="00EA17C3"/>
    <w:rsid w:val="00EA2CAA"/>
    <w:rsid w:val="00EA2E7C"/>
    <w:rsid w:val="00EA3864"/>
    <w:rsid w:val="00EA576C"/>
    <w:rsid w:val="00EA7F1C"/>
    <w:rsid w:val="00EB15B6"/>
    <w:rsid w:val="00EB1BF8"/>
    <w:rsid w:val="00EB2762"/>
    <w:rsid w:val="00EB3D06"/>
    <w:rsid w:val="00EB4495"/>
    <w:rsid w:val="00EB4916"/>
    <w:rsid w:val="00EB5843"/>
    <w:rsid w:val="00EB60EF"/>
    <w:rsid w:val="00EB716B"/>
    <w:rsid w:val="00EC00C9"/>
    <w:rsid w:val="00EC05C1"/>
    <w:rsid w:val="00EC0DD9"/>
    <w:rsid w:val="00EC2649"/>
    <w:rsid w:val="00EC31ED"/>
    <w:rsid w:val="00EC5836"/>
    <w:rsid w:val="00EC6439"/>
    <w:rsid w:val="00EC688C"/>
    <w:rsid w:val="00EC71B5"/>
    <w:rsid w:val="00ED249F"/>
    <w:rsid w:val="00ED265B"/>
    <w:rsid w:val="00ED2C79"/>
    <w:rsid w:val="00ED5140"/>
    <w:rsid w:val="00ED57EA"/>
    <w:rsid w:val="00ED5BD4"/>
    <w:rsid w:val="00ED5C4C"/>
    <w:rsid w:val="00EE01C8"/>
    <w:rsid w:val="00EE02E4"/>
    <w:rsid w:val="00EE03E6"/>
    <w:rsid w:val="00EE07D3"/>
    <w:rsid w:val="00EE086D"/>
    <w:rsid w:val="00EE08C0"/>
    <w:rsid w:val="00EE1996"/>
    <w:rsid w:val="00EE1C01"/>
    <w:rsid w:val="00EE22AF"/>
    <w:rsid w:val="00EE3B7C"/>
    <w:rsid w:val="00EE4397"/>
    <w:rsid w:val="00EE53B2"/>
    <w:rsid w:val="00EE6BC5"/>
    <w:rsid w:val="00EE6CFF"/>
    <w:rsid w:val="00EE756D"/>
    <w:rsid w:val="00EF0171"/>
    <w:rsid w:val="00EF16B6"/>
    <w:rsid w:val="00EF1B25"/>
    <w:rsid w:val="00EF1DA0"/>
    <w:rsid w:val="00EF2979"/>
    <w:rsid w:val="00EF36CA"/>
    <w:rsid w:val="00EF4747"/>
    <w:rsid w:val="00EF4BF8"/>
    <w:rsid w:val="00EF58A5"/>
    <w:rsid w:val="00EF755F"/>
    <w:rsid w:val="00F00956"/>
    <w:rsid w:val="00F01712"/>
    <w:rsid w:val="00F01E6F"/>
    <w:rsid w:val="00F01FF6"/>
    <w:rsid w:val="00F02253"/>
    <w:rsid w:val="00F03C2E"/>
    <w:rsid w:val="00F0455E"/>
    <w:rsid w:val="00F046E1"/>
    <w:rsid w:val="00F04A66"/>
    <w:rsid w:val="00F04B4B"/>
    <w:rsid w:val="00F0516C"/>
    <w:rsid w:val="00F067A2"/>
    <w:rsid w:val="00F07A43"/>
    <w:rsid w:val="00F07B9E"/>
    <w:rsid w:val="00F1116F"/>
    <w:rsid w:val="00F1262D"/>
    <w:rsid w:val="00F1263A"/>
    <w:rsid w:val="00F15B77"/>
    <w:rsid w:val="00F20166"/>
    <w:rsid w:val="00F24837"/>
    <w:rsid w:val="00F2492C"/>
    <w:rsid w:val="00F2575F"/>
    <w:rsid w:val="00F27565"/>
    <w:rsid w:val="00F310D4"/>
    <w:rsid w:val="00F31D5A"/>
    <w:rsid w:val="00F33693"/>
    <w:rsid w:val="00F33975"/>
    <w:rsid w:val="00F33DE9"/>
    <w:rsid w:val="00F35E6D"/>
    <w:rsid w:val="00F3619A"/>
    <w:rsid w:val="00F363D3"/>
    <w:rsid w:val="00F376F6"/>
    <w:rsid w:val="00F4005E"/>
    <w:rsid w:val="00F40AAA"/>
    <w:rsid w:val="00F40BA7"/>
    <w:rsid w:val="00F40F9D"/>
    <w:rsid w:val="00F41ACD"/>
    <w:rsid w:val="00F44E49"/>
    <w:rsid w:val="00F46A9B"/>
    <w:rsid w:val="00F46CB6"/>
    <w:rsid w:val="00F4756D"/>
    <w:rsid w:val="00F47DE8"/>
    <w:rsid w:val="00F501B9"/>
    <w:rsid w:val="00F52451"/>
    <w:rsid w:val="00F53012"/>
    <w:rsid w:val="00F542C1"/>
    <w:rsid w:val="00F55241"/>
    <w:rsid w:val="00F55E73"/>
    <w:rsid w:val="00F55EDA"/>
    <w:rsid w:val="00F56C80"/>
    <w:rsid w:val="00F60092"/>
    <w:rsid w:val="00F60753"/>
    <w:rsid w:val="00F610EA"/>
    <w:rsid w:val="00F61C18"/>
    <w:rsid w:val="00F61CF3"/>
    <w:rsid w:val="00F654C7"/>
    <w:rsid w:val="00F65644"/>
    <w:rsid w:val="00F65F4B"/>
    <w:rsid w:val="00F665F3"/>
    <w:rsid w:val="00F672AF"/>
    <w:rsid w:val="00F67A69"/>
    <w:rsid w:val="00F702EB"/>
    <w:rsid w:val="00F70BFF"/>
    <w:rsid w:val="00F70C9D"/>
    <w:rsid w:val="00F70D2E"/>
    <w:rsid w:val="00F71EBE"/>
    <w:rsid w:val="00F7439D"/>
    <w:rsid w:val="00F74CD2"/>
    <w:rsid w:val="00F74CD9"/>
    <w:rsid w:val="00F75282"/>
    <w:rsid w:val="00F76546"/>
    <w:rsid w:val="00F80A7B"/>
    <w:rsid w:val="00F80B1F"/>
    <w:rsid w:val="00F80D76"/>
    <w:rsid w:val="00F80E5D"/>
    <w:rsid w:val="00F81E78"/>
    <w:rsid w:val="00F82363"/>
    <w:rsid w:val="00F829B7"/>
    <w:rsid w:val="00F851CE"/>
    <w:rsid w:val="00F863AC"/>
    <w:rsid w:val="00F901CA"/>
    <w:rsid w:val="00F91219"/>
    <w:rsid w:val="00F92444"/>
    <w:rsid w:val="00F9393E"/>
    <w:rsid w:val="00F93DF0"/>
    <w:rsid w:val="00F93ED8"/>
    <w:rsid w:val="00F943AB"/>
    <w:rsid w:val="00F95D43"/>
    <w:rsid w:val="00F96FD0"/>
    <w:rsid w:val="00F97A78"/>
    <w:rsid w:val="00FA0B20"/>
    <w:rsid w:val="00FA24E7"/>
    <w:rsid w:val="00FA2D2A"/>
    <w:rsid w:val="00FA5EE6"/>
    <w:rsid w:val="00FA7384"/>
    <w:rsid w:val="00FA7956"/>
    <w:rsid w:val="00FB2FCB"/>
    <w:rsid w:val="00FB4051"/>
    <w:rsid w:val="00FB5A03"/>
    <w:rsid w:val="00FB79B2"/>
    <w:rsid w:val="00FB7C55"/>
    <w:rsid w:val="00FB7C8B"/>
    <w:rsid w:val="00FC0AF8"/>
    <w:rsid w:val="00FC1074"/>
    <w:rsid w:val="00FC1884"/>
    <w:rsid w:val="00FC371D"/>
    <w:rsid w:val="00FC5F0B"/>
    <w:rsid w:val="00FD02D1"/>
    <w:rsid w:val="00FD1378"/>
    <w:rsid w:val="00FD20C4"/>
    <w:rsid w:val="00FD2100"/>
    <w:rsid w:val="00FD37B6"/>
    <w:rsid w:val="00FD436C"/>
    <w:rsid w:val="00FD446D"/>
    <w:rsid w:val="00FD4F2C"/>
    <w:rsid w:val="00FD5E22"/>
    <w:rsid w:val="00FD6394"/>
    <w:rsid w:val="00FE0E6C"/>
    <w:rsid w:val="00FE1CDC"/>
    <w:rsid w:val="00FE28C7"/>
    <w:rsid w:val="00FE36FA"/>
    <w:rsid w:val="00FE39D6"/>
    <w:rsid w:val="00FE6BCA"/>
    <w:rsid w:val="00FE70C3"/>
    <w:rsid w:val="00FF1E82"/>
    <w:rsid w:val="00FF2AD9"/>
    <w:rsid w:val="00FF359F"/>
    <w:rsid w:val="00FF3DCF"/>
    <w:rsid w:val="00FF492C"/>
    <w:rsid w:val="00FF4A21"/>
    <w:rsid w:val="00FF5170"/>
    <w:rsid w:val="00FF5AA3"/>
    <w:rsid w:val="00FF5AD8"/>
    <w:rsid w:val="00FF7BF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 Char,Caption2,Caption Char Char Char Char Char,Caption Char Char1 Char,Caption Char1 Char1,Bayer Caption,IB Caption,Medical Caption,Caption Char1 Char,- H17,B Caption,Caption - H17,! Q,Caption Char2 Char,Caption Char Char Char2,Char"/>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Styl moj"/>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basedOn w:val="Normal"/>
    <w:unhideWhenUsed/>
    <w:rsid w:val="00EE1996"/>
    <w:pPr>
      <w:numPr>
        <w:numId w:val="4"/>
      </w:numPr>
      <w:contextualSpacing/>
    </w:p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Lash Style Table,MSD Table Grid,new style,PBAC table,HTAtableplain,Tabellengitternetz 9pt"/>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Annotationtext,Char1,Char2,Comment Text Char1 Char,Comment Text Char Char Char,list paragraph 2,Comment Text ZS"/>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Annotationtext Char,Char1 Char,Char2 Char,Comment Text Char1 Char Char,Comment Text Char Char Char Char,list paragraph 2 Char,Comment Text ZS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ind w:left="720"/>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character" w:customStyle="1" w:styleId="SmallBold">
    <w:name w:val="Small Bold"/>
    <w:basedOn w:val="DefaultParagraphFont"/>
    <w:uiPriority w:val="4"/>
    <w:qFormat/>
    <w:rsid w:val="00AC36A2"/>
    <w:rPr>
      <w:rFonts w:ascii="Calibri" w:hAnsi="Calibri"/>
      <w:b/>
      <w:sz w:val="20"/>
      <w:lang w:val="en-AU"/>
    </w:rPr>
  </w:style>
  <w:style w:type="paragraph" w:customStyle="1" w:styleId="TableCentre">
    <w:name w:val="Table Centre"/>
    <w:basedOn w:val="Normal"/>
    <w:uiPriority w:val="99"/>
    <w:qFormat/>
    <w:rsid w:val="00AC36A2"/>
    <w:pPr>
      <w:jc w:val="center"/>
    </w:pPr>
    <w:rPr>
      <w:rFonts w:eastAsiaTheme="majorEastAsia" w:cstheme="majorBidi"/>
      <w:sz w:val="20"/>
      <w:szCs w:val="22"/>
      <w:lang w:eastAsia="en-US" w:bidi="en-US"/>
    </w:rPr>
  </w:style>
  <w:style w:type="paragraph" w:customStyle="1" w:styleId="TableLeft">
    <w:name w:val="Table Left"/>
    <w:basedOn w:val="Normal"/>
    <w:link w:val="TableLeftChar"/>
    <w:uiPriority w:val="99"/>
    <w:qFormat/>
    <w:rsid w:val="00AC36A2"/>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AC36A2"/>
    <w:rPr>
      <w:rFonts w:ascii="Calibri" w:hAnsi="Calibri"/>
      <w:szCs w:val="22"/>
      <w:lang w:eastAsia="en-US"/>
    </w:rPr>
  </w:style>
  <w:style w:type="paragraph" w:customStyle="1" w:styleId="Tablebold">
    <w:name w:val="Table bold"/>
    <w:basedOn w:val="Tabletext"/>
    <w:qFormat/>
    <w:rsid w:val="00AC36A2"/>
    <w:pPr>
      <w:spacing w:before="60" w:after="60"/>
      <w:jc w:val="both"/>
    </w:pPr>
    <w:rPr>
      <w:rFonts w:ascii="Verdana" w:eastAsia="Calibri" w:hAnsi="Verdana"/>
      <w:b/>
      <w:snapToGrid/>
      <w:sz w:val="18"/>
      <w:szCs w:val="22"/>
      <w:lang w:eastAsia="en-US"/>
    </w:rPr>
  </w:style>
  <w:style w:type="paragraph" w:customStyle="1" w:styleId="Default">
    <w:name w:val="Default"/>
    <w:rsid w:val="00AC36A2"/>
    <w:pPr>
      <w:autoSpaceDE w:val="0"/>
      <w:autoSpaceDN w:val="0"/>
      <w:adjustRightInd w:val="0"/>
    </w:pPr>
    <w:rPr>
      <w:rFonts w:ascii="Calibri" w:hAnsi="Calibri" w:cs="Calibri"/>
      <w:color w:val="000000"/>
      <w:sz w:val="24"/>
      <w:szCs w:val="24"/>
    </w:rPr>
  </w:style>
  <w:style w:type="character" w:customStyle="1" w:styleId="FootnoteTextChar">
    <w:name w:val="Footnote Text Char"/>
    <w:basedOn w:val="DefaultParagraphFont"/>
    <w:link w:val="FootnoteText"/>
    <w:semiHidden/>
    <w:rsid w:val="00AC36A2"/>
    <w:rPr>
      <w:rFonts w:ascii="Calibri" w:hAnsi="Calibri" w:cs="Arial"/>
    </w:rPr>
  </w:style>
  <w:style w:type="paragraph" w:styleId="FootnoteText">
    <w:name w:val="footnote text"/>
    <w:basedOn w:val="Normal"/>
    <w:link w:val="FootnoteTextChar"/>
    <w:semiHidden/>
    <w:unhideWhenUsed/>
    <w:rsid w:val="00AC36A2"/>
    <w:rPr>
      <w:sz w:val="20"/>
      <w:szCs w:val="20"/>
    </w:rPr>
  </w:style>
  <w:style w:type="paragraph" w:customStyle="1" w:styleId="PBACTableSource">
    <w:name w:val="PBAC Table Source"/>
    <w:basedOn w:val="TableFooter"/>
    <w:autoRedefine/>
    <w:qFormat/>
    <w:rsid w:val="00263163"/>
    <w:pPr>
      <w:keepNext/>
      <w:suppressLineNumbers/>
      <w:jc w:val="left"/>
    </w:pPr>
    <w:rPr>
      <w:rFonts w:eastAsiaTheme="minorHAnsi" w:cs="Tahoma"/>
      <w:bCs/>
      <w:color w:val="000000"/>
      <w:szCs w:val="18"/>
      <w:lang w:eastAsia="en-GB"/>
    </w:rPr>
  </w:style>
  <w:style w:type="paragraph" w:customStyle="1" w:styleId="Tabletextindent">
    <w:name w:val="Table text indent"/>
    <w:basedOn w:val="Tabletext"/>
    <w:next w:val="Tabletext"/>
    <w:qFormat/>
    <w:rsid w:val="00AC36A2"/>
    <w:pPr>
      <w:keepNext/>
      <w:keepLines/>
      <w:spacing w:before="60" w:after="60"/>
      <w:ind w:left="284"/>
    </w:pPr>
    <w:rPr>
      <w:rFonts w:ascii="Verdana" w:eastAsia="Calibri" w:hAnsi="Verdana"/>
      <w:snapToGrid/>
      <w:sz w:val="18"/>
      <w:szCs w:val="22"/>
      <w:lang w:eastAsia="en-US"/>
    </w:rPr>
  </w:style>
  <w:style w:type="paragraph" w:customStyle="1" w:styleId="Tablenote">
    <w:name w:val="Table note"/>
    <w:basedOn w:val="Normal"/>
    <w:next w:val="Normal"/>
    <w:qFormat/>
    <w:rsid w:val="00AC36A2"/>
    <w:pPr>
      <w:spacing w:before="120" w:after="240" w:line="312" w:lineRule="auto"/>
    </w:pPr>
    <w:rPr>
      <w:rFonts w:ascii="Verdana" w:eastAsia="Calibri" w:hAnsi="Verdana" w:cs="Times New Roman"/>
      <w:sz w:val="16"/>
      <w:szCs w:val="22"/>
      <w:lang w:eastAsia="en-US"/>
    </w:rPr>
  </w:style>
  <w:style w:type="character" w:customStyle="1" w:styleId="V50InstructionsChar">
    <w:name w:val="V5.0 Instructions Char"/>
    <w:basedOn w:val="DefaultParagraphFont"/>
    <w:link w:val="V50Instructions"/>
    <w:locked/>
    <w:rsid w:val="00AC36A2"/>
    <w:rPr>
      <w:rFonts w:asciiTheme="minorHAnsi" w:eastAsiaTheme="minorHAnsi" w:hAnsiTheme="minorHAnsi" w:cstheme="minorBidi"/>
      <w:color w:val="4BACC6" w:themeColor="accent5"/>
      <w:sz w:val="24"/>
      <w:szCs w:val="22"/>
      <w:lang w:eastAsia="en-US"/>
    </w:rPr>
  </w:style>
  <w:style w:type="paragraph" w:customStyle="1" w:styleId="V50Instructions">
    <w:name w:val="V5.0 Instructions"/>
    <w:basedOn w:val="Normal"/>
    <w:link w:val="V50InstructionsChar"/>
    <w:qFormat/>
    <w:rsid w:val="00AC36A2"/>
    <w:pPr>
      <w:spacing w:before="120" w:after="160"/>
      <w:jc w:val="left"/>
    </w:pPr>
    <w:rPr>
      <w:rFonts w:asciiTheme="minorHAnsi" w:eastAsiaTheme="minorHAnsi" w:hAnsiTheme="minorHAnsi" w:cstheme="minorBidi"/>
      <w:color w:val="4BACC6" w:themeColor="accent5"/>
      <w:szCs w:val="22"/>
      <w:lang w:eastAsia="en-US"/>
    </w:rPr>
  </w:style>
  <w:style w:type="table" w:customStyle="1" w:styleId="ASDTable6">
    <w:name w:val="ASD Table6"/>
    <w:basedOn w:val="TableNormal"/>
    <w:next w:val="TableGrid"/>
    <w:uiPriority w:val="39"/>
    <w:rsid w:val="0032072B"/>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2072B"/>
    <w:rPr>
      <w:color w:val="605E5C"/>
      <w:shd w:val="clear" w:color="auto" w:fill="E1DFDD"/>
    </w:rPr>
  </w:style>
  <w:style w:type="table" w:customStyle="1" w:styleId="TableGrid1">
    <w:name w:val="Table Grid1"/>
    <w:basedOn w:val="TableNormal"/>
    <w:next w:val="TableGrid"/>
    <w:uiPriority w:val="39"/>
    <w:rsid w:val="0032072B"/>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32072B"/>
    <w:rPr>
      <w:vertAlign w:val="superscript"/>
    </w:rPr>
  </w:style>
  <w:style w:type="table" w:customStyle="1" w:styleId="TableHTAsimple2">
    <w:name w:val="Table HTA simple2"/>
    <w:basedOn w:val="TableNormal"/>
    <w:uiPriority w:val="99"/>
    <w:rsid w:val="0032072B"/>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table" w:styleId="GridTable1Light">
    <w:name w:val="Grid Table 1 Light"/>
    <w:basedOn w:val="TableNormal"/>
    <w:uiPriority w:val="46"/>
    <w:rsid w:val="0032072B"/>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igureCaptionabove">
    <w:name w:val="Figure Caption (above)"/>
    <w:basedOn w:val="Caption"/>
    <w:next w:val="Normal"/>
    <w:link w:val="FigureCaptionaboveChar"/>
    <w:uiPriority w:val="4"/>
    <w:qFormat/>
    <w:rsid w:val="0032072B"/>
    <w:pPr>
      <w:keepNext/>
      <w:spacing w:before="480" w:after="60" w:line="276" w:lineRule="auto"/>
      <w:jc w:val="left"/>
    </w:pPr>
    <w:rPr>
      <w:rFonts w:ascii="Arial" w:eastAsia="Calibri" w:hAnsi="Arial" w:cstheme="minorBidi"/>
      <w:color w:val="auto"/>
      <w:sz w:val="20"/>
      <w:szCs w:val="20"/>
      <w:lang w:val="en-US" w:eastAsia="en-US"/>
    </w:rPr>
  </w:style>
  <w:style w:type="character" w:customStyle="1" w:styleId="FigureCaptionaboveChar">
    <w:name w:val="Figure Caption (above) Char"/>
    <w:link w:val="FigureCaptionabove"/>
    <w:uiPriority w:val="4"/>
    <w:rsid w:val="0032072B"/>
    <w:rPr>
      <w:rFonts w:ascii="Arial" w:eastAsia="Calibri" w:hAnsi="Arial" w:cstheme="minorBidi"/>
      <w:b/>
      <w:bCs/>
      <w:lang w:val="en-US" w:eastAsia="en-US"/>
    </w:rPr>
  </w:style>
  <w:style w:type="paragraph" w:customStyle="1" w:styleId="Chapter">
    <w:name w:val="Chapter"/>
    <w:basedOn w:val="Heading1"/>
    <w:rsid w:val="0032072B"/>
    <w:pPr>
      <w:keepNext/>
      <w:keepLines/>
      <w:numPr>
        <w:numId w:val="11"/>
      </w:numPr>
      <w:tabs>
        <w:tab w:val="num" w:pos="360"/>
      </w:tabs>
      <w:spacing w:before="240" w:after="120"/>
      <w:jc w:val="left"/>
    </w:pPr>
    <w:rPr>
      <w:rFonts w:ascii="Times New Roman" w:eastAsiaTheme="majorEastAsia" w:hAnsi="Times New Roman" w:cstheme="majorBidi"/>
      <w:caps w:val="0"/>
      <w:szCs w:val="32"/>
      <w:lang w:eastAsia="en-US"/>
    </w:rPr>
  </w:style>
  <w:style w:type="paragraph" w:customStyle="1" w:styleId="3-SubsectionHeading">
    <w:name w:val="3-Subsection Heading"/>
    <w:basedOn w:val="Heading2"/>
    <w:next w:val="Normal"/>
    <w:link w:val="3-SubsectionHeadingChar"/>
    <w:qFormat/>
    <w:rsid w:val="0010205E"/>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10205E"/>
    <w:rPr>
      <w:rFonts w:asciiTheme="minorHAnsi" w:eastAsiaTheme="majorEastAsia" w:hAnsiTheme="minorHAnsi" w:cstheme="majorBidi"/>
      <w:b/>
      <w:i/>
      <w:snapToGrid/>
      <w:spacing w:val="5"/>
      <w:kern w:val="28"/>
      <w:sz w:val="28"/>
      <w:szCs w:val="36"/>
      <w:lang w:eastAsia="en-US"/>
    </w:rPr>
  </w:style>
  <w:style w:type="paragraph" w:customStyle="1" w:styleId="1-MainHeading0">
    <w:name w:val="1- Main Heading"/>
    <w:link w:val="1-MainHeadingChar0"/>
    <w:qFormat/>
    <w:rsid w:val="0025400C"/>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0">
    <w:name w:val="1- Main Heading Char"/>
    <w:basedOn w:val="DefaultParagraphFont"/>
    <w:link w:val="1-MainHeading0"/>
    <w:rsid w:val="0025400C"/>
    <w:rPr>
      <w:rFonts w:asciiTheme="minorHAnsi" w:eastAsiaTheme="majorEastAsia" w:hAnsiTheme="minorHAnsi" w:cstheme="majorBidi"/>
      <w:b/>
      <w:spacing w:val="5"/>
      <w:kern w:val="28"/>
      <w:sz w:val="36"/>
      <w:szCs w:val="36"/>
    </w:rPr>
  </w:style>
  <w:style w:type="paragraph" w:customStyle="1" w:styleId="ExecSumBodyText">
    <w:name w:val="Exec Sum Body Text"/>
    <w:basedOn w:val="Normal"/>
    <w:link w:val="ExecSumBodyTextChar"/>
    <w:qFormat/>
    <w:rsid w:val="0025400C"/>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25400C"/>
    <w:rPr>
      <w:rFonts w:asciiTheme="minorHAnsi" w:hAnsiTheme="minorHAnsi" w:cs="Arial"/>
      <w:snapToGrid w:val="0"/>
      <w:sz w:val="24"/>
      <w:szCs w:val="24"/>
    </w:rPr>
  </w:style>
  <w:style w:type="paragraph" w:customStyle="1" w:styleId="1MainTitle">
    <w:name w:val="1. Main Title"/>
    <w:basedOn w:val="Title"/>
    <w:link w:val="1MainTitleChar"/>
    <w:qFormat/>
    <w:rsid w:val="0025400C"/>
    <w:pPr>
      <w:spacing w:before="120" w:after="160"/>
      <w:ind w:left="720" w:hanging="720"/>
      <w:contextualSpacing/>
      <w:jc w:val="both"/>
    </w:pPr>
    <w:rPr>
      <w:rFonts w:asciiTheme="minorHAnsi" w:eastAsiaTheme="majorEastAsia" w:hAnsiTheme="minorHAnsi" w:cstheme="majorBidi"/>
      <w:bCs w:val="0"/>
      <w:spacing w:val="5"/>
      <w:sz w:val="36"/>
      <w:szCs w:val="36"/>
      <w:lang w:eastAsia="en-US"/>
    </w:rPr>
  </w:style>
  <w:style w:type="character" w:customStyle="1" w:styleId="1MainTitleChar">
    <w:name w:val="1. Main Title Char"/>
    <w:basedOn w:val="TitleChar"/>
    <w:link w:val="1MainTitle"/>
    <w:rsid w:val="0025400C"/>
    <w:rPr>
      <w:rFonts w:asciiTheme="minorHAnsi" w:eastAsiaTheme="majorEastAsia" w:hAnsiTheme="minorHAnsi" w:cstheme="majorBidi"/>
      <w:b/>
      <w:bCs w:val="0"/>
      <w:snapToGrid/>
      <w:spacing w:val="5"/>
      <w:kern w:val="28"/>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57968370">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0852610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servicesaustralia.gov.au/hpos"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ervicesaustralia.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B0474-A374-418D-9A8D-947AA9346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19990</Words>
  <Characters>110275</Characters>
  <Application>Microsoft Office Word</Application>
  <DocSecurity>0</DocSecurity>
  <Lines>918</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2023-08-21T06:19:00Z</dcterms:created>
  <dcterms:modified xsi:type="dcterms:W3CDTF">2023-08-21T06:19:00Z</dcterms:modified>
</cp:coreProperties>
</file>